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316232d1_8k.htm"/>
      <w:bookmarkStart w:id="1" w:name="kstm2316232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F_edei--DocumentType_c20230518__20"/>
      <w:bookmarkEnd w:id="2"/>
      <w:r>
        <w:rPr>
          <w:rFonts w:ascii="Times New Roman;Times;Serif" w:hAnsi="Times New Roman;Times;Serif"/>
          <w:b/>
          <w:i w:val="false"/>
          <w:caps w:val="false"/>
          <w:smallCaps w:val="false"/>
          <w:sz w:val="20"/>
        </w:rPr>
        <w:t>8-K</w:t>
        <w:br/>
        <w:t xml:space="preserve">Current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val="false"/>
          <w:i w:val="false"/>
          <w:caps w:val="false"/>
          <w:smallCaps w:val="false"/>
          <w:sz w:val="20"/>
        </w:rPr>
        <w:t>May 18,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7_edei--EntityRegistrantName_c2023"/>
      <w:bookmarkEnd w:id="4"/>
      <w:r>
        <w:rPr>
          <w:rFonts w:ascii="Times New Roman;Times;Serif" w:hAnsi="Times New Roman;Times;Serif"/>
          <w:b/>
          <w:i w:val="false"/>
          <w:caps w:val="false"/>
          <w:smallCaps w:val="false"/>
          <w:sz w:val="28"/>
        </w:rPr>
        <w:t>IOVANCE BIOTHERAPEUTICS,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7795" w:type="dxa"/>
        <w:jc w:val="left"/>
        <w:tblInd w:w="0" w:type="dxa"/>
        <w:tblLayout w:type="fixed"/>
        <w:tblCellMar>
          <w:top w:w="0" w:type="dxa"/>
          <w:left w:w="0" w:type="dxa"/>
          <w:bottom w:w="28" w:type="dxa"/>
          <w:right w:w="0" w:type="dxa"/>
        </w:tblCellMar>
      </w:tblPr>
      <w:tblGrid>
        <w:gridCol w:w="4070"/>
        <w:gridCol w:w="60"/>
        <w:gridCol w:w="3665"/>
      </w:tblGrid>
      <w:tr>
        <w:trPr/>
        <w:tc>
          <w:tcPr>
            <w:tcW w:w="7795" w:type="dxa"/>
            <w:gridSpan w:val="3"/>
            <w:tcBorders>
              <w:bottom w:val="single" w:sz="8" w:space="0" w:color="000000"/>
            </w:tcBorders>
            <w:vAlign w:val="center"/>
          </w:tcPr>
          <w:p>
            <w:pPr>
              <w:pStyle w:val="TableContents"/>
              <w:bidi w:val="0"/>
              <w:spacing w:before="0" w:after="283"/>
              <w:jc w:val="center"/>
              <w:rPr>
                <w:b/>
              </w:rPr>
            </w:pPr>
            <w:bookmarkStart w:id="5" w:name="xdx_90A_edei--EntityIncorporationStateCo"/>
            <w:bookmarkEnd w:id="5"/>
            <w:r>
              <w:rPr>
                <w:b/>
              </w:rPr>
              <w:t>Delaware</w:t>
            </w:r>
          </w:p>
        </w:tc>
      </w:tr>
      <w:tr>
        <w:trPr/>
        <w:tc>
          <w:tcPr>
            <w:tcW w:w="7795" w:type="dxa"/>
            <w:gridSpan w:val="3"/>
            <w:tcBorders/>
            <w:tcMar>
              <w:bottom w:w="0" w:type="dxa"/>
            </w:tcMar>
            <w:vAlign w:val="center"/>
          </w:tcPr>
          <w:p>
            <w:pPr>
              <w:pStyle w:val="TableContents"/>
              <w:bidi w:val="0"/>
              <w:spacing w:before="0" w:after="283"/>
              <w:jc w:val="center"/>
              <w:rPr>
                <w:b/>
              </w:rPr>
            </w:pPr>
            <w:r>
              <w:rPr>
                <w:b/>
              </w:rPr>
              <w:t>(State of Incorporation)</w:t>
            </w:r>
          </w:p>
        </w:tc>
      </w:tr>
      <w:tr>
        <w:trPr/>
        <w:tc>
          <w:tcPr>
            <w:tcW w:w="7795" w:type="dxa"/>
            <w:gridSpan w:val="3"/>
            <w:tcBorders/>
            <w:tcMar>
              <w:bottom w:w="0" w:type="dxa"/>
            </w:tcMar>
            <w:vAlign w:val="center"/>
          </w:tcPr>
          <w:p>
            <w:pPr>
              <w:pStyle w:val="TableContents"/>
              <w:bidi w:val="0"/>
              <w:spacing w:before="0" w:after="283"/>
              <w:jc w:val="center"/>
              <w:rPr/>
            </w:pPr>
            <w:r>
              <w:rPr/>
              <w:t> </w:t>
            </w:r>
          </w:p>
        </w:tc>
      </w:tr>
      <w:tr>
        <w:trPr/>
        <w:tc>
          <w:tcPr>
            <w:tcW w:w="4070" w:type="dxa"/>
            <w:tcBorders>
              <w:bottom w:val="single" w:sz="8" w:space="0" w:color="000000"/>
            </w:tcBorders>
            <w:vAlign w:val="center"/>
          </w:tcPr>
          <w:p>
            <w:pPr>
              <w:pStyle w:val="TableContents"/>
              <w:bidi w:val="0"/>
              <w:spacing w:before="0" w:after="283"/>
              <w:jc w:val="center"/>
              <w:rPr>
                <w:b/>
              </w:rPr>
            </w:pPr>
            <w:bookmarkStart w:id="6" w:name="xdx_903_edei--EntityFileNumber_c20230518"/>
            <w:bookmarkEnd w:id="6"/>
            <w:r>
              <w:rPr>
                <w:b/>
              </w:rPr>
              <w:t>001-36860</w:t>
            </w:r>
          </w:p>
        </w:tc>
        <w:tc>
          <w:tcPr>
            <w:tcW w:w="60" w:type="dxa"/>
            <w:tcBorders/>
            <w:tcMar>
              <w:bottom w:w="0" w:type="dxa"/>
            </w:tcMar>
            <w:vAlign w:val="center"/>
          </w:tcPr>
          <w:p>
            <w:pPr>
              <w:pStyle w:val="TableContents"/>
              <w:bidi w:val="0"/>
              <w:spacing w:before="0" w:after="283"/>
              <w:jc w:val="center"/>
              <w:rPr/>
            </w:pPr>
            <w:r>
              <w:rPr/>
              <w:t> </w:t>
            </w:r>
          </w:p>
        </w:tc>
        <w:tc>
          <w:tcPr>
            <w:tcW w:w="3665" w:type="dxa"/>
            <w:tcBorders>
              <w:bottom w:val="single" w:sz="8" w:space="0" w:color="000000"/>
            </w:tcBorders>
            <w:vAlign w:val="center"/>
          </w:tcPr>
          <w:p>
            <w:pPr>
              <w:pStyle w:val="TableContents"/>
              <w:bidi w:val="0"/>
              <w:spacing w:before="0" w:after="283"/>
              <w:jc w:val="center"/>
              <w:rPr>
                <w:b/>
              </w:rPr>
            </w:pPr>
            <w:bookmarkStart w:id="7" w:name="xdx_901_edei--EntityTaxIdentificationNum"/>
            <w:bookmarkEnd w:id="7"/>
            <w:r>
              <w:rPr>
                <w:b/>
              </w:rPr>
              <w:t>75-3254381</w:t>
            </w:r>
          </w:p>
        </w:tc>
      </w:tr>
      <w:tr>
        <w:trPr/>
        <w:tc>
          <w:tcPr>
            <w:tcW w:w="4070" w:type="dxa"/>
            <w:tcBorders/>
            <w:tcMar>
              <w:bottom w:w="0" w:type="dxa"/>
            </w:tcMar>
            <w:vAlign w:val="center"/>
          </w:tcPr>
          <w:p>
            <w:pPr>
              <w:pStyle w:val="TableContents"/>
              <w:bidi w:val="0"/>
              <w:spacing w:before="0" w:after="283"/>
              <w:jc w:val="center"/>
              <w:rPr>
                <w:b/>
              </w:rPr>
            </w:pPr>
            <w:r>
              <w:rPr>
                <w:b/>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b/>
              </w:rPr>
            </w:pPr>
            <w:r>
              <w:rPr>
                <w:b/>
              </w:rPr>
              <w:t>(I.R.S. Employer Identification No.)</w:t>
            </w:r>
          </w:p>
        </w:tc>
      </w:tr>
      <w:tr>
        <w:trPr/>
        <w:tc>
          <w:tcPr>
            <w:tcW w:w="40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pPr>
            <w:r>
              <w:rPr/>
              <w:t> </w:t>
            </w:r>
          </w:p>
        </w:tc>
      </w:tr>
      <w:tr>
        <w:trPr/>
        <w:tc>
          <w:tcPr>
            <w:tcW w:w="4070" w:type="dxa"/>
            <w:tcBorders/>
            <w:tcMar>
              <w:bottom w:w="0" w:type="dxa"/>
            </w:tcMar>
            <w:vAlign w:val="center"/>
          </w:tcPr>
          <w:p>
            <w:pPr>
              <w:pStyle w:val="TableContents"/>
              <w:bidi w:val="0"/>
              <w:spacing w:before="0" w:after="283"/>
              <w:jc w:val="center"/>
              <w:rPr>
                <w:b/>
              </w:rPr>
            </w:pPr>
            <w:bookmarkStart w:id="8" w:name="xdx_907_edei--EntityAddressAddressLine1_"/>
            <w:bookmarkEnd w:id="8"/>
            <w:r>
              <w:rPr>
                <w:b/>
              </w:rPr>
              <w:t xml:space="preserve">825 Industrial Road, </w:t>
            </w:r>
            <w:bookmarkStart w:id="9" w:name="xdx_900_edei--EntityAddressAddressLine2_"/>
            <w:bookmarkEnd w:id="9"/>
            <w:r>
              <w:rPr>
                <w:b/>
              </w:rPr>
              <w:t>4th Floor</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pPr>
            <w:r>
              <w:rPr/>
              <w:t> </w:t>
            </w:r>
          </w:p>
        </w:tc>
      </w:tr>
      <w:tr>
        <w:trPr/>
        <w:tc>
          <w:tcPr>
            <w:tcW w:w="4070" w:type="dxa"/>
            <w:tcBorders>
              <w:bottom w:val="single" w:sz="8" w:space="0" w:color="000000"/>
            </w:tcBorders>
            <w:vAlign w:val="center"/>
          </w:tcPr>
          <w:p>
            <w:pPr>
              <w:pStyle w:val="TableContents"/>
              <w:bidi w:val="0"/>
              <w:spacing w:before="0" w:after="283"/>
              <w:jc w:val="center"/>
              <w:rPr>
                <w:b/>
              </w:rPr>
            </w:pPr>
            <w:bookmarkStart w:id="10" w:name="xdx_90E_edei--EntityAddressCityOrTown_c2"/>
            <w:bookmarkEnd w:id="10"/>
            <w:r>
              <w:rPr>
                <w:b/>
              </w:rPr>
              <w:t xml:space="preserve">San Carlos, </w:t>
            </w:r>
            <w:bookmarkStart w:id="11" w:name="xdx_904_edei--EntityAddressStateOrProvin"/>
            <w:bookmarkEnd w:id="11"/>
            <w:r>
              <w:rPr>
                <w:b/>
              </w:rPr>
              <w:t>California</w:t>
            </w:r>
          </w:p>
        </w:tc>
        <w:tc>
          <w:tcPr>
            <w:tcW w:w="60" w:type="dxa"/>
            <w:tcBorders/>
            <w:tcMar>
              <w:bottom w:w="0" w:type="dxa"/>
            </w:tcMar>
            <w:vAlign w:val="center"/>
          </w:tcPr>
          <w:p>
            <w:pPr>
              <w:pStyle w:val="TableContents"/>
              <w:bidi w:val="0"/>
              <w:spacing w:before="0" w:after="283"/>
              <w:jc w:val="center"/>
              <w:rPr/>
            </w:pPr>
            <w:r>
              <w:rPr/>
              <w:t> </w:t>
            </w:r>
          </w:p>
        </w:tc>
        <w:tc>
          <w:tcPr>
            <w:tcW w:w="3665" w:type="dxa"/>
            <w:tcBorders>
              <w:bottom w:val="single" w:sz="8" w:space="0" w:color="000000"/>
            </w:tcBorders>
            <w:vAlign w:val="center"/>
          </w:tcPr>
          <w:p>
            <w:pPr>
              <w:pStyle w:val="TableContents"/>
              <w:bidi w:val="0"/>
              <w:spacing w:before="0" w:after="283"/>
              <w:jc w:val="center"/>
              <w:rPr>
                <w:b/>
              </w:rPr>
            </w:pPr>
            <w:bookmarkStart w:id="12" w:name="xdx_908_edei--EntityAddressPostalZipCode"/>
            <w:bookmarkEnd w:id="12"/>
            <w:r>
              <w:rPr>
                <w:b/>
              </w:rPr>
              <w:t>94070</w:t>
            </w:r>
          </w:p>
        </w:tc>
      </w:tr>
      <w:tr>
        <w:trPr/>
        <w:tc>
          <w:tcPr>
            <w:tcW w:w="4070" w:type="dxa"/>
            <w:tcBorders/>
            <w:tcMar>
              <w:bottom w:w="0" w:type="dxa"/>
            </w:tcMar>
            <w:vAlign w:val="center"/>
          </w:tcPr>
          <w:p>
            <w:pPr>
              <w:pStyle w:val="TableContents"/>
              <w:bidi w:val="0"/>
              <w:spacing w:before="0" w:after="283"/>
              <w:jc w:val="center"/>
              <w:rPr>
                <w:b/>
              </w:rPr>
            </w:pPr>
            <w:r>
              <w:rPr>
                <w:b/>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b/>
              </w:rPr>
            </w:pPr>
            <w:r>
              <w:rPr>
                <w:b/>
              </w:rPr>
              <w:t>(Zip Code)</w:t>
            </w:r>
          </w:p>
        </w:tc>
      </w:tr>
      <w:tr>
        <w:trPr/>
        <w:tc>
          <w:tcPr>
            <w:tcW w:w="40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pPr>
            <w:r>
              <w:rPr/>
              <w:t> </w:t>
            </w:r>
          </w:p>
        </w:tc>
      </w:tr>
      <w:tr>
        <w:trPr/>
        <w:tc>
          <w:tcPr>
            <w:tcW w:w="7795" w:type="dxa"/>
            <w:gridSpan w:val="3"/>
            <w:tcBorders>
              <w:bottom w:val="single" w:sz="8" w:space="0" w:color="000000"/>
            </w:tcBorders>
            <w:vAlign w:val="center"/>
          </w:tcPr>
          <w:p>
            <w:pPr>
              <w:pStyle w:val="TableContents"/>
              <w:bidi w:val="0"/>
              <w:spacing w:before="0" w:after="283"/>
              <w:jc w:val="center"/>
              <w:rPr>
                <w:b/>
              </w:rPr>
            </w:pPr>
            <w:r>
              <w:rPr>
                <w:b/>
              </w:rPr>
              <w:t>(</w:t>
            </w:r>
            <w:bookmarkStart w:id="13" w:name="xdx_902_edei--CityAreaCode_c20230518__20"/>
            <w:bookmarkEnd w:id="13"/>
            <w:r>
              <w:rPr>
                <w:b/>
              </w:rPr>
              <w:t xml:space="preserve">650) </w:t>
            </w:r>
            <w:bookmarkStart w:id="14" w:name="xdx_907_edei--LocalPhoneNumber_c20230518"/>
            <w:bookmarkEnd w:id="14"/>
            <w:r>
              <w:rPr>
                <w:b/>
              </w:rPr>
              <w:t>260-7120</w:t>
            </w:r>
          </w:p>
        </w:tc>
      </w:tr>
      <w:tr>
        <w:trPr/>
        <w:tc>
          <w:tcPr>
            <w:tcW w:w="7795" w:type="dxa"/>
            <w:gridSpan w:val="3"/>
            <w:tcBorders/>
            <w:tcMar>
              <w:bottom w:w="0" w:type="dxa"/>
            </w:tcMar>
            <w:vAlign w:val="center"/>
          </w:tcPr>
          <w:p>
            <w:pPr>
              <w:pStyle w:val="TableContents"/>
              <w:bidi w:val="0"/>
              <w:spacing w:before="0" w:after="283"/>
              <w:jc w:val="center"/>
              <w:rPr>
                <w:b/>
              </w:rPr>
            </w:pPr>
            <w:r>
              <w:rPr>
                <w:b/>
              </w:rPr>
              <w:t>(Registrant’s Telephone Number, Including Area Code)</w:t>
            </w:r>
          </w:p>
        </w:tc>
      </w:tr>
      <w:tr>
        <w:trPr/>
        <w:tc>
          <w:tcPr>
            <w:tcW w:w="7795" w:type="dxa"/>
            <w:gridSpan w:val="3"/>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23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8_edei--WrittenCommunications_c202"/>
            <w:bookmarkEnd w:id="15"/>
            <w:r>
              <w:rPr/>
              <w:t>☐</w:t>
            </w:r>
          </w:p>
        </w:tc>
        <w:tc>
          <w:tcPr>
            <w:tcW w:w="858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jc w:val="left"/>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23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A_edei--SolicitingMaterial_c202305"/>
            <w:bookmarkEnd w:id="16"/>
            <w:r>
              <w:rPr/>
              <w:t>☐</w:t>
            </w:r>
          </w:p>
        </w:tc>
        <w:tc>
          <w:tcPr>
            <w:tcW w:w="861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6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6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374" w:right="0" w:hanging="37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as defined in Rule 405 of the Securities Act of 1933 (§230.405 of this chapter) or Rule 12b-2 of the Securities Exchange Act of 1934 (§240.12b-2 of this chapter). Emerging growth company </w:t>
      </w:r>
      <w:bookmarkStart w:id="19" w:name="xdx_90D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75" w:type="dxa"/>
        <w:jc w:val="left"/>
        <w:tblInd w:w="0" w:type="dxa"/>
        <w:tblLayout w:type="fixed"/>
        <w:tblCellMar>
          <w:top w:w="28" w:type="dxa"/>
          <w:left w:w="0" w:type="dxa"/>
          <w:bottom w:w="28" w:type="dxa"/>
          <w:right w:w="108" w:type="dxa"/>
        </w:tblCellMar>
      </w:tblPr>
      <w:tblGrid>
        <w:gridCol w:w="4820"/>
        <w:gridCol w:w="995"/>
        <w:gridCol w:w="3260"/>
      </w:tblGrid>
      <w:tr>
        <w:trPr/>
        <w:tc>
          <w:tcPr>
            <w:tcW w:w="482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pPr>
            <w:r>
              <w:rPr/>
              <w:t>Title of each class</w:t>
            </w:r>
          </w:p>
        </w:tc>
        <w:tc>
          <w:tcPr>
            <w:tcW w:w="99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Trading </w:t>
              <w:br/>
              <w:t>Symbol(s)</w:t>
            </w:r>
          </w:p>
        </w:tc>
        <w:tc>
          <w:tcPr>
            <w:tcW w:w="326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pPr>
            <w:r>
              <w:rPr/>
              <w:t>Name of each exchange on which</w:t>
              <w:br/>
              <w:t>registered</w:t>
            </w:r>
          </w:p>
        </w:tc>
      </w:tr>
      <w:tr>
        <w:trPr/>
        <w:tc>
          <w:tcPr>
            <w:tcW w:w="4820" w:type="dxa"/>
            <w:tcBorders>
              <w:left w:val="single" w:sz="8" w:space="0" w:color="000000"/>
              <w:bottom w:val="single" w:sz="8" w:space="0" w:color="000000"/>
              <w:right w:val="single" w:sz="8" w:space="0" w:color="000000"/>
            </w:tcBorders>
            <w:tcMar>
              <w:top w:w="0" w:type="dxa"/>
              <w:left w:w="108" w:type="dxa"/>
            </w:tcMar>
            <w:vAlign w:val="center"/>
          </w:tcPr>
          <w:p>
            <w:pPr>
              <w:pStyle w:val="TableContents"/>
              <w:bidi w:val="0"/>
              <w:spacing w:before="0" w:after="283"/>
              <w:jc w:val="center"/>
              <w:rPr/>
            </w:pPr>
            <w:bookmarkStart w:id="20" w:name="xdx_907_edei--Security12bTitle_c20230518"/>
            <w:bookmarkEnd w:id="20"/>
            <w:r>
              <w:rPr/>
              <w:t>Common stock, par value $0.000041666 per share</w:t>
            </w:r>
          </w:p>
        </w:tc>
        <w:tc>
          <w:tcPr>
            <w:tcW w:w="995" w:type="dxa"/>
            <w:tcBorders>
              <w:bottom w:val="single" w:sz="8" w:space="0" w:color="000000"/>
              <w:right w:val="single" w:sz="8" w:space="0" w:color="000000"/>
            </w:tcBorders>
            <w:tcMar>
              <w:top w:w="0" w:type="dxa"/>
            </w:tcMar>
            <w:vAlign w:val="center"/>
          </w:tcPr>
          <w:p>
            <w:pPr>
              <w:pStyle w:val="TableContents"/>
              <w:bidi w:val="0"/>
              <w:spacing w:before="0" w:after="283"/>
              <w:jc w:val="center"/>
              <w:rPr/>
            </w:pPr>
            <w:bookmarkStart w:id="21" w:name="xdx_900_edei--TradingSymbol_c20230518__2"/>
            <w:bookmarkEnd w:id="21"/>
            <w:r>
              <w:rPr/>
              <w:t>IOVA</w:t>
            </w:r>
          </w:p>
        </w:tc>
        <w:tc>
          <w:tcPr>
            <w:tcW w:w="3260" w:type="dxa"/>
            <w:tcBorders>
              <w:bottom w:val="single" w:sz="8" w:space="0" w:color="000000"/>
              <w:right w:val="single" w:sz="8" w:space="0" w:color="000000"/>
            </w:tcBorders>
            <w:tcMar>
              <w:top w:w="0" w:type="dxa"/>
            </w:tcMar>
            <w:vAlign w:val="center"/>
          </w:tcPr>
          <w:p>
            <w:pPr>
              <w:pStyle w:val="TableContents"/>
              <w:bidi w:val="0"/>
              <w:spacing w:before="0" w:after="283"/>
              <w:jc w:val="center"/>
              <w:rPr/>
            </w:pPr>
            <w:bookmarkStart w:id="22" w:name="xdx_905_edei--SecurityExchangeName_c2023"/>
            <w:bookmarkEnd w:id="22"/>
            <w:r>
              <w:rPr/>
              <w:t>The Nasdaq Stock Market, LLC</w:t>
            </w:r>
          </w:p>
        </w:tc>
      </w:tr>
    </w:tbl>
    <w:p>
      <w:pPr>
        <w:pStyle w:val="TextBody"/>
        <w:bidi w:val="0"/>
        <w:spacing w:before="0" w:after="0"/>
        <w:ind w:left="1080" w:right="0" w:hanging="108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1080" w:right="0" w:hanging="108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830"/>
        <w:gridCol w:w="428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2.01</w:t>
            </w:r>
          </w:p>
        </w:tc>
        <w:tc>
          <w:tcPr>
            <w:tcW w:w="42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Completion of Acquisition or Disposition of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Worldwide Rights in Proleukin® (aldesleukin)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Current Report on Form 8-K filed by Iovance Biotherapeutics, Inc., a Delaware corporation (the “Company”) with the Securities and Exchange Commission (the “SEC”) on January 23, 2023, the Company and its newly formed, wholly owned subsidiary, Iovance Biotherapeutics UK Ltd (“Purchaser”) entered into an Option Agreement (the “Option Agreement”) with Clinigen Holdings Limited, Clinigen Healthcare Limited, and Clinigen, Inc. (collectively, “Clinigen”), pursuant to which the Purchaser would acquire the worldwide rights in Proleukin® (aldesleukin) (the “Product”), as well as the manufacturing, supply, commercialization and the generation of income from such rights and associated operations from Clinigen (the “Acquisition”).</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2023, the Company completed the Acquisition and specifically acquired (i) all issued and outstanding shares of Clinigen SP Limited (the “Target”), (ii) the business of the Target and Clinigen comprising the manufacturing, supply, commercialization and the generation of income from the Product rights and the undertaking of an active role in the development, maintenance and exploitation of those rights, and (iii) certain specified assets identified in the Option Agreement. The closing contemplated by the Option Agreement followed the satisfaction or waiver of the closing conditions under the Option Agreement, including the required submission of the premerger notification and report form filing under the Hart-Scott-Rodino Antitrust Improvement Act of 1976 to the Regulatory Authority (as defined in the Option Agreement).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Option Agreement, the Company paid to Clinigen (i) an upfront payment of £167.7 million (or approximately $200 million) and (ii) a payment for certain inventory of £2.4 million (or approximately $3.1 million) using existing cash on hand. The Option Agreement also provides for a £41.7 million (or approximately $50 million) milestone payment upon first approval of lifileucel in advanced melanoma, and deferred consideration based on double digit rates on global net sales (as defined therein) payable from the Company to Clinigen following the completion of the Acquisition for the applicable deferred consideration term.</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Option Agreement does not purport to be complete and is qualified in its entirety by reference to the Option Agreement, a copy of which was filed as Exhibit 10.1 to Amendment No. 1 to the Current Report on Form 8-K filed by the Company with the SEC on January 27, 2023.</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both"/>
              <w:rPr>
                <w:sz w:val="20"/>
              </w:rPr>
            </w:pPr>
            <w:r>
              <w:rPr>
                <w:rFonts w:ascii="Times New Roman;Times;Serif" w:hAnsi="Times New Roman;Times;Serif"/>
                <w:b/>
                <w:sz w:val="20"/>
              </w:rPr>
              <w:t>Financial Statements and Exhibits</w:t>
            </w:r>
            <w:r>
              <w:rPr>
                <w:sz w:val="20"/>
              </w:rPr>
              <w:t>.</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Statement of Business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required by this Item, with respect to the Acquisition described in Item 2.01 herein, will be filed as soon as practicable, and in any event not later than 71 days after the date on which this Current Report on Form 8-K is required to be filed related to Item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Financial Statement of Business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required by this Item, with respect to the Acquisition described in Item 2.01 herein, will be filed as soon as practicable, and in any event not later than 71 days after the date on which this Current Report on Form 8-K is required to be filed related to Item 2.01.</w:t>
      </w:r>
    </w:p>
    <w:p>
      <w:pPr>
        <w:pStyle w:val="TextBody"/>
        <w:bidi w:val="0"/>
        <w:spacing w:before="0" w:after="0"/>
        <w:ind w:left="0" w:right="0" w:hanging="0"/>
        <w:jc w:val="left"/>
        <w:rPr>
          <w:caps w:val="false"/>
          <w:smallCaps w:val="false"/>
          <w:color w:val="FFFFFF"/>
        </w:rPr>
      </w:pPr>
      <w:r>
        <w:rPr>
          <w:caps w:val="false"/>
          <w:smallCaps w:val="false"/>
          <w:color w:val="FFFFFF"/>
        </w:rPr>
        <w:t> </w:t>
      </w:r>
    </w:p>
    <w:tbl>
      <w:tblPr>
        <w:tblW w:w="1250" w:type="dxa"/>
        <w:jc w:val="left"/>
        <w:tblInd w:w="0" w:type="dxa"/>
        <w:tblLayout w:type="fixed"/>
        <w:tblCellMar>
          <w:top w:w="0" w:type="dxa"/>
          <w:left w:w="0" w:type="dxa"/>
          <w:bottom w:w="0" w:type="dxa"/>
          <w:right w:w="0" w:type="dxa"/>
        </w:tblCellMar>
      </w:tblPr>
      <w:tblGrid>
        <w:gridCol w:w="1175"/>
        <w:gridCol w:w="75"/>
      </w:tblGrid>
      <w:tr>
        <w:trPr/>
        <w:tc>
          <w:tcPr>
            <w:tcW w:w="117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(d)     Exhibits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95" w:type="dxa"/>
        <w:jc w:val="left"/>
        <w:tblInd w:w="0" w:type="dxa"/>
        <w:tblLayout w:type="fixed"/>
        <w:tblCellMar>
          <w:top w:w="0" w:type="dxa"/>
          <w:left w:w="0" w:type="dxa"/>
          <w:bottom w:w="28" w:type="dxa"/>
          <w:right w:w="0" w:type="dxa"/>
        </w:tblCellMar>
      </w:tblPr>
      <w:tblGrid>
        <w:gridCol w:w="665"/>
        <w:gridCol w:w="60"/>
        <w:gridCol w:w="5870"/>
      </w:tblGrid>
      <w:tr>
        <w:trPr/>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58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104 </w:t>
            </w:r>
          </w:p>
        </w:tc>
        <w:tc>
          <w:tcPr>
            <w:tcW w:w="60" w:type="dxa"/>
            <w:tcBorders/>
            <w:tcMar>
              <w:bottom w:w="0" w:type="dxa"/>
            </w:tcMar>
            <w:vAlign w:val="center"/>
          </w:tcPr>
          <w:p>
            <w:pPr>
              <w:pStyle w:val="TableContents"/>
              <w:bidi w:val="0"/>
              <w:spacing w:before="0" w:after="283"/>
              <w:jc w:val="left"/>
              <w:rPr/>
            </w:pPr>
            <w:r>
              <w:rPr/>
              <w:t> </w:t>
            </w:r>
          </w:p>
        </w:tc>
        <w:tc>
          <w:tcPr>
            <w:tcW w:w="58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as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6195" w:type="dxa"/>
        <w:jc w:val="left"/>
        <w:tblInd w:w="0" w:type="dxa"/>
        <w:tblLayout w:type="fixed"/>
        <w:tblCellMar>
          <w:top w:w="0" w:type="dxa"/>
          <w:left w:w="0" w:type="dxa"/>
          <w:bottom w:w="0" w:type="dxa"/>
          <w:right w:w="0" w:type="dxa"/>
        </w:tblCellMar>
      </w:tblPr>
      <w:tblGrid>
        <w:gridCol w:w="1700"/>
        <w:gridCol w:w="320"/>
        <w:gridCol w:w="4175"/>
      </w:tblGrid>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May 18, 2023 </w:t>
            </w:r>
          </w:p>
        </w:tc>
        <w:tc>
          <w:tcPr>
            <w:tcW w:w="44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IOVANCE BIOTHERAPEUTICS, INC.</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Frederick G. Vogt</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Frederick G. Vogt, Interim CEO &amp; General Counsel</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878</Words>
  <Characters>4866</Characters>
  <CharactersWithSpaces>5766</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