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9" w:lineRule="exact"/>
        <w:rPr>
          <w:rFonts w:ascii="MS PGothic" w:cs="MS PGothic" w:eastAsia="MS PGothic" w:hAnsi="MS PGothic"/>
          <w:sz w:val="18"/>
          <w:szCs w:val="18"/>
          <w:color w:val="auto"/>
        </w:rPr>
      </w:pPr>
    </w:p>
    <w:p>
      <w:pPr>
        <w:ind w:left="3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spacing w:after="0" w:line="1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 w:lineRule="exact"/>
        <w:rPr>
          <w:sz w:val="24"/>
          <w:szCs w:val="24"/>
          <w:color w:val="auto"/>
        </w:rPr>
      </w:pPr>
    </w:p>
    <w:p>
      <w:pPr>
        <w:ind w:left="3600"/>
        <w:spacing w:after="0"/>
        <w:tabs>
          <w:tab w:leader="none" w:pos="5940" w:val="left"/>
          <w:tab w:leader="none" w:pos="6260" w:val="left"/>
        </w:tabs>
        <w:rPr>
          <w:sz w:val="20"/>
          <w:szCs w:val="20"/>
          <w:color w:val="auto"/>
        </w:rPr>
      </w:pPr>
      <w:r>
        <w:rPr>
          <w:rFonts w:ascii="Times New Roman" w:cs="Times New Roman" w:eastAsia="Times New Roman" w:hAnsi="Times New Roman"/>
          <w:sz w:val="18"/>
          <w:szCs w:val="18"/>
          <w:color w:val="auto"/>
        </w:rPr>
        <w:t>For the transition period from</w:t>
        <w:tab/>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-20320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-20320</wp:posOffset>
            </wp:positionV>
            <wp:extent cx="85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Commission File Number 001-36860</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as specified in its charter)</w:t>
      </w:r>
    </w:p>
    <w:p>
      <w:pPr>
        <w:spacing w:after="0" w:line="120"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16"/>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825 Industrial Road, Suite 100, San Carlos, CA 94070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(650) 260-7120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ind w:right="1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41"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jc w:val="center"/>
        <w:ind w:left="1540" w:right="10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registered pursuant to Section 12(b) of the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$0.000041666</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3"/>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8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15, 2026, the issuer had 446,502,396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1062990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60" w:type="dxa"/>
            <w:vAlign w:val="bottom"/>
            <w:tcBorders>
              <w:top w:val="single" w:sz="8" w:color="CCEEFF"/>
            </w:tcBorders>
            <w:gridSpan w:val="1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400" w:type="dxa"/>
            <w:vAlign w:val="bottom"/>
            <w:gridSpan w:val="2"/>
            <w:shd w:val="clear" w:color="auto" w:fill="CCEEFF"/>
          </w:tcPr>
          <w:p>
            <w:pPr>
              <w:spacing w:after="0"/>
              <w:rPr>
                <w:sz w:val="15"/>
                <w:szCs w:val="15"/>
                <w:color w:val="auto"/>
              </w:rPr>
            </w:pPr>
          </w:p>
        </w:tc>
        <w:tc>
          <w:tcPr>
            <w:tcW w:w="84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6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Securities, Use of Proceeds, and Issuer Purchases of Equity Securities</w:t>
            </w:r>
          </w:p>
        </w:tc>
        <w:tc>
          <w:tcPr>
            <w:tcW w:w="1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Mine Safety Disclosure</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4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86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83"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enrollment, design, and timing of our clinical trials;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680" w:right="10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construct, and staff our own manufacturing facility on a timely basis and within the estimated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or U.S., and foreign countries;</w:t>
      </w:r>
    </w:p>
    <w:p>
      <w:pPr>
        <w:spacing w:after="0" w:line="9"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or the FDA, European Commission, or other regulatory authority approval of, or other action with respect to, our products and/or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execution and expected benefits of our restructuring plan announced in August 2025;</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80" w:right="2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of our product candidates and commercialization of our products;</w:t>
      </w:r>
    </w:p>
    <w:p>
      <w:pPr>
        <w:ind w:left="680" w:right="320" w:hanging="321"/>
        <w:spacing w:after="0" w:line="218"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and any other products and/or product candidates for which we obtain or have obtained FDA or other regulatory approvals, including by the European Commission in the European Union, or the EU;</w:t>
      </w:r>
    </w:p>
    <w:p>
      <w:pPr>
        <w:ind w:left="680" w:right="1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other research and development and strategic collaborations;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manufacturing methods and products and/or product candidates;</w:t>
      </w: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products and/or product candidates;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and/or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Actual results may differ from those set forth in this Quarterly Report on Form 10-Q due to the risks and uncertainties inherent in our business, including those provided in the foregoing list of forward-looking statements and also including, without limitation: the FDA may not agree with our interpretation of the results of our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9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spacing w:after="0" w:line="18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“Iovance,” the “Company,” “we,” “us,” and “our” refer to Iovance Biotherapeutics,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ind w:left="59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5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120" w:type="dxa"/>
            <w:vAlign w:val="bottom"/>
          </w:tcPr>
          <w:p>
            <w:pPr>
              <w:ind w:left="59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5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196,508</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81,758</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466,502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925,665</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37,450</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88,071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 payable - current</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129,420</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74,491</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203,911</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A Convertible Preferred stock, $0.001 par value; 17,000 shares designated, 194</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issued and outstanding as of March 31, 2026 and December 31, 2025</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Series B Convertible Preferred stock, $0.001 par value; 11,500,000 shares designated,</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1,932,667 shares issued and outstanding as of March 31, 2026 and December 31, 2025</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$0.000041666 par value; 500,000,000 shares authorized, 438,106,537</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411,938,061 shares issued and outstanding as of March 31, 2026 and</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3,563,659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3,457,654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(2,854,575)</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(2,775,530)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721,754</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925,665</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680" w:type="dxa"/>
            <w:vAlign w:val="bottom"/>
            <w:gridSpan w:val="2"/>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40" w:type="dxa"/>
            <w:vAlign w:val="bottom"/>
          </w:tcPr>
          <w:p>
            <w:pPr>
              <w:spacing w:after="0"/>
              <w:rPr>
                <w:sz w:val="18"/>
                <w:szCs w:val="18"/>
                <w:color w:val="auto"/>
              </w:rPr>
            </w:pPr>
          </w:p>
        </w:tc>
        <w:tc>
          <w:tcPr>
            <w:tcW w:w="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 *</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40" w:type="dxa"/>
            <w:vAlign w:val="bottom"/>
          </w:tcPr>
          <w:p>
            <w:pPr>
              <w:spacing w:after="0"/>
              <w:rPr>
                <w:sz w:val="18"/>
                <w:szCs w:val="18"/>
                <w:color w:val="auto"/>
              </w:rPr>
            </w:pPr>
          </w:p>
        </w:tc>
        <w:tc>
          <w:tcPr>
            <w:tcW w:w="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152,473</w:t>
            </w:r>
          </w:p>
        </w:tc>
        <w:tc>
          <w:tcPr>
            <w:tcW w:w="40" w:type="dxa"/>
            <w:vAlign w:val="bottom"/>
          </w:tcPr>
          <w:p>
            <w:pPr>
              <w:spacing w:after="0"/>
              <w:rPr>
                <w:sz w:val="18"/>
                <w:szCs w:val="18"/>
                <w:color w:val="auto"/>
              </w:rPr>
            </w:pPr>
          </w:p>
        </w:tc>
        <w:tc>
          <w:tcPr>
            <w:tcW w:w="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4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 Outstanding, Basic and Diluted</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418,511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Non-cash stock-based compensation included in cost of sales and 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Excludes depreciation and amortization</w:t>
      </w:r>
    </w:p>
    <w:p>
      <w:pPr>
        <w:spacing w:after="0" w:line="2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(116,163)</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r>
      <w:tr>
        <w:trPr>
          <w:trHeight w:val="210"/>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(108,823)</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information)</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4"/>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7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7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2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 December 31, 2025</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1,932,667</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411,938,061</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$3,457,654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(2,775,530)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698,583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w:t>
            </w: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Vesting of restricted shares</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2,212,594</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issued for services</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payments related to shares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8"/>
              </w:rPr>
              <w:t>retired for vested restricted stock</w:t>
            </w: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(962,952)</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sold in public</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6"/>
              </w:rPr>
              <w:t>and/or at the market offering, net</w:t>
            </w: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24,918,834</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offering costs</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cumulative</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adjustment</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(79,045)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CCEEFF"/>
              <w:bottom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Balance - March 31, 2026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1,932,667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438,106,537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3,563,659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(2,854,575)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 December 31, 2024</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48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2,842,158</w:t>
            </w:r>
          </w:p>
        </w:tc>
        <w:tc>
          <w:tcPr>
            <w:tcW w:w="440" w:type="dxa"/>
            <w:vAlign w:val="bottom"/>
            <w:gridSpan w:val="2"/>
            <w:shd w:val="clear" w:color="auto" w:fill="CCEE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305,252,194</w:t>
            </w:r>
          </w:p>
        </w:tc>
        <w:tc>
          <w:tcPr>
            <w:tcW w:w="4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$3,095,987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(2,384,552)</w:t>
            </w:r>
          </w:p>
        </w:tc>
        <w:tc>
          <w:tcPr>
            <w:tcW w:w="2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w:t>
            </w: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Vesting of restricted shares</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3,558,628</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issued for services</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payments related to shares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8"/>
              </w:rPr>
              <w:t>retired for vested restricted stock</w:t>
            </w: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(1,387,901)</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upon</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Common stock sold in public</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and/or at the market offerings,</w:t>
            </w: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25,599,389</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148,941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of offering costs</w:t>
            </w: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from</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(909,491)</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909,491</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conversion</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cumulative</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adjustment</w:t>
            </w:r>
          </w:p>
        </w:tc>
        <w:tc>
          <w:tcPr>
            <w:tcW w:w="12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CCEEFF"/>
              <w:bottom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Balance - March 31, 2025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1,932,667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333,934,387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3,262,270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6,294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(2,500,715)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767,865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6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7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(79,045)</w:t>
            </w:r>
          </w:p>
        </w:tc>
        <w:tc>
          <w:tcPr>
            <w:tcW w:w="820" w:type="dxa"/>
            <w:vAlign w:val="bottom"/>
            <w:gridSpan w:val="2"/>
          </w:tcPr>
          <w:p>
            <w:pPr>
              <w:jc w:val="right"/>
              <w:ind w:right="4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foreign exchange loss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right of use asset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Excess and obsolescence reserve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discounts and premiums on investments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asset disposals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other assets and long-term assets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accounts receivable</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(21,038)</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(72,074)</w:t>
            </w: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Maturities of investments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74,000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investments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(55,998)</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(6,608)</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11,394</w:t>
            </w: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payments related to shares withheld for vested restricted stock units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(4,179)</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common stock upon exercise of options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common stock, net</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98,514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94,335</w:t>
            </w: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Effect of foreign exchange rate changes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169,058</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122,053</w:t>
            </w:r>
          </w:p>
        </w:tc>
        <w:tc>
          <w:tcPr>
            <w:tcW w:w="0" w:type="dxa"/>
            <w:vAlign w:val="bottom"/>
          </w:tcPr>
          <w:p>
            <w:pPr>
              <w:spacing w:after="0"/>
              <w:rPr>
                <w:sz w:val="1"/>
                <w:szCs w:val="1"/>
                <w:color w:val="auto"/>
              </w:rPr>
            </w:pPr>
          </w:p>
        </w:tc>
      </w:tr>
      <w:tr>
        <w:trPr>
          <w:trHeight w:val="182"/>
        </w:trPr>
        <w:tc>
          <w:tcPr>
            <w:tcW w:w="6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202,500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178,049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unrealized loss on investments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 included in accounts payable and accrued expenses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Conversion of convertible preferred stock to common stock</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Increase / (decrease) in lease liabilities due to obtaining/(reduction in) right-of-use assets from lease</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modifications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BUSINESS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Organization and Business</w:t>
      </w:r>
    </w:p>
    <w:p>
      <w:pPr>
        <w:spacing w:after="0" w:line="189"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Iovance Biotherapeutics, Inc. (the “Company”) is a commercial-stage biopharmaceutical company pioneering a transformational approach to treating cancer. The Company’s mission is to be the global leader in innovating, developing, and delivering tumor infiltrating lymphocyte (“TIL”) cell therapies for patients with solid tumor cancers. TIL cell therapies harness the individual immune system’s ability to recognize and destroy cancer cells that are unique to each patient. These individualized therapies are manufactured using centralized, scalable, and proprietary manufacturing processes which rejuvenate and multiply each patient’s polyclonal T cells into the billions.</w:t>
      </w:r>
    </w:p>
    <w:p>
      <w:pPr>
        <w:spacing w:after="0" w:line="147"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The Company was founded to build upon the promise of TIL cell therapy initially developed at academic research centers, including the National Cancer Institute (“NCI”). The Company’s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w:t>
      </w:r>
    </w:p>
    <w:p>
      <w:pPr>
        <w:spacing w:after="0" w:line="145" w:lineRule="exact"/>
        <w:rPr>
          <w:sz w:val="20"/>
          <w:szCs w:val="20"/>
          <w:color w:val="auto"/>
        </w:rPr>
      </w:pPr>
    </w:p>
    <w:p>
      <w:pPr>
        <w:ind w:right="160" w:firstLine="492"/>
        <w:spacing w:after="0" w:line="229" w:lineRule="auto"/>
        <w:rPr>
          <w:sz w:val="20"/>
          <w:szCs w:val="20"/>
          <w:color w:val="auto"/>
        </w:rPr>
      </w:pPr>
      <w:r>
        <w:rPr>
          <w:rFonts w:ascii="Times New Roman" w:cs="Times New Roman" w:eastAsia="Times New Roman" w:hAnsi="Times New Roman"/>
          <w:sz w:val="18"/>
          <w:szCs w:val="18"/>
          <w:color w:val="auto"/>
        </w:rPr>
        <w:t>The Company’s two commercial products include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(“IL-2”) product used in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treatment regimen and in other applications.</w:t>
      </w:r>
    </w:p>
    <w:p>
      <w:pPr>
        <w:spacing w:after="0" w:line="37" w:lineRule="exact"/>
        <w:rPr>
          <w:sz w:val="20"/>
          <w:szCs w:val="20"/>
          <w:color w:val="auto"/>
        </w:rPr>
      </w:pPr>
    </w:p>
    <w:p>
      <w:pPr>
        <w:ind w:right="180" w:firstLine="492"/>
        <w:spacing w:after="0" w:line="210"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one-time, individualized T cell therapy for a solid tumor cancer and for the treatment of adult patients with previously treated advanced, or unresectable or metastatic melanoma, approved for use in the U.S. and Canada.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administered as part of a treatment regimen that includes lymphodepletion and a short course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firstLine="492"/>
        <w:spacing w:after="0" w:line="222" w:lineRule="auto"/>
        <w:rPr>
          <w:sz w:val="20"/>
          <w:szCs w:val="20"/>
          <w:color w:val="auto"/>
        </w:rPr>
      </w:pPr>
      <w:r>
        <w:rPr>
          <w:rFonts w:ascii="Times New Roman" w:cs="Times New Roman" w:eastAsia="Times New Roman" w:hAnsi="Times New Roman"/>
          <w:sz w:val="18"/>
          <w:szCs w:val="18"/>
          <w:color w:val="auto"/>
        </w:rPr>
        <w:t>Globally,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address tens of thousands of previously treated advanced melanoma patients annually. The Company plans to launch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additional markets with a high prevalence of advanced melanoma. Potential approvals are pending in Australia in the first half of 2026, and Switzerland in 2027. In the European Union (“EU”), the Company withdrew its initial marketing authorization application (“MAA”) in July 2025. The Company is working with the European Medicines Agency (“EMA”) to resubmit a centralized MAA in 2026. In the United Kingdom (“UK”), the Company withdrew its initial MAA in May 2026 and will resubmit the MAA with additional information for expedited review in 2026.</w:t>
      </w:r>
    </w:p>
    <w:p>
      <w:pPr>
        <w:spacing w:after="0" w:line="174"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The Company’s development pipeline consists of TIL cell therapies in additional solid tumor cancer indications as monotherapy or in combination with standard of care, as well as next generation approaches. The Company is conducting two ongoing registrational trials in frontline advanced melanoma and previously treated advanced non-small cell lung cancer (“NSCLC”). The Company has commenced a registrational trial in previously treated advanced undifferentiated pleomorphic sarcoma and dedifferentiated liposarcoma, and plans to engage with the FDA for an expedited path to accelerated approval.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Unaudited Condensed Consolidated Financial Information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have been prepared in accordance with accounting principles generally accepted in the U.S. (“GAAP”) for interim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information and pursuant to the requirements for reporting on Form 10-Q and Regulation S-X. Accordingly, they do not include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information and footnotes required by GAAP for audited financial statements. However, such information reflects all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solely of normal recurring adjustments), which are, in the opinion of management, necessary for the fair presentation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position and results of operations. Results shown for interim periods are not necessarily indicative of the results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expected for the year ended December 31, 2026 or for any other period. The condensed consolidated balance sheet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was derived from the audited consolidated financial statements included in the Company's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filed with the U.S. Securities and Exchange Commission (the “SEC”) on February 24, 2026. Beginning in the third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Company began separately presenting depreciation and amortization expense on the condensed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Certain prior period amounts reported in the Company’s condensed consolidated financial statements and accompanying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have been reclassified to conform to the current period’s presentation. These reclassifications did not have an impact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previously presented net results of operations, financial position, or cash flows.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ind w:right="60" w:firstLine="492"/>
        <w:spacing w:after="0" w:line="222" w:lineRule="auto"/>
        <w:rPr>
          <w:sz w:val="20"/>
          <w:szCs w:val="20"/>
          <w:color w:val="auto"/>
        </w:rPr>
      </w:pPr>
      <w:r>
        <w:rPr>
          <w:rFonts w:ascii="Times New Roman" w:cs="Times New Roman" w:eastAsia="Times New Roman" w:hAnsi="Times New Roman"/>
          <w:sz w:val="18"/>
          <w:szCs w:val="18"/>
          <w:color w:val="auto"/>
        </w:rPr>
        <w:t>As of March 31, 2026, the Company had $319.4 million in cash, cash equivalents, short-term investments, and restricted cash ($196.5 million of cash and cash equivalents, $116.9 million in short-term investments, and $6.0 million in restricted cash). The Company has launched its first internally developed commercial product and continues to be engaged in the development of therapeutics to fight cancer, specifically solid tumors. With the approval of the Biologics License Application (“BLA”), the Company began to generate revenue from the sale of its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2024. Furthermore, following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discussed below in Note 4 -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in 2023, the Company began to generate revenue from the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However, such revenues may not be material enough to generate positive operational cash flows during the 12 months from the date the condensed consolidated financial statements are issued and this Form 10-Q is filed. The Company has incurred a net loss of $79.0 million for the three months ended March 31, 2026, and used $72.1 million of cash in its operating activities during the three months ended March 31, 2026.</w:t>
      </w:r>
    </w:p>
    <w:p>
      <w:pPr>
        <w:spacing w:after="0" w:line="171" w:lineRule="exact"/>
        <w:rPr>
          <w:sz w:val="20"/>
          <w:szCs w:val="20"/>
          <w:color w:val="auto"/>
        </w:rPr>
      </w:pPr>
    </w:p>
    <w:p>
      <w:pPr>
        <w:ind w:right="80" w:firstLine="492"/>
        <w:spacing w:after="0" w:line="237" w:lineRule="auto"/>
        <w:rPr>
          <w:sz w:val="20"/>
          <w:szCs w:val="20"/>
          <w:color w:val="auto"/>
        </w:rPr>
      </w:pPr>
      <w:r>
        <w:rPr>
          <w:rFonts w:ascii="Times New Roman" w:cs="Times New Roman" w:eastAsia="Times New Roman" w:hAnsi="Times New Roman"/>
          <w:sz w:val="18"/>
          <w:szCs w:val="18"/>
          <w:color w:val="auto"/>
        </w:rPr>
        <w:t>The Company expects to continue to incur significant expenses to support commercial activities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fund ongoing clinical programs, including its NSCLC registrational study, IOV-LUN-202, and its frontline advanced melanoma Phase 3 confirmatory trial, TILVANCE-301, continue the development of its pipeline candidates, and for other general corporate purposes. Based on the funds the Company has available as of the date these condensed consolidated financial statements are issued, the Company believes that it has sufficient capital to fund its anticipated operating expenses and capital expenditures as planned for at least the next twelve months from the date these condensed consolidated financial statements are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8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179" w:lineRule="exact"/>
        <w:rPr>
          <w:sz w:val="20"/>
          <w:szCs w:val="20"/>
          <w:color w:val="auto"/>
        </w:rPr>
      </w:pPr>
    </w:p>
    <w:p>
      <w:pPr>
        <w:ind w:right="4480"/>
        <w:spacing w:after="0" w:line="46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2. SUMMARY OF SIGNIFICANT ACCOUNTING POLICIES </w:t>
      </w:r>
      <w:r>
        <w:rPr>
          <w:rFonts w:ascii="Times New Roman" w:cs="Times New Roman" w:eastAsia="Times New Roman" w:hAnsi="Times New Roman"/>
          <w:sz w:val="18"/>
          <w:szCs w:val="18"/>
          <w:b w:val="1"/>
          <w:bCs w:val="1"/>
          <w:i w:val="1"/>
          <w:iCs w:val="1"/>
          <w:color w:val="auto"/>
        </w:rPr>
        <w:t>Cash, Cash Equivalents, and Investments</w:t>
      </w:r>
    </w:p>
    <w:p>
      <w:pPr>
        <w:ind w:right="140" w:firstLine="492"/>
        <w:spacing w:after="0" w:line="252" w:lineRule="auto"/>
        <w:rPr>
          <w:sz w:val="20"/>
          <w:szCs w:val="20"/>
          <w:color w:val="auto"/>
        </w:rPr>
      </w:pPr>
      <w:r>
        <w:rPr>
          <w:rFonts w:ascii="Times New Roman" w:cs="Times New Roman" w:eastAsia="Times New Roman" w:hAnsi="Times New Roman"/>
          <w:sz w:val="18"/>
          <w:szCs w:val="18"/>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and other income, net. No impairment losses related to credit losses were recognized for the three months ended March 31, 2026, and 2025. The cost of debt securities is adjusted for the amortization of premiums and accretion of discounts to maturity. Such amortization and accretion are included in Interest and other income, net in the condensed consolidated statements of operations. Gains and losses on securities sold are recorded based on the specific identification method and are included in Interest and other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restricted cash totaled $6.0 million and $6.0 million, respectively. These amounts have been classified as either current or non-current assets in the Company’s condensed consolidated balance sheet based on the maturity date of the underlying letter of credit agreement.</w:t>
      </w:r>
    </w:p>
    <w:p>
      <w:pPr>
        <w:spacing w:after="0" w:line="149"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 xml:space="preserve">The Company maintains a required minimum balance in segregated bank accounts in connection with its letters of credit for which amounts are restricted as to their use by the Company. As of March 31, 2026, the Company’s letters of credit were primarily comprised of a letter of credit for the benefit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used as a security deposit for the lease in the amount of $5.45 million. The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headquarters lease expires on February 1, 2032, however, it will be automatically extended, without written agreement, for one-year periods to February in each succeeding calendar year.</w:t>
      </w:r>
    </w:p>
    <w:p>
      <w:pPr>
        <w:spacing w:after="0" w:line="147"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ind w:left="70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171,668</w:t>
            </w: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09"/>
        </w:trPr>
        <w:tc>
          <w:tcPr>
            <w:tcW w:w="7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202,500</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178,049</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29" w:lineRule="exact"/>
        <w:rPr>
          <w:sz w:val="20"/>
          <w:szCs w:val="20"/>
          <w:color w:val="auto"/>
        </w:rPr>
      </w:pPr>
    </w:p>
    <w:p>
      <w:pPr>
        <w:ind w:right="140" w:firstLine="492"/>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using the guidance in Accounting Standard Codification (“ASC”) Topic 805,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(“ASC 805”), to determine whether the transaction should be accounted for as a business combination or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w:t>
      </w:r>
    </w:p>
    <w:p>
      <w:pPr>
        <w:spacing w:after="0" w:line="147" w:lineRule="exact"/>
        <w:rPr>
          <w:sz w:val="20"/>
          <w:szCs w:val="20"/>
          <w:color w:val="auto"/>
        </w:rPr>
      </w:pPr>
    </w:p>
    <w:p>
      <w:pPr>
        <w:ind w:right="200" w:firstLine="492"/>
        <w:spacing w:after="0" w:line="281" w:lineRule="auto"/>
        <w:rPr>
          <w:sz w:val="20"/>
          <w:szCs w:val="20"/>
          <w:color w:val="auto"/>
        </w:rPr>
      </w:pPr>
      <w:r>
        <w:rPr>
          <w:rFonts w:ascii="Times New Roman" w:cs="Times New Roman" w:eastAsia="Times New Roman" w:hAnsi="Times New Roman"/>
          <w:sz w:val="17"/>
          <w:szCs w:val="17"/>
          <w:color w:val="auto"/>
        </w:rPr>
        <w:t>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24" w:lineRule="exact"/>
        <w:rPr>
          <w:sz w:val="20"/>
          <w:szCs w:val="20"/>
          <w:color w:val="auto"/>
        </w:rPr>
      </w:pPr>
    </w:p>
    <w:p>
      <w:pPr>
        <w:ind w:right="160" w:firstLine="492"/>
        <w:spacing w:after="0" w:line="266" w:lineRule="auto"/>
        <w:rPr>
          <w:sz w:val="20"/>
          <w:szCs w:val="20"/>
          <w:color w:val="auto"/>
        </w:rPr>
      </w:pPr>
      <w:r>
        <w:rPr>
          <w:rFonts w:ascii="Times New Roman" w:cs="Times New Roman" w:eastAsia="Times New Roman" w:hAnsi="Times New Roman"/>
          <w:sz w:val="18"/>
          <w:szCs w:val="18"/>
          <w:color w:val="auto"/>
        </w:rPr>
        <w:t xml:space="preserve">Deferred tax liabilities arising from basis differences in assets acquired are calculated using the simultaneous equations method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and based on the effective tax rate. The resulting deferred tax liability is recorded in the condensed consolidated balance sheet as of March 31, 2026 and December 31, 2025.</w:t>
      </w:r>
    </w:p>
    <w:p>
      <w:pPr>
        <w:spacing w:after="0" w:line="147" w:lineRule="exact"/>
        <w:rPr>
          <w:sz w:val="20"/>
          <w:szCs w:val="20"/>
          <w:color w:val="auto"/>
        </w:rPr>
      </w:pPr>
    </w:p>
    <w:p>
      <w:pPr>
        <w:ind w:right="120" w:firstLine="492"/>
        <w:spacing w:after="0" w:line="267" w:lineRule="auto"/>
        <w:rPr>
          <w:sz w:val="20"/>
          <w:szCs w:val="20"/>
          <w:color w:val="auto"/>
        </w:rPr>
      </w:pPr>
      <w:r>
        <w:rPr>
          <w:rFonts w:ascii="Times New Roman" w:cs="Times New Roman" w:eastAsia="Times New Roman" w:hAnsi="Times New Roman"/>
          <w:sz w:val="18"/>
          <w:szCs w:val="18"/>
          <w:color w:val="auto"/>
        </w:rPr>
        <w:t xml:space="preserve">Contingent consideration 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is included in the cost of the asset acquisition at its acquisition date fair value. Contingent consideration in the scope of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(“ASC 450”), is recognized when it is both probable and reasonably estimable.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Sales</w:t>
      </w:r>
    </w:p>
    <w:p>
      <w:pPr>
        <w:spacing w:after="0" w:line="229"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Cost includes amounts related to materials, internal labor, costs of external manufacturing, and overhead. Net realizable value is the estimated selling price in the ordinary course of business less reasonably predictable costs of completion, disposal and transportation. Inventoriable costs incurred, such as manufacturing costs incurred prior to regulatory approval that did not qualify for capitalization and clinical manufacturing costs, are expensed as incurred as research and development expenses.</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Upon the February 2024 approval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 began capitalizing inventory and manufacturing costs for the</w:t>
      </w:r>
    </w:p>
    <w:p>
      <w:pPr>
        <w:ind w:right="60"/>
        <w:spacing w:after="0" w:line="233" w:lineRule="auto"/>
        <w:rPr>
          <w:sz w:val="20"/>
          <w:szCs w:val="20"/>
          <w:color w:val="auto"/>
        </w:rPr>
      </w:pPr>
      <w:r>
        <w:rPr>
          <w:rFonts w:ascii="Times New Roman" w:cs="Times New Roman" w:eastAsia="Times New Roman" w:hAnsi="Times New Roman"/>
          <w:sz w:val="17"/>
          <w:szCs w:val="17"/>
          <w:color w:val="auto"/>
        </w:rPr>
        <w:t>commercial manufacturing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Additionally, inventory that initially qualifies for capitalization but that may ultimately be used for the production of clinical drug product or utilized in research and development programs is expensed as research and development expense when it has been designated for the manufacture of clinical drug product or use in research and development activities.</w:t>
      </w:r>
    </w:p>
    <w:p>
      <w:pPr>
        <w:spacing w:after="0" w:line="172" w:lineRule="exact"/>
        <w:rPr>
          <w:sz w:val="20"/>
          <w:szCs w:val="20"/>
          <w:color w:val="auto"/>
        </w:rPr>
      </w:pPr>
    </w:p>
    <w:p>
      <w:pPr>
        <w:ind w:right="260" w:firstLine="492"/>
        <w:spacing w:after="0" w:line="312" w:lineRule="auto"/>
        <w:rPr>
          <w:sz w:val="20"/>
          <w:szCs w:val="20"/>
          <w:color w:val="auto"/>
        </w:rPr>
      </w:pPr>
      <w:r>
        <w:rPr>
          <w:rFonts w:ascii="Times New Roman" w:cs="Times New Roman" w:eastAsia="Times New Roman" w:hAnsi="Times New Roman"/>
          <w:sz w:val="17"/>
          <w:szCs w:val="17"/>
          <w:color w:val="auto"/>
        </w:rPr>
        <w:t>The Company periodically reviews inventory for excess and obsolescence, considering factors such as its most recent sales and manufacturing forecast compared to quantities on hand and the expiration date of the product and materials. The Company adjusts its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inventory that is obsolete or otherwise unmarketable to its estimated net realizable value in the period in which the impairment is first identified. Any such adjustments are included as a component of cost of sales within the Company’s condensed consolidated statements of operations.</w:t>
      </w:r>
    </w:p>
    <w:p>
      <w:pPr>
        <w:spacing w:after="0" w:line="127" w:lineRule="exact"/>
        <w:rPr>
          <w:sz w:val="20"/>
          <w:szCs w:val="20"/>
          <w:color w:val="auto"/>
        </w:rPr>
      </w:pPr>
    </w:p>
    <w:p>
      <w:pPr>
        <w:ind w:right="120" w:firstLine="492"/>
        <w:spacing w:after="0" w:line="201" w:lineRule="auto"/>
        <w:rPr>
          <w:sz w:val="20"/>
          <w:szCs w:val="20"/>
          <w:color w:val="auto"/>
        </w:rPr>
      </w:pPr>
      <w:r>
        <w:rPr>
          <w:rFonts w:ascii="Times New Roman" w:cs="Times New Roman" w:eastAsia="Times New Roman" w:hAnsi="Times New Roman"/>
          <w:sz w:val="18"/>
          <w:szCs w:val="18"/>
          <w:color w:val="auto"/>
        </w:rPr>
        <w:t>Cost of sales includes inventory and period costs related to overhead and manufacturing costs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the cost of inventories and other costs that are directly associated with the purchase and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cost of sales in the Company’s condensed consolidated statements of operations includes royalties payable on sales of its products.</w:t>
      </w:r>
    </w:p>
    <w:p>
      <w:pPr>
        <w:spacing w:after="0" w:line="163" w:lineRule="exact"/>
        <w:rPr>
          <w:sz w:val="20"/>
          <w:szCs w:val="20"/>
          <w:color w:val="auto"/>
        </w:rPr>
      </w:pPr>
    </w:p>
    <w:p>
      <w:pPr>
        <w:ind w:right="120" w:firstLine="492"/>
        <w:spacing w:after="0" w:line="232" w:lineRule="auto"/>
        <w:rPr>
          <w:sz w:val="20"/>
          <w:szCs w:val="20"/>
          <w:color w:val="auto"/>
        </w:rPr>
      </w:pPr>
      <w:r>
        <w:rPr>
          <w:rFonts w:ascii="Times New Roman" w:cs="Times New Roman" w:eastAsia="Times New Roman" w:hAnsi="Times New Roman"/>
          <w:sz w:val="18"/>
          <w:szCs w:val="18"/>
          <w:color w:val="auto"/>
        </w:rPr>
        <w:t>During the Company’s commercial manufacturing process, certain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may become out-of-specification, meaning they fall outside commercial specifications. This out-of-specification product can still be utilized by patients in a clinical trial, an expanded or early access program, or single-patient investigational new drug, at which point the costs associated with these batches are classified as research and development expense based on the fact that the Company receives clinical data related to these infusions.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189"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credit losses is not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right="40" w:firstLine="492"/>
        <w:spacing w:after="0" w:line="261" w:lineRule="auto"/>
        <w:rPr>
          <w:sz w:val="20"/>
          <w:szCs w:val="20"/>
          <w:color w:val="auto"/>
        </w:rPr>
      </w:pPr>
      <w:r>
        <w:rPr>
          <w:rFonts w:ascii="Times New Roman" w:cs="Times New Roman" w:eastAsia="Times New Roman" w:hAnsi="Times New Roman"/>
          <w:sz w:val="18"/>
          <w:szCs w:val="18"/>
          <w:color w:val="auto"/>
        </w:rPr>
        <w:t>The Company’s acquired intangible assets are initially measured based on an allocation of the cost of the acquisition to the assets acquired on a relative fair value basis and are recorded net of accumulated amortization, while intangible assets recorded as the result of milestone or license payments are recorded at the amount paid. The Company amortizes the intangible assets on a straight-line basis over their estimated useful lives.</w:t>
      </w:r>
    </w:p>
    <w:p>
      <w:pPr>
        <w:spacing w:after="0" w:line="153" w:lineRule="exact"/>
        <w:rPr>
          <w:sz w:val="20"/>
          <w:szCs w:val="20"/>
          <w:color w:val="auto"/>
        </w:rPr>
      </w:pPr>
    </w:p>
    <w:p>
      <w:pPr>
        <w:ind w:right="260" w:firstLine="492"/>
        <w:spacing w:after="0" w:line="261"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w:t>
      </w:r>
    </w:p>
    <w:p>
      <w:pPr>
        <w:spacing w:after="0" w:line="139" w:lineRule="exact"/>
        <w:rPr>
          <w:sz w:val="20"/>
          <w:szCs w:val="20"/>
          <w:color w:val="auto"/>
        </w:rPr>
      </w:pPr>
    </w:p>
    <w:p>
      <w:pPr>
        <w:ind w:right="220" w:firstLine="492"/>
        <w:spacing w:after="0" w:line="256" w:lineRule="auto"/>
        <w:rPr>
          <w:sz w:val="20"/>
          <w:szCs w:val="20"/>
          <w:color w:val="auto"/>
        </w:rPr>
      </w:pPr>
      <w:r>
        <w:rPr>
          <w:rFonts w:ascii="Times New Roman" w:cs="Times New Roman" w:eastAsia="Times New Roman" w:hAnsi="Times New Roman"/>
          <w:sz w:val="18"/>
          <w:szCs w:val="18"/>
          <w:color w:val="auto"/>
        </w:rPr>
        <w:t>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March 31, 2026 or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March 31, 2026 and December 31, 2025.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48"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92"/>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by the Company that include lease and non-lease components, such components are generally accounted for separately.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from product sales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w:t>
      </w:r>
    </w:p>
    <w:p>
      <w:pPr>
        <w:spacing w:after="0" w:line="158" w:lineRule="exact"/>
        <w:rPr>
          <w:sz w:val="20"/>
          <w:szCs w:val="20"/>
          <w:color w:val="auto"/>
        </w:rPr>
      </w:pPr>
    </w:p>
    <w:p>
      <w:pPr>
        <w:ind w:firstLine="492"/>
        <w:spacing w:after="0" w:line="238"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 is recognized upon infusion while for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transfer of control occurs either upon shipment or upon receipt of the product after considering when the customer obtains legal title to the product. Revenue is measured as the amount of consideration the Company expects to receive in exchange for transferring its products and is generally based on a list of fixed prices less allowances for chargebacks, product returns, rebates and discounts. The Company’s payment terms to customers range from 45 to 105 days; payment terms differ by customer and by product.</w:t>
      </w:r>
    </w:p>
    <w:p>
      <w:pPr>
        <w:spacing w:after="0" w:line="159"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product returns, discounts, rebates, and sales allowances, collectively referred to as gross to net adjustments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47"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49"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the Company’s products, primarily in Europe, are excluded from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80" w:firstLine="492"/>
        <w:spacing w:after="0" w:line="254" w:lineRule="auto"/>
        <w:rPr>
          <w:sz w:val="20"/>
          <w:szCs w:val="20"/>
          <w:color w:val="auto"/>
        </w:rPr>
      </w:pPr>
      <w:r>
        <w:rPr>
          <w:rFonts w:ascii="Times New Roman" w:cs="Times New Roman" w:eastAsia="Times New Roman" w:hAnsi="Times New Roman"/>
          <w:sz w:val="18"/>
          <w:szCs w:val="18"/>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65"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39"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02" w:lineRule="exact"/>
        <w:rPr>
          <w:sz w:val="20"/>
          <w:szCs w:val="20"/>
          <w:color w:val="auto"/>
        </w:rPr>
      </w:pPr>
    </w:p>
    <w:p>
      <w:pPr>
        <w:ind w:right="180" w:firstLine="492"/>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spacing w:after="0" w:line="136"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Included in the Company’s clinical development costs are investigator costs, which are costs associated with treatments administered at clinical sites as required under each clinical trial protocol. The Company’s determination of clinical investigator costs and related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procedures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57" w:lineRule="exact"/>
        <w:rPr>
          <w:sz w:val="20"/>
          <w:szCs w:val="20"/>
          <w:color w:val="auto"/>
        </w:rPr>
      </w:pPr>
    </w:p>
    <w:p>
      <w:pPr>
        <w:ind w:right="380" w:firstLine="492"/>
        <w:spacing w:after="0" w:line="258" w:lineRule="auto"/>
        <w:rPr>
          <w:sz w:val="20"/>
          <w:szCs w:val="20"/>
          <w:color w:val="auto"/>
        </w:rPr>
      </w:pPr>
      <w:r>
        <w:rPr>
          <w:rFonts w:ascii="Times New Roman" w:cs="Times New Roman" w:eastAsia="Times New Roman" w:hAnsi="Times New Roman"/>
          <w:sz w:val="18"/>
          <w:szCs w:val="18"/>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right="280" w:firstLine="49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capitalized in inventory or included in research and development expenses.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8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440" w:firstLine="492"/>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w:t>
      </w:r>
    </w:p>
    <w:p>
      <w:pPr>
        <w:spacing w:after="0" w:line="135"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purchases through the 2020 Employee Stock Purchase Plan (the “2020 ESPP”), (iii) vesting of restricted stock units, and (iv) conversion of preferred stock, are only included in the calculation of diluted net loss per share when their effect is dilutive.</w:t>
      </w:r>
    </w:p>
    <w:p>
      <w:pPr>
        <w:spacing w:after="0" w:line="143"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As of March 31, 2026 and 2025, the following outstanding common stock equivalents have been excluded from the calculation of net loss per share because their impact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vMerge w:val="restart"/>
          </w:tcPr>
          <w:p>
            <w:pPr>
              <w:ind w:left="674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Borders>
              <w:bottom w:val="single" w:sz="8" w:color="auto"/>
            </w:tcBorders>
            <w:gridSpan w:val="3"/>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13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17,713,664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18,798,667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13,932,884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12,160,195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449,572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367,096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1,932,667</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1,932,667</w:t>
            </w:r>
          </w:p>
        </w:tc>
        <w:tc>
          <w:tcPr>
            <w:tcW w:w="0" w:type="dxa"/>
            <w:vAlign w:val="bottom"/>
          </w:tcPr>
          <w:p>
            <w:pPr>
              <w:spacing w:after="0"/>
              <w:rPr>
                <w:sz w:val="1"/>
                <w:szCs w:val="1"/>
                <w:color w:val="auto"/>
              </w:rPr>
            </w:pPr>
          </w:p>
        </w:tc>
      </w:tr>
      <w:tr>
        <w:trPr>
          <w:trHeight w:val="228"/>
        </w:trPr>
        <w:tc>
          <w:tcPr>
            <w:tcW w:w="6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34,125,787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-10795</wp:posOffset>
            </wp:positionV>
            <wp:extent cx="1868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i w:val="1"/>
          <w:iCs w:val="1"/>
          <w:color w:val="auto"/>
        </w:rPr>
        <w:t>* on an as-converted basis. (See Note 10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-126365</wp:posOffset>
            </wp:positionV>
            <wp:extent cx="1868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7"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Iovance Biotherapeutics, Inc. and its wholly-owned subsidiaries, Iovance Biotherapeutics Manufacturing LLC, Iovance Biotherapeutics GmbH, Iovance Biotherapeutics B.V., Iovance Biotherapeutics UK Ltd, Iovance Biotherapeutics UK SP Ltd, Iovance Biotherapeutics Canada, Inc., and Iovance Australia Pty Ltd. All intercompany accounts and transactions have been eliminated.</w:t>
      </w:r>
    </w:p>
    <w:p>
      <w:pPr>
        <w:spacing w:after="0" w:line="139"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2025, the Company began separately presenting depreciation and amortization expense on the consolidated statement of operations. Certain prior period amounts reported in the Company’s consolidated financial statements and accompanying notes have been reclassified to conform to the current period’s presentation. These reclassifications did not have an impact on the Company’s previously presented net results of operations, financial position,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02"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are presented in U.S. dollars, which is the Company’s reporting currency. 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loss in the condensed consolidated balance sheets. The subsidiaries’ net loss is translated into U.S. dollars by using the average exchange rate for the applicable period.</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focused on innovating, developing and commercializing therapies using autologous TIL for patients with solid tumor cancers. See Note 11 – Segment Information for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 captions into 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The Company is currently evaluating the impact of adopting ASU 2024-03.</w:t>
      </w:r>
    </w:p>
    <w:p>
      <w:pPr>
        <w:spacing w:after="0" w:line="151"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amends ASC 326 and provides a practical expedient to assume that current conditions as of the balance sheet date will persist through a reasonable and supportable forecast period when estimating credit losses for current accounts receivable and current contract assets. Entities will still be required to adjust historical data used in the estimation to reflect current conditions. ASU 2025-05 is effective for all entities for annual reporting periods beginning after December 15, 2025, and interim periods within those annual reporting periods. The Company adopted ASU 2025-05 during the quarter ended March 31, 2026, and the adoption did not have a material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CASH EQUIVALENTS AND INVESTMENTS</w:t>
      </w:r>
    </w:p>
    <w:p>
      <w:pPr>
        <w:spacing w:after="0" w:line="189" w:lineRule="exact"/>
        <w:rPr>
          <w:sz w:val="20"/>
          <w:szCs w:val="20"/>
          <w:color w:val="auto"/>
        </w:rPr>
      </w:pPr>
    </w:p>
    <w:p>
      <w:pPr>
        <w:ind w:right="440" w:firstLine="492"/>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cash equivalents and investments as of March 31, 2026 and December 31, 2025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continue"/>
          </w:tcPr>
          <w:p>
            <w:pPr>
              <w:spacing w:after="0"/>
              <w:rPr>
                <w:sz w:val="12"/>
                <w:szCs w:val="12"/>
                <w:color w:val="auto"/>
              </w:rPr>
            </w:pP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gridSpan w:val="2"/>
            <w:vMerge w:val="continue"/>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gridSpan w:val="2"/>
            <w:vMerge w:val="continue"/>
          </w:tcPr>
          <w:p>
            <w:pPr>
              <w:spacing w:after="0"/>
              <w:rPr>
                <w:sz w:val="15"/>
                <w:szCs w:val="15"/>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133,885</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62,143</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196,051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continue"/>
          </w:tcPr>
          <w:p>
            <w:pPr>
              <w:spacing w:after="0"/>
              <w:rPr>
                <w:sz w:val="12"/>
                <w:szCs w:val="12"/>
                <w:color w:val="auto"/>
              </w:rPr>
            </w:pP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gridSpan w:val="2"/>
            <w:vMerge w:val="continue"/>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gridSpan w:val="2"/>
            <w:vMerge w:val="continue"/>
          </w:tcPr>
          <w:p>
            <w:pPr>
              <w:spacing w:after="0"/>
              <w:rPr>
                <w:sz w:val="15"/>
                <w:szCs w:val="15"/>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133,839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133,902</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194,307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cash equivalents and investments as of March 31, 2026 and December 31, 2025, are classified as follows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balance sheets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as:</w:t>
            </w: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474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Cash equivalents in the tables above exclude cash demand deposits of $117.4 million and $102.6 million as of March 31, 2026 and December 31, 2025, respectively. Unrealized gains and losses are included in accumulated other comprehensive loss, and as of March 31, 2026 and December 31, 2025, no unrealized losses on available-for-sale securities have resulted from credit risk. All available-for-sale securities held as of March 31, 2026 and December 31, 2025 had contractual maturities of less than one year. No</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securities held as of the periods presented have been in a continuous unrealized loss position for more than 12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recorded any impairment charges on its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9"/>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Assets at Fair Value as of March 31, 2026</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3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40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133,885</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133,885</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62,143</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62,143</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196,028</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2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0"/>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3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40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133,902</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133,902</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60,468</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194,370</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PROLEUKIN</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ACQUISITION</w:t>
      </w:r>
    </w:p>
    <w:p>
      <w:pPr>
        <w:spacing w:after="0" w:line="114" w:lineRule="exact"/>
        <w:rPr>
          <w:sz w:val="20"/>
          <w:szCs w:val="20"/>
          <w:color w:val="auto"/>
        </w:rPr>
      </w:pPr>
    </w:p>
    <w:p>
      <w:pPr>
        <w:ind w:firstLine="492"/>
        <w:spacing w:after="0" w:line="265" w:lineRule="auto"/>
        <w:rPr>
          <w:sz w:val="20"/>
          <w:szCs w:val="20"/>
          <w:color w:val="auto"/>
        </w:rPr>
      </w:pPr>
      <w:r>
        <w:rPr>
          <w:rFonts w:ascii="Times New Roman" w:cs="Times New Roman" w:eastAsia="Times New Roman" w:hAnsi="Times New Roman"/>
          <w:sz w:val="18"/>
          <w:szCs w:val="18"/>
          <w:color w:val="auto"/>
        </w:rPr>
        <w:t>On January 23, 2023, the Company and its newly formed wholly owned subsidiary, Iovance Biotherapeutics UK Ltd (the “Purchaser”) entered into an Option Agreement (the “Option Agreement”) with Clinigen Holdings Limited, Clinigen Healthcare Limited, and Clinigen, Inc. (collectively, “Clinigen”), a global pharmaceutical services company, pursuant to which the Purchaser would acquire the worldwide rights for the manufacturing, supply, commercialization and sale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(the “Acquisition”).</w:t>
      </w:r>
    </w:p>
    <w:p>
      <w:pPr>
        <w:spacing w:after="0" w:line="64" w:lineRule="exact"/>
        <w:rPr>
          <w:sz w:val="20"/>
          <w:szCs w:val="20"/>
          <w:color w:val="auto"/>
        </w:rPr>
      </w:pPr>
    </w:p>
    <w:p>
      <w:pPr>
        <w:ind w:right="140" w:firstLine="492"/>
        <w:spacing w:after="0" w:line="238" w:lineRule="auto"/>
        <w:rPr>
          <w:sz w:val="20"/>
          <w:szCs w:val="20"/>
          <w:color w:val="auto"/>
        </w:rPr>
      </w:pPr>
      <w:r>
        <w:rPr>
          <w:rFonts w:ascii="Times New Roman" w:cs="Times New Roman" w:eastAsia="Times New Roman" w:hAnsi="Times New Roman"/>
          <w:sz w:val="18"/>
          <w:szCs w:val="18"/>
          <w:color w:val="auto"/>
        </w:rPr>
        <w:t>On May 18, 2023, the Company completed the Acquisition and specifically acquired (i) all issued and outstanding shares of Clinigen SP Limited (the “Target”), (ii) the business of the Target and Clinigen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comprising the manufacturing, supply, commercialization and the generation of income from the Product rights and the undertaking of an active role in the development, maintenance and exploitation of those rights, and (iii) certain specified assets identified in the Option Agreement. Pursuant to the Option Agreement, the Company paid to Clinigen (i) an upfront payment of £166.9 million (or approximately $207.2 million), including the applicable stamp-tax payment, and (ii) a payment for certain inventory of £2.4 million (or approximately $3.0 million) using existing cash on hand. The Option Agreement includes potential future contingent payments, as discussed below.</w:t>
      </w:r>
    </w:p>
    <w:p>
      <w:pPr>
        <w:spacing w:after="0" w:line="200" w:lineRule="exact"/>
        <w:rPr>
          <w:sz w:val="20"/>
          <w:szCs w:val="20"/>
          <w:color w:val="auto"/>
        </w:rPr>
      </w:pPr>
    </w:p>
    <w:p>
      <w:pPr>
        <w:ind w:right="120" w:firstLine="492"/>
        <w:spacing w:after="0" w:line="209" w:lineRule="auto"/>
        <w:rPr>
          <w:sz w:val="20"/>
          <w:szCs w:val="20"/>
          <w:color w:val="auto"/>
        </w:rPr>
      </w:pPr>
      <w:r>
        <w:rPr>
          <w:rFonts w:ascii="Times New Roman" w:cs="Times New Roman" w:eastAsia="Times New Roman" w:hAnsi="Times New Roman"/>
          <w:sz w:val="18"/>
          <w:szCs w:val="18"/>
          <w:color w:val="auto"/>
        </w:rPr>
        <w:t>The Acquisition was accounted for as an asset acquisition because substantially all of the fair value of the acquired assets was concentrated in the acquired developed technology related to the intellectual property rights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therefore the Acquisition does not meet the definition of a business in accordance with ASC 805.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Business operations have been included in the Company’s condensed consolidated financial statements commencing from the acquisition date.</w:t>
      </w:r>
    </w:p>
    <w:p>
      <w:pPr>
        <w:spacing w:after="0" w:line="1" w:lineRule="exact"/>
        <w:rPr>
          <w:sz w:val="20"/>
          <w:szCs w:val="20"/>
          <w:color w:val="auto"/>
        </w:rPr>
      </w:pPr>
    </w:p>
    <w:p>
      <w:pPr>
        <w:ind w:right="480" w:firstLine="492"/>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total cash consideration and allocated acquisition date fair values of assets acquired and liabilities assumed at the time of the acquisition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9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40" w:type="dxa"/>
            <w:vAlign w:val="bottom"/>
            <w:shd w:val="clear" w:color="auto" w:fill="CCEEFF"/>
          </w:tcPr>
          <w:p>
            <w:pPr>
              <w:spacing w:after="0"/>
              <w:rPr>
                <w:sz w:val="18"/>
                <w:szCs w:val="18"/>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232,665</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Assembled workforce</w:t>
            </w:r>
          </w:p>
        </w:tc>
        <w:tc>
          <w:tcPr>
            <w:tcW w:w="9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9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w:t>
            </w:r>
          </w:p>
        </w:tc>
      </w:tr>
      <w:tr>
        <w:trPr>
          <w:trHeight w:val="20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Acquisition</w:t>
            </w:r>
          </w:p>
        </w:tc>
        <w:tc>
          <w:tcPr>
            <w:tcW w:w="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222,672</w:t>
            </w:r>
          </w:p>
        </w:tc>
      </w:tr>
      <w:tr>
        <w:trPr>
          <w:trHeight w:val="20"/>
        </w:trPr>
        <w:tc>
          <w:tcPr>
            <w:tcW w:w="6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The $222.7 million of total cost of the Acquisition consisted of (i) a $210.2 million of cash payment to Clinigen and (ii) $12.5 million of direct transaction costs incurred by the Company. The Option Agreement additionally provides for contingent cash payments consisting of (i) a milestone payment of £41.7 million, or $52.6 million, upon first approval of lifileucel in advanced melanoma, (ii) deferred consideration based on double digit rates on global net sales (as defined in the Option Agreement) payable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from the Company to the sellers following the completion of the Acquisition over a deferred consideration term of twelve years, and (iii) after the deferred consideration term, earnout payments payable from the Company to sellers following the completion of the transaction if deferred consideration payments are equal or greater than the deferred consideration amount provided for in the Option Agreement.</w:t>
      </w:r>
    </w:p>
    <w:p>
      <w:pPr>
        <w:spacing w:after="0" w:line="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These contingent payments were determined to be within the scope of ASC 450 and will be recognized when they are both probable and estimable. During the first quarter of 2024, the Company made the required milestone payment of $52.6 million (£41.7 million) upon the approval of the Company’s BLA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was capitalized as an intangible asset and is being amortized over the remaining useful life of such asset. Additionally, $17.5 million (£13.9 million) was added to the carrying value of the acquired developed technology intangible asset, which reflects the deferred tax liability recognized on the temporary differences related to the book and tax basis of the acquired intangible assets.</w:t>
      </w:r>
    </w:p>
    <w:p>
      <w:pPr>
        <w:spacing w:after="0" w:line="199" w:lineRule="exact"/>
        <w:rPr>
          <w:sz w:val="20"/>
          <w:szCs w:val="20"/>
          <w:color w:val="auto"/>
        </w:rPr>
      </w:pPr>
    </w:p>
    <w:p>
      <w:pPr>
        <w:ind w:right="180" w:firstLine="492"/>
        <w:spacing w:after="0" w:line="266"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a multi-period excess earnings income approach that discounts expected cash flows to present value by applying a discount rate that represents the estimated rate that market participants would use to value the intangible assets. The fair value of the developed technology is being amortized over an expected useful life of 15 years.</w:t>
      </w:r>
    </w:p>
    <w:p>
      <w:pPr>
        <w:spacing w:after="0" w:line="176" w:lineRule="exact"/>
        <w:rPr>
          <w:sz w:val="20"/>
          <w:szCs w:val="20"/>
          <w:color w:val="auto"/>
        </w:rPr>
      </w:pPr>
    </w:p>
    <w:p>
      <w:pPr>
        <w:ind w:right="100" w:firstLine="492"/>
        <w:spacing w:after="0" w:line="282" w:lineRule="auto"/>
        <w:rPr>
          <w:sz w:val="20"/>
          <w:szCs w:val="20"/>
          <w:color w:val="auto"/>
        </w:rPr>
      </w:pPr>
      <w:r>
        <w:rPr>
          <w:rFonts w:ascii="Times New Roman" w:cs="Times New Roman" w:eastAsia="Times New Roman" w:hAnsi="Times New Roman"/>
          <w:sz w:val="18"/>
          <w:szCs w:val="18"/>
          <w:color w:val="auto"/>
        </w:rPr>
        <w:t>The fair value of the assembled workforce was estimated using a replacement cost less depreciation method. The fair value of the assembled workforce is being amortized over an expected useful life of 3 years.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amortization period the developed technology and assembled workforce is 14.8 years.</w:t>
      </w:r>
    </w:p>
    <w:p>
      <w:pPr>
        <w:spacing w:after="0" w:line="225"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A deferred tax liability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 NET</w:t>
      </w:r>
    </w:p>
    <w:p>
      <w:pPr>
        <w:spacing w:after="0" w:line="189" w:lineRule="exact"/>
        <w:rPr>
          <w:sz w:val="20"/>
          <w:szCs w:val="20"/>
          <w:color w:val="auto"/>
        </w:rPr>
      </w:pPr>
    </w:p>
    <w:p>
      <w:pPr>
        <w:ind w:right="100" w:firstLine="492"/>
        <w:spacing w:after="0" w:line="282" w:lineRule="auto"/>
        <w:rPr>
          <w:sz w:val="20"/>
          <w:szCs w:val="20"/>
          <w:color w:val="auto"/>
        </w:rPr>
      </w:pPr>
      <w:r>
        <w:rPr>
          <w:rFonts w:ascii="Times New Roman" w:cs="Times New Roman" w:eastAsia="Times New Roman" w:hAnsi="Times New Roman"/>
          <w:sz w:val="18"/>
          <w:szCs w:val="18"/>
          <w:color w:val="auto"/>
        </w:rPr>
        <w:t>The gross carrying amounts and net book value of intangible assets as of March 31, 2026, and December 31, 2025,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10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7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326,497</w:t>
            </w:r>
          </w:p>
        </w:tc>
      </w:tr>
      <w:tr>
        <w:trPr>
          <w:trHeight w:val="216"/>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Assembled workforce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Intellectual property license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21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335,160</w:t>
            </w: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(55,836)</w:t>
            </w:r>
          </w:p>
        </w:tc>
      </w:tr>
      <w:tr>
        <w:trPr>
          <w:trHeight w:val="209"/>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279,324</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Amounts are translated using the foreign exchange rates as of 3/31/2026 and 12/31/2025, respectively.</w:t>
      </w:r>
    </w:p>
    <w:p>
      <w:pPr>
        <w:spacing w:after="0" w:line="220" w:lineRule="exact"/>
        <w:rPr>
          <w:sz w:val="20"/>
          <w:szCs w:val="20"/>
          <w:color w:val="auto"/>
        </w:rPr>
      </w:pPr>
    </w:p>
    <w:p>
      <w:pPr>
        <w:jc w:val="both"/>
        <w:ind w:right="80" w:firstLine="492"/>
        <w:spacing w:after="0" w:line="266" w:lineRule="auto"/>
        <w:rPr>
          <w:sz w:val="20"/>
          <w:szCs w:val="20"/>
          <w:color w:val="auto"/>
        </w:rPr>
      </w:pPr>
      <w:r>
        <w:rPr>
          <w:rFonts w:ascii="Times New Roman" w:cs="Times New Roman" w:eastAsia="Times New Roman" w:hAnsi="Times New Roman"/>
          <w:sz w:val="18"/>
          <w:szCs w:val="18"/>
          <w:color w:val="auto"/>
        </w:rPr>
        <w:t>The Company recognized amortization expense of $5.6 million during the three months ended March 31, 2026, and $5.4 million during the three months ended March 31, 2025, respectively, excluding non-cash amortization expense of the fair value step-up acquired inventory.</w:t>
      </w:r>
    </w:p>
    <w:p>
      <w:pPr>
        <w:spacing w:after="0" w:line="176" w:lineRule="exact"/>
        <w:rPr>
          <w:sz w:val="20"/>
          <w:szCs w:val="20"/>
          <w:color w:val="auto"/>
        </w:rPr>
      </w:pPr>
    </w:p>
    <w:p>
      <w:pPr>
        <w:ind w:right="80" w:firstLine="492"/>
        <w:spacing w:after="0" w:line="266" w:lineRule="auto"/>
        <w:rPr>
          <w:sz w:val="20"/>
          <w:szCs w:val="20"/>
          <w:color w:val="auto"/>
        </w:rPr>
      </w:pPr>
      <w:r>
        <w:rPr>
          <w:rFonts w:ascii="Times New Roman" w:cs="Times New Roman" w:eastAsia="Times New Roman" w:hAnsi="Times New Roman"/>
          <w:sz w:val="18"/>
          <w:szCs w:val="18"/>
          <w:color w:val="auto"/>
        </w:rPr>
        <w:t>The total estimated amortization of the Company’s intangible assets for the remainder of the year ending December 31, 2026, and the years ending December 31, 2027, 2028, 2029, and 2030 are $16.9 million, $22.4 million, $22.4 million, $22.4 million, and $22.4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inventory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3300" w:type="dxa"/>
            <w:vAlign w:val="bottom"/>
          </w:tcPr>
          <w:p>
            <w:pPr>
              <w:spacing w:after="0"/>
              <w:rPr>
                <w:sz w:val="17"/>
                <w:szCs w:val="17"/>
                <w:color w:val="auto"/>
              </w:rPr>
            </w:pPr>
          </w:p>
        </w:tc>
        <w:tc>
          <w:tcPr>
            <w:tcW w:w="366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09"/>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2080" w:type="dxa"/>
            <w:vAlign w:val="bottom"/>
          </w:tcPr>
          <w:p>
            <w:pPr>
              <w:spacing w:after="0"/>
              <w:rPr>
                <w:sz w:val="18"/>
                <w:szCs w:val="18"/>
                <w:color w:val="auto"/>
              </w:rPr>
            </w:pPr>
          </w:p>
        </w:tc>
        <w:tc>
          <w:tcPr>
            <w:tcW w:w="1580" w:type="dxa"/>
            <w:vAlign w:val="bottom"/>
            <w:tcBorders>
              <w:bottom w:val="single" w:sz="8" w:color="auto"/>
            </w:tcBorders>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59,553</w:t>
            </w:r>
          </w:p>
        </w:tc>
      </w:tr>
      <w:tr>
        <w:trPr>
          <w:trHeight w:val="20"/>
        </w:trPr>
        <w:tc>
          <w:tcPr>
            <w:tcW w:w="3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200" w:firstLine="492"/>
        <w:spacing w:after="0" w:line="232" w:lineRule="auto"/>
        <w:rPr>
          <w:sz w:val="20"/>
          <w:szCs w:val="20"/>
          <w:color w:val="auto"/>
        </w:rPr>
      </w:pPr>
      <w:r>
        <w:rPr>
          <w:rFonts w:ascii="Times New Roman" w:cs="Times New Roman" w:eastAsia="Times New Roman" w:hAnsi="Times New Roman"/>
          <w:sz w:val="18"/>
          <w:szCs w:val="18"/>
          <w:color w:val="auto"/>
        </w:rPr>
        <w:t>Inventory includes $13.8 million for excess and obsolescence reserves recorded as of the three months ended March 31, 2026, such reserve being primarily related to excess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resulting from a manufacturer contract inherited in the Acquisition for which we cannot yet fully utilize the required purchase quantities while we scale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launch.</w:t>
      </w:r>
    </w:p>
    <w:p>
      <w:pPr>
        <w:spacing w:after="0" w:line="45" w:lineRule="exact"/>
        <w:rPr>
          <w:sz w:val="20"/>
          <w:szCs w:val="20"/>
          <w:color w:val="auto"/>
        </w:rPr>
      </w:pPr>
    </w:p>
    <w:p>
      <w:pPr>
        <w:ind w:right="120" w:firstLine="492"/>
        <w:spacing w:after="0" w:line="266" w:lineRule="auto"/>
        <w:rPr>
          <w:sz w:val="20"/>
          <w:szCs w:val="20"/>
          <w:color w:val="auto"/>
        </w:rPr>
      </w:pPr>
      <w:r>
        <w:rPr>
          <w:rFonts w:ascii="Times New Roman" w:cs="Times New Roman" w:eastAsia="Times New Roman" w:hAnsi="Times New Roman"/>
          <w:sz w:val="18"/>
          <w:szCs w:val="18"/>
          <w:color w:val="auto"/>
        </w:rPr>
        <w:t>Inventory expected to be used or sold more than twelve months from the balance sheet date is classified as long-term other assets on the condensed consolidated balance sheet. The Company recorded $8.0 million and $7.9 million of inventory as long-term other assets as of March 31, 2026, and December 31,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REVENUE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for the periods presented represents sales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3640" w:type="dxa"/>
            <w:vAlign w:val="bottom"/>
            <w:gridSpan w:val="2"/>
            <w:vMerge w:val="restart"/>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3640" w:type="dxa"/>
            <w:vAlign w:val="bottom"/>
            <w:gridSpan w:val="2"/>
            <w:vMerge w:val="continue"/>
          </w:tcPr>
          <w:p>
            <w:pPr>
              <w:spacing w:after="0"/>
              <w:rPr>
                <w:sz w:val="15"/>
                <w:szCs w:val="15"/>
                <w:color w:val="auto"/>
              </w:rPr>
            </w:pPr>
          </w:p>
        </w:tc>
        <w:tc>
          <w:tcPr>
            <w:tcW w:w="15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tcBorders>
              <w:top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FF0000"/>
              </w:rPr>
              <w:t>​​​</w:t>
            </w:r>
          </w:p>
        </w:tc>
        <w:tc>
          <w:tcPr>
            <w:tcW w:w="1140" w:type="dxa"/>
            <w:vAlign w:val="bottom"/>
            <w:tcBorders>
              <w:top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Amtagvi</w:t>
            </w:r>
            <w:r>
              <w:rPr>
                <w:rFonts w:ascii="Times New Roman" w:cs="Times New Roman" w:eastAsia="Times New Roman" w:hAnsi="Times New Roman"/>
                <w:sz w:val="24"/>
                <w:szCs w:val="24"/>
                <w:color w:val="auto"/>
                <w:vertAlign w:val="superscript"/>
              </w:rPr>
              <w:t>®</w:t>
            </w:r>
          </w:p>
        </w:tc>
        <w:tc>
          <w:tcPr>
            <w:tcW w:w="2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60,222</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Proleukin</w:t>
            </w:r>
            <w:r>
              <w:rPr>
                <w:rFonts w:ascii="Times New Roman" w:cs="Times New Roman" w:eastAsia="Times New Roman" w:hAnsi="Times New Roman"/>
                <w:sz w:val="25"/>
                <w:szCs w:val="25"/>
                <w:color w:val="auto"/>
                <w:vertAlign w:val="superscript"/>
              </w:rPr>
              <w:t>®</w:t>
            </w:r>
          </w:p>
        </w:tc>
        <w:tc>
          <w:tcPr>
            <w:tcW w:w="2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11,208</w:t>
            </w:r>
          </w:p>
        </w:tc>
        <w:tc>
          <w:tcPr>
            <w:tcW w:w="3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71,430</w:t>
            </w: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00" w:firstLine="492"/>
        <w:spacing w:after="0" w:line="193" w:lineRule="auto"/>
        <w:rPr>
          <w:sz w:val="20"/>
          <w:szCs w:val="20"/>
          <w:color w:val="auto"/>
        </w:rPr>
      </w:pPr>
      <w:r>
        <w:rPr>
          <w:rFonts w:ascii="Times New Roman" w:cs="Times New Roman" w:eastAsia="Times New Roman" w:hAnsi="Times New Roman"/>
          <w:sz w:val="18"/>
          <w:szCs w:val="18"/>
          <w:color w:val="auto"/>
        </w:rPr>
        <w:t>Revenue from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primarily related to sales made to specialty distributors and authorized treatment centers (“ATCs”) in the U.S. market to support the commercialization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 is recognized upon patient infusion, while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 is recognized upon transfer of control, either upon shipment or upon delivery to customers, which include specialty distributors, clinical manufacturers, research organizations, and ATCs.</w:t>
      </w:r>
    </w:p>
    <w:p>
      <w:pPr>
        <w:spacing w:after="0" w:line="173" w:lineRule="exact"/>
        <w:rPr>
          <w:sz w:val="20"/>
          <w:szCs w:val="20"/>
          <w:color w:val="auto"/>
        </w:rPr>
      </w:pPr>
    </w:p>
    <w:p>
      <w:pPr>
        <w:ind w:right="380" w:firstLine="492"/>
        <w:spacing w:after="0" w:line="282" w:lineRule="auto"/>
        <w:rPr>
          <w:sz w:val="20"/>
          <w:szCs w:val="20"/>
          <w:color w:val="auto"/>
        </w:rPr>
      </w:pPr>
      <w:r>
        <w:rPr>
          <w:rFonts w:ascii="Times New Roman" w:cs="Times New Roman" w:eastAsia="Times New Roman" w:hAnsi="Times New Roman"/>
          <w:sz w:val="18"/>
          <w:szCs w:val="18"/>
          <w:color w:val="auto"/>
        </w:rPr>
        <w:t>Revenue from product sales was recorded net of GTN adjustments. The following table summarizes GTN adjustments for the periods presented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6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FF0000"/>
              </w:rPr>
              <w:t>​​​</w:t>
            </w:r>
          </w:p>
        </w:tc>
        <w:tc>
          <w:tcPr>
            <w:tcW w:w="114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72,543</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rebates and chargebacks</w:t>
            </w:r>
          </w:p>
        </w:tc>
        <w:tc>
          <w:tcPr>
            <w:tcW w:w="1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Wholesaler fees and cash discounts</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rebates, returns, discounts and adjustments</w:t>
            </w:r>
          </w:p>
        </w:tc>
        <w:tc>
          <w:tcPr>
            <w:tcW w:w="1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GTN adjustments</w:t>
            </w:r>
          </w:p>
        </w:tc>
        <w:tc>
          <w:tcPr>
            <w:tcW w:w="17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7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net product revenue by geographic area for the periods presented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60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spacing w:after="0"/>
              <w:rPr>
                <w:sz w:val="16"/>
                <w:szCs w:val="16"/>
                <w:color w:val="auto"/>
              </w:rPr>
            </w:pPr>
          </w:p>
        </w:tc>
        <w:tc>
          <w:tcPr>
            <w:tcW w:w="15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37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7"/>
                <w:szCs w:val="17"/>
                <w:color w:val="auto"/>
              </w:rPr>
            </w:pPr>
          </w:p>
        </w:tc>
        <w:tc>
          <w:tcPr>
            <w:tcW w:w="90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FF0000"/>
              </w:rPr>
              <w:t>​​​</w:t>
            </w:r>
          </w:p>
        </w:tc>
        <w:tc>
          <w:tcPr>
            <w:tcW w:w="11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70,472</w:t>
            </w:r>
          </w:p>
        </w:tc>
        <w:tc>
          <w:tcPr>
            <w:tcW w:w="380" w:type="dxa"/>
            <w:vAlign w:val="bottom"/>
            <w:tcBorders>
              <w:top w:val="single" w:sz="8" w:color="CCEEFF"/>
            </w:tcBorders>
            <w:shd w:val="clear" w:color="auto" w:fill="CCEEFF"/>
          </w:tcPr>
          <w:p>
            <w:pPr>
              <w:jc w:val="right"/>
              <w:ind w:right="55"/>
              <w:spacing w:after="0" w:line="209" w:lineRule="exact"/>
              <w:rPr>
                <w:sz w:val="20"/>
                <w:szCs w:val="20"/>
                <w:color w:val="auto"/>
              </w:rPr>
            </w:pPr>
            <w:r>
              <w:rPr>
                <w:rFonts w:ascii="Times New Roman" w:cs="Times New Roman" w:eastAsia="Times New Roman" w:hAnsi="Times New Roman"/>
                <w:sz w:val="20"/>
                <w:szCs w:val="20"/>
                <w:color w:val="FF0000"/>
              </w:rPr>
              <w:t>​​​</w:t>
            </w: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6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00" w:firstLine="492"/>
        <w:spacing w:after="0" w:line="201" w:lineRule="auto"/>
        <w:rPr>
          <w:sz w:val="20"/>
          <w:szCs w:val="20"/>
          <w:color w:val="auto"/>
        </w:rPr>
      </w:pPr>
      <w:r>
        <w:rPr>
          <w:rFonts w:ascii="Times New Roman" w:cs="Times New Roman" w:eastAsia="Times New Roman" w:hAnsi="Times New Roman"/>
          <w:sz w:val="18"/>
          <w:szCs w:val="18"/>
          <w:color w:val="auto"/>
        </w:rPr>
        <w:t>Net product revenue in the U.S. is comprised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 as well as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to support the ongoing commercialization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Net product revenue to date for the rest of world is comprised of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markets outside of the U.S., primarily into European markets.</w:t>
      </w:r>
    </w:p>
    <w:p>
      <w:pPr>
        <w:spacing w:after="0" w:line="171" w:lineRule="exact"/>
        <w:rPr>
          <w:sz w:val="20"/>
          <w:szCs w:val="20"/>
          <w:color w:val="auto"/>
        </w:rPr>
      </w:pPr>
    </w:p>
    <w:p>
      <w:pPr>
        <w:ind w:right="20" w:firstLine="492"/>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the Company’s gross revenue, for the periods ended March 31, 2026 and March 31, 2025,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PROPERTY AND EQUIPMENT, NET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92,614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90,385</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 process, and validation equipment</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31,499</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equipment</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37,349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35,649</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183,767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179,882</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(48,770)</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131,394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131,112</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9. ACCRUED EXPENSES</w:t>
            </w:r>
          </w:p>
        </w:tc>
        <w:tc>
          <w:tcPr>
            <w:tcW w:w="216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620" w:type="dxa"/>
            <w:vAlign w:val="bottom"/>
            <w:tcBorders>
              <w:bottom w:val="single" w:sz="8" w:color="auto"/>
            </w:tcBorders>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2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and distribution related</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210"/>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28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111,156</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80" w:type="dxa"/>
            <w:vAlign w:val="bottom"/>
            <w:vMerge w:val="restart"/>
          </w:tcPr>
          <w:p>
            <w:pPr>
              <w:jc w:val="right"/>
              <w:ind w:right="2519"/>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ind w:right="240" w:firstLine="492"/>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issuance of up to 500,000,000 shares of the Company’s common stock, par value $0.000041666. As of March 31, 2026, 438,106,537 shares of the Company’s common stock were issued and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Program</w:t>
      </w:r>
    </w:p>
    <w:p>
      <w:pPr>
        <w:spacing w:after="0" w:line="189" w:lineRule="exact"/>
        <w:rPr>
          <w:sz w:val="20"/>
          <w:szCs w:val="20"/>
          <w:color w:val="auto"/>
        </w:rPr>
      </w:pPr>
    </w:p>
    <w:p>
      <w:pPr>
        <w:ind w:right="140" w:firstLine="492"/>
        <w:spacing w:after="0" w:line="256" w:lineRule="auto"/>
        <w:rPr>
          <w:sz w:val="20"/>
          <w:szCs w:val="20"/>
          <w:color w:val="auto"/>
        </w:rPr>
      </w:pPr>
      <w:r>
        <w:rPr>
          <w:rFonts w:ascii="Times New Roman" w:cs="Times New Roman" w:eastAsia="Times New Roman" w:hAnsi="Times New Roman"/>
          <w:sz w:val="18"/>
          <w:szCs w:val="18"/>
          <w:color w:val="auto"/>
        </w:rPr>
        <w:t>On August 22, 2025, the Company entered into an Amended and Restated Open Market Sale Agreement (the “2025 Sale Agreement”) with Jefferies. Under the terms of the 2025 Sale Agreement, the Company may, from time to time, in its sole discretion, issue and sell through Jefferies, acting as a sales agent, up to $350.0 million of shares of the Company’s common stock (the “Common Shares”). The issuance and sale, if any, of the shares of common stock by the Company under the 2025 Sale Agreement was made pursuant to a prospectus supplement dated August 22, 2025 to the Company’s Registration Statement on Form S-3ASR, originally filed with the Securities and Exchange Commission on June 16, 2023, which became effective immediately upon filing.</w:t>
      </w:r>
    </w:p>
    <w:p>
      <w:pPr>
        <w:spacing w:after="0" w:line="160"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Pursuant to the 2025 Sale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2025 Sale Agreement.</w:t>
      </w:r>
    </w:p>
    <w:p>
      <w:pPr>
        <w:spacing w:after="0" w:line="147"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Common Shares under the 2025 Sale Agreement. The offering of Common Shares pursuant to the 2025 Sale Agreement will terminate upon the earlier to occur of (i) the issuance and sale, through Jefferies, of all Common Shares subject to the 2025 Sale Agreement and (ii) termination of the 2025 Sale Agreement in accordance with its terms.</w:t>
      </w:r>
    </w:p>
    <w:p>
      <w:pPr>
        <w:spacing w:after="0" w:line="135"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raised approximately $98.5 million in net proceeds, through the sale of 24,918,834 shares of common stock pursuant to the 2025 Sale Agreement at a weighted average price per share of $4.03. For the three months ended March 31, 2025, the Company raised approximately $148.9 million in net proceeds, after offering costs, through the sale of 25,599,389 shares of common stock pursuant to the 2023 Sale Agreement at a weighted average price per share of $5.94.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right="80" w:firstLine="492"/>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50,000,000 shares of “blank check” preferred stock. As of March 31, 2026, 17,000 shares were designated as Series A Convertible Preferred Stock and 11,500,000 shares were designated as Series B Convertible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02"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3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48"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no shares of Series A Convertible Preferred Stock were converted into shares of common stock. As of March 31, 2026 and December 31, 2025, 194 shares of Series A Convertible Preferred Stock (that are convertible into 97,000 shares of common stock) remained outstanding.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189" w:lineRule="exact"/>
        <w:rPr>
          <w:sz w:val="20"/>
          <w:szCs w:val="20"/>
          <w:color w:val="auto"/>
        </w:rPr>
      </w:pPr>
    </w:p>
    <w:p>
      <w:pPr>
        <w:ind w:right="80" w:firstLine="492"/>
        <w:spacing w:after="0" w:line="281" w:lineRule="auto"/>
        <w:rPr>
          <w:sz w:val="20"/>
          <w:szCs w:val="20"/>
          <w:color w:val="auto"/>
        </w:rPr>
      </w:pPr>
      <w:r>
        <w:rPr>
          <w:rFonts w:ascii="Times New Roman" w:cs="Times New Roman" w:eastAsia="Times New Roman" w:hAnsi="Times New Roman"/>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jc w:val="both"/>
        <w:ind w:right="80" w:firstLine="49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no shares of Series B Convertible Preferred Stock were converted into shares of common stock. During the three months ended March 31, 2025, 909,491 shares of Series B Convertible Preferred Stock were converted into 909,491 shares of common stock. As of March 31, 2026 and December 31, 2025, 1,932,667 shares of Series B Preferred Stock (that are convertible into 1,932,667 shares of common stock) remained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multiple equity incentive plans under which it grants awards.</w:t>
      </w:r>
    </w:p>
    <w:p>
      <w:pPr>
        <w:spacing w:after="0" w:line="185"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June 11, 2024, the Company’s stockholders approved the termination of the 2014 Equity Incentive Plan (the “2014 Plan”). In addition, the Company’s stockholders approved the recapture by the 2018 Equity Incentive Plan (the “2018 Plan”) of awards granted under the 2014 Plan that expire, terminate, or are cancelled or forfeited without being settled, vested, or exercised after the stockholders’ approval.</w:t>
      </w:r>
    </w:p>
    <w:p>
      <w:pPr>
        <w:spacing w:after="0" w:line="13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w:t>
      </w:r>
    </w:p>
    <w:p>
      <w:pPr>
        <w:spacing w:after="0" w:line="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from 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On June 6, 2023, the Company’s stockholders approved an amendment to the 2018 Plan to increase the number of shares available for issuance under the 2018 Plan from 20,700,000 to 29,700,000 shares, which became effective immediately. On June 11, 2024, the Company’s stockholders approved an amendment to the 2018 Plan to increase the number of shares available for issuance under the 2018 Plan from 29,700,000 to 36,700,000 shares and permit share recapture from the 2014 Plan, which became effective immediately. On June 10, 2025, the Company’s stockholders approved an amendment to the 2018 Plan to increase the number of shares available for issuance under the 2018 Plan from 36,700,000 to 49,200,000 shares and permit share recapture from the 2014 Plan, which became effective immediately. As of March 31, 2026, 12,036,556 shares of common stock were available for grant under the 2018 Plan, including shares recaptured from the 2014 Plan.</w:t>
      </w:r>
    </w:p>
    <w:p>
      <w:pPr>
        <w:spacing w:after="0" w:line="156"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43"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Compensation Committee approved additional amendments to the 2021 Inducement Plan solely to increase the number of shares reserved for issuance under the 2021 Inducement Plan from 1,750,000 to 2,250,000 shares of the Company’s common stock on March 13, 2023 from 2,250,000 to 2,750,000 shares of the Company’s common stock on February 26, 2024, and from 2,750,000 shares to 4,750,000 shares on November 22, 2024 without stockholder approval pursuant to Rule 5635(c)(4) of the Nasdaq Listing Rules.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March 31, 2026, 123,786 shares of the Company’s common stock were available for grant under the Inducement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A summary of the status of stock options as of March 31, 2026 and the changes during the three months ended March 31, 2026 are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900" w:type="dxa"/>
            <w:vAlign w:val="bottom"/>
          </w:tcPr>
          <w:p>
            <w:pPr>
              <w:ind w:left="47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Life (Years)</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18,025,891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Expired/Cancelled</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(428,817)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17,713,664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2,581,618</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vested and expected to vest at March 31, 2026</w:t>
            </w: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17,713,664</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w:t>
            </w:r>
          </w:p>
        </w:tc>
        <w:tc>
          <w:tcPr>
            <w:tcW w:w="24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2,581,618</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14,360,609</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17.52</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29,685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80" w:firstLine="492"/>
        <w:spacing w:after="0" w:line="261" w:lineRule="auto"/>
        <w:rPr>
          <w:sz w:val="20"/>
          <w:szCs w:val="20"/>
          <w:color w:val="auto"/>
        </w:rPr>
      </w:pPr>
      <w:r>
        <w:rPr>
          <w:rFonts w:ascii="Times New Roman" w:cs="Times New Roman" w:eastAsia="Times New Roman" w:hAnsi="Times New Roman"/>
          <w:sz w:val="18"/>
          <w:szCs w:val="18"/>
          <w:color w:val="auto"/>
        </w:rPr>
        <w:t>As of March 31, 2026, there was $8.7 million of total unrecognized compensation expense related to unvested employee stock options. The unrecognized compensation expense is estimated to be recognized over a period of 2.02 years as of March 31, 2026. The weighted average grant date fair value for employee options granted under the Company’s stock option plans during the three months ended March 31, 2026, was $1.70 per option.</w:t>
      </w:r>
    </w:p>
    <w:p>
      <w:pPr>
        <w:spacing w:after="0" w:line="13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reflects the total pre-tax intrinsic value (the difference between the Company’s closing stock price on the last trading day of the quarter ended March 31, 2026 and the exercise price of the options, multiplied by the number of in-the-money stock options) that would have been received by the option holders had all option holders exercised their options on March 31, 2026. The intrinsic value of the Company’s stock options changes based on the closing price of the Company’s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In June 2020, the Company adopted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to increase the number of shares reserved for issuance under the 2020 ESPP from 500,000 shares of the Company’s common stock to 1,400,000 shares of the Company’s common stock, which became effective immediately. On June 11, 2024, the Company's stockholders approved an amendment to the 2020 ESPP, to increase the number of shares reserved for issuance under the 2020 ESPP from 1,400,000 to 1,900,000 shares of the Company’s common stock, which became effective immediately. On June 10, 2025, the Company’s stockholders approved an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amendment to the 2020 ESPP, to increase the number of shares reserved for issuance under the 2020 ESPP from 1,900,000 to 2,900,000 shares of the Company’s common stock, which became effective immediately.</w:t>
      </w:r>
    </w:p>
    <w:p>
      <w:pPr>
        <w:spacing w:after="0" w:line="121"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w:t>
      </w:r>
    </w:p>
    <w:p>
      <w:pPr>
        <w:spacing w:after="0" w:line="153"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The compensation expense related to the 2020 ESPP for the three months ended March 31, 2026 and 2025 was $0.3 million and $0.4 million, respectively. As of March 31, 2026, there was $0.2 million of unrecognized compensation cost associated with the 2020 ESPP, which is expected to be recognized over the remaining 2.33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Restricted Stock Units</w:t>
      </w:r>
    </w:p>
    <w:p>
      <w:pPr>
        <w:spacing w:after="0" w:line="18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 Upon vesting of the RSUs, the Company withholds shares to cover the withholding taxes due upon vesting. Such withheld shares are considered retired and no longer available under the Company’s 2018 Plan, but such shares are not canceled and remain available to be issued for other purposes.</w:t>
      </w:r>
    </w:p>
    <w:p>
      <w:pPr>
        <w:spacing w:after="0" w:line="160" w:lineRule="exact"/>
        <w:rPr>
          <w:sz w:val="20"/>
          <w:szCs w:val="20"/>
          <w:color w:val="auto"/>
        </w:rPr>
      </w:pPr>
    </w:p>
    <w:p>
      <w:pPr>
        <w:ind w:right="40" w:firstLine="492"/>
        <w:spacing w:after="0" w:line="282" w:lineRule="auto"/>
        <w:rPr>
          <w:sz w:val="20"/>
          <w:szCs w:val="20"/>
          <w:color w:val="auto"/>
        </w:rPr>
      </w:pPr>
      <w:r>
        <w:rPr>
          <w:rFonts w:ascii="Times New Roman" w:cs="Times New Roman" w:eastAsia="Times New Roman" w:hAnsi="Times New Roman"/>
          <w:sz w:val="18"/>
          <w:szCs w:val="18"/>
          <w:color w:val="auto"/>
        </w:rPr>
        <w:t>Activity for RSUs and PRSUs as of March 31, 2026 and the changes during the three months ended March 31, 2026 are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080" w:type="dxa"/>
            <w:vAlign w:val="bottom"/>
            <w:vMerge w:val="restart"/>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080" w:type="dxa"/>
            <w:vAlign w:val="bottom"/>
            <w:vMerge w:val="continue"/>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 and PRSUs</w:t>
            </w:r>
          </w:p>
        </w:tc>
        <w:tc>
          <w:tcPr>
            <w:tcW w:w="580" w:type="dxa"/>
            <w:vAlign w:val="bottom"/>
            <w:gridSpan w:val="3"/>
            <w:vMerge w:val="continue"/>
          </w:tcPr>
          <w:p>
            <w:pPr>
              <w:spacing w:after="0"/>
              <w:rPr>
                <w:sz w:val="15"/>
                <w:szCs w:val="15"/>
                <w:color w:val="auto"/>
              </w:rPr>
            </w:pPr>
          </w:p>
        </w:tc>
        <w:tc>
          <w:tcPr>
            <w:tcW w:w="14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9,080,465</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7,432,620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Vested/Released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Canceled/Forfeited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(367,607)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13,932,884</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vested and expected to vest at March 31, 2026</w:t>
            </w: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13,637,065</w:t>
            </w:r>
          </w:p>
        </w:tc>
        <w:tc>
          <w:tcPr>
            <w:tcW w:w="300" w:type="dxa"/>
            <w:vAlign w:val="bottom"/>
            <w:gridSpan w:val="2"/>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there was $73.2 million of unrecognized stock-based compensation expense associated with unvested RSUs, which the Company expects to recognize over a remaining weighted-average period of 2.37 years. The aggregate intrinsic value of the unvested RSUs and PRSUs outstanding as of March 31, 2026 was $48.9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type of award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060" w:type="dxa"/>
            <w:vAlign w:val="bottom"/>
            <w:vMerge w:val="restart"/>
          </w:tcPr>
          <w:p>
            <w:pPr>
              <w:ind w:left="69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3"/>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expense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expense</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280" w:type="dxa"/>
            <w:vAlign w:val="bottom"/>
            <w:gridSpan w:val="2"/>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92"/>
        <w:spacing w:after="0" w:line="282" w:lineRule="auto"/>
        <w:rPr>
          <w:sz w:val="20"/>
          <w:szCs w:val="20"/>
          <w:color w:val="auto"/>
        </w:rPr>
      </w:pPr>
      <w:r>
        <w:rPr>
          <w:rFonts w:ascii="Times New Roman" w:cs="Times New Roman" w:eastAsia="Times New Roman" w:hAnsi="Times New Roman"/>
          <w:sz w:val="18"/>
          <w:szCs w:val="18"/>
          <w:color w:val="auto"/>
        </w:rPr>
        <w:t>The amount included in capitalized inventory for stock-based compensation expense for personnel engaged with manufacturing activities was $1.0 million as of March 31, 2026, and $0.6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SEGMENT INFORMATION</w:t>
      </w:r>
    </w:p>
    <w:p>
      <w:pPr>
        <w:spacing w:after="0" w:line="189" w:lineRule="exact"/>
        <w:rPr>
          <w:sz w:val="20"/>
          <w:szCs w:val="20"/>
          <w:color w:val="auto"/>
        </w:rPr>
      </w:pPr>
    </w:p>
    <w:p>
      <w:pPr>
        <w:ind w:right="60" w:firstLine="492"/>
        <w:spacing w:after="0" w:line="209" w:lineRule="auto"/>
        <w:rPr>
          <w:sz w:val="20"/>
          <w:szCs w:val="20"/>
          <w:color w:val="auto"/>
        </w:rPr>
      </w:pPr>
      <w:r>
        <w:rPr>
          <w:rFonts w:ascii="Times New Roman" w:cs="Times New Roman" w:eastAsia="Times New Roman" w:hAnsi="Times New Roman"/>
          <w:sz w:val="18"/>
          <w:szCs w:val="18"/>
          <w:color w:val="auto"/>
        </w:rPr>
        <w:t>The Company operates in one segment, focusing on innovating, developing, and commercializing therapies using its autologous TIL cell therapies for patients with solid tumor cancers. The Company is executing the U.S. launch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first product within its autologous TIL cell therapy platform, while also marketing and distributing its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used in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treatment regimen.</w:t>
      </w:r>
    </w:p>
    <w:p>
      <w:pPr>
        <w:spacing w:after="0" w:line="172" w:lineRule="exact"/>
        <w:rPr>
          <w:sz w:val="20"/>
          <w:szCs w:val="20"/>
          <w:color w:val="auto"/>
        </w:rPr>
      </w:pPr>
    </w:p>
    <w:p>
      <w:pPr>
        <w:jc w:val="both"/>
        <w:ind w:right="80" w:firstLine="492"/>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uses net loss as measurement of segment loss and monitors results against budget to evaluate and assess performance of the Company and resource allocation within the Company. The measure of segment assets is reported on the balance sheet as total consolidated assets.</w:t>
      </w:r>
    </w:p>
    <w:p>
      <w:pPr>
        <w:spacing w:after="0" w:line="13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Beginning in the third quarter of 2025, the Company began separately presenting depreciation and amortization expense on the condensed consolidated statement of operations as well as in its internal reporting to the CODM. As a result, the Company has recast prior period amounts to align with the information that is used by the CODM.</w:t>
      </w:r>
    </w:p>
    <w:p>
      <w:pPr>
        <w:spacing w:after="0" w:line="135"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table below highlights the Company’s revenue, expenses and net loss for the segment and is reconciled to net loss on a consolidated basis 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gridSpan w:val="2"/>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goods sold (</w:t>
            </w:r>
            <w:r>
              <w:rPr>
                <w:rFonts w:ascii="Times New Roman" w:cs="Times New Roman" w:eastAsia="Times New Roman" w:hAnsi="Times New Roman"/>
                <w:sz w:val="18"/>
                <w:szCs w:val="18"/>
                <w:i w:val="1"/>
                <w:iCs w:val="1"/>
                <w:color w:val="auto"/>
              </w:rPr>
              <w:t>excluding depreciation and amortization</w:t>
            </w:r>
            <w:r>
              <w:rPr>
                <w:rFonts w:ascii="Times New Roman" w:cs="Times New Roman" w:eastAsia="Times New Roman" w:hAnsi="Times New Roman"/>
                <w:sz w:val="18"/>
                <w:szCs w:val="18"/>
                <w:color w:val="auto"/>
              </w:rPr>
              <w:t>) (a)</w:t>
            </w:r>
          </w:p>
        </w:tc>
        <w:tc>
          <w:tcPr>
            <w:tcW w:w="6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38,829</w:t>
            </w:r>
          </w:p>
        </w:tc>
        <w:tc>
          <w:tcPr>
            <w:tcW w:w="8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8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segment items (b)</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107,977</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(79,045)</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520" w:right="200" w:hanging="415"/>
        <w:spacing w:after="0" w:line="208"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represents inventory and period costs related to overhead, manufacturing costs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reserves associated with excess and obsolete inventory, as well as costs associated with the purchases and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Also included are manufacturing and period costs incurred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that do not meet specifications or a patient is unable to receive the infusion. For patients that can be administered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part of a clinical trial in an expanded or early access program, or single-patient investigational new drug submission, costs are recorded as research and development expenses based on the fact the Company receives clinical data related to these infusions. This category is provided to the CODM on a quarterly basis in comparison to that of previous quarters for review as these costs are controllable costs that indicate operating performance of the Company.</w:t>
      </w:r>
    </w:p>
    <w:p>
      <w:pPr>
        <w:jc w:val="both"/>
        <w:ind w:left="520" w:right="100" w:hanging="415"/>
        <w:spacing w:after="0" w:line="25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costs that are not considered significant expense segments nor reviewed by the CODM on a regular basis. Such amount includes stock-based compensation expenses (excluding stock-based compensation included in cost of sales), interest income, other income and expenses, and income tax benefits.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LICENSES AND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(the “NIH”) and the National Cancer Institute (the “NCI”)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(the “CRADA”)</w:t>
      </w:r>
    </w:p>
    <w:p>
      <w:pPr>
        <w:spacing w:after="0" w:line="187"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has been amended since then to, among other things, extend the term of the CRADA, include new indications such as bladder, lung, triple-negative breast, and Human Papilloma Virus (“HPV”)-associated cancers, and modify the focus on the development of unmodified TIL as a stand-alone therapy or in combination, the evaluation in clinical trials of strategies for development of more potent TILs, such as selection of CD39/69 double negative cells and the use of certain inhibitors or other reagents in TIL expansion cultures.</w:t>
      </w:r>
    </w:p>
    <w:p>
      <w:pPr>
        <w:spacing w:after="0" w:line="14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July 2024, the NCI and the Company entered into a fourth amendment to the CRADA to extend its term by an additional five years to August 2029. The fourth amendment also includes collaboration on preclinical and clinical development of enhanced tumor reactive TIL products for the treatment of a broad range of common epithelial cancers.</w:t>
      </w:r>
    </w:p>
    <w:p>
      <w:pPr>
        <w:spacing w:after="0" w:line="14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Pursuant to the terms of the CRADA, as amended, the Company is required to make quarterly payments to the NCI for support of research activities through the end of the CRADA’s term.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Company or the NCI may unilaterally terminate the CRADA for any reason or for no reason at any time by providing written notice at least 60 days before the desired termination date. The Company recorded costs associated with the CRADA of $0.9 million for each of the three months ended March 31, 2026, and 2025, respectively, as research and development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Agreements Related to TIL Cell Therapies</w:t>
      </w:r>
    </w:p>
    <w:p>
      <w:pPr>
        <w:spacing w:after="0" w:line="187" w:lineRule="exact"/>
        <w:rPr>
          <w:sz w:val="20"/>
          <w:szCs w:val="20"/>
          <w:color w:val="auto"/>
        </w:rPr>
      </w:pPr>
    </w:p>
    <w:p>
      <w:pPr>
        <w:ind w:right="240" w:firstLine="492"/>
        <w:spacing w:after="0" w:line="261" w:lineRule="auto"/>
        <w:rPr>
          <w:sz w:val="20"/>
          <w:szCs w:val="20"/>
          <w:color w:val="auto"/>
        </w:rPr>
      </w:pPr>
      <w:r>
        <w:rPr>
          <w:rFonts w:ascii="Times New Roman" w:cs="Times New Roman" w:eastAsia="Times New Roman" w:hAnsi="Times New Roman"/>
          <w:sz w:val="18"/>
          <w:szCs w:val="18"/>
          <w:color w:val="auto"/>
        </w:rPr>
        <w:t>The Company entered into a patent license agreement (the “Patent License Agreement”) with the NIH, an agency of the U.S. Public Health Service within the Department of Health and Human Services, in 2011. The Patent License Agreement was amended multiple times to include exclusive, co-exclusive, and non-exclusive licenses to certain NIH technologies relating to autologous tumor infiltrating lymphocyte adoptive cell therapy.</w:t>
      </w:r>
    </w:p>
    <w:p>
      <w:pPr>
        <w:spacing w:after="0" w:line="153" w:lineRule="exact"/>
        <w:rPr>
          <w:sz w:val="20"/>
          <w:szCs w:val="20"/>
          <w:color w:val="auto"/>
        </w:rPr>
      </w:pPr>
    </w:p>
    <w:p>
      <w:pPr>
        <w:ind w:right="40" w:firstLine="492"/>
        <w:spacing w:after="0" w:line="239" w:lineRule="auto"/>
        <w:rPr>
          <w:sz w:val="20"/>
          <w:szCs w:val="20"/>
          <w:color w:val="auto"/>
        </w:rPr>
      </w:pPr>
      <w:r>
        <w:rPr>
          <w:rFonts w:ascii="Times New Roman" w:cs="Times New Roman" w:eastAsia="Times New Roman" w:hAnsi="Times New Roman"/>
          <w:sz w:val="18"/>
          <w:szCs w:val="18"/>
          <w:color w:val="auto"/>
        </w:rPr>
        <w:t>The Patent License Agreement, as amended, requires the Company to pay royalties based on a percentage of net sales in jurisdictions where patent rights exist, which percentage can fall into a tier that may be less than one percent to mid-single digits depending upon certain events, including the exclusivity of the rights. The Company is also required to pay potential milestone payments on the achievement of certain clinical, regulatory, and commercial sales milestones for each of the indications and other direct costs incurred by the NIH pursuant to the Patent License Agreement, as amended. The Company has made and anticipates making additional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Patent License Agreement, as amended. The term of the Patent License Agreement, as amended, continues until the expiry of the last-to-expire patent rights licensed thereunder, and the agreement contains standard termination provisions. The Company paid and recorded a $0.6 million milestone payment for an intellectual property license that was payable within 60 days of successful completion of the first Company-sponsored Phase 2 clinical study in melanoma, as research and development expenses, for the year ended December 31, 2023. The Company also paid a $1.5 million milestone payment for an intellectual property license that was payable within 60 days of the approval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use in the treatment of melanoma, and a $6.0 million milestone payment for an intellectual property license that was payable within 60 days of the approval of the first commercial sale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use in the treatment of melanoma in the U.S. in accordance with the requirements of the Patent License Agreement, as amended. Both aforementioned milestone payments have been capitalized and recorded as intangible assets on the consolidated balance sheet. The Company recorded $0.2 million, for each of the three months ended March 31, 2026, and 2025, respectively, as a component of cost of sales related to amortization of the milestone payments.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Minaris Advanced Therapies</w:t>
      </w:r>
    </w:p>
    <w:p>
      <w:pPr>
        <w:spacing w:after="0" w:line="189" w:lineRule="exact"/>
        <w:rPr>
          <w:sz w:val="20"/>
          <w:szCs w:val="20"/>
          <w:color w:val="auto"/>
        </w:rPr>
      </w:pPr>
    </w:p>
    <w:p>
      <w:pPr>
        <w:ind w:right="120" w:firstLine="492"/>
        <w:spacing w:after="0" w:line="256" w:lineRule="auto"/>
        <w:rPr>
          <w:sz w:val="20"/>
          <w:szCs w:val="20"/>
          <w:color w:val="auto"/>
        </w:rPr>
      </w:pPr>
      <w:r>
        <w:rPr>
          <w:rFonts w:ascii="Times New Roman" w:cs="Times New Roman" w:eastAsia="Times New Roman" w:hAnsi="Times New Roman"/>
          <w:sz w:val="18"/>
          <w:szCs w:val="18"/>
          <w:color w:val="auto"/>
        </w:rPr>
        <w:t>In November 2016, the Company entered into a manufacturing services agreement (the “First MSA”) with WuXi Apptec, Inc. (“WuXi Apptec”) pursuant to which WuXi Apptec agreed to provide manufacturing and other services for two cGMP manufacturing suites for clinical manufacturing and related testing services. The First MSA was amended and restated in December 2017, further amended and restated and assigned to the Company’s subsidiary Iovance Biotherapeutics Manufacturing LLC (“Iovance Manufacturing LLC”), and WuXi Advanced Therapies, Inc. in January 2020, and further amended in November 2020 and December 2021. The First MSA expired in November 2022.</w:t>
      </w:r>
    </w:p>
    <w:p>
      <w:pPr>
        <w:spacing w:after="0" w:line="160"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7"/>
          <w:szCs w:val="17"/>
          <w:color w:val="auto"/>
        </w:rPr>
        <w:t>In October 2022, Iovance Manufacturing LLC entered into an additional three-year manufacturing and services agreement (the “Second MSA”) with WuXi Advanced Therapies, Inc. and its parent company, WuXi Apptec Co., Ltd (collectively, “WuXi”), which, following the acquisition of WuXi, was amended in May 2025 to replace WuXi as party to the Second MSA with Advanced Therapies, LLC (operating under a trade name of Minaris Advanced Therapies, or “Minaris”). Under the Second MSA, Iovance Manufacturing LLC entered into a statement of work for two cGMP manufacturing suites to be operated by Minaris for Iovance Manufacturing LLC to support clinical and commercial manufacturing and related testing services. The Second MSA and its related statement of work superseded the statements of work under the First MSA with respect to manufacturing in the two suites and had an original expiration date of December 31, 2025, which was extended through the end of January 2026. Minaris has concluded production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clinical supply of lifileucel and its agreement terminated in the first quarter of 2026. </w:t>
      </w:r>
      <w:r>
        <w:rPr>
          <w:rFonts w:ascii="Times New Roman" w:cs="Times New Roman" w:eastAsia="Times New Roman" w:hAnsi="Times New Roman"/>
          <w:sz w:val="17"/>
          <w:szCs w:val="17"/>
          <w:color w:val="242424"/>
        </w:rPr>
        <w:t>The Company recorded costs associated</w:t>
      </w:r>
      <w:r>
        <w:rPr>
          <w:rFonts w:ascii="Times New Roman" w:cs="Times New Roman" w:eastAsia="Times New Roman" w:hAnsi="Times New Roman"/>
          <w:sz w:val="17"/>
          <w:szCs w:val="17"/>
          <w:color w:val="auto"/>
        </w:rPr>
        <w:t xml:space="preserve"> with agreements with Minaris of $6.2 million and $8.4 million for the three months ended March 31, 2026 and 2025, respectively, as costs and expenses included in the condensed consolidated </w:t>
      </w:r>
      <w:r>
        <w:rPr>
          <w:rFonts w:ascii="Times New Roman" w:cs="Times New Roman" w:eastAsia="Times New Roman" w:hAnsi="Times New Roman"/>
          <w:sz w:val="17"/>
          <w:szCs w:val="17"/>
          <w:color w:val="242424"/>
        </w:rPr>
        <w:t>statement of operations or as inventory in the condensed consolidated balance sheets.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Cellectis S.A.</w:t>
      </w:r>
    </w:p>
    <w:p>
      <w:pPr>
        <w:spacing w:after="0" w:line="189" w:lineRule="exact"/>
        <w:rPr>
          <w:sz w:val="20"/>
          <w:szCs w:val="20"/>
          <w:color w:val="auto"/>
        </w:rPr>
      </w:pPr>
    </w:p>
    <w:p>
      <w:pPr>
        <w:ind w:right="80" w:firstLine="492"/>
        <w:spacing w:after="0" w:line="238" w:lineRule="auto"/>
        <w:rPr>
          <w:sz w:val="20"/>
          <w:szCs w:val="20"/>
          <w:color w:val="auto"/>
        </w:rPr>
      </w:pPr>
      <w:r>
        <w:rPr>
          <w:rFonts w:ascii="Times New Roman" w:cs="Times New Roman" w:eastAsia="Times New Roman" w:hAnsi="Times New Roman"/>
          <w:sz w:val="18"/>
          <w:szCs w:val="18"/>
          <w:color w:val="auto"/>
        </w:rPr>
        <w:t>In December 2019, the Company entered into a research collaboration and exclusive worldwide license agreement whereby the Company will license gene-editing technology from Cellectis S.A. (“Cellectis”), a clinical-stage biopharmaceutical company, to develop TIL cell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-modified TIL products. The Company recorded costs associated with the license agreement with Cellectis of $0.1 million for each of the three months ended March 31, 2026 and 2025, respectively, as research and development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Pharma AG and Related Entities</w:t>
      </w:r>
    </w:p>
    <w:p>
      <w:pPr>
        <w:spacing w:after="0" w:line="18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In January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three months ended March 31, 2026, and for the three months ended March 31, 2025, the Company recorded $2.5 million related to the initiation of patient dosing.</w:t>
      </w:r>
    </w:p>
    <w:p>
      <w:pPr>
        <w:spacing w:after="0" w:line="151"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U.S. and the rest of world, which includes any and all sales outside of the U.S. The maximum amount of these milestone payments payable under these agreements is $30.0 million upon reaching several certain net sales amounts in the U.S.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the three months ended March 31, 2026 and 2025.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Boehringer Ingelheim Biopharmaceuticals GmbH</w:t>
      </w:r>
    </w:p>
    <w:p>
      <w:pPr>
        <w:spacing w:after="0" w:line="189" w:lineRule="exact"/>
        <w:rPr>
          <w:sz w:val="20"/>
          <w:szCs w:val="20"/>
          <w:color w:val="auto"/>
        </w:rPr>
      </w:pPr>
    </w:p>
    <w:p>
      <w:pPr>
        <w:ind w:right="60" w:firstLine="492"/>
        <w:spacing w:after="0" w:line="238"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unlabeled vials. The original term of this agreement was through October 2025, with automatic renewals for a period of two years unless terminated as permitted by the contract. In September 2025, the agreement was amended and extended through December 31, 2028. Under this amended agreement, the Company must purchase a minimum number of vials each year at fixed prices. The total estimated purchase obligations under this agreement for the remainder of the year ending December 31, 2026, and the years ending December 31, 2027, and 2028 are $9.1 million, $24.0 million, and $21.3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89"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 xml:space="preserve">The Company leases corporate office space in San Carlos, California, manufacturing, research and development lab facilities and office space in Philadelphia, Pennsylvania, including 136,000 square feet of commercial manufacturing and lab space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research and development lab facilities in Tampa, Florida. The determination whether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62" w:lineRule="exact"/>
        <w:rPr>
          <w:sz w:val="20"/>
          <w:szCs w:val="20"/>
          <w:color w:val="auto"/>
        </w:rPr>
      </w:pPr>
    </w:p>
    <w:p>
      <w:pPr>
        <w:ind w:right="200" w:firstLine="492"/>
        <w:spacing w:after="0" w:line="258" w:lineRule="auto"/>
        <w:rPr>
          <w:sz w:val="20"/>
          <w:szCs w:val="20"/>
          <w:color w:val="auto"/>
        </w:rPr>
      </w:pPr>
      <w:r>
        <w:rPr>
          <w:rFonts w:ascii="Times New Roman" w:cs="Times New Roman" w:eastAsia="Times New Roman" w:hAnsi="Times New Roman"/>
          <w:sz w:val="18"/>
          <w:szCs w:val="18"/>
          <w:color w:val="auto"/>
        </w:rPr>
        <w:t>The Company’s leases have remaining lease terms that range from less than one year to approximately 16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43"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21" w:lineRule="exact"/>
        <w:rPr>
          <w:sz w:val="20"/>
          <w:szCs w:val="20"/>
          <w:color w:val="auto"/>
        </w:rPr>
      </w:pPr>
    </w:p>
    <w:p>
      <w:pPr>
        <w:ind w:firstLine="492"/>
        <w:spacing w:after="0" w:line="289" w:lineRule="auto"/>
        <w:rPr>
          <w:sz w:val="20"/>
          <w:szCs w:val="20"/>
          <w:color w:val="auto"/>
        </w:rPr>
      </w:pPr>
      <w:r>
        <w:rPr>
          <w:rFonts w:ascii="Times New Roman" w:cs="Times New Roman" w:eastAsia="Times New Roman" w:hAnsi="Times New Roman"/>
          <w:sz w:val="17"/>
          <w:szCs w:val="17"/>
          <w:color w:val="auto"/>
        </w:rPr>
        <w:t>The Company also leases certain furniture and equipment that has a lease term of 12 months or less. Since the lease agreements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Office Lease</w:t>
      </w:r>
    </w:p>
    <w:p>
      <w:pPr>
        <w:spacing w:after="0" w:line="229"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On November 15, 2024, the Company entered into a sublease agreement (the “Headquarters Lease”) to relocate its office within the same building of its former San Carlos headquarters to lease approximately 16,731 square feet office space with the lease term of 24 months. The Headquarters Lease commenced on December 15, 2024 and includes two options to extend the terms of the lease for 12 months each, exercisable under certain conditions and at a rate increase by 3% from the applicable monthly base rent of approximately $0.1 million. Upon the commencement date, the Company recognized operating lease liabilities and right-of-use assets of $2.3 million.</w:t>
      </w:r>
    </w:p>
    <w:p>
      <w:pPr>
        <w:spacing w:after="0" w:line="183"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Simultaneously, the Company entered into an Agreement for Termination of Lease and Voluntary Surrender of Premises with its landlord related to its lease for its then existing and now former headquarters location to surrender 49,918 square feet office and laboratory space and paid an early lease termination payment to its landlord of $0.6 million and $2.5 million of related brokerage fees. In accordance with ASC 842, the termination of this lease resulted in derecognition of right-of-use assets and corresponding lease liabilities of $13.7 million and $22.3 million, respectively, which resulted in a $8.6 million gain, partially offset by the aforementioned lease termination related fees, recorded as interest and other income, net in the consolidated statement of operations for the year ended December 31, 2024.</w:t>
      </w:r>
    </w:p>
    <w:p>
      <w:pPr>
        <w:spacing w:after="0" w:line="189" w:lineRule="exact"/>
        <w:rPr>
          <w:sz w:val="20"/>
          <w:szCs w:val="20"/>
          <w:color w:val="auto"/>
        </w:rPr>
      </w:pPr>
    </w:p>
    <w:p>
      <w:pPr>
        <w:ind w:right="760" w:firstLine="492"/>
        <w:spacing w:after="0" w:line="282" w:lineRule="auto"/>
        <w:rPr>
          <w:sz w:val="20"/>
          <w:szCs w:val="20"/>
          <w:color w:val="auto"/>
        </w:rPr>
      </w:pPr>
      <w:r>
        <w:rPr>
          <w:rFonts w:ascii="Times New Roman" w:cs="Times New Roman" w:eastAsia="Times New Roman" w:hAnsi="Times New Roman"/>
          <w:sz w:val="18"/>
          <w:szCs w:val="18"/>
          <w:color w:val="auto"/>
        </w:rPr>
        <w:t>In addition, as a result of the early termination of the former headquarters lease, the Company impaired approximately $7.4 million of long-lived assets, which included leasehold improvements, and furniture and fixtures, previously funded by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landlord through a tenant improvement allowance for the former corporate headquarters office lease (as discussed further below), and is included in the research and development expenses and selling, general and administrative expenses in the consolidated statement of operations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Contracts</w:t>
      </w:r>
    </w:p>
    <w:p>
      <w:pPr>
        <w:spacing w:after="0" w:line="18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61" w:lineRule="exact"/>
        <w:rPr>
          <w:sz w:val="20"/>
          <w:szCs w:val="20"/>
          <w:color w:val="auto"/>
        </w:rPr>
      </w:pPr>
    </w:p>
    <w:p>
      <w:pPr>
        <w:jc w:val="both"/>
        <w:ind w:right="160" w:firstLine="492"/>
        <w:spacing w:after="0" w:line="261" w:lineRule="auto"/>
        <w:rPr>
          <w:sz w:val="20"/>
          <w:szCs w:val="20"/>
          <w:color w:val="auto"/>
        </w:rPr>
      </w:pPr>
      <w:r>
        <w:rPr>
          <w:rFonts w:ascii="Times New Roman" w:cs="Times New Roman" w:eastAsia="Times New Roman" w:hAnsi="Times New Roman"/>
          <w:sz w:val="18"/>
          <w:szCs w:val="18"/>
          <w:color w:val="auto"/>
        </w:rPr>
        <w:t>Further, the Company controls the use of the facilities by obtaining all of the economic benefits from the use of the facilities and directs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spacing w:after="0" w:line="139" w:lineRule="exact"/>
        <w:rPr>
          <w:sz w:val="20"/>
          <w:szCs w:val="20"/>
          <w:color w:val="auto"/>
        </w:rPr>
      </w:pPr>
    </w:p>
    <w:p>
      <w:pPr>
        <w:ind w:right="120" w:firstLine="492"/>
        <w:spacing w:after="0" w:line="254" w:lineRule="auto"/>
        <w:rPr>
          <w:sz w:val="20"/>
          <w:szCs w:val="20"/>
          <w:color w:val="auto"/>
        </w:rPr>
      </w:pPr>
      <w:r>
        <w:rPr>
          <w:rFonts w:ascii="Times New Roman" w:cs="Times New Roman" w:eastAsia="Times New Roman" w:hAnsi="Times New Roman"/>
          <w:sz w:val="18"/>
          <w:szCs w:val="18"/>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classification of the Company’s right-of-use asset and lease liabilities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8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included in current liabilities</w:t>
            </w:r>
          </w:p>
        </w:tc>
        <w:tc>
          <w:tcPr>
            <w:tcW w:w="2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portion included in non-current liabilities</w:t>
            </w:r>
          </w:p>
        </w:tc>
        <w:tc>
          <w:tcPr>
            <w:tcW w:w="2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60" w:type="dxa"/>
            <w:vAlign w:val="bottom"/>
            <w:vMerge w:val="restart"/>
          </w:tcPr>
          <w:p>
            <w:pPr>
              <w:jc w:val="right"/>
              <w:ind w:right="1896"/>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89" w:lineRule="auto"/>
        <w:rPr>
          <w:sz w:val="20"/>
          <w:szCs w:val="20"/>
          <w:color w:val="auto"/>
        </w:rPr>
      </w:pPr>
      <w:r>
        <w:rPr>
          <w:rFonts w:ascii="Times New Roman" w:cs="Times New Roman" w:eastAsia="Times New Roman" w:hAnsi="Times New Roman"/>
          <w:sz w:val="17"/>
          <w:szCs w:val="17"/>
          <w:color w:val="auto"/>
        </w:rPr>
        <w:t>The following table summarizes components of lease expenses, which were included in total expenses in the Company’s condensed consolidated statements of operations and in inventory in the condensed consolidated balance sheets, and other information related to the Company’s operating leases as follows (in thousands, except weighted-average remaining lease terms and discount rates):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54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lef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3,354</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4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included in cash flows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operations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2,924</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right-of-use assets from lease modifications</w:t>
            </w:r>
          </w:p>
        </w:tc>
        <w:tc>
          <w:tcPr>
            <w:tcW w:w="18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40" w:type="dxa"/>
            <w:vAlign w:val="bottom"/>
            <w:gridSpan w:val="12"/>
          </w:tcPr>
          <w:p>
            <w:pPr>
              <w:jc w:val="right"/>
              <w:ind w:right="40"/>
              <w:spacing w:after="0"/>
              <w:rPr>
                <w:sz w:val="20"/>
                <w:szCs w:val="20"/>
                <w:color w:val="auto"/>
              </w:rPr>
            </w:pPr>
            <w:r>
              <w:rPr>
                <w:rFonts w:ascii="Times New Roman" w:cs="Times New Roman" w:eastAsia="Times New Roman" w:hAnsi="Times New Roman"/>
                <w:sz w:val="18"/>
                <w:szCs w:val="18"/>
                <w:color w:val="auto"/>
              </w:rPr>
              <w:t>As of March 31, 2026, the maturities of the Company’s operating lease liabilities were as follows (in thousands):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CMO</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LEGAL PROCEEDINGS</w:t>
      </w:r>
    </w:p>
    <w:p>
      <w:pPr>
        <w:spacing w:after="0" w:line="189"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u w:val="single" w:color="auto"/>
          <w:color w:val="auto"/>
        </w:rPr>
        <w:t>Shumacher Derivative Lawsuit.</w:t>
      </w:r>
      <w:r>
        <w:rPr>
          <w:rFonts w:ascii="Times New Roman" w:cs="Times New Roman" w:eastAsia="Times New Roman" w:hAnsi="Times New Roman"/>
          <w:sz w:val="18"/>
          <w:szCs w:val="18"/>
          <w:color w:val="auto"/>
        </w:rPr>
        <w:t xml:space="preserve"> On December 11, 2020, a purported stockholder derivative complaint was filed by plaintiff Leo Shumacher against the Company, as nominal defendant, and then current directors, as defendants, in the Court of Chancery in the State of Delaware (the “Court of Chancery”). The complaint alleges breach of fiduciary duty and a claim for unjust enrichment in connection with alleged excessive compensation of certain non-executive directors of the Company and seeks unspecified damages on behalf of the Company. The parties agreed to a proposed settlement, which was submitted to the Court of Chancery on June 15, 2022. After a hearing on November 17, 2022, the Court of Chancery required the parties to take additional steps before it would approve the settlement. The Company, as nominal defendant, and its current directors, as defendants, answered the complaint on February 3, 2023. The parties agreed to a revised proposed settlement, which was submitted to the Court of Chancery on March 12, 2024. On January 17, 2025, a non-party stockholder (The Paul Berger Revocable Trust), which objected to the revised proposed settlement, filed a derivative complaint and letter with the Court suggesting consolidation. On May 29, 2025, the Court issued an order consolidating the cases and appointing the Paul Berger Revocable Trust as lead plaintiff and its counsel as lead counsel. On September 2, 2025, the plaintiff filed a consolidated complaint in the matter, now captioned </w:t>
      </w:r>
      <w:r>
        <w:rPr>
          <w:rFonts w:ascii="Times New Roman" w:cs="Times New Roman" w:eastAsia="Times New Roman" w:hAnsi="Times New Roman"/>
          <w:sz w:val="18"/>
          <w:szCs w:val="18"/>
          <w:i w:val="1"/>
          <w:iCs w:val="1"/>
          <w:color w:val="auto"/>
        </w:rPr>
        <w:t>In re: Iovance Biotherapeutics, Inc. Stockholder Litigation</w:t>
      </w:r>
      <w:r>
        <w:rPr>
          <w:rFonts w:ascii="Times New Roman" w:cs="Times New Roman" w:eastAsia="Times New Roman" w:hAnsi="Times New Roman"/>
          <w:sz w:val="18"/>
          <w:szCs w:val="18"/>
          <w:color w:val="auto"/>
        </w:rPr>
        <w:t>. The defendants filed a motion to dismiss certain claims in the consolidated complaint on November 24, 2025, the plaintiff’s response to which will be filed after resolution of certain discovery issues. The Company intends to vigorously defend against this matter.</w:t>
      </w:r>
    </w:p>
    <w:p>
      <w:pPr>
        <w:spacing w:after="0" w:line="19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u w:val="single" w:color="auto"/>
          <w:color w:val="auto"/>
        </w:rPr>
        <w:t>Ohio Laborers Derivative Lawsuit.</w:t>
      </w:r>
      <w:r>
        <w:rPr>
          <w:rFonts w:ascii="Times New Roman" w:cs="Times New Roman" w:eastAsia="Times New Roman" w:hAnsi="Times New Roman"/>
          <w:sz w:val="18"/>
          <w:szCs w:val="18"/>
          <w:color w:val="auto"/>
        </w:rPr>
        <w:t xml:space="preserve"> On September 11, 2024, a purported stockholder derivative complaint was filed by plaintiff Northern California Pipe Trades Trust Fund against the Company, as nominal defendant, and certain directors, as defendants, in the Court of Chancery. The complaint alleges breach of fiduciary duty in connection with the February 2024 underwritten public offering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23,014,000 shares of the Company’s common stock. On November 22, 2024, the defendants filed a motion to dismiss the complaint. On December 5, 2024, the plaintiff filed an amended complaint adding an additional director defendant. On January 10, 2025, defendants filed a motion to dismiss the amended complaint. On February 3, 2025, the Court approved substitution of Laborers’ District Council and Contractors’ Pension Fund of Ohio (“Ohio Laborers”) as representative plaintiff. The plaintiff filed a motion for leave to file a second amended complaint on October 2, 2025. On October 21, 2025, the Court granted the parties’ stipulation allowing the plaintiff to file its second amended complaint, which it filed on October 22, 2025. The defendants filed a motion to dismiss the second amended complaint on December 12, 2025. On February 11, 2026, the plaintiff filed an opposition to the defendants’ motion to dismiss. The defendants filed their reply brief on March 18, 2026. The Company intends to vigorously defend against this complaint.</w:t>
      </w:r>
    </w:p>
    <w:p>
      <w:pPr>
        <w:spacing w:after="0" w:line="190" w:lineRule="exact"/>
        <w:rPr>
          <w:sz w:val="20"/>
          <w:szCs w:val="20"/>
          <w:color w:val="auto"/>
        </w:rPr>
      </w:pPr>
    </w:p>
    <w:p>
      <w:pPr>
        <w:ind w:right="120" w:firstLine="492"/>
        <w:spacing w:after="0" w:line="277" w:lineRule="auto"/>
        <w:rPr>
          <w:sz w:val="20"/>
          <w:szCs w:val="20"/>
          <w:color w:val="auto"/>
        </w:rPr>
      </w:pPr>
      <w:r>
        <w:rPr>
          <w:rFonts w:ascii="Times New Roman" w:cs="Times New Roman" w:eastAsia="Times New Roman" w:hAnsi="Times New Roman"/>
          <w:sz w:val="17"/>
          <w:szCs w:val="17"/>
          <w:u w:val="single" w:color="auto"/>
          <w:color w:val="auto"/>
        </w:rPr>
        <w:t>Solomon Capital, LLC.</w:t>
      </w:r>
      <w:r>
        <w:rPr>
          <w:rFonts w:ascii="Times New Roman" w:cs="Times New Roman" w:eastAsia="Times New Roman" w:hAnsi="Times New Roman"/>
          <w:sz w:val="17"/>
          <w:szCs w:val="17"/>
          <w:color w:val="auto"/>
        </w:rPr>
        <w:t xml:space="preserve"> On April 8, 2016, a lawsuit (the “First Solomon Suit”) titled </w:t>
      </w:r>
      <w:r>
        <w:rPr>
          <w:rFonts w:ascii="Times New Roman" w:cs="Times New Roman" w:eastAsia="Times New Roman" w:hAnsi="Times New Roman"/>
          <w:sz w:val="17"/>
          <w:szCs w:val="17"/>
          <w:i w:val="1"/>
          <w:iCs w:val="1"/>
          <w:color w:val="auto"/>
        </w:rPr>
        <w:t>Solomon Capital, LLC, Solomon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401(K) Trust, Solomon Sharbat and Shelhav Raff v. Lion Biotechnologies, Inc. </w:t>
      </w:r>
      <w:r>
        <w:rPr>
          <w:rFonts w:ascii="Times New Roman" w:cs="Times New Roman" w:eastAsia="Times New Roman" w:hAnsi="Times New Roman"/>
          <w:sz w:val="17"/>
          <w:szCs w:val="17"/>
          <w:color w:val="auto"/>
        </w:rPr>
        <w:t>was filed by Solomon Capital, LLC, Solomon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401(k) Trust, Solomon Sharbat and Shelhav Raff (“Solomon Plaintiffs”) against the Company in the Supreme Court of the State of New York, County of New York (index no. 651881/2016) (the “court”). The Solomon Plaintiffs allege that, between June and November 2012, they provided the Company $0.1 million and that they advanced and paid on behalf of the Company an additional $0.2 million.</w:t>
      </w:r>
    </w:p>
    <w:p>
      <w:pPr>
        <w:spacing w:after="0" w:line="129"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The Company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65"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its counterclaims, the Company seeks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January 22, 2025, Solomon Sharbat and Shelhav Raff (through new legal counsel) filed a motion for leave to file an amended complaint in the First Solomon Suit, which the Company opposed. On March 10, 2025, the Company filed a motion for summary judgment, in the First Solomon Suit. Following oral argument on December 3, 2025, the court denied the Solomon Plaintiffs’ motion for leave to amend and granted the Company’s motion for summary judgment. The Solomon Plaintiffs filed a notice of appeal of the court’s decision to the Appellate Division on April 13, 2026.</w:t>
      </w:r>
    </w:p>
    <w:p>
      <w:pPr>
        <w:spacing w:after="0" w:line="147"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 xml:space="preserve">On September 27, 2019, the Solomon Plaintiffs filed a new lawsuit (through new legal counsel) (the “Second Solomon Suit”) titled </w:t>
      </w:r>
      <w:r>
        <w:rPr>
          <w:rFonts w:ascii="Times New Roman" w:cs="Times New Roman" w:eastAsia="Times New Roman" w:hAnsi="Times New Roman"/>
          <w:sz w:val="18"/>
          <w:szCs w:val="18"/>
          <w:i w:val="1"/>
          <w:iCs w:val="1"/>
          <w:color w:val="auto"/>
        </w:rPr>
        <w:t>Solomon Capital, LLC, Solomon Capital 401(K) Trust, Solomon Sharbat and Shelhav Raff v. Iovance Biotherapeutics,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f/k/a/ Genesis Biopharma Inc., and Manish Singh </w:t>
      </w:r>
      <w:r>
        <w:rPr>
          <w:rFonts w:ascii="Times New Roman" w:cs="Times New Roman" w:eastAsia="Times New Roman" w:hAnsi="Times New Roman"/>
          <w:sz w:val="18"/>
          <w:szCs w:val="18"/>
          <w:color w:val="auto"/>
        </w:rPr>
        <w:t>in the Supreme Court of the State of New York, County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67" w:lineRule="auto"/>
        <w:rPr>
          <w:sz w:val="20"/>
          <w:szCs w:val="20"/>
          <w:color w:val="auto"/>
        </w:rPr>
      </w:pPr>
      <w:r>
        <w:rPr>
          <w:rFonts w:ascii="Times New Roman" w:cs="Times New Roman" w:eastAsia="Times New Roman" w:hAnsi="Times New Roman"/>
          <w:sz w:val="17"/>
          <w:szCs w:val="17"/>
          <w:color w:val="auto"/>
        </w:rPr>
        <w:t>On February 18, 2020, the Company filed a removal petition and removed the Second Solomon Suit to the U.S. District Court for the Southern District of New York (the “District Court”), where the case has been assigned case no. 1:20-cv-1391. On May 22, 2020, the Company moved to dismiss the Second Solomon Suit for lack of personal jurisdiction. On March 26, 2021, the District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District Court granted the Company’s motions for judgment on the pleadings, dismissing the second and third claims against the Company and dismissing all claims against Singh. On January 4, 2023, the District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District Court’s decision and order on the Rule 11 motion, only the Solomon Plaintiffs’ fifth and sixth claims, for unjust enrichment and indemnification, respectively, remained pending against the Company. On October 26, 2023, the District Court granted the Company’s motion for summary judgment and dismissed the Solomon Plaintiffs’ fifth and sixth claims. On October 27, 2023, the District Court entered judgment for the Company and closed the Second Solomon Suit. On November 10, 2023, the Company filed a motion for attorneys’ fees as the prevailing party in the action. On December 1, 2023, the Solomon Plaintiffs filed a notice of appeal to the U.S. Court of Appeals for the Second Circuit appealing the District Court’s orders (a) granting the motions for judgment on the pleadings filed on behalf of Singh and the Company, (b) granting the Company’s Rule 11 motion, (c) denying the Solomon Plaintiffs’ motions to compel discovery and re-open discovery, and (d) granting the Company’s summary judgment motion. On December 22, 2023, the Company filed a motion for an order requiring the Solomon Plaintiffs to post an appeal bond, to ensure payment of the Company’s appellate fees and costs should the Company prevail on the appeal. On May 9, 2024, the District Court issued an order granting the Company’s motions for attorneys’ fees and for an appeal bond. On June 28, 2024, the Company filed motions to dismiss the appeal on the grounds that the Solomon Plaintiffs (a) do not have an opening brief on file, which the Second Circuit Court denied, and</w:t>
      </w:r>
    </w:p>
    <w:p>
      <w:pPr>
        <w:spacing w:after="0" w:line="202" w:lineRule="exact"/>
        <w:rPr>
          <w:sz w:val="20"/>
          <w:szCs w:val="20"/>
          <w:color w:val="auto"/>
        </w:rPr>
      </w:pPr>
    </w:p>
    <w:p>
      <w:pPr>
        <w:ind w:firstLine="8"/>
        <w:spacing w:after="0" w:line="25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filed an appeal bond. The District Court entered judgment in favor of the Company on September 23, 2024, including a monetary award pursuant to the District Court’s Rule 11 order and orders for attorneys’ fees and costs. On October 9, 2024, the Second Circuit Court stated that it will dismiss the appeal unless the Solomon Plaintiffs post the appeal bond by October 23, 2024. The Solomon Plaintiffs then moved for an extension of time until November 23, 2024 to post the appeal bond. The Company filed an opposition to the motion. The Second Circuit Court denied the Solomon Plaintiffs’ motion for an extension of time on November 7, 2024, and dismissed the appeal on November 8, 2024. On August 15, 2025, the Solomon Plaintiffs filed a motion to vacate or modify the Rule 11 sanctions order, which the District Court denied on September 4, 2025. On January 29, 2026, the Solomon Plaintiffs filed a motion for extension of time to appeal the District Court’s September 4, 2025 order and for a stay of collection efforts, which the Company opposed on February 4, 2026. On March 23, 2026, the District Court denied the Solomon Plaintiffs’ motion for extension of time to appeal.</w:t>
      </w:r>
    </w:p>
    <w:p>
      <w:pPr>
        <w:spacing w:after="0" w:line="153" w:lineRule="exact"/>
        <w:rPr>
          <w:sz w:val="20"/>
          <w:szCs w:val="20"/>
          <w:color w:val="auto"/>
        </w:rPr>
      </w:pPr>
    </w:p>
    <w:p>
      <w:pPr>
        <w:jc w:val="both"/>
        <w:ind w:right="120" w:firstLine="492"/>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Class Actions and Shareholder Derivative Cases.</w:t>
      </w:r>
      <w:r>
        <w:rPr>
          <w:rFonts w:ascii="Times New Roman" w:cs="Times New Roman" w:eastAsia="Times New Roman" w:hAnsi="Times New Roman"/>
          <w:sz w:val="18"/>
          <w:szCs w:val="18"/>
          <w:color w:val="auto"/>
        </w:rPr>
        <w:t xml:space="preserve"> On May 15, 2025, two putative securities class actions were filed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United States District Court for the Northern District of California (“Northern District of California”), captioned </w:t>
      </w:r>
      <w:r>
        <w:rPr>
          <w:rFonts w:ascii="Times New Roman" w:cs="Times New Roman" w:eastAsia="Times New Roman" w:hAnsi="Times New Roman"/>
          <w:sz w:val="18"/>
          <w:szCs w:val="18"/>
          <w:i w:val="1"/>
          <w:iCs w:val="1"/>
          <w:color w:val="auto"/>
        </w:rPr>
        <w:t>Sundaram v. Iovance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Biotherapeutics, Inc., et al</w:t>
      </w:r>
      <w:r>
        <w:rPr>
          <w:rFonts w:ascii="Times New Roman" w:cs="Times New Roman" w:eastAsia="Times New Roman" w:hAnsi="Times New Roman"/>
          <w:sz w:val="18"/>
          <w:szCs w:val="18"/>
          <w:color w:val="auto"/>
        </w:rPr>
        <w:t>., No. 25-cv-04177 (“</w:t>
      </w:r>
      <w:r>
        <w:rPr>
          <w:rFonts w:ascii="Times New Roman" w:cs="Times New Roman" w:eastAsia="Times New Roman" w:hAnsi="Times New Roman"/>
          <w:sz w:val="18"/>
          <w:szCs w:val="18"/>
          <w:i w:val="1"/>
          <w:iCs w:val="1"/>
          <w:color w:val="auto"/>
        </w:rPr>
        <w:t>Sundaram</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Farberov v. Iovance Biotherapeutics, Inc., et al</w:t>
      </w:r>
      <w:r>
        <w:rPr>
          <w:rFonts w:ascii="Times New Roman" w:cs="Times New Roman" w:eastAsia="Times New Roman" w:hAnsi="Times New Roman"/>
          <w:sz w:val="18"/>
          <w:szCs w:val="18"/>
          <w:color w:val="auto"/>
        </w:rPr>
        <w:t>., No. 25-cv-04199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Farberov</w:t>
      </w:r>
      <w:r>
        <w:rPr>
          <w:rFonts w:ascii="Times New Roman" w:cs="Times New Roman" w:eastAsia="Times New Roman" w:hAnsi="Times New Roman"/>
          <w:sz w:val="18"/>
          <w:szCs w:val="18"/>
          <w:color w:val="auto"/>
        </w:rPr>
        <w:t>”), naming the Company and certain of the Company’s officers as defendants. The complaints purport to assert claims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defendants under Section 10(b) of the Securities Exchange Act of 1934 (the “1934 Act”), SEC Rule 10b-5, and Section 20(a)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1934 Act. The </w:t>
      </w:r>
      <w:r>
        <w:rPr>
          <w:rFonts w:ascii="Times New Roman" w:cs="Times New Roman" w:eastAsia="Times New Roman" w:hAnsi="Times New Roman"/>
          <w:sz w:val="18"/>
          <w:szCs w:val="18"/>
          <w:i w:val="1"/>
          <w:iCs w:val="1"/>
          <w:color w:val="auto"/>
        </w:rPr>
        <w:t>Sundaram</w:t>
      </w:r>
      <w:r>
        <w:rPr>
          <w:rFonts w:ascii="Times New Roman" w:cs="Times New Roman" w:eastAsia="Times New Roman" w:hAnsi="Times New Roman"/>
          <w:sz w:val="18"/>
          <w:szCs w:val="18"/>
          <w:color w:val="auto"/>
        </w:rPr>
        <w:t xml:space="preserve"> action is on behalf of persons or entities who acquired the Company’s common stock between August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May 8, 2025, and the </w:t>
      </w:r>
      <w:r>
        <w:rPr>
          <w:rFonts w:ascii="Times New Roman" w:cs="Times New Roman" w:eastAsia="Times New Roman" w:hAnsi="Times New Roman"/>
          <w:sz w:val="18"/>
          <w:szCs w:val="18"/>
          <w:i w:val="1"/>
          <w:iCs w:val="1"/>
          <w:color w:val="auto"/>
        </w:rPr>
        <w:t>Farberov</w:t>
      </w:r>
      <w:r>
        <w:rPr>
          <w:rFonts w:ascii="Times New Roman" w:cs="Times New Roman" w:eastAsia="Times New Roman" w:hAnsi="Times New Roman"/>
          <w:sz w:val="18"/>
          <w:szCs w:val="18"/>
          <w:color w:val="auto"/>
        </w:rPr>
        <w:t xml:space="preserve"> action is on behalf of persons or entities who acquired the Company’s common stock between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 2024 and May 8, 2025. Each putative class action arises out of the Company’s quarterly disclosure of financial results on May 8,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decline in the price of the Company’s common stock the following day, and involve allegations that during the respective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defendants made materially false and misleading statements regarding the Company’s expected revenue for fiscal year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plaintiffs claim artificially inflated the price of the Company’s common stock. The actions seek compensatory damages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incurred in the actions, including attorneys’ fees. On December 15, 2025, the court consolidated the class 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now captioned </w:t>
      </w:r>
      <w:r>
        <w:rPr>
          <w:rFonts w:ascii="Times New Roman" w:cs="Times New Roman" w:eastAsia="Times New Roman" w:hAnsi="Times New Roman"/>
          <w:sz w:val="18"/>
          <w:szCs w:val="18"/>
          <w:i w:val="1"/>
          <w:iCs w:val="1"/>
          <w:color w:val="auto"/>
        </w:rPr>
        <w:t>In re Iovance Biotherapeutics, Inc. Securities Litigation</w:t>
      </w:r>
      <w:r>
        <w:rPr>
          <w:rFonts w:ascii="Times New Roman" w:cs="Times New Roman" w:eastAsia="Times New Roman" w:hAnsi="Times New Roman"/>
          <w:sz w:val="18"/>
          <w:szCs w:val="18"/>
          <w:color w:val="auto"/>
        </w:rPr>
        <w:t>, No. 25-cv-04177, and appointed lead plaintiff and plaintiffs’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w:t>
      </w:r>
    </w:p>
    <w:p>
      <w:pPr>
        <w:spacing w:after="0" w:line="232" w:lineRule="exact"/>
        <w:rPr>
          <w:sz w:val="20"/>
          <w:szCs w:val="20"/>
          <w:color w:val="auto"/>
        </w:rPr>
      </w:pPr>
    </w:p>
    <w:p>
      <w:pPr>
        <w:ind w:right="40" w:firstLine="492"/>
        <w:spacing w:after="0" w:line="284" w:lineRule="auto"/>
        <w:rPr>
          <w:sz w:val="20"/>
          <w:szCs w:val="20"/>
          <w:color w:val="auto"/>
        </w:rPr>
      </w:pPr>
      <w:r>
        <w:rPr>
          <w:rFonts w:ascii="Times New Roman" w:cs="Times New Roman" w:eastAsia="Times New Roman" w:hAnsi="Times New Roman"/>
          <w:sz w:val="18"/>
          <w:szCs w:val="18"/>
          <w:color w:val="auto"/>
        </w:rPr>
        <w:t xml:space="preserve">On June 5, 2025, two putative shareholder derivative lawsuits were filed in the Northern District of California, captioned </w:t>
      </w:r>
      <w:r>
        <w:rPr>
          <w:rFonts w:ascii="Times New Roman" w:cs="Times New Roman" w:eastAsia="Times New Roman" w:hAnsi="Times New Roman"/>
          <w:sz w:val="18"/>
          <w:szCs w:val="18"/>
          <w:i w:val="1"/>
          <w:iCs w:val="1"/>
          <w:color w:val="auto"/>
        </w:rPr>
        <w:t>Hollin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Vogt, et al</w:t>
      </w:r>
      <w:r>
        <w:rPr>
          <w:rFonts w:ascii="Times New Roman" w:cs="Times New Roman" w:eastAsia="Times New Roman" w:hAnsi="Times New Roman"/>
          <w:sz w:val="18"/>
          <w:szCs w:val="18"/>
          <w:color w:val="auto"/>
        </w:rPr>
        <w:t>., 3:25-cv-04740 and</w:t>
      </w:r>
      <w:r>
        <w:rPr>
          <w:rFonts w:ascii="Times New Roman" w:cs="Times New Roman" w:eastAsia="Times New Roman" w:hAnsi="Times New Roman"/>
          <w:sz w:val="18"/>
          <w:szCs w:val="18"/>
          <w:i w:val="1"/>
          <w:iCs w:val="1"/>
          <w:color w:val="auto"/>
        </w:rPr>
        <w:t xml:space="preserve"> Gera, et al. v. Vogt, et al</w:t>
      </w:r>
      <w:r>
        <w:rPr>
          <w:rFonts w:ascii="Times New Roman" w:cs="Times New Roman" w:eastAsia="Times New Roman" w:hAnsi="Times New Roman"/>
          <w:sz w:val="18"/>
          <w:szCs w:val="18"/>
          <w:color w:val="auto"/>
        </w:rPr>
        <w:t>., 3:25-cv-04794, purportedly brought on behalf of Iovance against certain</w:t>
      </w:r>
    </w:p>
    <w:p>
      <w:pPr>
        <w:sectPr>
          <w:pgSz w:w="11900" w:h="16838" w:orient="portrait"/>
          <w:cols w:equalWidth="0" w:num="1">
            <w:col w:w="9900"/>
          </w:cols>
          <w:pgMar w:left="980" w:top="661" w:right="101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 xml:space="preserve">current and former officers and directors of the Company. A third putative shareholder derivative lawsuit, captioned </w:t>
      </w:r>
      <w:r>
        <w:rPr>
          <w:rFonts w:ascii="Times New Roman" w:cs="Times New Roman" w:eastAsia="Times New Roman" w:hAnsi="Times New Roman"/>
          <w:sz w:val="17"/>
          <w:szCs w:val="17"/>
          <w:i w:val="1"/>
          <w:iCs w:val="1"/>
          <w:color w:val="auto"/>
        </w:rPr>
        <w:t>Bitton v. Bellemin,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3:25-cv-09701, was filed in the Northern District of California on November 12, 2025. Iovance is named as a nominal defendant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complaints. The lawsuits contain allegations based on or similar to those in the putative securities class actions and claim, among other things, that the named individual defendants breached their fiduciary duties and violated Section 14(a) of the 1934 Act by issuing or causing the Company to issue false and misleading disclosures concerning the Company’s financial forecasts for fiscal year 2025.</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Before filing the complaints, the plaintiffs did not make a demand that the Company’s Board of Directors consider the claims therein. The lawsuits seek money damages, corporate governance reforms, restitution, punitive damages, and costs and expenses of the lawsuits, including attorneys’ fees. On December 15, 2025, the court consolidated the derivative lawsuits, now captioned </w:t>
      </w:r>
      <w:r>
        <w:rPr>
          <w:rFonts w:ascii="Times New Roman" w:cs="Times New Roman" w:eastAsia="Times New Roman" w:hAnsi="Times New Roman"/>
          <w:sz w:val="18"/>
          <w:szCs w:val="18"/>
          <w:i w:val="1"/>
          <w:iCs w:val="1"/>
          <w:color w:val="auto"/>
        </w:rPr>
        <w:t>In re Iovance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Biotherapeutics, Inc. Derivative Litigation</w:t>
      </w:r>
      <w:r>
        <w:rPr>
          <w:rFonts w:ascii="Times New Roman" w:cs="Times New Roman" w:eastAsia="Times New Roman" w:hAnsi="Times New Roman"/>
          <w:sz w:val="18"/>
          <w:szCs w:val="18"/>
          <w:color w:val="auto"/>
        </w:rPr>
        <w:t>, No. 5:25-cv-04740, and appointed co-lead plaintiff and plaintiffs’ counsel. On March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the court granted the parties’ stipulation to stay the derivative litigation pending resolution of the securities litigation. The plaintiff in the securities litigation filed a consolidated amended complaint on April 15, 2026.</w:t>
      </w:r>
    </w:p>
    <w:p>
      <w:pPr>
        <w:spacing w:after="0" w:line="149" w:lineRule="exact"/>
        <w:rPr>
          <w:sz w:val="20"/>
          <w:szCs w:val="20"/>
          <w:color w:val="auto"/>
        </w:rPr>
      </w:pPr>
    </w:p>
    <w:p>
      <w:pPr>
        <w:ind w:right="260" w:firstLine="492"/>
        <w:spacing w:after="0" w:line="282" w:lineRule="auto"/>
        <w:rPr>
          <w:sz w:val="20"/>
          <w:szCs w:val="20"/>
          <w:color w:val="auto"/>
        </w:rPr>
      </w:pPr>
      <w:r>
        <w:rPr>
          <w:rFonts w:ascii="Times New Roman" w:cs="Times New Roman" w:eastAsia="Times New Roman" w:hAnsi="Times New Roman"/>
          <w:sz w:val="18"/>
          <w:szCs w:val="18"/>
          <w:color w:val="auto"/>
        </w:rPr>
        <w:t>Based on the preliminary nature of the proceedings in these actions, the outcomes remain uncertain and we cannot estimate the potential impact, if any, on the Company’s business or financial statements at this time.</w:t>
      </w:r>
    </w:p>
    <w:p>
      <w:pPr>
        <w:spacing w:after="0" w:line="135"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The Company has been and may continue to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INCOME TAXES</w:t>
      </w:r>
    </w:p>
    <w:p>
      <w:pPr>
        <w:spacing w:after="0" w:line="18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ASU 2023-09 – Income Taxes (“ASC 740”) generally requires calculating its provision for income taxes during each interim reporting period on the basis of an estimated annual effective tax rate adjusted for tax items that are discrete to each period. However, when reliable estimate cannot be made, the Company computes its provision for income taxes using the actual effective tax rate (discrete method) for the year-to-date period. For the three months ended March 31, 2026, small changes in estimated annual pretax income (loss) by legal entity can produce a significant variance in the annual effective tax rate. This variability produces an unreliable estimate of the income tax expense. As a result, in accordance with ASC 740, the Company has computed its benefit from income taxes for the three months ended March 31, 2026 by applying the actual effective tax rate to the pretax loss for the three month period. For the three months ended March 31, 2025, the Company used the estimated annual effective tax rate method to compute tax benefit.</w:t>
      </w:r>
    </w:p>
    <w:p>
      <w:pPr>
        <w:spacing w:after="0" w:line="165" w:lineRule="exact"/>
        <w:rPr>
          <w:sz w:val="20"/>
          <w:szCs w:val="20"/>
          <w:color w:val="auto"/>
        </w:rPr>
      </w:pPr>
    </w:p>
    <w:p>
      <w:pPr>
        <w:ind w:right="200" w:firstLine="492"/>
        <w:spacing w:after="0" w:line="261" w:lineRule="auto"/>
        <w:rPr>
          <w:sz w:val="20"/>
          <w:szCs w:val="20"/>
          <w:color w:val="auto"/>
        </w:rPr>
      </w:pPr>
      <w:r>
        <w:rPr>
          <w:rFonts w:ascii="Times New Roman" w:cs="Times New Roman" w:eastAsia="Times New Roman" w:hAnsi="Times New Roman"/>
          <w:sz w:val="18"/>
          <w:szCs w:val="18"/>
          <w:color w:val="auto"/>
        </w:rPr>
        <w:t>The Company recorded a tax benefit of $0.7 million and $1.8 million for the three months ended March 31, 2026 and 2025 respectively, which resulted in effective tax rates of 0.83% and 1.6%, respectively. The effective tax rate is different from the U.S. statutory rate of 21% due to the full valuation allowance against tax losses in the U.S. The income tax benefit for the periods presented for 2026 and 2025 primarily relate to operations in the UK and realization of related deferred taxes.</w:t>
      </w:r>
    </w:p>
    <w:p>
      <w:pPr>
        <w:spacing w:after="0" w:line="139" w:lineRule="exact"/>
        <w:rPr>
          <w:sz w:val="20"/>
          <w:szCs w:val="20"/>
          <w:color w:val="auto"/>
        </w:rPr>
      </w:pPr>
    </w:p>
    <w:p>
      <w:pPr>
        <w:jc w:val="both"/>
        <w:ind w:right="100" w:firstLine="492"/>
        <w:spacing w:after="0" w:line="266" w:lineRule="auto"/>
        <w:rPr>
          <w:sz w:val="20"/>
          <w:szCs w:val="20"/>
          <w:color w:val="auto"/>
        </w:rPr>
      </w:pPr>
      <w:r>
        <w:rPr>
          <w:rFonts w:ascii="Times New Roman" w:cs="Times New Roman" w:eastAsia="Times New Roman" w:hAnsi="Times New Roman"/>
          <w:sz w:val="18"/>
          <w:szCs w:val="18"/>
          <w:color w:val="auto"/>
        </w:rPr>
        <w:t>As of March 31, 2026, the Company continued to maintain its full valuation allowance against U.S. federal and state net deferred tax assets as it expected to be in a cumulative loss position and does not have sufficient positive evidence to support the realizability of its U.S. net deferred tax assets.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443"/>
        <w:spacing w:after="0" w:line="270"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Our mission is to be the global leader in innovating, developing, and delivering tumor infiltrating lymphocyte, or TIL, cell therapies for patients with solid tumor cancers. TIL cell therapies harness the individual immune system’s ability to recognize and destroy diverse cancer cells that are unique to each patient. These individualized therapies are manufactured using centralized, scalable, and proprietary manufacturing processes which rejuvenate and multiply each patient’s polyclonal T cells into the billions.</w:t>
      </w:r>
    </w:p>
    <w:p>
      <w:pPr>
        <w:spacing w:after="0" w:line="199" w:lineRule="exact"/>
        <w:rPr>
          <w:sz w:val="20"/>
          <w:szCs w:val="20"/>
          <w:color w:val="auto"/>
        </w:rPr>
      </w:pPr>
    </w:p>
    <w:p>
      <w:pPr>
        <w:ind w:right="120" w:firstLine="443"/>
        <w:spacing w:after="0" w:line="271" w:lineRule="auto"/>
        <w:rPr>
          <w:sz w:val="20"/>
          <w:szCs w:val="20"/>
          <w:color w:val="auto"/>
        </w:rPr>
      </w:pPr>
      <w:r>
        <w:rPr>
          <w:rFonts w:ascii="Times New Roman" w:cs="Times New Roman" w:eastAsia="Times New Roman" w:hAnsi="Times New Roman"/>
          <w:sz w:val="18"/>
          <w:szCs w:val="18"/>
          <w:color w:val="auto"/>
        </w:rPr>
        <w:t>Iovance was founded to build upon the promise of TIL cell therapy initially developed at academic research centers, including the National Cancer Institute, or the NCI. Our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w:t>
      </w:r>
    </w:p>
    <w:p>
      <w:pPr>
        <w:spacing w:after="0" w:line="178" w:lineRule="exact"/>
        <w:rPr>
          <w:sz w:val="20"/>
          <w:szCs w:val="20"/>
          <w:color w:val="auto"/>
        </w:rPr>
      </w:pPr>
    </w:p>
    <w:p>
      <w:pPr>
        <w:ind w:right="180" w:firstLine="443"/>
        <w:spacing w:after="0" w:line="234" w:lineRule="auto"/>
        <w:rPr>
          <w:sz w:val="20"/>
          <w:szCs w:val="20"/>
          <w:color w:val="auto"/>
        </w:rPr>
      </w:pPr>
      <w:r>
        <w:rPr>
          <w:rFonts w:ascii="Times New Roman" w:cs="Times New Roman" w:eastAsia="Times New Roman" w:hAnsi="Times New Roman"/>
          <w:sz w:val="18"/>
          <w:szCs w:val="18"/>
          <w:color w:val="auto"/>
        </w:rPr>
        <w:t>Our two commercial products include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or IL-2, product used in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treatment regimen and other applications.</w:t>
      </w:r>
    </w:p>
    <w:p>
      <w:pPr>
        <w:spacing w:after="0" w:line="106" w:lineRule="exact"/>
        <w:rPr>
          <w:sz w:val="20"/>
          <w:szCs w:val="20"/>
          <w:color w:val="auto"/>
        </w:rPr>
      </w:pPr>
    </w:p>
    <w:p>
      <w:pPr>
        <w:ind w:right="240" w:firstLine="443"/>
        <w:spacing w:after="0" w:line="214"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first one-time, individualized T cell therapy for a solid tumor cancer and for the treatment of adult patients with previously treated advanced, or unresectable or metastatic melanoma, approved for use in the U.S. and Canada.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administered as part of a treatment regimen that includes lymphodepletion and a short course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right="20" w:firstLine="443"/>
        <w:spacing w:after="0" w:line="246" w:lineRule="auto"/>
        <w:rPr>
          <w:sz w:val="20"/>
          <w:szCs w:val="20"/>
          <w:color w:val="auto"/>
        </w:rPr>
      </w:pPr>
      <w:r>
        <w:rPr>
          <w:rFonts w:ascii="Times New Roman" w:cs="Times New Roman" w:eastAsia="Times New Roman" w:hAnsi="Times New Roman"/>
          <w:sz w:val="18"/>
          <w:szCs w:val="18"/>
          <w:color w:val="auto"/>
        </w:rPr>
        <w:t>Globally,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address more than 30,000 previously treated advanced melanoma patients annually. We plan to launch into additional markets with a high prevalence of advanced melanoma. Potential approvals are pending in Australia in the first half of 2026 and Switzerland in 2027. In the European Union, or EU, we withdrew our initial marketing authorization application, or MAA, in July 2025. We are working with the European Medicines Agency, or EMA, to resubmit a centralized MAA in 2026. In the United Kingdom, or UK, we withdrew our initial MAA in May 2026 and will resubmit the MAA with additional information for expedited review in 2026.</w:t>
      </w:r>
    </w:p>
    <w:p>
      <w:pPr>
        <w:spacing w:after="0" w:line="220" w:lineRule="exact"/>
        <w:rPr>
          <w:sz w:val="20"/>
          <w:szCs w:val="20"/>
          <w:color w:val="auto"/>
        </w:rPr>
      </w:pPr>
    </w:p>
    <w:p>
      <w:pPr>
        <w:ind w:firstLine="443"/>
        <w:spacing w:after="0" w:line="270" w:lineRule="auto"/>
        <w:rPr>
          <w:sz w:val="20"/>
          <w:szCs w:val="20"/>
          <w:color w:val="auto"/>
        </w:rPr>
      </w:pPr>
      <w:r>
        <w:rPr>
          <w:rFonts w:ascii="Times New Roman" w:cs="Times New Roman" w:eastAsia="Times New Roman" w:hAnsi="Times New Roman"/>
          <w:sz w:val="18"/>
          <w:szCs w:val="18"/>
          <w:color w:val="auto"/>
        </w:rPr>
        <w:t>Our development pipeline consists of TIL cell therapies in additional solid tumor cancer indications as monotherapy or in combination with standard of care, as well as next generation approaches. We are conducting two ongoing registrational trials in frontline advanced melanoma and previously treated advanced non-small cell lung cancer, or NSCLC. We have commenced a registrational trial in previously treated advanced undifferentiated pleomorphic sarcoma and dedifferentiated liposarcoma, and plan to engage with the FDA for an expedited path to accelerated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 global leader in innovating, developing, and delivering TIL cell therapy</w:t>
      </w:r>
    </w:p>
    <w:p>
      <w:pPr>
        <w:spacing w:after="0" w:line="229"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Our mission is to be the global leader in innovating, developing, and delivering TIL cell therapy. Our vision is to pioneer this transformational approach to cure solid tumor cancers. We are committed to continuous innovation to develop TIL cell therapies and optimize TIL treatment regimens that may extend and improve life for patients with cancer.</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top priority is to drive commercial success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previously treated advanced melanoma across four primary areas:</w:t>
      </w:r>
    </w:p>
    <w:p>
      <w:pPr>
        <w:spacing w:after="0" w:line="152" w:lineRule="exact"/>
        <w:rPr>
          <w:sz w:val="20"/>
          <w:szCs w:val="20"/>
          <w:color w:val="auto"/>
        </w:rPr>
      </w:pPr>
    </w:p>
    <w:p>
      <w:pPr>
        <w:ind w:left="780" w:right="60" w:hanging="286"/>
        <w:spacing w:after="0" w:line="257"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training, and collaborating with healthcare professionals, or HCPs, who will be administering our product at academic and community authorized treatment centers, or ATCs, as well as community oncologists and advocacy groups who will refer patients to our ATCs;</w:t>
      </w:r>
    </w:p>
    <w:p>
      <w:pPr>
        <w:spacing w:after="0" w:line="1" w:lineRule="exact"/>
        <w:rPr>
          <w:rFonts w:ascii="Times New Roman" w:cs="Times New Roman" w:eastAsia="Times New Roman" w:hAnsi="Times New Roman"/>
          <w:sz w:val="18"/>
          <w:szCs w:val="18"/>
          <w:color w:val="auto"/>
        </w:rPr>
      </w:pPr>
    </w:p>
    <w:p>
      <w:pPr>
        <w:ind w:left="780" w:right="920" w:hanging="286"/>
        <w:spacing w:after="0" w:line="258"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operational and patient support at ATCs in the U.S. and onboarding ATCs in preparation for anticipated regulatory approvals and product launches in additional global markets;</w:t>
      </w:r>
    </w:p>
    <w:p>
      <w:pPr>
        <w:ind w:left="780" w:right="400" w:hanging="286"/>
        <w:spacing w:after="0" w:line="217"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payors about the value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continue to facilitate strong reimbursement and patient access; and</w:t>
      </w:r>
    </w:p>
    <w:p>
      <w:pPr>
        <w:spacing w:after="0" w:line="1"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in launch execution, commercial manufacturing success, and delivery of therapy.</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 Commercial Launch of the First TIL Cell Therapy in Advanced Melanoma</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Amtagvi</w:t>
      </w:r>
      <w:r>
        <w:rPr>
          <w:rFonts w:ascii="Times New Roman" w:cs="Times New Roman" w:eastAsia="Times New Roman" w:hAnsi="Times New Roman"/>
          <w:sz w:val="26"/>
          <w:szCs w:val="26"/>
          <w:b w:val="1"/>
          <w:bCs w:val="1"/>
          <w:color w:val="auto"/>
          <w:vertAlign w:val="superscript"/>
        </w:rPr>
        <w:t>®</w:t>
      </w:r>
    </w:p>
    <w:p>
      <w:pPr>
        <w:spacing w:after="0" w:line="137" w:lineRule="exact"/>
        <w:rPr>
          <w:sz w:val="20"/>
          <w:szCs w:val="20"/>
          <w:color w:val="auto"/>
        </w:rPr>
      </w:pPr>
    </w:p>
    <w:p>
      <w:pPr>
        <w:jc w:val="both"/>
        <w:ind w:firstLine="486"/>
        <w:spacing w:after="0" w:line="201"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(lifileucel) is the first one-time, individualized T cell therapy approved for a solid tumor cancer and for the treatment of adult patients with previously treated advanced melanoma.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returns billions of individualized patient T cells back to the body to fight cancer and is administered as part of a treatment regimen.</w:t>
      </w:r>
    </w:p>
    <w:p>
      <w:pPr>
        <w:spacing w:after="0" w:line="190" w:lineRule="exact"/>
        <w:rPr>
          <w:sz w:val="20"/>
          <w:szCs w:val="20"/>
          <w:color w:val="auto"/>
        </w:rPr>
      </w:pPr>
    </w:p>
    <w:p>
      <w:pPr>
        <w:ind w:right="300" w:firstLine="486"/>
        <w:spacing w:after="0" w:line="227" w:lineRule="auto"/>
        <w:rPr>
          <w:sz w:val="20"/>
          <w:szCs w:val="20"/>
          <w:color w:val="auto"/>
        </w:rPr>
      </w:pPr>
      <w:r>
        <w:rPr>
          <w:rFonts w:ascii="Times New Roman" w:cs="Times New Roman" w:eastAsia="Times New Roman" w:hAnsi="Times New Roman"/>
          <w:sz w:val="17"/>
          <w:szCs w:val="17"/>
          <w:color w:val="auto"/>
        </w:rPr>
        <w:t>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is indicated for the treatment of adult patients with advanced melanoma previously treated with a PD-1 blocking antibody, and if BRAF V600 mutation positive, a BRAF inhibitor with or without a MEK inhibitor. The U.S. accelerated approval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is based on safety and efficacy results from the C-144-01 global, multicenter clinical trial. A global, randomized Phase 3 confirmatory trial, TILVANCE-301, is investigating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combination with pembrolizumab in frontline advanced melanoma.</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multiple growth drivers, including:</w:t>
      </w:r>
    </w:p>
    <w:p>
      <w:pPr>
        <w:spacing w:after="0" w:line="141" w:lineRule="exact"/>
        <w:rPr>
          <w:sz w:val="20"/>
          <w:szCs w:val="20"/>
          <w:color w:val="auto"/>
        </w:rPr>
      </w:pPr>
    </w:p>
    <w:p>
      <w:pPr>
        <w:ind w:left="780" w:right="160" w:hanging="286"/>
        <w:spacing w:after="0" w:line="261"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clinical and real-world evidence data to drive adoption as well as earlier and higher volume of patient referrals for better outcomes across our ATC network.</w:t>
      </w:r>
    </w:p>
    <w:p>
      <w:pPr>
        <w:ind w:left="780" w:right="120" w:hanging="286"/>
        <w:spacing w:after="0" w:line="250"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penetration at academic ATCs through earlier tissue procurement for patients at high risk of disease progression, such as BRAF mutant patients, so they can be treated before their health status declines.</w:t>
      </w:r>
    </w:p>
    <w:p>
      <w:pPr>
        <w:ind w:left="780" w:hanging="28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ATC network with new academic and community ATCs.</w:t>
      </w:r>
    </w:p>
    <w:p>
      <w:pPr>
        <w:spacing w:after="0" w:line="9"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approvals in new global markets.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Proleukin</w:t>
      </w:r>
      <w:r>
        <w:rPr>
          <w:rFonts w:ascii="Times New Roman" w:cs="Times New Roman" w:eastAsia="Times New Roman" w:hAnsi="Times New Roman"/>
          <w:sz w:val="26"/>
          <w:szCs w:val="26"/>
          <w:color w:val="auto"/>
          <w:vertAlign w:val="superscript"/>
        </w:rPr>
        <w:t>®</w:t>
      </w:r>
    </w:p>
    <w:p>
      <w:pPr>
        <w:spacing w:after="0" w:line="93" w:lineRule="exact"/>
        <w:rPr>
          <w:sz w:val="20"/>
          <w:szCs w:val="20"/>
          <w:color w:val="auto"/>
        </w:rPr>
      </w:pPr>
    </w:p>
    <w:p>
      <w:pPr>
        <w:ind w:right="140" w:firstLine="492"/>
        <w:spacing w:after="0" w:line="196" w:lineRule="auto"/>
        <w:rPr>
          <w:sz w:val="20"/>
          <w:szCs w:val="20"/>
          <w:color w:val="auto"/>
        </w:rPr>
      </w:pPr>
      <w:r>
        <w:rPr>
          <w:rFonts w:ascii="Times New Roman" w:cs="Times New Roman" w:eastAsia="Times New Roman" w:hAnsi="Times New Roman"/>
          <w:sz w:val="18"/>
          <w:szCs w:val="18"/>
          <w:color w:val="auto"/>
        </w:rPr>
        <w:t>We sell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(aldesleukin), an interleukin-2, or IL-2, product to three main distributors in the U.S., distributors outside the U.S., and numerous third-party clients across the three revenue channels: 1) use in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treatment regimen, or other approved oncology uses, or the primary channel, 2) use in the manufacturing process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other cell therapies and 3) use in clinical and research settings.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in the U.S., and licensed in multiple international markets, for treatment of adults with metastatic renal cell carcinoma and/or metastatic melanoma.</w:t>
      </w:r>
    </w:p>
    <w:p>
      <w:pPr>
        <w:spacing w:after="0" w:line="177" w:lineRule="exact"/>
        <w:rPr>
          <w:sz w:val="20"/>
          <w:szCs w:val="20"/>
          <w:color w:val="auto"/>
        </w:rPr>
      </w:pPr>
    </w:p>
    <w:p>
      <w:pPr>
        <w:ind w:right="80" w:firstLine="492"/>
        <w:spacing w:after="0" w:line="217" w:lineRule="auto"/>
        <w:rPr>
          <w:sz w:val="20"/>
          <w:szCs w:val="20"/>
          <w:color w:val="auto"/>
        </w:rPr>
      </w:pPr>
      <w:r>
        <w:rPr>
          <w:rFonts w:ascii="Times New Roman" w:cs="Times New Roman" w:eastAsia="Times New Roman" w:hAnsi="Times New Roman"/>
          <w:sz w:val="18"/>
          <w:szCs w:val="18"/>
          <w:color w:val="auto"/>
        </w:rPr>
        <w:t>In May 2023, we acquired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Clinigen Holdings Limited, Clinigen Healthcare Limited, and Clinigen, Inc., which we refer to collectively as Clinigen.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Scalable TIL manufacturing for commercial and clinical demand</w:t>
      </w:r>
    </w:p>
    <w:p>
      <w:pPr>
        <w:spacing w:after="0" w:line="229" w:lineRule="exact"/>
        <w:rPr>
          <w:sz w:val="20"/>
          <w:szCs w:val="20"/>
          <w:color w:val="auto"/>
        </w:rPr>
      </w:pPr>
    </w:p>
    <w:p>
      <w:pPr>
        <w:ind w:right="120" w:firstLine="443"/>
        <w:spacing w:after="0" w:line="266" w:lineRule="auto"/>
        <w:rPr>
          <w:sz w:val="20"/>
          <w:szCs w:val="20"/>
          <w:color w:val="auto"/>
        </w:rPr>
      </w:pPr>
      <w:r>
        <w:rPr>
          <w:rFonts w:ascii="Times New Roman" w:cs="Times New Roman" w:eastAsia="Times New Roman" w:hAnsi="Times New Roman"/>
          <w:sz w:val="18"/>
          <w:szCs w:val="18"/>
          <w:color w:val="auto"/>
        </w:rPr>
        <w:t xml:space="preserve">To date, more than 1,500 patients have been treated with commercial and investigational TIL cell therapies manufactured using Iovance processes. The Iovance Cell Therapy Center,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in Philadelphia, Pennsylvania is the first FDA-approved facility to manufacture commercial TIL cell therapy. We believe that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the only current Good Manufacturing Practice, or cGMP, facility with a centralized, scalable TIL manufacturing process. Facilitated by its proximity to multiple airports,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covers logistics and delivery of TIL cell therapies to treatment centers in North America, Europe, and Asia Pacific.</w:t>
      </w:r>
    </w:p>
    <w:p>
      <w:pPr>
        <w:spacing w:after="0" w:line="147" w:lineRule="exact"/>
        <w:rPr>
          <w:sz w:val="20"/>
          <w:szCs w:val="20"/>
          <w:color w:val="auto"/>
        </w:rPr>
      </w:pPr>
    </w:p>
    <w:p>
      <w:pPr>
        <w:ind w:right="140" w:firstLine="492"/>
        <w:spacing w:after="0" w:line="284" w:lineRule="auto"/>
        <w:rPr>
          <w:sz w:val="20"/>
          <w:szCs w:val="20"/>
          <w:color w:val="auto"/>
        </w:rPr>
      </w:pPr>
      <w:r>
        <w:rPr>
          <w:rFonts w:ascii="Times New Roman" w:cs="Times New Roman" w:eastAsia="Times New Roman" w:hAnsi="Times New Roman"/>
          <w:sz w:val="18"/>
          <w:szCs w:val="18"/>
          <w:color w:val="auto"/>
        </w:rPr>
        <w:t xml:space="preserve">The current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has the potential capacity to supply TIL cell therapies for more than 5,000 cancer patients annually. To utilize our internal manufacturing suites at greater scale, improve gross margin and reduce operating expenses, we transitioned all</w:t>
      </w:r>
    </w:p>
    <w:p>
      <w:pPr>
        <w:sectPr>
          <w:pgSz w:w="11900" w:h="16838" w:orient="portrait"/>
          <w:cols w:equalWidth="0" w:num="1">
            <w:col w:w="9900"/>
          </w:cols>
          <w:pgMar w:left="980" w:top="661" w:right="101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manufacturing for clinical and commercial Iovance TIL cell therapies to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terminated an agreement with a contract manufacturer in the first quarter of 2026 to manage and reduce long-term product manufacturing costs. We have full control of manufacturing capacity and product quality, supply and delivery logistics, cost efficiencies and process improvements, such as automation and next generation approaches that may further streamline timelines and costs. Certain clinical trials for our next-generation investigational TIL cell therapies will continue to be supported by contract manufacturing organizations, or CMOs. Details of related agreements are provided in Note 12 Licenses and Agreements section of this Quarterly Report on Form 10-Q of our condensed consolidated financial statements for the quarter ended March 31, 2026.</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TIL Cell Therapy Platforms for Advanced, or Metastatic or Unresectable, Solid Tumor Cancers</w:t>
      </w:r>
    </w:p>
    <w:p>
      <w:pPr>
        <w:spacing w:after="0" w:line="22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Our T cell-based immunotherapy technology platform of TIL cell therapies leverages patient-specific cells to recognize and attack diverse cancer cells that are unique to each patient. We believe this approach is the emerging backbone for immuno-oncology approaches to treat solid tumor cancers.</w:t>
      </w:r>
    </w:p>
    <w:p>
      <w:pPr>
        <w:spacing w:after="0" w:line="135" w:lineRule="exact"/>
        <w:rPr>
          <w:sz w:val="20"/>
          <w:szCs w:val="20"/>
          <w:color w:val="auto"/>
        </w:rPr>
      </w:pPr>
    </w:p>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We have investigated TIL cell therapy in global, multicenter Iovance-sponsored clinical trials in various treatment settings for patients with advanced melanoma, NSCLC, cervical cancer, endometrial cancer, and head and neck squamous cell carcinoma, or HNSCC. Through ongoing academic collaborations, as well as government and other partners, we are investigating additional solid tumor types and treatment settings. We have provided prior or ongoing support for investigator-sponsored clinical trials for patients with soft tissue sarcoma, osteosarcoma, pancreatic and colorectal cancer, platinum resistant ovarian cancer, anaplastic thyroid cancer, and triple negative breast cancer.</w:t>
      </w:r>
    </w:p>
    <w:p>
      <w:pPr>
        <w:spacing w:after="0" w:line="160" w:lineRule="exact"/>
        <w:rPr>
          <w:sz w:val="20"/>
          <w:szCs w:val="20"/>
          <w:color w:val="auto"/>
        </w:rPr>
      </w:pPr>
    </w:p>
    <w:p>
      <w:pPr>
        <w:ind w:right="60" w:firstLine="492"/>
        <w:spacing w:after="0" w:line="282" w:lineRule="auto"/>
        <w:rPr>
          <w:sz w:val="20"/>
          <w:szCs w:val="20"/>
          <w:color w:val="auto"/>
        </w:rPr>
      </w:pPr>
      <w:r>
        <w:rPr>
          <w:rFonts w:ascii="Times New Roman" w:cs="Times New Roman" w:eastAsia="Times New Roman" w:hAnsi="Times New Roman"/>
          <w:sz w:val="18"/>
          <w:szCs w:val="18"/>
          <w:color w:val="auto"/>
        </w:rPr>
        <w:t>Applying our expertise in TIL cell therapy, our next-generation technology platforms are designed to optimize outcomes with TIL cell therapy across three key initiatives: genetic modifications, potency, and new treatment regimens using an improved IL-2.</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We have established a leading intellectual property portfolio developed internally and licensed from third parties. We currently own more than 100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11,141,434; 11,141,438; 11,168,303; 11,168,304; 11,179,419; 11,202,803; 11,202,804; 11,220,670; 11,241,456; 11,254,913; 11,266,694; 11,273,180; 11,273,181; 11,291,687; 11,293,009; 11,304,979; 11,304,980; 11,311,578; 11,337,998; 11,344,579; 11,344,580; 11,344,581; 11,351,197; 11,351,198; 11,351,199; 11,364,266; 11,369,637; 11,384,337; 11,401,507; 11,433,097; 11,517,592; 11,529,372; 11,541,077; 11,631,483; 11,713,446; 11,819,517; 11,857,573; 11,865,140; 11,866,688; 11,939,596; 11,969,444; 11,975,028; 11,981,921; 11,998,568; 12,023,355; 12,024,718; 12,031,157; 12,104,172; 12,121,541; 12,159,700; 12,170,134; 12,188,048; 12,194,061; 12,226,434; 12,226,522; 12,230,378; 12,230,379; 12,233,075; 12,280,140; 12,343,380; 12,453,697; 12,473,532; 12,485,145; 12,495,791; 12,553,029; 12,553,031; 12,558,375; 12,570,959; 12,570,961; 12,611,427; 12,611,428; and 12,611,429. More than 50 of these patents are related to our Gen 2 TIL manufacturing processes and have terms that we anticipate will extend to October 2037 or January 2038, not including any patent term extensions or adjustments that may be available. Our owned and licensed intellectual property portfolio also includes patents and patent applications relating to TIL, marrow-infiltrating lymphocytes, or MIL, and peripheral blood lymphocyte, or PBL, therapies;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immune checkpoint inhibitor, or ICIs, in combination with TIL cell therapies; TIL selection technologies; and methods of treating patient subpopulations.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1" w:lineRule="exact"/>
        <w:rPr>
          <w:sz w:val="20"/>
          <w:szCs w:val="20"/>
          <w:color w:val="auto"/>
        </w:rPr>
      </w:pPr>
    </w:p>
    <w:p>
      <w:pPr>
        <w:ind w:firstLine="492"/>
        <w:spacing w:after="0" w:line="193" w:lineRule="auto"/>
        <w:rPr>
          <w:sz w:val="20"/>
          <w:szCs w:val="20"/>
          <w:color w:val="auto"/>
        </w:rPr>
      </w:pPr>
      <w:r>
        <w:rPr>
          <w:rFonts w:ascii="Times New Roman" w:cs="Times New Roman" w:eastAsia="Times New Roman" w:hAnsi="Times New Roman"/>
          <w:sz w:val="18"/>
          <w:szCs w:val="18"/>
          <w:color w:val="auto"/>
        </w:rPr>
        <w:t>Revenue for the three months ended March 31, 2026 represents product sales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primarily driven from sales in the U.S. to support the ongoing commercial launch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received FDA approval in February 2024.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acquired the worldwide rights to in May 2023, is also sold in markets outside the U.S., primarily in the EU and UK.</w:t>
      </w:r>
    </w:p>
    <w:p>
      <w:pPr>
        <w:spacing w:after="0" w:line="192" w:lineRule="exact"/>
        <w:rPr>
          <w:sz w:val="20"/>
          <w:szCs w:val="20"/>
          <w:color w:val="auto"/>
        </w:rPr>
      </w:pPr>
    </w:p>
    <w:p>
      <w:pPr>
        <w:ind w:right="20" w:firstLine="492"/>
        <w:spacing w:after="0" w:line="250" w:lineRule="auto"/>
        <w:rPr>
          <w:sz w:val="20"/>
          <w:szCs w:val="20"/>
          <w:color w:val="auto"/>
        </w:rPr>
      </w:pPr>
      <w:r>
        <w:rPr>
          <w:rFonts w:ascii="Times New Roman" w:cs="Times New Roman" w:eastAsia="Times New Roman" w:hAnsi="Times New Roman"/>
          <w:sz w:val="17"/>
          <w:szCs w:val="17"/>
          <w:color w:val="auto"/>
        </w:rPr>
        <w:t>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revenue is recognized upon patient infusion, while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revenue is recognized upon shipment or delivery to customers, which include specialty distributors, clinical manufacturers, research organizations, and ATCs. 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1" w:lineRule="exact"/>
        <w:rPr>
          <w:sz w:val="20"/>
          <w:szCs w:val="20"/>
          <w:color w:val="auto"/>
        </w:rPr>
      </w:pPr>
    </w:p>
    <w:p>
      <w:pPr>
        <w:jc w:val="both"/>
        <w:ind w:right="140" w:firstLine="492"/>
        <w:spacing w:after="0" w:line="234" w:lineRule="auto"/>
        <w:rPr>
          <w:sz w:val="20"/>
          <w:szCs w:val="20"/>
          <w:color w:val="auto"/>
        </w:rPr>
      </w:pPr>
      <w:r>
        <w:rPr>
          <w:rFonts w:ascii="Times New Roman" w:cs="Times New Roman" w:eastAsia="Times New Roman" w:hAnsi="Times New Roman"/>
          <w:sz w:val="18"/>
          <w:szCs w:val="18"/>
          <w:color w:val="auto"/>
        </w:rPr>
        <w:t>Cost of sales includes cost of inventories sold, including overhead and manufacturing costs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reserves for excess and obsolete inventory, royalties payable on the sales of our products and other costs that are directly associated with the purchase and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right="140" w:firstLine="492"/>
        <w:spacing w:after="0" w:line="236" w:lineRule="auto"/>
        <w:rPr>
          <w:sz w:val="20"/>
          <w:szCs w:val="20"/>
          <w:color w:val="auto"/>
        </w:rPr>
      </w:pPr>
      <w:r>
        <w:rPr>
          <w:rFonts w:ascii="Times New Roman" w:cs="Times New Roman" w:eastAsia="Times New Roman" w:hAnsi="Times New Roman"/>
          <w:sz w:val="18"/>
          <w:szCs w:val="18"/>
          <w:color w:val="auto"/>
        </w:rPr>
        <w:t>In the event that the manufactured product does not meet specifications, or a patient is unable to receive the infusion, the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is generally destroyed and the costs associated with manufacturing and inventory associated with the product is generally required to be expensed as cost of sales. However, if the out-of-specifications product can be administered as part of a clinical trial, in an expanded or early access program, or single-patient investigational new drug submission, as requested by the treating physician, the costs of the product are recorded as research and development expense based on the fact that we receive clinical data related to these infusions.</w:t>
      </w:r>
    </w:p>
    <w:p>
      <w:pPr>
        <w:spacing w:after="0" w:line="192" w:lineRule="exact"/>
        <w:rPr>
          <w:sz w:val="20"/>
          <w:szCs w:val="20"/>
          <w:color w:val="auto"/>
        </w:rPr>
      </w:pPr>
    </w:p>
    <w:p>
      <w:pPr>
        <w:ind w:right="20" w:firstLine="492"/>
        <w:spacing w:after="0" w:line="202" w:lineRule="auto"/>
        <w:rPr>
          <w:sz w:val="20"/>
          <w:szCs w:val="20"/>
          <w:color w:val="auto"/>
        </w:rPr>
      </w:pPr>
      <w:r>
        <w:rPr>
          <w:rFonts w:ascii="Times New Roman" w:cs="Times New Roman" w:eastAsia="Times New Roman" w:hAnsi="Times New Roman"/>
          <w:sz w:val="18"/>
          <w:szCs w:val="18"/>
          <w:color w:val="auto"/>
        </w:rPr>
        <w:t>The manufacturing process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highly complex and subject to stringent FDA guidelines and requirements, as well as internal specifications and quality guidelines. Our ability to successfully manufacture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deliver finished product to ATCs for infusion into patients is dependent on several factors, including patient selection and quality of tumors provided by the treatment centers for use in the manufacturing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focus significant effort and attention on working with the treatment centers regarding these matters, as well as on our internal manufacturing processes.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66" w:lineRule="auto"/>
        <w:rPr>
          <w:sz w:val="20"/>
          <w:szCs w:val="20"/>
          <w:color w:val="auto"/>
        </w:rPr>
      </w:pPr>
      <w:r>
        <w:rPr>
          <w:rFonts w:ascii="Times New Roman" w:cs="Times New Roman" w:eastAsia="Times New Roman" w:hAnsi="Times New Roman"/>
          <w:sz w:val="18"/>
          <w:szCs w:val="18"/>
          <w:color w:val="auto"/>
        </w:rPr>
        <w:t>We expect to continue to incur research and development expenses for the foreseeable future as we continue to conduct our clinical trials for our various product candidates. However, it is difficult to determine with certainty the duration and completion costs of our current or future preclinical programs and clinical trials of our product candidates.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420" w:firstLine="49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facility costs not otherwise capitalized in inventory or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Selling,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79" w:lineRule="exact"/>
        <w:rPr>
          <w:sz w:val="20"/>
          <w:szCs w:val="20"/>
          <w:color w:val="auto"/>
        </w:rPr>
      </w:pPr>
    </w:p>
    <w:p>
      <w:pPr>
        <w:ind w:right="80" w:firstLine="492"/>
        <w:spacing w:after="0" w:line="201" w:lineRule="auto"/>
        <w:rPr>
          <w:sz w:val="20"/>
          <w:szCs w:val="20"/>
          <w:color w:val="auto"/>
        </w:rPr>
      </w:pPr>
      <w:r>
        <w:rPr>
          <w:rFonts w:ascii="Times New Roman" w:cs="Times New Roman" w:eastAsia="Times New Roman" w:hAnsi="Times New Roman"/>
          <w:sz w:val="18"/>
          <w:szCs w:val="18"/>
          <w:color w:val="auto"/>
        </w:rPr>
        <w:t>We anticipate selling, general, and administrative expenses will increase as we expand the use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market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expected growth in the internal general and administrative team to align with the overall growth in the business as we execute an expected expansion in both the U.S. market and outside of the U.S.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40" w:firstLine="492"/>
        <w:spacing w:after="0" w:line="216" w:lineRule="auto"/>
        <w:rPr>
          <w:sz w:val="20"/>
          <w:szCs w:val="20"/>
          <w:color w:val="auto"/>
        </w:rPr>
      </w:pPr>
      <w:r>
        <w:rPr>
          <w:rFonts w:ascii="Times New Roman" w:cs="Times New Roman" w:eastAsia="Times New Roman" w:hAnsi="Times New Roman"/>
          <w:sz w:val="18"/>
          <w:szCs w:val="18"/>
          <w:color w:val="auto"/>
        </w:rPr>
        <w:t>Depreciation and amortization includes depreciation and amortization expense for the property and equipment as well as non-cash amortization of intangible assets, including amortization expense for the fair value step-up of acquired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which is recognized as the acquired inventory units are sold, the developed technology intangible asset and the milestone payment recorded as part of the Acquisition, and the intellectual property license intangible asset related to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These expenses are recorded on a straight-line basis over the estimated useful lives of the assets.</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229"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Interest and other income, net is derived from our interest-bearing cash, cash equivalents and investment balances as well as other income associated with non-recurring activities such as lease terminations.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tax benefit pertains to the operations in the UK and realization of related deferred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Amtagvi</w:t>
            </w:r>
            <w:r>
              <w:rPr>
                <w:rFonts w:ascii="Times New Roman" w:cs="Times New Roman" w:eastAsia="Times New Roman" w:hAnsi="Times New Roman"/>
                <w:sz w:val="24"/>
                <w:szCs w:val="24"/>
                <w:color w:val="auto"/>
                <w:vertAlign w:val="superscript"/>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Proleukin</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32" w:lineRule="auto"/>
        <w:rPr>
          <w:sz w:val="20"/>
          <w:szCs w:val="20"/>
          <w:color w:val="auto"/>
        </w:rPr>
      </w:pPr>
      <w:r>
        <w:rPr>
          <w:rFonts w:ascii="Times New Roman" w:cs="Times New Roman" w:eastAsia="Times New Roman" w:hAnsi="Times New Roman"/>
          <w:sz w:val="18"/>
          <w:szCs w:val="18"/>
          <w:color w:val="auto"/>
        </w:rPr>
        <w:t>Revenue for the three months ended March 31, 2026 increased by $22.1 million, or 45%, compared to the same period in 2025. The increase in revenue as compared to the prior period was driven by an increase in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infusions, correspondent increase in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price increases for both products.</w:t>
      </w:r>
    </w:p>
    <w:p>
      <w:pPr>
        <w:sectPr>
          <w:pgSz w:w="11900" w:h="16838" w:orient="portrait"/>
          <w:cols w:equalWidth="0" w:num="1">
            <w:col w:w="9920"/>
          </w:cols>
          <w:pgMar w:left="980" w:top="661" w:right="99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firstLine="492"/>
        <w:spacing w:after="0" w:line="195" w:lineRule="auto"/>
        <w:rPr>
          <w:sz w:val="20"/>
          <w:szCs w:val="20"/>
          <w:color w:val="auto"/>
        </w:rPr>
      </w:pPr>
      <w:r>
        <w:rPr>
          <w:rFonts w:ascii="Times New Roman" w:cs="Times New Roman" w:eastAsia="Times New Roman" w:hAnsi="Times New Roman"/>
          <w:sz w:val="18"/>
          <w:szCs w:val="18"/>
          <w:color w:val="auto"/>
        </w:rPr>
        <w:t>As it relates to revenue timing for our products,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infusions are expected to lag behind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related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by 2-3 months, and we expect ATCs to utilize approximately 15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vials per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infusion. While such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are not directly indicative of future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because of the timing of stocking activities by specialty distributors and because of sales that are not related to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infusions, such as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utilized in clinical manufacturing or clinical trials, such sales are one indicator of future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costs and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120" w:type="dxa"/>
            <w:vAlign w:val="bottom"/>
            <w:gridSpan w:val="4"/>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152,473</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170,545</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Excludes depreciation and amortization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31" w:lineRule="exact"/>
        <w:rPr>
          <w:sz w:val="20"/>
          <w:szCs w:val="20"/>
          <w:color w:val="auto"/>
        </w:rPr>
      </w:pPr>
    </w:p>
    <w:p>
      <w:pPr>
        <w:ind w:right="20" w:firstLine="492"/>
        <w:spacing w:after="0" w:line="251" w:lineRule="auto"/>
        <w:rPr>
          <w:sz w:val="20"/>
          <w:szCs w:val="20"/>
          <w:color w:val="auto"/>
        </w:rPr>
      </w:pPr>
      <w:r>
        <w:rPr>
          <w:rFonts w:ascii="Times New Roman" w:cs="Times New Roman" w:eastAsia="Times New Roman" w:hAnsi="Times New Roman"/>
          <w:sz w:val="17"/>
          <w:szCs w:val="17"/>
          <w:color w:val="auto"/>
        </w:rPr>
        <w:t>Cost of sales, excluding depreciation and amortization, for the three months ended March 31, 2026 decreased by $0.2 million, or 1%, compared to the same period in 2025. The decrease was driven by a $5.3 million decrease in period costs primarily related to patient drop-off driven by patient health and ability to receive the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treatment, as well as manufacturing results that did not meet required specifications, and were not otherwise utilized under an expanded access program or single-patient IND to generate clinical data. This decrease was partially offset by (i) a $3.8 million increase from sales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products as well as costs related to the manufacturing of 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(ii) a $1.3 million increase in royalties payable related to the increase in sales of Proleukin.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2026 decreased by $13.5 million, or 18%, compared to the same period in 2025. The decrease was primarily attributable to (i) a $4.9 million decrease in outside services cost driven by a decrease in the number of consultants, (ii) a $4.8 million decrease in stock-based compensation expense primarily driven by a lower number of stock awards granted at lower average stock price, (iii) a $5.5 million decrease in clinical trial costs, driven primarily by completion of 144-01 and 144-05 clinical trials as well as other ongoing studies advancing into a late-stage of clinical trials, and (iv) a $0.7 million decrease in other costs, including travel and license cost. These decreases were partially offset by a $2.4 million increase in clinical manufacturing costs primarily driven by increased clinical production.</w:t>
      </w:r>
    </w:p>
    <w:p>
      <w:pPr>
        <w:spacing w:after="0" w:line="148" w:lineRule="exact"/>
        <w:rPr>
          <w:sz w:val="20"/>
          <w:szCs w:val="20"/>
          <w:color w:val="auto"/>
        </w:rPr>
      </w:pPr>
    </w:p>
    <w:p>
      <w:pPr>
        <w:ind w:right="140" w:firstLine="492"/>
        <w:spacing w:after="0" w:line="271"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 clinical, preclinical and research programs under development.” Lifileucel monotherapy includes our TIL monotherapy clinical trials, including clinical trials previously reported as LN-145.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spacing w:after="0" w:line="173"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All remaining research and development expenses are categorized as indirect research and development expenses. Such indirect research and development expenses include employee salaries and benefits, stock-based compensation, consulting and contracted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therapeutic area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060" w:type="dxa"/>
            <w:vAlign w:val="bottom"/>
            <w:gridSpan w:val="4"/>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540" w:type="dxa"/>
            <w:vAlign w:val="bottom"/>
          </w:tcPr>
          <w:p>
            <w:pPr>
              <w:spacing w:after="0"/>
              <w:rPr>
                <w:sz w:val="16"/>
                <w:szCs w:val="16"/>
                <w:color w:val="auto"/>
              </w:rPr>
            </w:pPr>
          </w:p>
        </w:tc>
      </w:tr>
      <w:tr>
        <w:trPr>
          <w:trHeight w:val="199"/>
        </w:trPr>
        <w:tc>
          <w:tcPr>
            <w:tcW w:w="5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Borders>
              <w:bottom w:val="single" w:sz="8" w:color="auto"/>
            </w:tcBorders>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 research and development expense by product candidate</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TIL, including combination therapy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Lifileucel monotherapy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44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Combination Therapy</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Next Generation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clinical, preclinical, and research programs under development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Indirect research and development expense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related (excluding stock-based compensation)</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Contractors and outside services</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 and facilities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(45)</w:t>
            </w: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75,965</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60" w:firstLine="492"/>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decreased by $4.9 million, or 11%, compared to the same period in 2025. The decrease was primarily attributable to (i) a $5.4 million decrease in stock-based compensation expense primarily driven by a lower number of stock awards granted at lower average stock price, and (ii) a $1.4 million decrease in other costs, including costs associated with intellectual property legal costs, and software license costs related to our information technology infrastructure. This decrease was partially offset by (i) a $1.2 million increase in costs incurred in support of the marketing, advertising, and market research in rest of world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(ii) a $0.7 million increase in payroll and related expenses driven by an increase in the number of employees to support growth in the overall business.</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100" w:firstLine="492"/>
        <w:spacing w:after="0" w:line="282" w:lineRule="auto"/>
        <w:rPr>
          <w:sz w:val="20"/>
          <w:szCs w:val="20"/>
          <w:color w:val="auto"/>
        </w:rPr>
      </w:pPr>
      <w:r>
        <w:rPr>
          <w:rFonts w:ascii="Times New Roman" w:cs="Times New Roman" w:eastAsia="Times New Roman" w:hAnsi="Times New Roman"/>
          <w:sz w:val="18"/>
          <w:szCs w:val="18"/>
          <w:color w:val="auto"/>
        </w:rPr>
        <w:t xml:space="preserve">Depreciation and amortization expense for the three months ended March 31, 2026 increased by $0.5 million, or 6% compared to the same period in 2025. The increase was primarily driven by the expansion of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manufacturing facility.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Interest and other income, net for the three months ended March 31, 2026 decreased by $1.9 million, or 59%, compared to the same period in 2025. The decrease was primarily driven by a decrease in average investment balances and slightly lower rate of return on our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80" w:firstLine="492"/>
        <w:spacing w:after="0" w:line="282" w:lineRule="auto"/>
        <w:rPr>
          <w:sz w:val="20"/>
          <w:szCs w:val="20"/>
          <w:color w:val="auto"/>
        </w:rPr>
      </w:pPr>
      <w:r>
        <w:rPr>
          <w:rFonts w:ascii="Times New Roman" w:cs="Times New Roman" w:eastAsia="Times New Roman" w:hAnsi="Times New Roman"/>
          <w:sz w:val="18"/>
          <w:szCs w:val="18"/>
          <w:color w:val="auto"/>
        </w:rPr>
        <w:t>Income tax benefit for the three months ended March 31, 2026 decreased by $1.2 million or 64%, compared to the same period in 2025. The decrease was mainly driven by the mix of income across jurisdictions that have varying effective tax rates.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(79,045)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180" w:firstLine="492"/>
        <w:spacing w:after="0" w:line="235" w:lineRule="auto"/>
        <w:rPr>
          <w:sz w:val="20"/>
          <w:szCs w:val="20"/>
          <w:color w:val="auto"/>
        </w:rPr>
      </w:pPr>
      <w:r>
        <w:rPr>
          <w:rFonts w:ascii="Times New Roman" w:cs="Times New Roman" w:eastAsia="Times New Roman" w:hAnsi="Times New Roman"/>
          <w:sz w:val="18"/>
          <w:szCs w:val="18"/>
          <w:color w:val="auto"/>
        </w:rPr>
        <w:t>Net loss for the three months ended March 31, 2026 decreased by $37.1 million, or 32%, compared to the same period in 2025. The decrease in our net loss is primarily due to the increase in sales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We anticipate that we will continue to incur net losses in the future as we further invest in our clinical and internal research and development programs, as well as ongoing execution of the launch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ind w:left="20" w:right="40" w:firstLine="492"/>
        <w:spacing w:after="0" w:line="219" w:lineRule="auto"/>
        <w:rPr>
          <w:sz w:val="20"/>
          <w:szCs w:val="20"/>
          <w:color w:val="auto"/>
        </w:rPr>
      </w:pPr>
      <w:r>
        <w:rPr>
          <w:rFonts w:ascii="Times New Roman" w:cs="Times New Roman" w:eastAsia="Times New Roman" w:hAnsi="Times New Roman"/>
          <w:sz w:val="18"/>
          <w:szCs w:val="18"/>
          <w:color w:val="auto"/>
        </w:rPr>
        <w:t>As of March 31, 2026, we had $319.4 million in cash, cash equivalents, short-term investments, and restricted cash ($196.5 million of cash and cash equivalents, $116.9 million in short-term investments, and $6.0 million in restricted cash). 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recent approval of our BLA, we expect to continue to generate revenue from the sale of our first internally developed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Furthermore, as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inventory that was previously with distributors in the U.S. market at the time of the acquisition of the worldwide rights to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has been substantially depleted, we also began to sell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U.S. market, where product margins are substantially higher than in other markets, to support ongoing and anticipated infusions related to the continued strong commercial launch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However, such revenues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not be material enough to generate positive operational cash flows during the 12 months from the date the condensed consolidated financial statements are issued and this Quarterly Report on Form 10-Q is filed.</w:t>
      </w:r>
    </w:p>
    <w:p>
      <w:pPr>
        <w:spacing w:after="0" w:line="171" w:lineRule="exact"/>
        <w:rPr>
          <w:sz w:val="20"/>
          <w:szCs w:val="20"/>
          <w:color w:val="auto"/>
        </w:rPr>
      </w:pPr>
    </w:p>
    <w:p>
      <w:pPr>
        <w:ind w:left="20" w:right="20" w:firstLine="492"/>
        <w:spacing w:after="0" w:line="239" w:lineRule="auto"/>
        <w:rPr>
          <w:sz w:val="20"/>
          <w:szCs w:val="20"/>
          <w:color w:val="auto"/>
        </w:rPr>
      </w:pPr>
      <w:r>
        <w:rPr>
          <w:rFonts w:ascii="Times New Roman" w:cs="Times New Roman" w:eastAsia="Times New Roman" w:hAnsi="Times New Roman"/>
          <w:sz w:val="18"/>
          <w:szCs w:val="18"/>
          <w:color w:val="auto"/>
        </w:rPr>
        <w:t>We expect to continue to incur significant expenses to support our ongoing execution of the commercial launch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fund ongoing clinical programs, including our NSCLC registrational study, IOV-LUN-202, and our frontline advanced melanoma Phase 3 confirmatory trial, TILVANCE-301, continue the development of our pipeline candidates, and for other general corporate purposes. Based on the funds we have available as of the date our condensed consolidated financial statements for the three months ended March 31, 2026 are issued, we believe that we have sufficient capital to fund our anticipated operating expenses and capital expenditures as planned for at least the twelve months following the issuance of our condensed consolidated financial statements included in this Quarterly Report on Form 10-Q.</w:t>
      </w:r>
    </w:p>
    <w:p>
      <w:pPr>
        <w:spacing w:after="0" w:line="161" w:lineRule="exact"/>
        <w:rPr>
          <w:sz w:val="20"/>
          <w:szCs w:val="20"/>
          <w:color w:val="auto"/>
        </w:rPr>
      </w:pPr>
    </w:p>
    <w:p>
      <w:pPr>
        <w:ind w:left="20" w:right="220" w:firstLine="492"/>
        <w:spacing w:after="0" w:line="261" w:lineRule="auto"/>
        <w:rPr>
          <w:sz w:val="20"/>
          <w:szCs w:val="20"/>
          <w:color w:val="auto"/>
        </w:rPr>
      </w:pPr>
      <w:r>
        <w:rPr>
          <w:rFonts w:ascii="Times New Roman" w:cs="Times New Roman" w:eastAsia="Times New Roman" w:hAnsi="Times New Roman"/>
          <w:sz w:val="18"/>
          <w:szCs w:val="18"/>
          <w:color w:val="auto"/>
        </w:rPr>
        <w:t>In August 2025, we approved a strategic restructuring plan with an associated reduction in workforce as a result of a review of current strategic priorities, resource allocation, and cost reduction intended to reduce operating costs, streamline operations and extend our cash runway. The restructuring plan is expected to optimize business performance, prioritize key manufacturing and research and development efforts, as well as reduce headcount by approximately 19 percent.</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 Capitalization</w:t>
      </w:r>
    </w:p>
    <w:p>
      <w:pPr>
        <w:spacing w:after="0" w:line="202" w:lineRule="exact"/>
        <w:rPr>
          <w:sz w:val="20"/>
          <w:szCs w:val="20"/>
          <w:color w:val="auto"/>
        </w:rPr>
      </w:pPr>
    </w:p>
    <w:p>
      <w:pPr>
        <w:ind w:left="20" w:right="40" w:firstLine="492"/>
        <w:spacing w:after="0" w:line="261" w:lineRule="auto"/>
        <w:rPr>
          <w:sz w:val="20"/>
          <w:szCs w:val="20"/>
          <w:color w:val="auto"/>
        </w:rPr>
      </w:pPr>
      <w:r>
        <w:rPr>
          <w:rFonts w:ascii="Times New Roman" w:cs="Times New Roman" w:eastAsia="Times New Roman" w:hAnsi="Times New Roman"/>
          <w:sz w:val="18"/>
          <w:szCs w:val="18"/>
          <w:color w:val="auto"/>
        </w:rPr>
        <w:t>As of March 31, 2026, we had outstanding 438,106,537 shares of our $0.000041666 par value common stock, 194 shares of our $0.001 par value Series A Convertible Preferred Stock, and 1,932,667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1,932,667 shares of our</w:t>
      </w:r>
    </w:p>
    <w:p>
      <w:pPr>
        <w:sectPr>
          <w:pgSz w:w="11900" w:h="16838" w:orient="portrait"/>
          <w:cols w:equalWidth="0" w:num="1">
            <w:col w:w="9940"/>
          </w:cols>
          <w:pgMar w:left="960" w:top="661" w:right="99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6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common stock. The shares of Series A Convertible Preferred Stock and Series B Convertible Preferred Stock do not have voting rights or accrue dividends.</w:t>
      </w:r>
    </w:p>
    <w:p>
      <w:pPr>
        <w:spacing w:after="0" w:line="162" w:lineRule="exact"/>
        <w:rPr>
          <w:sz w:val="20"/>
          <w:szCs w:val="20"/>
          <w:color w:val="auto"/>
        </w:rPr>
      </w:pPr>
    </w:p>
    <w:p>
      <w:pPr>
        <w:jc w:val="both"/>
        <w:ind w:right="60" w:firstLine="492"/>
        <w:spacing w:after="0" w:line="272" w:lineRule="auto"/>
        <w:rPr>
          <w:sz w:val="20"/>
          <w:szCs w:val="20"/>
          <w:color w:val="auto"/>
        </w:rPr>
      </w:pPr>
      <w:r>
        <w:rPr>
          <w:rFonts w:ascii="Times New Roman" w:cs="Times New Roman" w:eastAsia="Times New Roman" w:hAnsi="Times New Roman"/>
          <w:sz w:val="17"/>
          <w:szCs w:val="17"/>
          <w:color w:val="auto"/>
        </w:rPr>
        <w:t>On August 22, 2025, we entered into an Amended and Restated Open Market Sale Agreement, or the 2025 Sale Agreement, with Jefferies with respect to an “at the market” offering program. Under the terms of the 2025 Sale Agreement, we may, from time to time, in our sole discretion, issue and sell up to $350.0 million of shares of our common stock pursuant to the “at the market” offering program.</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2025 Sale Agreement superseded and replaced in its entirety the 2023 Sale Agreement. The issuance and sale, if any, of shares of our common stock under the Sale Agreement was or will be made pursuant to a prospectus supplement dated August 22, 2025 to our Registration Statement on Form S-3ASR, which became effective immediately upon filing with the U.S. Securities and Exchange Commission on June 16, 2023, or the Registration Statement.</w:t>
      </w:r>
    </w:p>
    <w:p>
      <w:pPr>
        <w:spacing w:after="0" w:line="189" w:lineRule="exact"/>
        <w:rPr>
          <w:sz w:val="20"/>
          <w:szCs w:val="20"/>
          <w:color w:val="auto"/>
        </w:rPr>
      </w:pPr>
    </w:p>
    <w:p>
      <w:pPr>
        <w:ind w:right="120" w:firstLine="492"/>
        <w:spacing w:after="0" w:line="282" w:lineRule="auto"/>
        <w:rPr>
          <w:sz w:val="20"/>
          <w:szCs w:val="20"/>
          <w:color w:val="auto"/>
        </w:rPr>
      </w:pPr>
      <w:r>
        <w:rPr>
          <w:rFonts w:ascii="Times New Roman" w:cs="Times New Roman" w:eastAsia="Times New Roman" w:hAnsi="Times New Roman"/>
          <w:sz w:val="18"/>
          <w:szCs w:val="18"/>
          <w:color w:val="auto"/>
        </w:rPr>
        <w:t>Through the three months ended March 31, 2026, we received $98.5 million in proceeds, net of offering costs, through the sale of 24,918,834 shares of our common stock under the 2025 Sale Agreement.</w:t>
      </w:r>
    </w:p>
    <w:p>
      <w:pPr>
        <w:spacing w:after="0" w:line="162" w:lineRule="exact"/>
        <w:rPr>
          <w:sz w:val="20"/>
          <w:szCs w:val="20"/>
          <w:color w:val="auto"/>
        </w:rPr>
      </w:pPr>
    </w:p>
    <w:p>
      <w:pPr>
        <w:jc w:val="both"/>
        <w:ind w:right="100" w:firstLine="492"/>
        <w:spacing w:after="0" w:line="266" w:lineRule="auto"/>
        <w:rPr>
          <w:sz w:val="20"/>
          <w:szCs w:val="20"/>
          <w:color w:val="auto"/>
        </w:rPr>
      </w:pPr>
      <w:r>
        <w:rPr>
          <w:rFonts w:ascii="Times New Roman" w:cs="Times New Roman" w:eastAsia="Times New Roman" w:hAnsi="Times New Roman"/>
          <w:sz w:val="18"/>
          <w:szCs w:val="18"/>
          <w:color w:val="auto"/>
        </w:rPr>
        <w:t>In the future, we may periodically offer one or more of these securities in amounts, prices and terms to be announced when and if the securities are offered. If any of the securities covered by the Registration Statement are offered for sale, a prospectus supplement will be prepared and filed with the SEC containing specific information about the terms of such offering at that time.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periods indicated (in thousands):</w:t>
      </w:r>
    </w:p>
    <w:p>
      <w:pPr>
        <w:spacing w:after="0" w:line="169" w:lineRule="exact"/>
        <w:rPr>
          <w:sz w:val="20"/>
          <w:szCs w:val="20"/>
          <w:color w:val="auto"/>
        </w:rPr>
      </w:pPr>
    </w:p>
    <w:p>
      <w:pPr>
        <w:ind w:left="756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w:t>
        <w:tab/>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gridSpan w:val="2"/>
          </w:tcPr>
          <w:p>
            <w:pPr>
              <w:ind w:left="7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(72,074)</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Excludes effect of exchange rate changes</w:t>
      </w: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100" w:firstLine="492"/>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for the periods presented represents cash disbursements related to all activities other than investing and financing activities. Operating cash flow is derived by adjusting our net loss for non-cash items and changes in operating assets and liabilities. Net cash used in operating activities for the three months ended March 31, 2026 was $72.1 million as compared to $103.7 million for the same period in 2025. The $31.6 million decrease in cash used in operating activities was driven by a $37.1 million decrease in net loss resulting from an increase in revenues generated by sales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overall decrease in cash used in operating activities also includes a net decrease in non-cash charges of $10.1 million. The net decrease in non-cash charges was primarily driven by lower stock-based compensation expenses, and lower amortization of right-of-use assets related to operating leases, partially offset by a decrease in deferred tax benefits related to the operations in the UK, amortization of intangible assets and accretion of discounts and amortization of premiums on investments, net. In addition, net cash used in operating activities decreased by $4.6 million, primarily related to changes in operating assets and liabilities.</w:t>
      </w:r>
    </w:p>
    <w:p>
      <w:pPr>
        <w:spacing w:after="0" w:line="169"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color w:val="auto"/>
        </w:rPr>
        <w:t>The $4.6 million decrease in net cash used in operating activities related to changes in operating assets and liabilities was driven by a $2.3 million decrease in trade accounts receivable, resulting from the collection of cash from the sale of our products, a net $9.5 million decrease in accounts payable and accrued expenses, resulting from timing of vendor invoicing and related payments, and a $11.8 million decrease in net cash used driven primarily by purchases of inventory and an increase in prepaid expenses and other assets that resulted from the timing of related payments.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40" w:firstLine="492"/>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periods presented primarily relates to the cash utilized to fund the purchase and maturity of investments, capital expenditures as well as the Acquisition. Net cash provided by investing activities for the three months ended March 31, 2026 was $11.4 million, compared to net cash provided by investing activities of $15.9 million for the same period in</w:t>
      </w:r>
    </w:p>
    <w:p>
      <w:pPr>
        <w:sectPr>
          <w:pgSz w:w="11900" w:h="16838" w:orient="portrait"/>
          <w:cols w:equalWidth="0" w:num="1">
            <w:col w:w="9960"/>
          </w:cols>
          <w:pgMar w:left="980" w:top="661" w:right="95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2025. The decrease in cash provided of $4.5 million was primarily driven by a $4.1 million decrease associated with changes in the timing of maturities and purchases of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$94.3 million compared to net cash provided of $143.3 million for the same period in 2025. The decrease in net cash provided by financing activities of $49.0 million was primarily driven by a decrease in net proceeds of $50.5 million received through the sales of common stock through our “at the market” offering program during the three months ended March 31, 2026, as compared to the net proceeds received from our “at the market” offering program for the same period in 2025. In addition, a $1.5 million increase from tax payments related to shares withheld for vested restricted stock units contributed to the overall decrease in cash provided by financing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540"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non-cancellable contractual obligations as of March 31, 2026, and the effects that such obligations are expected to have on our liquidity and cash flows in future periods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320" w:type="dxa"/>
            <w:vAlign w:val="bottom"/>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4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3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Thereafter</w:t>
            </w:r>
          </w:p>
        </w:tc>
      </w:tr>
      <w:tr>
        <w:trPr>
          <w:trHeight w:val="210"/>
        </w:trPr>
        <w:tc>
          <w:tcPr>
            <w:tcW w:w="29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shd w:val="clear" w:color="auto" w:fill="CCEEFF"/>
              </w:rPr>
              <w:t>Operating lease obligations - facilities</w:t>
            </w:r>
            <w:r>
              <w:rPr>
                <w:rFonts w:ascii="Times New Roman" w:cs="Times New Roman" w:eastAsia="Times New Roman" w:hAnsi="Times New Roman"/>
                <w:sz w:val="24"/>
                <w:szCs w:val="24"/>
                <w:color w:val="auto"/>
                <w:vertAlign w:val="superscript"/>
                <w:shd w:val="clear" w:color="auto" w:fill="CCEEFF"/>
              </w:rPr>
              <w:t>(1)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78,273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4,947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5,469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5,016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4,838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4,610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53,393</w:t>
            </w:r>
          </w:p>
        </w:tc>
      </w:tr>
      <w:tr>
        <w:trPr>
          <w:trHeight w:val="216"/>
        </w:trPr>
        <w:tc>
          <w:tcPr>
            <w:tcW w:w="29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20" w:type="dxa"/>
            <w:vAlign w:val="bottom"/>
            <w:tcBorders>
              <w:bottom w:val="single" w:sz="8" w:color="CCEEFF"/>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r>
      <w:tr>
        <w:trPr>
          <w:trHeight w:val="20"/>
        </w:trPr>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00" w:right="540" w:hanging="495"/>
        <w:spacing w:after="0" w:line="269" w:lineRule="auto"/>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lease obligations consist of obligations under non-cancellable operating leases for our facilities in San Carlos, California, Philadelphia, Pennsylvania, and Tampa, Florida.</w:t>
      </w:r>
    </w:p>
    <w:p>
      <w:pPr>
        <w:ind w:left="580" w:right="240" w:hanging="475"/>
        <w:spacing w:after="0" w:line="211"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purchase obligations of $54.3 million related to manufacturing and supply agreements for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under a contract we inherited as part of the Acquisition, which was subsequently extended through 2028.</w:t>
      </w:r>
    </w:p>
    <w:p>
      <w:pPr>
        <w:ind w:left="600" w:right="220" w:hanging="495"/>
        <w:spacing w:after="0" w:line="266" w:lineRule="auto"/>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 These arrangements may be material individually, and in the event that milestones for multiple products covered by these arrangements are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500" w:firstLine="492"/>
        <w:spacing w:after="0" w:line="477" w:lineRule="auto"/>
        <w:rPr>
          <w:sz w:val="20"/>
          <w:szCs w:val="20"/>
          <w:color w:val="auto"/>
        </w:rPr>
      </w:pPr>
      <w:r>
        <w:rPr>
          <w:rFonts w:ascii="Times New Roman" w:cs="Times New Roman" w:eastAsia="Times New Roman" w:hAnsi="Times New Roman"/>
          <w:sz w:val="18"/>
          <w:szCs w:val="18"/>
          <w:color w:val="auto"/>
        </w:rPr>
        <w:t xml:space="preserve">As of March 31, 2026, we had no obligations that would require disclosure as off-balance sheet arrangements. </w:t>
      </w: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condensed consolidated financial statements included in this Quarterly Report on Form 10-Q. As described in Note 2, the preparation of our condensed consolidated financial statements requires us to make estimates and judgments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under different assumptions or conditions.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reflect the more significant judgments and estimates used in the preparation of our condensed consolidated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29"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 xml:space="preserve">We make certain judgments to determine whether transactions should be accounted for acquisitions of assets or business combinations using the guidance in Accounting Standard Codification, or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w:t>
      </w:r>
    </w:p>
    <w:p>
      <w:pPr>
        <w:spacing w:after="0" w:line="160"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39" w:lineRule="exact"/>
        <w:rPr>
          <w:sz w:val="20"/>
          <w:szCs w:val="20"/>
          <w:color w:val="auto"/>
        </w:rPr>
      </w:pPr>
    </w:p>
    <w:p>
      <w:pPr>
        <w:ind w:right="220" w:firstLine="492"/>
        <w:spacing w:after="0" w:line="266" w:lineRule="auto"/>
        <w:rPr>
          <w:sz w:val="20"/>
          <w:szCs w:val="20"/>
          <w:color w:val="auto"/>
        </w:rPr>
      </w:pPr>
      <w:r>
        <w:rPr>
          <w:rFonts w:ascii="Times New Roman" w:cs="Times New Roman" w:eastAsia="Times New Roman" w:hAnsi="Times New Roman"/>
          <w:sz w:val="18"/>
          <w:szCs w:val="18"/>
          <w:color w:val="auto"/>
        </w:rPr>
        <w:t xml:space="preserve">Deferred tax liabilities arising from basis differences in assets acquired are calculated using the simultaneous equations method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based on the effective tax rate. The resulting deferred tax liability is recorded against the carrying amount of the acquired intangible assets on a relative fair value basis.</w:t>
      </w:r>
    </w:p>
    <w:p>
      <w:pPr>
        <w:spacing w:after="0" w:line="133" w:lineRule="exact"/>
        <w:rPr>
          <w:sz w:val="20"/>
          <w:szCs w:val="20"/>
          <w:color w:val="auto"/>
        </w:rPr>
      </w:pPr>
    </w:p>
    <w:p>
      <w:pPr>
        <w:ind w:right="60" w:firstLine="492"/>
        <w:spacing w:after="0" w:line="267" w:lineRule="auto"/>
        <w:rPr>
          <w:sz w:val="20"/>
          <w:szCs w:val="20"/>
          <w:color w:val="auto"/>
        </w:rPr>
      </w:pPr>
      <w:r>
        <w:rPr>
          <w:rFonts w:ascii="Times New Roman" w:cs="Times New Roman" w:eastAsia="Times New Roman" w:hAnsi="Times New Roman"/>
          <w:sz w:val="18"/>
          <w:szCs w:val="18"/>
          <w:color w:val="auto"/>
        </w:rPr>
        <w:t xml:space="preserve">Contingent consideration 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is included in the cost of the asset acquisition at its acquisition date fair value. Contingent consideration in the scope of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is recognized when it is both probable and reasonably estimable.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Our acquired intangible assets are initially measured based on an allocation of the cost of the acquisition to the assets acquired on a relative fair value basis and are recorded net of accumulated amortization, while intangible assets recorded as the result of milestone or license payments are recorded at the amount paid. We amortize our intangible assets on a straight-line basis over their estimated useful lives.</w:t>
      </w:r>
    </w:p>
    <w:p>
      <w:pPr>
        <w:spacing w:after="0" w:line="13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w:t>
      </w:r>
    </w:p>
    <w:p>
      <w:pPr>
        <w:spacing w:after="0" w:line="139"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or impaired intangible assets existed as of March 31, 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Sales</w:t>
      </w:r>
    </w:p>
    <w:p>
      <w:pPr>
        <w:spacing w:after="0" w:line="229"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Our assessment of net realizable value requires the use of estimates regarding the net realizable value of our inventory balances, including an assessment of excess or obsolete inventory. We determine excess or obsolete inventory based on multiple factors, including our most recent sales and manufacturing forecast compared to quantities on hand and the expiration date of the product and materials.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from product sales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revenue is recognized when a customer obtains control of promised goods or services in an amount that reflects the consideration which the entity expects to receive in exchange for those goods or services. To the extent the transaction price includes variable</w:t>
      </w:r>
    </w:p>
    <w:p>
      <w:pPr>
        <w:sectPr>
          <w:pgSz w:w="11900" w:h="16838" w:orient="portrait"/>
          <w:cols w:equalWidth="0" w:num="1">
            <w:col w:w="9880"/>
          </w:cols>
          <w:pgMar w:left="980" w:top="661" w:right="1039" w:bottom="1440" w:gutter="0" w:footer="0" w:header="0"/>
        </w:sect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consideration, we estimate the amount of variable consideration that should be included in the transaction price using the most likely method based on historical experience, as well as applicable information currently available.</w:t>
      </w:r>
    </w:p>
    <w:p>
      <w:pPr>
        <w:spacing w:after="0" w:line="121" w:lineRule="exact"/>
        <w:rPr>
          <w:sz w:val="20"/>
          <w:szCs w:val="20"/>
          <w:color w:val="auto"/>
        </w:rPr>
      </w:pPr>
    </w:p>
    <w:p>
      <w:pPr>
        <w:ind w:firstLine="492"/>
        <w:spacing w:after="0" w:line="238"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 is recognized upon infusion while for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transfer of control occurs either upon shipment or upon receipt of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spacing w:after="0" w:line="173"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43"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35" w:lineRule="exact"/>
        <w:rPr>
          <w:sz w:val="20"/>
          <w:szCs w:val="20"/>
          <w:color w:val="auto"/>
        </w:rPr>
      </w:pPr>
    </w:p>
    <w:p>
      <w:pPr>
        <w:ind w:right="120" w:firstLine="492"/>
        <w:spacing w:after="0" w:line="282"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our products, primarily in Europe, are excluded from revenues.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29" w:lineRule="exact"/>
        <w:rPr>
          <w:sz w:val="20"/>
          <w:szCs w:val="20"/>
          <w:color w:val="auto"/>
        </w:rPr>
      </w:pPr>
    </w:p>
    <w:p>
      <w:pPr>
        <w:ind w:right="60" w:firstLine="492"/>
        <w:spacing w:after="0" w:line="271" w:lineRule="auto"/>
        <w:rPr>
          <w:sz w:val="20"/>
          <w:szCs w:val="20"/>
          <w:color w:val="auto"/>
        </w:rPr>
      </w:pPr>
      <w:r>
        <w:rPr>
          <w:rFonts w:ascii="Times New Roman" w:cs="Times New Roman" w:eastAsia="Times New Roman" w:hAnsi="Times New Roman"/>
          <w:sz w:val="17"/>
          <w:szCs w:val="17"/>
          <w:color w:val="auto"/>
        </w:rPr>
        <w:t>Research and development costs are expensed as incurred. Clinical development costs compose a significant component of research and development costs. We have a history of contracting with third parties, including CROs, independent clinical investigators, and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w:t>
      </w:r>
    </w:p>
    <w:p>
      <w:pPr>
        <w:spacing w:after="0" w:line="173"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87" w:lineRule="exact"/>
        <w:rPr>
          <w:sz w:val="20"/>
          <w:szCs w:val="20"/>
          <w:color w:val="auto"/>
        </w:rPr>
      </w:pPr>
    </w:p>
    <w:p>
      <w:pPr>
        <w:jc w:val="both"/>
        <w:ind w:right="40" w:firstLine="492"/>
        <w:spacing w:after="0" w:line="266" w:lineRule="auto"/>
        <w:rPr>
          <w:sz w:val="20"/>
          <w:szCs w:val="20"/>
          <w:color w:val="auto"/>
        </w:rPr>
      </w:pPr>
      <w:r>
        <w:rPr>
          <w:rFonts w:ascii="Times New Roman" w:cs="Times New Roman" w:eastAsia="Times New Roman" w:hAnsi="Times New Roman"/>
          <w:sz w:val="18"/>
          <w:szCs w:val="18"/>
          <w:color w:val="auto"/>
        </w:rPr>
        <w:t>We make judgments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actual costs become known, we adjust our estimates, liabilities and assets. Inputs used in our determination of estimates discussed above may vary from actual, which will result in adjustments to research and development expense in future periods.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investments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March 31, 2026, we had $196.0 million invested in marketable securities with a maturity date of less than one year. As such we believe that we are not exposed to any material market risk. If interest rates had varied by 1% in the quarter ended March 31, 2026, the fair value of our investment portfolio would increase or decrease by approximately $0.3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560" w:firstLine="492"/>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as of and for the periods covered by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40" w:firstLine="492"/>
        <w:spacing w:after="0" w:line="224" w:lineRule="auto"/>
        <w:rPr>
          <w:sz w:val="20"/>
          <w:szCs w:val="20"/>
          <w:color w:val="auto"/>
        </w:rPr>
      </w:pPr>
      <w:r>
        <w:rPr>
          <w:rFonts w:ascii="Times New Roman" w:cs="Times New Roman" w:eastAsia="Times New Roman" w:hAnsi="Times New Roman"/>
          <w:sz w:val="18"/>
          <w:szCs w:val="18"/>
          <w:color w:val="auto"/>
        </w:rPr>
        <w:t>In addition to our existing foreign operations, we acquired and established newly formed foreign subsidiaries to consummate our acquisition of worldwide rights in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2023. As a result, our financial results could be significantly affected by factors such as changes in foreign currency exchange rates or weak economic conditions in the foreign markets in which we distribute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operating results could be exposed to changes in foreign currency exchange rates between U.S. dollar and various foreign currencies, the most significant of which is the pound sterling. When the U.S. dollar strengthens against these currencies, the relative value of sales made in the respective foreign currency decreases. Conversely, when the U.S. dollar weakens against these currencies, the relative value of such sales increase.</w:t>
      </w:r>
    </w:p>
    <w:p>
      <w:pPr>
        <w:spacing w:after="0" w:line="204" w:lineRule="exact"/>
        <w:rPr>
          <w:sz w:val="20"/>
          <w:szCs w:val="20"/>
          <w:color w:val="auto"/>
        </w:rPr>
      </w:pPr>
    </w:p>
    <w:p>
      <w:pPr>
        <w:jc w:val="both"/>
        <w:ind w:right="180" w:firstLine="492"/>
        <w:spacing w:after="0" w:line="289" w:lineRule="auto"/>
        <w:rPr>
          <w:sz w:val="20"/>
          <w:szCs w:val="20"/>
          <w:color w:val="auto"/>
        </w:rPr>
      </w:pPr>
      <w:r>
        <w:rPr>
          <w:rFonts w:ascii="Times New Roman" w:cs="Times New Roman" w:eastAsia="Times New Roman" w:hAnsi="Times New Roman"/>
          <w:sz w:val="17"/>
          <w:szCs w:val="17"/>
          <w:color w:val="auto"/>
        </w:rPr>
        <w:t>The majority of our product sales during the three months ended March 31, 2026 were denominated in the U.S. dollar, however, we do have some sales denominated in foreign currencies. Nevertheless, foreign currency transaction gains and losses were immaterial for the three months ended March 31, 2026. No foreign currency exchange risk existed for the three months ended March 31, 2026.</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Regarding the Effectiveness of Disclosure Controls and Procedures:</w:t>
      </w:r>
    </w:p>
    <w:p>
      <w:pPr>
        <w:spacing w:after="0" w:line="229"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20" w:firstLine="492"/>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The information in Note 14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14 to our condensed consolidated financial statements for the quarter ended March 31, 2026, contained in this Quarterly Report on Form 10-Q.</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7"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U.S. Securities and Exchange Commission, or the SEC.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87"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continue to incur losses, and we may never be profitable;</w:t>
      </w:r>
    </w:p>
    <w:p>
      <w:pPr>
        <w:spacing w:after="0" w:line="27" w:lineRule="exact"/>
        <w:rPr>
          <w:rFonts w:ascii="Times New Roman" w:cs="Times New Roman" w:eastAsia="Times New Roman" w:hAnsi="Times New Roman"/>
          <w:sz w:val="18"/>
          <w:szCs w:val="18"/>
          <w:color w:val="auto"/>
        </w:rPr>
      </w:pPr>
    </w:p>
    <w:p>
      <w:pPr>
        <w:ind w:left="680" w:right="6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1" w:lineRule="exact"/>
        <w:rPr>
          <w:rFonts w:ascii="Times New Roman" w:cs="Times New Roman" w:eastAsia="Times New Roman" w:hAnsi="Times New Roman"/>
          <w:sz w:val="18"/>
          <w:szCs w:val="18"/>
          <w:color w:val="auto"/>
        </w:rPr>
      </w:pPr>
    </w:p>
    <w:p>
      <w:pPr>
        <w:ind w:left="680" w:right="10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1"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the Gen 2 manufacturing process or other processes we have selected will be FDA-compliant or more efficient and will lower the cost to manufacture TIL products;</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from non-profit institutions;</w:t>
      </w:r>
    </w:p>
    <w:p>
      <w:pPr>
        <w:spacing w:after="0" w:line="9" w:lineRule="exact"/>
        <w:rPr>
          <w:rFonts w:ascii="Times New Roman" w:cs="Times New Roman" w:eastAsia="Times New Roman" w:hAnsi="Times New Roman"/>
          <w:sz w:val="18"/>
          <w:szCs w:val="18"/>
          <w:color w:val="auto"/>
        </w:rPr>
      </w:pPr>
    </w:p>
    <w:p>
      <w:pPr>
        <w:ind w:left="680" w:right="6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regarding the market opportunities for our products and product candidates may not be accurate, and the actual market for our products and product candidates may be smaller than we estimate;</w:t>
      </w:r>
    </w:p>
    <w:p>
      <w:pPr>
        <w:jc w:val="both"/>
        <w:ind w:left="680" w:right="140" w:hanging="321"/>
        <w:spacing w:after="0" w:line="265"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ind w:left="680" w:right="240" w:hanging="321"/>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product candidates do not achieve broad market acceptance, the revenues that we generate from their sales will be limited;</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face competition sooner than anticipated;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5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9" w:lineRule="exact"/>
        <w:rPr>
          <w:rFonts w:ascii="Times New Roman" w:cs="Times New Roman" w:eastAsia="Times New Roman" w:hAnsi="Times New Roman"/>
          <w:sz w:val="18"/>
          <w:szCs w:val="18"/>
          <w:color w:val="auto"/>
        </w:rPr>
      </w:pPr>
    </w:p>
    <w:p>
      <w:pPr>
        <w:ind w:left="680" w:right="16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1" w:lineRule="exact"/>
        <w:rPr>
          <w:rFonts w:ascii="Times New Roman" w:cs="Times New Roman" w:eastAsia="Times New Roman" w:hAnsi="Times New Roman"/>
          <w:sz w:val="18"/>
          <w:szCs w:val="18"/>
          <w:color w:val="auto"/>
        </w:rPr>
      </w:pPr>
    </w:p>
    <w:p>
      <w:pPr>
        <w:ind w:left="680" w:right="44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or sufficiently expand our manufacturing capacity to meet demand for our products and product candidates;</w:t>
      </w:r>
    </w:p>
    <w:p>
      <w:pPr>
        <w:ind w:left="680" w:right="52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success of our product candidates and cannot guarantee that these product candidates will successfully complete development, receive regulatory approval, or be successfully commercialized;</w:t>
      </w:r>
    </w:p>
    <w:p>
      <w:pPr>
        <w:ind w:left="680" w:right="28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product may present more or different challenges than development of a product candidate for use as a single agent;</w:t>
      </w:r>
    </w:p>
    <w:p>
      <w:pPr>
        <w:jc w:val="both"/>
        <w:ind w:left="680" w:right="12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in the U.S.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longer and cost more to complete our clinical trials than we project, or we may not be able to complete them at all;</w:t>
      </w:r>
    </w:p>
    <w:p>
      <w:pPr>
        <w:spacing w:after="0" w:line="9"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adequately the safety and efficacy of our product candidates, which would prevent or delay regulatory approval and commercialization;</w:t>
      </w:r>
    </w:p>
    <w:p>
      <w:pPr>
        <w:ind w:left="680" w:right="280" w:hanging="321"/>
        <w:spacing w:after="0" w:line="265"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pay substantial royalties and lump sum benchmark payments under our license or acquisition agreements with the NIH, Novartis, Clinigen, and Cellectis, and we must meet certain milestones to maintain our license rights;</w:t>
      </w:r>
    </w:p>
    <w:p>
      <w:pPr>
        <w:ind w:left="680" w:right="100" w:hanging="321"/>
        <w:spacing w:after="0" w:line="265"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ind w:left="680" w:right="16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global operations, which expose us to additional risks, and any adverse event could have a material adverse effect on our results of operations and financial condition; and</w:t>
      </w:r>
    </w:p>
    <w:p>
      <w:pPr>
        <w:ind w:left="680" w:right="160" w:hanging="321"/>
        <w:spacing w:after="0" w:line="253"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w:t>
      </w:r>
    </w:p>
    <w:p>
      <w:pPr>
        <w:spacing w:after="0" w:line="187" w:lineRule="exact"/>
        <w:rPr>
          <w:sz w:val="20"/>
          <w:szCs w:val="20"/>
          <w:color w:val="auto"/>
        </w:rPr>
      </w:pPr>
    </w:p>
    <w:p>
      <w:pPr>
        <w:ind w:left="680" w:right="80" w:hanging="321"/>
        <w:spacing w:after="0" w:line="272"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spacing w:after="0" w:line="1" w:lineRule="exact"/>
        <w:rPr>
          <w:rFonts w:ascii="Times New Roman" w:cs="Times New Roman" w:eastAsia="Times New Roman" w:hAnsi="Times New Roman"/>
          <w:sz w:val="17"/>
          <w:szCs w:val="17"/>
          <w:color w:val="auto"/>
        </w:rPr>
      </w:pPr>
    </w:p>
    <w:p>
      <w:pPr>
        <w:ind w:left="680" w:right="80" w:hanging="321"/>
        <w:spacing w:after="0" w:line="250"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foreign regulatory approval process is lengthy and time-consuming, and we may experience significant delays in the clinical development and regulatory approval of our product candidates;</w:t>
      </w:r>
    </w:p>
    <w:p>
      <w:pPr>
        <w:ind w:left="680" w:right="100" w:hanging="321"/>
        <w:spacing w:after="0" w:line="255"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2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or maintaining regulatory approval of our product candidates in other jurisdictions; and</w:t>
      </w:r>
    </w:p>
    <w:p>
      <w:pPr>
        <w:ind w:left="680" w:right="100" w:hanging="321"/>
        <w:spacing w:after="0" w:line="26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be limited or unavailable in certain market segments for our products or product candidates, which could make it difficult for us to sell our product candidates profitably.</w:t>
      </w:r>
    </w:p>
    <w:p>
      <w:pPr>
        <w:spacing w:after="0" w:line="181"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this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 profitable.</w:t>
      </w:r>
    </w:p>
    <w:p>
      <w:pPr>
        <w:spacing w:after="0" w:line="189" w:lineRule="exact"/>
        <w:rPr>
          <w:sz w:val="20"/>
          <w:szCs w:val="20"/>
          <w:color w:val="auto"/>
        </w:rPr>
      </w:pPr>
    </w:p>
    <w:p>
      <w:pPr>
        <w:jc w:val="both"/>
        <w:ind w:right="20" w:firstLine="492"/>
        <w:spacing w:after="0" w:line="207"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by harnessing the human immune system’s ability to recognize and destroy diverse cancer cells using individualized therapies. Until the closing of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or the Acquisition, in May 2023, we did not have products approved for commercial sale and have not generated significant revenue from operations. We began to generate revenue from the sale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after the Acquisition, and from the sale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2024. However,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are dependent upon continued use in manufacturing and clinical settings by us and other cell therapy companies.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revenue from product sales in accordance with ASC Topic 606, Revenue from Contracts with Customers, or ASC</w:t>
      </w:r>
    </w:p>
    <w:p>
      <w:pPr>
        <w:spacing w:after="0" w:line="27" w:lineRule="exact"/>
        <w:rPr>
          <w:sz w:val="20"/>
          <w:szCs w:val="20"/>
          <w:color w:val="auto"/>
        </w:rPr>
      </w:pPr>
    </w:p>
    <w:p>
      <w:pPr>
        <w:ind w:firstLine="8"/>
        <w:spacing w:after="0" w:line="253"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spacing w:after="0" w:line="148" w:lineRule="exact"/>
        <w:rPr>
          <w:sz w:val="20"/>
          <w:szCs w:val="20"/>
          <w:color w:val="auto"/>
        </w:rPr>
      </w:pPr>
    </w:p>
    <w:p>
      <w:pPr>
        <w:ind w:right="20" w:firstLine="492"/>
        <w:spacing w:after="0" w:line="238"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 is recognized upon infusion, while for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transfer of control occurs either upon shipment or upon receipt of the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spacing w:after="0" w:line="159"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56" w:lineRule="exact"/>
        <w:rPr>
          <w:sz w:val="20"/>
          <w:szCs w:val="20"/>
          <w:color w:val="auto"/>
        </w:rPr>
      </w:pPr>
    </w:p>
    <w:p>
      <w:pPr>
        <w:ind w:right="540" w:firstLine="492"/>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35" w:lineRule="exact"/>
        <w:rPr>
          <w:sz w:val="20"/>
          <w:szCs w:val="20"/>
          <w:color w:val="auto"/>
        </w:rPr>
      </w:pPr>
    </w:p>
    <w:p>
      <w:pPr>
        <w:jc w:val="both"/>
        <w:ind w:right="100" w:firstLine="492"/>
        <w:spacing w:after="0" w:line="230" w:lineRule="auto"/>
        <w:rPr>
          <w:sz w:val="20"/>
          <w:szCs w:val="20"/>
          <w:color w:val="auto"/>
        </w:rPr>
      </w:pPr>
      <w:r>
        <w:rPr>
          <w:rFonts w:ascii="Times New Roman" w:cs="Times New Roman" w:eastAsia="Times New Roman" w:hAnsi="Times New Roman"/>
          <w:sz w:val="18"/>
          <w:szCs w:val="18"/>
          <w:color w:val="auto"/>
        </w:rPr>
        <w:t>As of March 31, 2026, we had an accumulated deficit of $2.9 billion. In addition, during the three months ended March 31, 2026, we incurred a net loss of $79.0 million. While we are executing the U.S. launch of our first internally developed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may not generate any meaningful product sales until later, and we expect to incur significant additional operating losses in the future as we expand our development and clinical trial activities in support of demonstrating the effectiveness of our product candidates.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 Furthermore, our profitability and gross margins are subject to fluctuations based on factors outside of our control, such as potential additional tariffs, discussed below, as well as any changes to corporate tax rates.</w:t>
      </w:r>
    </w:p>
    <w:p>
      <w:pPr>
        <w:spacing w:after="0" w:line="139" w:lineRule="exact"/>
        <w:rPr>
          <w:sz w:val="20"/>
          <w:szCs w:val="20"/>
          <w:color w:val="auto"/>
        </w:rPr>
      </w:pPr>
    </w:p>
    <w:p>
      <w:pPr>
        <w:ind w:right="20"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153"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From our inception to March 31, 2026, we have an accumulated deficit of $2.9 billion. In addition, our research and development and our operating costs have also been substantial and are expected to increase. As of March 31, 2026, we had $319.4 million in cash, cash equivalents, short-term investments, and restricted cash ($196.5 million of cash and cash equivalents, $116.9 million in short-term investments, and $6.0 million in restricted cash).</w:t>
      </w:r>
    </w:p>
    <w:p>
      <w:pPr>
        <w:spacing w:after="0" w:line="131" w:lineRule="exact"/>
        <w:rPr>
          <w:sz w:val="20"/>
          <w:szCs w:val="20"/>
          <w:color w:val="auto"/>
        </w:rPr>
      </w:pPr>
    </w:p>
    <w:p>
      <w:pPr>
        <w:ind w:firstLine="492"/>
        <w:spacing w:after="0" w:line="236" w:lineRule="auto"/>
        <w:rPr>
          <w:sz w:val="20"/>
          <w:szCs w:val="20"/>
          <w:color w:val="auto"/>
        </w:rPr>
      </w:pPr>
      <w:r>
        <w:rPr>
          <w:rFonts w:ascii="Times New Roman" w:cs="Times New Roman" w:eastAsia="Times New Roman" w:hAnsi="Times New Roman"/>
          <w:sz w:val="18"/>
          <w:szCs w:val="18"/>
          <w:color w:val="auto"/>
        </w:rPr>
        <w:t>With the approval of the BLA, we began to generate revenue from the sale of our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second quarter of 2024. Furthermore, following the Acquisition, we began to generate revenue from the sales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There is no assurance that such funds will be sufficient to fund our operations during the 12 months from the date the condensed consolidated financial statements are issued and this Form 10-Q is filed. However, based on the funds we have available as of the date these consolidated financial statements are issued, we believe that we have sufficient capital to fund our anticipated operating expenses and capital expenditures as planned for at least the next twelve months following the issuance of our condensed consolidated financial statements included in this Form 10-Q. However, in order to complete the development of our current product candidates, and in order to effect our business plan, including expanding our own manufacturing facility, we anticipate that we will have to spend more than the funds currently available to us. Furthermore, changing circumstances may cause us to increase our spending significantly faster than we currently anticipate. We may require additional capital for the further development of our product candidates and commercialization of our products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65" w:lineRule="exact"/>
        <w:rPr>
          <w:sz w:val="20"/>
          <w:szCs w:val="20"/>
          <w:color w:val="auto"/>
        </w:rPr>
      </w:pPr>
    </w:p>
    <w:p>
      <w:pPr>
        <w:ind w:right="260" w:firstLine="492"/>
        <w:spacing w:after="0" w:line="266"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of our product candidates and commercialization of our products. Our future funding requirements will depend on many factors, including, but not limited to:</w:t>
      </w:r>
    </w:p>
    <w:p>
      <w:pPr>
        <w:spacing w:after="0" w:line="149" w:lineRule="exact"/>
        <w:rPr>
          <w:sz w:val="20"/>
          <w:szCs w:val="20"/>
          <w:color w:val="auto"/>
        </w:rPr>
      </w:pPr>
    </w:p>
    <w:p>
      <w:pPr>
        <w:ind w:left="680" w:right="16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680" w:right="2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 or commercialize our product;</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9"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the FDA and foreign regulations, including those applicable in the EU;</w:t>
      </w:r>
    </w:p>
    <w:p>
      <w:pPr>
        <w:ind w:left="680" w:right="1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680" w:right="1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our products, if approved, including the cost and timing of building our marketing and sales capabilities;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expanding, staffing, and validating our own manufacturing facility in the U.S.;</w:t>
      </w:r>
    </w:p>
    <w:p>
      <w:pPr>
        <w:spacing w:after="0" w:line="9" w:lineRule="exact"/>
        <w:rPr>
          <w:rFonts w:ascii="Times New Roman" w:cs="Times New Roman" w:eastAsia="Times New Roman" w:hAnsi="Times New Roman"/>
          <w:sz w:val="18"/>
          <w:szCs w:val="18"/>
          <w:color w:val="auto"/>
        </w:rPr>
      </w:pPr>
    </w:p>
    <w:p>
      <w:pPr>
        <w:ind w:left="680" w:right="8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licensing, or other arrangements that we have established or may establish;</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a public company;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other intellectual property rights; and</w:t>
      </w:r>
    </w:p>
    <w:p>
      <w:pPr>
        <w:spacing w:after="0" w:line="9" w:lineRule="exact"/>
        <w:rPr>
          <w:rFonts w:ascii="Times New Roman" w:cs="Times New Roman" w:eastAsia="Times New Roman" w:hAnsi="Times New Roman"/>
          <w:sz w:val="18"/>
          <w:szCs w:val="18"/>
          <w:color w:val="auto"/>
        </w:rPr>
      </w:pPr>
    </w:p>
    <w:p>
      <w:pPr>
        <w:ind w:left="680" w:right="860" w:hanging="321"/>
        <w:spacing w:after="0" w:line="20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(such as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strategic collaborations, licensing agreements, or other arrangements that we may establish.</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For example, in August 2025, we entered into an Amended and Restated Open Market Sale Agreement, or the 2025 Sale Agreement, with Jefferies, which provides for the sale of up to $350.0 million of our common stock from time to time. Additional funds may not be available when we need them on terms that are acceptable to us, or at all. We have no committed source of additional capital and if we are unable to raise additional capital in sufficient amounts or on terms acceptable to us, we may be required to undergo further reductions in our workforce or other corporate restructuring activities, or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4"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58" w:lineRule="exact"/>
        <w:rPr>
          <w:sz w:val="20"/>
          <w:szCs w:val="20"/>
          <w:color w:val="auto"/>
        </w:rPr>
      </w:pPr>
    </w:p>
    <w:p>
      <w:pPr>
        <w:ind w:right="5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the expected benefits from restructuring activities, including workforce reductions, and our business might be adversely affected.</w:t>
      </w:r>
    </w:p>
    <w:p>
      <w:pPr>
        <w:spacing w:after="0" w:line="11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In August 2025, we announced a strategic restructuring plan with an associated reduction in workforce as a result of a review of current strategic priorities, resource allocation, and cost reduction intended to reduce operating costs, streamline operations, and extend our cash runway. The workforce reduction of approximately 19 percent was substantially complete by end of September 30, 2025. These types of restructuring and cost reduction activities are complex and may result in unintended consequences and costs, such as unforeseen delays in the implementation of our strategic initiatives, business and operational disruptions, decreased employee morale and retention, loss of institutional knowledge and expertise, and potential impacts on financial reporting. The reduction in our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the impact of the restructuring plan or any other similar activities that we may undertake in the future, we may not achieve the expected cost savings and other expected benefits in the expected timeframe or at all, and our business, financial condition, and results of operations may be materially adversely affected.</w:t>
      </w:r>
    </w:p>
    <w:p>
      <w:pPr>
        <w:spacing w:after="0" w:line="147" w:lineRule="exact"/>
        <w:rPr>
          <w:sz w:val="20"/>
          <w:szCs w:val="20"/>
          <w:color w:val="auto"/>
        </w:rPr>
      </w:pPr>
    </w:p>
    <w:p>
      <w:pPr>
        <w:ind w:right="1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Subject to various spending levels approved by our Board of Directors, our management will have broad discretion in the use of the net proceeds from our capital raises, including proceeds from sales pursuant to our “at-the-market” sale agreement with Jefferies LLC, and may not use them effectively.</w:t>
      </w:r>
    </w:p>
    <w:p>
      <w:pPr>
        <w:spacing w:after="0" w:line="148"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Our management will have discretion in the application of the net proceeds from our capital raises, including proceeds from sales pursuant to the 2025 Sale Agreement with Jefferies,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189" w:lineRule="exact"/>
        <w:rPr>
          <w:sz w:val="20"/>
          <w:szCs w:val="20"/>
          <w:color w:val="auto"/>
        </w:rPr>
      </w:pPr>
    </w:p>
    <w:p>
      <w:pPr>
        <w:ind w:right="480" w:firstLine="492"/>
        <w:spacing w:after="0" w:line="28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2025, we had U.S. federal net operating loss carryforwards of approximately $1.7 billion. Our net operating loss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43"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Prior to December 31, 2025,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58" w:lineRule="exact"/>
        <w:rPr>
          <w:sz w:val="20"/>
          <w:szCs w:val="20"/>
          <w:color w:val="auto"/>
        </w:rPr>
      </w:pPr>
    </w:p>
    <w:p>
      <w:pPr>
        <w:ind w:right="5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18"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tax rate applied is based on the estimated statutory rates in the UK as this is where our intangible assets, including our intellectual property, are domiciled, and as a result, we receive certain tax benefits. Any such changes to existing federal and state tax laws or international and U.S. corporate tax rates could adversely impact our business, results of operations, and financial position as the impact of recent tax legislation is uncertain.</w:t>
      </w:r>
    </w:p>
    <w:p>
      <w:pPr>
        <w:spacing w:after="0" w:line="14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In recent years, various tax legislations were signed into law. On December 22, 2017, the Tax Cuts and Jobs Act of 2017, or the Tax Act, was signed into law, making significant changes to the Internal Revenue Code.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On July 4, 2025, the One Big Beautiful Bill Act, or the OBBBA, was enacted in the U.S. The OBBBA includes significant provisions, such as the permanent extension of certain expiring provisions of the Tax Act, modifications to the international tax framework and the restoration of favorable tax treatment for certain business provisions. The OBBBA has multiple effective dates, with certain provisions effective in 2025 and others implemented through 2027. The OBBBA has enacted, among others, changes to eligibility requirements for premium tax credits, which is expected to result in less coverage in the ACA’s health insurance marketplace, or Marketplace, over the next few years. The ACA premium tax credits expired at the end of 2025, which is expected to result in an additional loss of coverage for approximately an estimated 24 million people currently that were previously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 There is uncertainty regarding future legislative and regulatory changes and policies related to matters such as taxation and importation, including tariffs, and any such proposed or enacted regulations, taxes, or tariffs by the current or a future U.S. administration, Congress, or taxing and importation authorities in other jurisdictions could adversely impact the global economy and materially affect our tax obligations, tariff obligations, and operating results.</w:t>
      </w:r>
    </w:p>
    <w:p>
      <w:pPr>
        <w:spacing w:after="0" w:line="161"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 xml:space="preserve">In addition, U.S. federal, state, and local tax laws are extremely complex and subject to various interpretations. Although we believe that our tax estimates and positions are reasonable, including our decision to build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deductions or other tax allocations, which may adversely affect our results of operations and financial position. In addition, given our current net loss and net loss carryforwards, we may not be able to realize the full benefit of these tax advantages before they expire.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Products and Product Candidates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Even though our lead product Amtagvi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is approved and commercialized, we may not become profitable.</w:t>
      </w:r>
    </w:p>
    <w:p>
      <w:pPr>
        <w:spacing w:after="0" w:line="97" w:lineRule="exact"/>
        <w:rPr>
          <w:sz w:val="20"/>
          <w:szCs w:val="20"/>
          <w:color w:val="auto"/>
        </w:rPr>
      </w:pPr>
    </w:p>
    <w:p>
      <w:pPr>
        <w:ind w:right="180" w:firstLine="492"/>
        <w:spacing w:after="0" w:line="193" w:lineRule="auto"/>
        <w:rPr>
          <w:sz w:val="20"/>
          <w:szCs w:val="20"/>
          <w:color w:val="auto"/>
        </w:rPr>
      </w:pPr>
      <w:r>
        <w:rPr>
          <w:rFonts w:ascii="Times New Roman" w:cs="Times New Roman" w:eastAsia="Times New Roman" w:hAnsi="Times New Roman"/>
          <w:sz w:val="18"/>
          <w:szCs w:val="18"/>
          <w:color w:val="auto"/>
        </w:rPr>
        <w:t>Our lead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is initially targeting a small population of refractory patients that suffer from metastatic melanoma. Even with FDA approval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even if we obtain significant market share, because the potential target population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established product and there are competing products in development, the success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closely tied to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use with other cell therapies. An approval for a marketed product, such as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may be withdrawn by the FDA or another regulatory agency and disrupt both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because of their codependency. Additionally,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are dependent upon continued use in manufacturing and clinical settings by Iovance and other cell therapy companies.</w:t>
      </w:r>
    </w:p>
    <w:p>
      <w:pPr>
        <w:spacing w:after="0" w:line="157" w:lineRule="exact"/>
        <w:rPr>
          <w:sz w:val="20"/>
          <w:szCs w:val="20"/>
          <w:color w:val="auto"/>
        </w:rPr>
      </w:pPr>
    </w:p>
    <w:p>
      <w:pPr>
        <w:ind w:right="40"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15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Our products and product candidates are biologics and the process of manufacturing our products is complex, highly regulated, and subject to multiple risks. The manufacture of our products and product candidates involves complex processes, including harvesting tumor fragments from patients, isolating the T cells from the tumor fragments, multiplying the T cells to obtain the desired dose, and ultimately infusing the T 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9"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Because our products and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6" w:lineRule="exact"/>
        <w:rPr>
          <w:sz w:val="20"/>
          <w:szCs w:val="20"/>
          <w:color w:val="auto"/>
        </w:rPr>
      </w:pPr>
    </w:p>
    <w:p>
      <w:pPr>
        <w:ind w:right="80" w:firstLine="492"/>
        <w:spacing w:after="0" w:line="284" w:lineRule="auto"/>
        <w:rPr>
          <w:sz w:val="20"/>
          <w:szCs w:val="20"/>
          <w:color w:val="auto"/>
        </w:rPr>
      </w:pPr>
      <w:r>
        <w:rPr>
          <w:rFonts w:ascii="Times New Roman" w:cs="Times New Roman" w:eastAsia="Times New Roman" w:hAnsi="Times New Roman"/>
          <w:sz w:val="18"/>
          <w:szCs w:val="18"/>
          <w:color w:val="auto"/>
        </w:rPr>
        <w:t xml:space="preserve">Currently, our products and product candidates are manufactured at our internal facility,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by CMOs, using processes developed or modified by us or by our third-party research institution collaborators that we may not intend to use for more</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advanced clinical trials or commercialization. Gen 2 is the FDA-approved, commercial manufacturing process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has been selected for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59" w:lineRule="exact"/>
        <w:rPr>
          <w:sz w:val="20"/>
          <w:szCs w:val="20"/>
          <w:color w:val="auto"/>
        </w:rPr>
      </w:pPr>
    </w:p>
    <w:p>
      <w:pPr>
        <w:ind w:right="20" w:firstLine="492"/>
        <w:spacing w:after="0" w:line="228" w:lineRule="auto"/>
        <w:rPr>
          <w:sz w:val="20"/>
          <w:szCs w:val="20"/>
          <w:color w:val="auto"/>
        </w:rPr>
      </w:pPr>
      <w:r>
        <w:rPr>
          <w:rFonts w:ascii="Times New Roman" w:cs="Times New Roman" w:eastAsia="Times New Roman" w:hAnsi="Times New Roman"/>
          <w:sz w:val="18"/>
          <w:szCs w:val="18"/>
          <w:color w:val="auto"/>
        </w:rPr>
        <w:t xml:space="preserve">In May 2019 we entered into a lease agreement to build a commercial-scale manufacturing facility,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Philadelphia, Pennsylvania for commercial and clinical production of autologous TIL products, including our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is currently manufacturing TIL for our ongoing clinical trials and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commercial supply. Manufacturing performed by us is centralized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instead of manufacturing at various facilities. As of the first quarter of 2024,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was approved by the FDA for commercial manufacturing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successfully initiated commercial manufacturing and continue our capacity building and facility expansion activities to supply clinical and commercial TIL to meet demand. We expect our manufacturing facility will provide us with enhanced control of material supply for both clinical trials and the commercial market, enable the more rapid implementation of process changes, and allow for better long-term margins. We have built capacity to potentially treat thousands of cancer patients annually. However, we may not be successful in finalizing the expansion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81" w:lineRule="exact"/>
        <w:rPr>
          <w:sz w:val="20"/>
          <w:szCs w:val="20"/>
          <w:color w:val="auto"/>
        </w:rPr>
      </w:pPr>
    </w:p>
    <w:p>
      <w:pPr>
        <w:ind w:right="120" w:firstLine="492"/>
        <w:spacing w:after="0" w:line="256" w:lineRule="auto"/>
        <w:rPr>
          <w:sz w:val="20"/>
          <w:szCs w:val="20"/>
          <w:color w:val="auto"/>
        </w:rPr>
      </w:pPr>
      <w:r>
        <w:rPr>
          <w:rFonts w:ascii="Times New Roman" w:cs="Times New Roman" w:eastAsia="Times New Roman" w:hAnsi="Times New Roman"/>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w:t>
      </w:r>
    </w:p>
    <w:p>
      <w:pPr>
        <w:spacing w:after="0" w:line="147"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 xml:space="preserve">Our current manufacturing strategy involves the use of CMOs in conjunction with our internal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Currently our products and product candidates are manufactured internally at the</w:t>
      </w:r>
      <w:r>
        <w:rPr>
          <w:rFonts w:ascii="Times New Roman" w:cs="Times New Roman" w:eastAsia="Times New Roman" w:hAnsi="Times New Roman"/>
          <w:sz w:val="18"/>
          <w:szCs w:val="18"/>
          <w:i w:val="1"/>
          <w:iCs w:val="1"/>
          <w:color w:val="auto"/>
        </w:rPr>
        <w:t xml:space="preserve"> i</w:t>
      </w:r>
      <w:r>
        <w:rPr>
          <w:rFonts w:ascii="Times New Roman" w:cs="Times New Roman" w:eastAsia="Times New Roman" w:hAnsi="Times New Roman"/>
          <w:sz w:val="18"/>
          <w:szCs w:val="18"/>
          <w:color w:val="auto"/>
        </w:rPr>
        <w:t>CTC and previously externally by Minaris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Advanced Therapies, Inc., or Minaris, and the H. Lee Moffitt Cancer Center, or Moffitt. Additionally, we partner with American Red Cross, or ARC, to operate our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cell therapy manufacturers.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is an aseptic manufacturing facility that operates clean rooms for the production of TIL cell therapies, which are subject to contamination, labor, occupational safety, regulatory, climate, and environmental risks that could interfere with production. Any problems or delays we or our CMOs experience in preparing for commercial scale manufacturing of a product, product candidate, or component thereof may result, in the case of product candidates, a delay in the approval thereof or, in the case of products, may impair our ability to manufacture commercial quantities or such quantities at an acceptable cost, which could result in the delay, prevention, or impairment of clinical development of our product candidates and commercialization of our products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5" w:lineRule="exact"/>
        <w:rPr>
          <w:sz w:val="20"/>
          <w:szCs w:val="20"/>
          <w:color w:val="auto"/>
        </w:rPr>
      </w:pPr>
    </w:p>
    <w:p>
      <w:pPr>
        <w:ind w:right="120" w:firstLine="492"/>
        <w:spacing w:after="0" w:line="253" w:lineRule="auto"/>
        <w:rPr>
          <w:sz w:val="20"/>
          <w:szCs w:val="20"/>
          <w:color w:val="auto"/>
        </w:rPr>
      </w:pPr>
      <w:r>
        <w:rPr>
          <w:rFonts w:ascii="Times New Roman" w:cs="Times New Roman" w:eastAsia="Times New Roman" w:hAnsi="Times New Roman"/>
          <w:sz w:val="18"/>
          <w:szCs w:val="18"/>
          <w:color w:val="auto"/>
        </w:rPr>
        <w:t>Moreover, while we are expanding our capabilities to enable more internal manufacturing, should we continue to use CMOs, we may not succeed in maintaining our relationships with CMOs or establishing relationships with additional or alternative CMOs. Our products and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products and product candidates exclusively by ourselves, including:</w:t>
      </w:r>
    </w:p>
    <w:p>
      <w:pPr>
        <w:spacing w:after="0" w:line="121" w:lineRule="exact"/>
        <w:rPr>
          <w:sz w:val="20"/>
          <w:szCs w:val="20"/>
          <w:color w:val="auto"/>
        </w:rPr>
      </w:pPr>
    </w:p>
    <w:p>
      <w:pPr>
        <w:ind w:left="1160" w:hanging="31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27" w:lineRule="exact"/>
        <w:rPr>
          <w:rFonts w:ascii="Times New Roman" w:cs="Times New Roman" w:eastAsia="Times New Roman" w:hAnsi="Times New Roman"/>
          <w:sz w:val="18"/>
          <w:szCs w:val="18"/>
          <w:color w:val="auto"/>
        </w:rPr>
      </w:pPr>
    </w:p>
    <w:p>
      <w:pPr>
        <w:ind w:left="1160" w:right="320" w:hanging="315"/>
        <w:spacing w:after="0" w:line="250"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ind w:left="1160" w:hanging="31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9" w:lineRule="exact"/>
        <w:rPr>
          <w:rFonts w:ascii="Times New Roman" w:cs="Times New Roman" w:eastAsia="Times New Roman" w:hAnsi="Times New Roman"/>
          <w:sz w:val="18"/>
          <w:szCs w:val="18"/>
          <w:color w:val="auto"/>
        </w:rPr>
      </w:pPr>
    </w:p>
    <w:p>
      <w:pPr>
        <w:ind w:left="1160" w:right="80" w:hanging="315"/>
        <w:spacing w:after="0" w:line="250"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products and/or product candidates;</w:t>
      </w:r>
    </w:p>
    <w:p>
      <w:pPr>
        <w:ind w:left="1160" w:right="40" w:hanging="315"/>
        <w:spacing w:after="0" w:line="250"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ind w:left="1160" w:right="200" w:hanging="315"/>
        <w:spacing w:after="0" w:line="250"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1" w:lineRule="exact"/>
        <w:rPr>
          <w:rFonts w:ascii="Times New Roman" w:cs="Times New Roman" w:eastAsia="Times New Roman" w:hAnsi="Times New Roman"/>
          <w:sz w:val="18"/>
          <w:szCs w:val="18"/>
          <w:color w:val="auto"/>
        </w:rPr>
      </w:pPr>
    </w:p>
    <w:p>
      <w:pPr>
        <w:ind w:left="1160" w:right="340" w:hanging="315"/>
        <w:spacing w:after="0" w:line="260"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79" w:lineRule="exact"/>
        <w:rPr>
          <w:sz w:val="20"/>
          <w:szCs w:val="20"/>
          <w:color w:val="auto"/>
        </w:rPr>
      </w:pPr>
    </w:p>
    <w:p>
      <w:pPr>
        <w:ind w:right="20" w:firstLine="492"/>
        <w:spacing w:after="0" w:line="235" w:lineRule="auto"/>
        <w:rPr>
          <w:sz w:val="20"/>
          <w:szCs w:val="20"/>
          <w:color w:val="auto"/>
        </w:rPr>
      </w:pPr>
      <w:r>
        <w:rPr>
          <w:rFonts w:ascii="Times New Roman" w:cs="Times New Roman" w:eastAsia="Times New Roman" w:hAnsi="Times New Roman"/>
          <w:sz w:val="18"/>
          <w:szCs w:val="18"/>
          <w:color w:val="auto"/>
        </w:rPr>
        <w:t xml:space="preserve">In addition, the manufacturing process and facilities for any products and product candidates that we may develop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or at our CMOs is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for our product candidates,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Although both the internal and external facilities were approved by the FDA for commercial manufacturing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there is no guarantee that we or our CMOs will be able to successfully pass all aspects of surveillance or pre-approval inspections by the FDA or other foreign regulatory authorities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future product candidates.</w:t>
      </w:r>
    </w:p>
    <w:p>
      <w:pPr>
        <w:spacing w:after="0" w:line="171"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Our internal manufacturing facilities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and/or product candidates to specifications acceptable to the FDA or other regulatory authorities, or in accordance with the strict regulatory requirements, we may not obtain or maintain the approvals we need to commercialize such products. Even after obtaining regulatory approval, in the case of our products, and even if we obtain regulatory approval, in the case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47"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1" w:lineRule="exact"/>
        <w:rPr>
          <w:sz w:val="20"/>
          <w:szCs w:val="20"/>
          <w:color w:val="auto"/>
        </w:rPr>
      </w:pPr>
    </w:p>
    <w:p>
      <w:pPr>
        <w:ind w:right="120"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5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Manufacturing our products and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4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quality issues, or recently imposed tariffs, could adversely affect our ability to satisfy demand for our products or product candidates and impact our cost of goods for our products or product candidates, which in turn could adversely and materially affect our product sales and operating results or our ability to conduct clinical trials, either of which could significantly harm our business.</w:t>
      </w:r>
    </w:p>
    <w:p>
      <w:pPr>
        <w:spacing w:after="0" w:line="151"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158" w:lineRule="exact"/>
        <w:rPr>
          <w:sz w:val="20"/>
          <w:szCs w:val="20"/>
          <w:color w:val="auto"/>
        </w:rPr>
      </w:pPr>
    </w:p>
    <w:p>
      <w:pPr>
        <w:ind w:right="8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the third-party reimbursement coverage, and the commercial potential of our product candidates.</w:t>
      </w:r>
    </w:p>
    <w:p>
      <w:pPr>
        <w:spacing w:after="0" w:line="134" w:lineRule="exact"/>
        <w:rPr>
          <w:sz w:val="20"/>
          <w:szCs w:val="20"/>
          <w:color w:val="auto"/>
        </w:rPr>
      </w:pPr>
    </w:p>
    <w:p>
      <w:pPr>
        <w:ind w:right="80" w:firstLine="492"/>
        <w:spacing w:after="0" w:line="253"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and foreign regulatory authorities will require to be enrolled in the clinical trials in order to establish the safety, efficacy, purity and potency of immunotherapy products, or that the data generated in these clinical trials will be acceptable to the FDA and foreign regulatory authorities to support marketing approval. The FDA may take longer than usual to come to a decision on any BLA that we submit and may ultimately determine that there is not enough data, information, or experience with our product candidates to support an approval decision. The FDA and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51"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producing our product candidates. Should any of our contract manufacturers no longer produce our product candidates, it may take us significant time to find a replacement, if we are able to find a replacement at all.</w:t>
      </w:r>
    </w:p>
    <w:p>
      <w:pPr>
        <w:spacing w:after="0" w:line="121"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products will gain broad acceptance among doctors or patients or that governmental agencies, national healthcare systems,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selling price of the product, which may be further impacted by future price increases for our products.</w:t>
      </w:r>
    </w:p>
    <w:p>
      <w:pPr>
        <w:spacing w:after="0" w:line="161"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Cell based therapies may not be eligible for insurance coverage due to reluctance by third party payors to cover the costs associated with such therapies. Payors may deny coverage or offer inadequate levels of reimbursement for these therapies if they determine that the product has not received appropriate clearances from the FDA or other government regulators or if they deem the therapies to be investigational or experimental, not medically necessary, or otherwise inappropriate. Although we may apply for special government programs and prepare the market for product approval, there is no way to ensure that HCPs, insurance companies, or other third parties will reimburse our product at an expeditious rate. Even if we obtain insurance coverage for our product from payors, there is no guarantee that third party payors will provide adequate coverage or reimbursement. Coverage at treatment centers will require payment for the total cost of care, which includes the costs of not only our product but also the costs of surgery, conditioning chemotherapy, and other staffing and hospitalization needs. Furthermore, coverage policies and reimbursement rates are subject to change. With respect to any coverage or reimbursement that may be provided, payors may seek to impose restrictions on coverage, pricing, and reimbursement levels to contain these costs. In some cases, we do not have long-term agreements with insurance companies but negotiate single-case agreements on a case-by-case basis to obtain prior authorization, coverage, and reimbursement for a particular case. If coverage and reimbursement are not available or are inadequate, ATCs and clinics may decide not to recommend our product, and there may be a slow uptake or variable or limited access, if at all, to our therapies.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spacing w:after="0" w:line="151" w:lineRule="exact"/>
        <w:rPr>
          <w:sz w:val="20"/>
          <w:szCs w:val="20"/>
          <w:color w:val="auto"/>
        </w:rPr>
      </w:pPr>
    </w:p>
    <w:p>
      <w:pPr>
        <w:ind w:right="200" w:firstLine="492"/>
        <w:spacing w:after="0" w:line="274" w:lineRule="auto"/>
        <w:rPr>
          <w:sz w:val="20"/>
          <w:szCs w:val="20"/>
          <w:color w:val="auto"/>
        </w:rPr>
      </w:pPr>
      <w:r>
        <w:rPr>
          <w:rFonts w:ascii="Times New Roman" w:cs="Times New Roman" w:eastAsia="Times New Roman" w:hAnsi="Times New Roman"/>
          <w:sz w:val="17"/>
          <w:szCs w:val="17"/>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and commercialize our product candidates.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32"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Our TIL cell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49" w:lineRule="exact"/>
        <w:rPr>
          <w:sz w:val="20"/>
          <w:szCs w:val="20"/>
          <w:color w:val="auto"/>
        </w:rPr>
      </w:pPr>
    </w:p>
    <w:p>
      <w:pPr>
        <w:ind w:right="2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the Gen 2 manufacturing process or other processes we have selected will be FDA compliant or more efficient and will lower the cost to manufacture TIL products.</w:t>
      </w:r>
    </w:p>
    <w:p>
      <w:pPr>
        <w:spacing w:after="0" w:line="118"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limited experience in manufacturing our adoptive cell therapy product candidate on a commercial scale, as do our partners.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we cannot give any assurance that the Gen 2 process or any future process that we select will be a manufacturing process that can produce our product candidates in compliance with the applicable regulatory requirements, at a cost or in quantities necessary to make them commercially viable. Moreover, we and our third-party manufacturers will have to continually adhere to current cGMP regulations enforced by the FDA and foreign regulatory authorities through facilities inspection programs. If our facilities or any of the facilities of these manufacturers cannot demonstrate adequate assurance of compliance with applicable standards during a pre-approval inspection, the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50" w:lineRule="exact"/>
        <w:rPr>
          <w:sz w:val="20"/>
          <w:szCs w:val="20"/>
          <w:color w:val="auto"/>
        </w:rPr>
      </w:pPr>
    </w:p>
    <w:p>
      <w:pPr>
        <w:ind w:right="2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If product liability lawsuits are brought against us, whether or not meritorious, we may incur substantial liabilities and may be required to limit or halt commercialization of our products and/or product candidates.</w:t>
      </w:r>
    </w:p>
    <w:p>
      <w:pPr>
        <w:spacing w:after="0" w:line="14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and manufacture of our product candidates for human trials, and we currently face an even greater risk as we commercialize products and engage in the quality testing and release of products. For example, we may be sued if our products and/or product candidates cause, are perceived, or alleged to cause injury or are found to be otherwise unsuitable during clinical testing, manufacturing, marketing, or sale, whether or not trial participants or patients are predisposed to adverse outcomes. Furthermore, if physicians and/or hospitals are not sufficiently trained in the use of our products or therapies, whether clinical or commercialized, they may misuse or ineffectively use our products or related products for our therapies, which may result in unsatisfactory patient outcomes or patient injury. Any such product liability claims may include allegations of defects in manufacturing, defects in design, defects in quality control measures, a failure to warn of dangers inherent in the product, negligence, strict liability, and/or a breach of warranties. Claims could also be asserted under state consumer protection acts. Large judgments have also been awarded in class action lawsuits based on therapeutics that had unanticipated side effects. If we cannot successfully defend ourselves against product liability claims, we may incur substantial liabilities or be required to limit or halt commercialization of our products and/or product candidates. Even a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 and/or product candidates;</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9" w:lineRule="exact"/>
        <w:rPr>
          <w:rFonts w:ascii="Times New Roman" w:cs="Times New Roman" w:eastAsia="Times New Roman" w:hAnsi="Times New Roman"/>
          <w:sz w:val="18"/>
          <w:szCs w:val="18"/>
          <w:color w:val="auto"/>
        </w:rPr>
      </w:pPr>
    </w:p>
    <w:p>
      <w:pPr>
        <w:ind w:left="1160" w:right="420" w:hanging="315"/>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(including investigation of the safety and effectiveness of our products, our manufacturing processes and facilities, or our marketing programs), refusal to approve marketing applications or supplements, warnings, and withdrawal or other limitations on product approvals;</w:t>
      </w:r>
    </w:p>
    <w:p>
      <w:pPr>
        <w:spacing w:after="0" w:line="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prepare for and defend the related litigation;</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restrictions on labeling, marketing, or promotions;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inability to commercialize our product candidates or achieve adequate revenue from our products.</w:t>
      </w:r>
    </w:p>
    <w:p>
      <w:pPr>
        <w:spacing w:after="0" w:line="20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and/or scope of coverage to protect against potential product liability claims could prevent or inhibit the commercialization of products we develop, alone or with corporate collaborators. Our insurance policies may also have various exclusions and/or deductibles, and we may be subject to a product liability or bodily injury claim for which we have no coverage or for which the insurance carrier disputes the scope of coverage. Furthermore, any product liability claim brought against us, with or without merit, could result in the increase of our product liability insurance rates or the inability to secure coverage in the future. Although we currently have product liability insurance that we believe is appropriate for our stage of development, we may need to obtain higher levels to cover marketing any of our approved products. In addition, we may have to pay amounts awarded by a court or negotiated in a settlement that exceed our coverage limitations or that are not covered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by our insurance, and we may not have, or be able to obtain, sufficient capital to pay such amounts. We anticipate that we will need to increase our insurance coverage as we commence additional clinical trials and as we commercialize product candidates that have been or may be approved. If we determine that it is prudent to increase our product liability coverage, we may be unable to obtain such increased coverage on acceptable terms, or at all. The market for insurance coverage is increasingly expensive, and the costs of insurance coverage will increase as our clinical programs and commercialization efforts increase in size. Furthermore, even if our agreements with corporate collaborators entitle us to indemnification against product liability losses, such indemnification may not be available or adequate should any claim arise.</w:t>
      </w:r>
    </w:p>
    <w:p>
      <w:pPr>
        <w:spacing w:after="0" w:line="148" w:lineRule="exact"/>
        <w:rPr>
          <w:sz w:val="20"/>
          <w:szCs w:val="20"/>
          <w:color w:val="auto"/>
        </w:rPr>
      </w:pPr>
    </w:p>
    <w:p>
      <w:pPr>
        <w:jc w:val="both"/>
        <w:ind w:right="280" w:firstLine="492"/>
        <w:spacing w:after="0" w:line="266" w:lineRule="auto"/>
        <w:rPr>
          <w:sz w:val="20"/>
          <w:szCs w:val="20"/>
          <w:color w:val="auto"/>
        </w:rPr>
      </w:pPr>
      <w:r>
        <w:rPr>
          <w:rFonts w:ascii="Times New Roman" w:cs="Times New Roman" w:eastAsia="Times New Roman" w:hAnsi="Times New Roman"/>
          <w:sz w:val="18"/>
          <w:szCs w:val="18"/>
          <w:color w:val="auto"/>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from non-profit institutions.</w:t>
      </w:r>
    </w:p>
    <w:p>
      <w:pPr>
        <w:spacing w:after="0" w:line="189"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43" w:lineRule="exact"/>
        <w:rPr>
          <w:sz w:val="20"/>
          <w:szCs w:val="20"/>
          <w:color w:val="auto"/>
        </w:rPr>
      </w:pPr>
    </w:p>
    <w:p>
      <w:pPr>
        <w:ind w:left="1160" w:hanging="31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products; or</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207" w:lineRule="exact"/>
        <w:rPr>
          <w:sz w:val="20"/>
          <w:szCs w:val="20"/>
          <w:color w:val="auto"/>
        </w:rPr>
      </w:pPr>
    </w:p>
    <w:p>
      <w:pPr>
        <w:ind w:right="80" w:firstLine="492"/>
        <w:spacing w:after="0" w:line="252"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trials, we anticipate substantial direct competition from other organizations developing therapies in our commercial and pipeline target indications. In particular, we expect to compete with other new therapies for our lead indications developed by companies such as BioNtech, Bristol-Myers Squibb, Daiichi Sankyo, Eisai, Genmab, Immunocore, IO Biotech, Merck, Moderna, Pfizer, Regeneron Pharmaceuticals, and Replimune. We also may compete with other T cell therapies in development, including therapies based on genetically engineered T cell receptors rendered reactive against tumor-associated antigens prior to their administration, other genetically engineered TIL products, and TIL products designed to be reactive to specific neoantigens, by companies such as AbelZeta Pharma, Alaunos Therapeutics, Biosyngen, GRIT Biotechnology, Immatics, Immunocore, Intima Bioscience, KSQ Therapeutics, Marker Therapeutics, Obsidian Therapeutics, and others. To date, these technologies have been primarily applicable to hematologic malignancies, but their application in solid tumor indications may create competition with us. We may also face competition from companies offering immunotherapy treatments or from companies developing novel IL-2 treatments.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68"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Universities and public and private research institutions around the world are also potential competitors. While these universities and public and private research institutions primarily have educational objectives, they may develop proprietary technologies that lead to other approved therapies by the FDA, European Commission, or other regulatory agencies, or that secure patent protection that we may need for the development of our technologies and products.</w:t>
      </w:r>
    </w:p>
    <w:p>
      <w:pPr>
        <w:spacing w:after="0" w:line="131" w:lineRule="exact"/>
        <w:rPr>
          <w:sz w:val="20"/>
          <w:szCs w:val="20"/>
          <w:color w:val="auto"/>
        </w:rPr>
      </w:pPr>
    </w:p>
    <w:p>
      <w:pPr>
        <w:ind w:firstLine="492"/>
        <w:spacing w:after="0" w:line="217" w:lineRule="auto"/>
        <w:rPr>
          <w:sz w:val="20"/>
          <w:szCs w:val="20"/>
          <w:color w:val="auto"/>
        </w:rPr>
      </w:pPr>
      <w:r>
        <w:rPr>
          <w:rFonts w:ascii="Times New Roman" w:cs="Times New Roman" w:eastAsia="Times New Roman" w:hAnsi="Times New Roman"/>
          <w:sz w:val="18"/>
          <w:szCs w:val="18"/>
          <w:color w:val="auto"/>
        </w:rPr>
        <w:t>Our lead product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an approved therapy for the treatment of metastatic melanoma and a candidate for the treatment of other cancers. Currently, there are numerous companies that are developing various alternate treatments for melanoma and other cancers, including patients that have progressed after prior treatment with checkpoint inhibitors and chemotherapy. Accordingly,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faces significant competition in the melanoma and other cancer treatment space from multiple companies. Even after obtaining regulatory approval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9" w:lineRule="exact"/>
        <w:rPr>
          <w:sz w:val="20"/>
          <w:szCs w:val="20"/>
          <w:color w:val="auto"/>
        </w:rPr>
      </w:pPr>
    </w:p>
    <w:p>
      <w:pPr>
        <w:ind w:right="4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products and product candidates may not be accurate, and the actual market for our products and product candidates may be smaller than we estimate.</w:t>
      </w:r>
    </w:p>
    <w:p>
      <w:pPr>
        <w:spacing w:after="0" w:line="132" w:lineRule="exact"/>
        <w:rPr>
          <w:sz w:val="20"/>
          <w:szCs w:val="20"/>
          <w:color w:val="auto"/>
        </w:rPr>
      </w:pPr>
    </w:p>
    <w:p>
      <w:pPr>
        <w:ind w:firstLine="492"/>
        <w:spacing w:after="0" w:line="24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advanced cancers we are targeting, as well as the subset of people with metastatic or unresectable cancers and who have the potential to benefit from treatment with our products or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or product candidates and may also be limited by the cost of our treatments for patients, any future increase to such costs, and the reimbursement of those treatment costs by third-party payors. For instance, we expect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initially target a small patient population that suffers from metastatic melanoma. Furthermore, we are also responsible for the manufacturing costs of products for patients that may have a tumor resection but ultimately do not receive an infusion, in which case we may incur manufacturing expenses without being able to recognize any revenue. Even if we obtain significant market share for our products or product candidates, because the potential target populations are small, we may never achieve profitability without obtaining regulatory approval for additional indications.</w:t>
      </w:r>
    </w:p>
    <w:p>
      <w:pPr>
        <w:spacing w:after="0" w:line="150" w:lineRule="exact"/>
        <w:rPr>
          <w:sz w:val="20"/>
          <w:szCs w:val="20"/>
          <w:color w:val="auto"/>
        </w:rPr>
      </w:pPr>
    </w:p>
    <w:p>
      <w:pPr>
        <w:ind w:right="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spacing w:after="0" w:line="134"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We currently have a commercial team focused on our commercial strategy, but we do not have a large commercial infrastructure for the marketing, sale, and distribution of biopharmaceutical products. In order to commercialize our products, we must continue to build our marketing, sales, and distribution capabilities or make arrangements with third parties to perform these services, which will take time and require significant financial expenditures, and we may not be successful in doing so. In addition, we rely on one or more third-party distributors for the commercial sale of our products. It may be difficult to pivot from our current distributors of biopharmaceutical products in the event that any agreements with such third-party distributors are terminated. If we need to enter into alternative arrangements, this could adversely affect our business. Furthermore,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5"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In addition to marketing our product, we will need current and future ATCs both inside and outside the U.S. that are prepared and have the capacity and experience to administer our therapies to patients. Even if we are able to obtain approval for a product candidate in a country or region, we may not be able to approve enough treatment centers for the provision of our product to a broad patient population. The number of ATCs we onboard to administer our product may fluctuate and affect our product launch, and even if we onboard a large number of ATCs, this does not ensure the uptake of our products. Additionally, certain areas do not have hospitals with the facilities to safely administer our therapy. Accordingly, we may only be able to launch our products with a limited number of ATCs, which could ultimately reduce the uptake of our products. Although we have a team allocated to authorize and monitor our ATCs, substantial resources and investment from us in each treatment center may be required. Additionally, the treatment center onboarding process can be complicated and requires extensive training, technical equipment, and coordination of processes. Once authorized, ATCs will be required to ensure that their training, facilities, and treatment capabilities are adequately maintained.</w:t>
      </w:r>
    </w:p>
    <w:p>
      <w:pPr>
        <w:spacing w:after="0" w:line="154" w:lineRule="exact"/>
        <w:rPr>
          <w:sz w:val="20"/>
          <w:szCs w:val="20"/>
          <w:color w:val="auto"/>
        </w:rPr>
      </w:pPr>
    </w:p>
    <w:p>
      <w:pPr>
        <w:ind w:right="160" w:firstLine="492"/>
        <w:spacing w:after="0" w:line="256" w:lineRule="auto"/>
        <w:rPr>
          <w:sz w:val="20"/>
          <w:szCs w:val="20"/>
          <w:color w:val="auto"/>
        </w:rPr>
      </w:pPr>
      <w:r>
        <w:rPr>
          <w:rFonts w:ascii="Times New Roman" w:cs="Times New Roman" w:eastAsia="Times New Roman" w:hAnsi="Times New Roman"/>
          <w:sz w:val="18"/>
          <w:szCs w:val="18"/>
          <w:color w:val="auto"/>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Although we have developed a commercial infrastructure, in the event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unable to continue to develop a successful commercial infrastructure, we may not be able to commercialize our current or future product candidates, which would limit our ability to generate product revenues. Factors that may inhibit our efforts to commercialize our current or future products and product candidates and generate significant product revenues include:</w:t>
      </w:r>
    </w:p>
    <w:p>
      <w:pPr>
        <w:spacing w:after="0" w:line="135" w:lineRule="exact"/>
        <w:rPr>
          <w:sz w:val="20"/>
          <w:szCs w:val="20"/>
          <w:color w:val="auto"/>
        </w:rPr>
      </w:pPr>
    </w:p>
    <w:p>
      <w:pPr>
        <w:ind w:left="1160" w:hanging="315"/>
        <w:spacing w:after="0" w:line="261"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health epidemic or pandemic occurs it may negatively impact our ability to establish commercial operations, educate, and interact with healthcare professionals, and successfully launch our product on a timely basis;</w:t>
      </w:r>
    </w:p>
    <w:p>
      <w:pPr>
        <w:ind w:left="1160" w:right="60" w:hanging="315"/>
        <w:spacing w:after="0" w:line="250"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physicians do not prescribe our current or future product candidates;</w:t>
      </w:r>
    </w:p>
    <w:p>
      <w:pPr>
        <w:ind w:left="1160" w:hanging="31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1160" w:right="680" w:hanging="315"/>
        <w:spacing w:after="0" w:line="250"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ind w:left="1160" w:hanging="31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9" w:lineRule="exact"/>
        <w:rPr>
          <w:rFonts w:ascii="Times New Roman" w:cs="Times New Roman" w:eastAsia="Times New Roman" w:hAnsi="Times New Roman"/>
          <w:sz w:val="18"/>
          <w:szCs w:val="18"/>
          <w:color w:val="auto"/>
        </w:rPr>
      </w:pPr>
    </w:p>
    <w:p>
      <w:pPr>
        <w:ind w:left="1160" w:right="680" w:hanging="315"/>
        <w:spacing w:after="0" w:line="250"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ind w:left="1160" w:hanging="315"/>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9" w:lineRule="exact"/>
        <w:rPr>
          <w:rFonts w:ascii="Times New Roman" w:cs="Times New Roman" w:eastAsia="Times New Roman" w:hAnsi="Times New Roman"/>
          <w:sz w:val="18"/>
          <w:szCs w:val="18"/>
          <w:color w:val="auto"/>
        </w:rPr>
      </w:pPr>
    </w:p>
    <w:p>
      <w:pPr>
        <w:ind w:left="1160" w:right="280" w:hanging="315"/>
        <w:spacing w:after="0" w:line="250"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1160" w:right="180" w:hanging="315"/>
        <w:spacing w:after="0" w:line="260"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an independent sales and marketing organization or engaging a contract sales organization.</w:t>
      </w:r>
    </w:p>
    <w:p>
      <w:pPr>
        <w:spacing w:after="0" w:line="177" w:lineRule="exact"/>
        <w:rPr>
          <w:sz w:val="20"/>
          <w:szCs w:val="20"/>
          <w:color w:val="auto"/>
        </w:rPr>
      </w:pPr>
    </w:p>
    <w:p>
      <w:pPr>
        <w:ind w:right="1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product candidates do not achieve broad market acceptance, the revenues that we generate from their sales will be limited.</w:t>
      </w:r>
    </w:p>
    <w:p>
      <w:pPr>
        <w:spacing w:after="0" w:line="124"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7"/>
          <w:szCs w:val="17"/>
          <w:color w:val="auto"/>
        </w:rPr>
        <w:t>Until the closing of the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acquisition in May 2023, we had never commercialized a product candidate for any indication. Even after our products and product candidates are approved by the appropriate regulatory authorities for marketing and sale, they may not gain acceptance among physicians, patients, third-party payors, and others in the medical community. If any product or product candidate for which we obtain regulatory approval does not gain an adequate level of market acceptance, we may not generate significant product revenues or become profitable. Market acceptance of our products and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products may be prohibitive in such cases.</w:t>
      </w:r>
    </w:p>
    <w:p>
      <w:pPr>
        <w:spacing w:after="0" w:line="149"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any of our products or product candidates does not achieve an adequate level of market acceptance, we may not generate significant revenues, and we may not become profitable. The degree of market acceptance of any of our products and product candidates will depend on a number of factors, including:</w:t>
      </w:r>
    </w:p>
    <w:p>
      <w:pPr>
        <w:spacing w:after="0" w:line="139" w:lineRule="exact"/>
        <w:rPr>
          <w:sz w:val="20"/>
          <w:szCs w:val="20"/>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 and product candidates;</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products or product candidates;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9" w:lineRule="exact"/>
        <w:rPr>
          <w:rFonts w:ascii="Times New Roman" w:cs="Times New Roman" w:eastAsia="Times New Roman" w:hAnsi="Times New Roman"/>
          <w:sz w:val="18"/>
          <w:szCs w:val="18"/>
          <w:color w:val="auto"/>
        </w:rPr>
      </w:pPr>
    </w:p>
    <w:p>
      <w:pPr>
        <w:ind w:left="1160" w:right="300" w:hanging="315"/>
        <w:spacing w:after="0" w:line="250"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product’s FDA-required labeling, including potential limitations or warnings for such products that may be more restrictive than other competitive products;</w:t>
      </w: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products and product candidates;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products and product candidates;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9" w:lineRule="exact"/>
        <w:rPr>
          <w:rFonts w:ascii="Times New Roman" w:cs="Times New Roman" w:eastAsia="Times New Roman" w:hAnsi="Times New Roman"/>
          <w:sz w:val="18"/>
          <w:szCs w:val="18"/>
          <w:color w:val="auto"/>
        </w:rPr>
      </w:pPr>
    </w:p>
    <w:p>
      <w:pPr>
        <w:ind w:left="1160" w:right="740" w:hanging="315"/>
        <w:spacing w:after="0" w:line="250"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products and product candidates;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right="240" w:hanging="315"/>
        <w:spacing w:after="0" w:line="261"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ind w:left="1160" w:right="180" w:hanging="315"/>
        <w:spacing w:after="0" w:line="250"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products and product candidates or to which we agree as part of a mandatory REMS or voluntary risk management plan;</w:t>
      </w: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products and product candidates, as well as competitive products;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products and product candidates for sale at competitive prices;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07"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and product candidates may require significant resources and may never be successful. Even if the medical community accepts that our products and product candidates are safe and effective for their approved indications and third-party payors provide coverage and reimbursement for the same, physicians and patients may not immediately be receptive to such products or product candidates and may be slow to adopt them as an accepted treatment of the approved indications. If our current or future products and product candidates are approved but do not achieve an adequate level of acceptance among physicians, patients, and third-party payors, we may not generate meaningful revenues from our product candidates, and we may not become profitable.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face competition sooner than anticipated.</w:t>
      </w:r>
    </w:p>
    <w:p>
      <w:pPr>
        <w:spacing w:after="0" w:line="202"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The enactment of the Biologics Price Competition and Innovation Act, or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48"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Our products and product candidates may qualify for the BPCIA’s 12-year period of exclusivity. However, there is a risk that the FDA will not consider our products and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45" w:lineRule="exact"/>
        <w:rPr>
          <w:sz w:val="20"/>
          <w:szCs w:val="20"/>
          <w:color w:val="auto"/>
        </w:rPr>
      </w:pPr>
    </w:p>
    <w:p>
      <w:pPr>
        <w:ind w:right="1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approval of any proposed proprietary branded product names, and any failure or delay associated with such approval may adversely affect our business.</w:t>
      </w:r>
    </w:p>
    <w:p>
      <w:pPr>
        <w:spacing w:after="0" w:line="132"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products and product candidates will require approval from the FDA and foreign regulatory authorities regardless of whether we have secured a formal trademark registration, including from the U.S. Patent and Trademark Office, or USPTO. The FDA and foreign regulatory authorities typically conduct a review of proposed product names, including an evaluation of the potential for confusion with other product names. The FDA and foreign regulatory authorities may also object to a product name if they believe the name inappropriately implies medical claims or contributes to an overstatement of efficacy. If the FDA or a foreign regulatory authority objects to any of our proposed proprietary product names, we may be required to adopt alternative names for our products and/or product candidates. If we adopt alternative names, we would lose the benefit of any existing trademark applications for such product and/or product candidate and may be required to expend significant additional resources in an effort to identify a suitable product name that would qualify under applicable trademark laws, not infringe the existing rights of third</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parties, and be acceptable to the FDA and foreign regulatory authorities. We may be unable to build a successful brand identity for a new trademark in a timely manner or at all, which would limit our ability to commercialize our products and product candidates.</w:t>
      </w:r>
    </w:p>
    <w:p>
      <w:pPr>
        <w:spacing w:after="0" w:line="117" w:lineRule="exact"/>
        <w:rPr>
          <w:sz w:val="20"/>
          <w:szCs w:val="20"/>
          <w:color w:val="auto"/>
        </w:rPr>
      </w:pPr>
    </w:p>
    <w:p>
      <w:pPr>
        <w:ind w:right="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spacing w:after="0" w:line="148" w:lineRule="exact"/>
        <w:rPr>
          <w:sz w:val="20"/>
          <w:szCs w:val="20"/>
          <w:color w:val="auto"/>
        </w:rPr>
      </w:pPr>
    </w:p>
    <w:p>
      <w:pPr>
        <w:ind w:firstLine="492"/>
        <w:spacing w:after="0" w:line="241" w:lineRule="auto"/>
        <w:rPr>
          <w:sz w:val="20"/>
          <w:szCs w:val="20"/>
          <w:color w:val="auto"/>
        </w:rPr>
      </w:pPr>
      <w:r>
        <w:rPr>
          <w:rFonts w:ascii="Times New Roman" w:cs="Times New Roman" w:eastAsia="Times New Roman" w:hAnsi="Times New Roman"/>
          <w:sz w:val="18"/>
          <w:szCs w:val="18"/>
          <w:color w:val="auto"/>
        </w:rPr>
        <w:t>As a condition of biologic licensing, the FDA and foreign regulatory authorities are authorized to require that sponsors of approved BLAs implement various post-market requirements, including REMS and Phase 4 studies. For example, we reached an agreement with the FDA regarding a confirmatory trial to support the conversion from accelerated to full approval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post-anti-PD-1 advanced melanoma, which we refer to as TILVANCE-301. The randomized Phase 3 TILVANCE-301 trial has been ongoing since the fourth quarter of 2022. If we receive approval of additional product candidates, the FDA and foreign regulatory authorities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products and product candidates.</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and capabilities of our organization, and we may experience difficulties in managing this growth.</w:t>
      </w:r>
    </w:p>
    <w:p>
      <w:pPr>
        <w:spacing w:after="0" w:line="200"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160" w:lineRule="exact"/>
        <w:rPr>
          <w:sz w:val="20"/>
          <w:szCs w:val="20"/>
          <w:color w:val="auto"/>
        </w:rPr>
      </w:pPr>
    </w:p>
    <w:p>
      <w:pPr>
        <w:ind w:right="280" w:firstLine="492"/>
        <w:spacing w:after="0" w:line="261" w:lineRule="auto"/>
        <w:rPr>
          <w:sz w:val="20"/>
          <w:szCs w:val="20"/>
          <w:color w:val="auto"/>
        </w:rPr>
      </w:pPr>
      <w:r>
        <w:rPr>
          <w:rFonts w:ascii="Times New Roman" w:cs="Times New Roman" w:eastAsia="Times New Roman" w:hAnsi="Times New Roman"/>
          <w:sz w:val="18"/>
          <w:szCs w:val="18"/>
          <w:color w:val="auto"/>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39" w:lineRule="exact"/>
        <w:rPr>
          <w:sz w:val="20"/>
          <w:szCs w:val="20"/>
          <w:color w:val="auto"/>
        </w:rPr>
      </w:pPr>
    </w:p>
    <w:p>
      <w:pPr>
        <w:ind w:left="1160" w:hanging="315"/>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7" w:lineRule="exact"/>
        <w:rPr>
          <w:rFonts w:ascii="Times New Roman" w:cs="Times New Roman" w:eastAsia="Times New Roman" w:hAnsi="Times New Roman"/>
          <w:sz w:val="18"/>
          <w:szCs w:val="18"/>
          <w:color w:val="auto"/>
        </w:rPr>
      </w:pPr>
    </w:p>
    <w:p>
      <w:pPr>
        <w:ind w:left="1160" w:right="260" w:hanging="315"/>
        <w:spacing w:after="0" w:line="250" w:lineRule="auto"/>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1160" w:hanging="315"/>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0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5"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Moreover, in August 2025, management approved a strategic restructuring plan with an associated reduction in workforce of approximately 19 percent as a result of a review of current strategic priorities, resource allocation, and cost reduction intended to reduce operating costs, streamline operations and extend our cash runway. This reduction in our workforce may also make retention of our current personnel both more important and more challenging.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w:t>
      </w:r>
    </w:p>
    <w:p>
      <w:pPr>
        <w:spacing w:after="0" w:line="165"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able to manage our existing consultants or find other competent outside contractors and consultants on economically reasonable terms, if at all.</w:t>
      </w:r>
    </w:p>
    <w:p>
      <w:pPr>
        <w:spacing w:after="0" w:line="121" w:lineRule="exact"/>
        <w:rPr>
          <w:sz w:val="20"/>
          <w:szCs w:val="20"/>
          <w:color w:val="auto"/>
        </w:rPr>
      </w:pPr>
    </w:p>
    <w:p>
      <w:pPr>
        <w:ind w:right="240" w:firstLine="492"/>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45" w:lineRule="exact"/>
        <w:rPr>
          <w:sz w:val="20"/>
          <w:szCs w:val="20"/>
          <w:color w:val="auto"/>
        </w:rPr>
      </w:pPr>
    </w:p>
    <w:p>
      <w:pPr>
        <w:ind w:right="160" w:firstLine="492"/>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125"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We may retain third-party service providers to perform a variety of functions related to the sale and distribution of our current or future products,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48" w:lineRule="exact"/>
        <w:rPr>
          <w:sz w:val="20"/>
          <w:szCs w:val="20"/>
          <w:color w:val="auto"/>
        </w:rPr>
      </w:pPr>
    </w:p>
    <w:p>
      <w:pPr>
        <w:ind w:right="220" w:firstLine="492"/>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53" w:lineRule="exact"/>
        <w:rPr>
          <w:sz w:val="20"/>
          <w:szCs w:val="20"/>
          <w:color w:val="auto"/>
        </w:rPr>
      </w:pPr>
    </w:p>
    <w:p>
      <w:pPr>
        <w:ind w:right="320" w:firstLine="492"/>
        <w:spacing w:after="0" w:line="261" w:lineRule="auto"/>
        <w:rPr>
          <w:sz w:val="20"/>
          <w:szCs w:val="20"/>
          <w:color w:val="auto"/>
        </w:rPr>
      </w:pPr>
      <w:r>
        <w:rPr>
          <w:rFonts w:ascii="Times New Roman" w:cs="Times New Roman" w:eastAsia="Times New Roman" w:hAnsi="Times New Roman"/>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35" w:lineRule="exact"/>
        <w:rPr>
          <w:sz w:val="20"/>
          <w:szCs w:val="20"/>
          <w:color w:val="auto"/>
        </w:rPr>
      </w:pPr>
    </w:p>
    <w:p>
      <w:pPr>
        <w:ind w:right="3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or sufficiently expand our manufacturing capacity to meet demand for our products and product candidates.</w:t>
      </w:r>
    </w:p>
    <w:p>
      <w:pPr>
        <w:spacing w:after="0" w:line="118" w:lineRule="exact"/>
        <w:rPr>
          <w:sz w:val="20"/>
          <w:szCs w:val="20"/>
          <w:color w:val="auto"/>
        </w:rPr>
      </w:pPr>
    </w:p>
    <w:p>
      <w:pPr>
        <w:ind w:right="140" w:firstLine="492"/>
        <w:spacing w:after="0" w:line="231" w:lineRule="auto"/>
        <w:rPr>
          <w:sz w:val="20"/>
          <w:szCs w:val="20"/>
          <w:color w:val="auto"/>
        </w:rPr>
      </w:pPr>
      <w:r>
        <w:rPr>
          <w:rFonts w:ascii="Times New Roman" w:cs="Times New Roman" w:eastAsia="Times New Roman" w:hAnsi="Times New Roman"/>
          <w:sz w:val="18"/>
          <w:szCs w:val="18"/>
          <w:color w:val="auto"/>
        </w:rPr>
        <w:t xml:space="preserve">As noted above, we have limited experience in internal manufacturing of our adoptive cell therapy products and product candidates on a commercial scale, as do our partners. Currently our products and product candidates are manufactured internally at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and other third-party manufacturers. In January 2026, we ended manufacturing activities at Minaris and centralized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investigational TIL cell therapies at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There can be no assurance that our efforts to centralize manufacturing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will succeed. Scale-up of manufacturing may require additional validation studies, including capacity demonstration and/or comparability studies, each of which are subject to regulatory review, potential inspection, and approval. In addition, if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is unable to meet production requirements, we may need to identify and qualify new contract manufacturers, which could result in additional costs and delays in meeting demand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Any significant delay in our ability to meet demand could have a material adverse effect on our business, financial condition and results of operations.</w:t>
      </w:r>
    </w:p>
    <w:p>
      <w:pPr>
        <w:spacing w:after="0" w:line="180"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 xml:space="preserve">Any expansion of our internal and external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products and product candidates or modify our manufacturing processes. If we are unable to successfully increase the manufacturing capacity for a product or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availability, launch, and/or sales of our products in the future, as well as on our results of operations and financial condition. While we have agreements in place with such third-party manufacturers, we have limited influence over their actual performance and control only certain aspects of their activities. The failure of these third parties to successfully carry out their contractual duties or meet expected deadlines or quality standards could substantially harm our business. Moreover, these agreements might terminate for a variety of reasons. If we fail to enter into alternative arrangements, this could further delay our product development and adversely affect our business. For example, BI carries out the processing, manufacturing, and supply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pursuant to a manufacturing and supply agreement, which includes a two-year notice of termination provision. In the event that such notice of termination is given, it may be unlikely that we execute a new manufacturing and supply agreement with a manufacturer to run the processing, manufacturing, and supply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within that time frame.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98" w:lineRule="exact"/>
        <w:rPr>
          <w:sz w:val="20"/>
          <w:szCs w:val="20"/>
          <w:color w:val="auto"/>
        </w:rPr>
      </w:pPr>
    </w:p>
    <w:p>
      <w:pPr>
        <w:ind w:right="4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success of our product candidates and cannot guarantee that these product candidates will successfully complete development, receive regulatory approval, or be successfully commercialized.</w:t>
      </w:r>
    </w:p>
    <w:p>
      <w:pPr>
        <w:spacing w:after="0" w:line="118"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We currently have two products approved for commercial sale. We have invested a significant portion of our efforts and financial resources in the development of our current product and/or product candidates and expect that we will continue to invest heavily in our current product candidates, as well as in any future product candidates we may develop. Our business depends on the successful development and commercialization of our product candidates.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spacing w:after="0" w:line="148"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any future pandemic or epidemic.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spacing w:after="0" w:line="162" w:lineRule="exact"/>
        <w:rPr>
          <w:sz w:val="20"/>
          <w:szCs w:val="20"/>
          <w:color w:val="auto"/>
        </w:rPr>
      </w:pPr>
    </w:p>
    <w:p>
      <w:pPr>
        <w:ind w:right="80" w:firstLine="492"/>
        <w:spacing w:after="0" w:line="274" w:lineRule="auto"/>
        <w:rPr>
          <w:sz w:val="20"/>
          <w:szCs w:val="20"/>
          <w:color w:val="auto"/>
        </w:rPr>
      </w:pPr>
      <w:r>
        <w:rPr>
          <w:rFonts w:ascii="Times New Roman" w:cs="Times New Roman" w:eastAsia="Times New Roman" w:hAnsi="Times New Roman"/>
          <w:sz w:val="17"/>
          <w:szCs w:val="17"/>
          <w:color w:val="auto"/>
        </w:rPr>
        <w:t>We are not permitted to market or promote any of our product candidates before we receive regulatory approval from the FDA or comparable foreign regulatory authorities, and we may never receive such regulatory approval for many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32"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Our commercial products and investigational therapies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spacing w:after="0" w:line="154"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Prior to our completion of a rolling BLA submission for lifileucel in March 2023 and its acceptance by the FDA in May 2023 and accelerated approval in February 2024,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cell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therapies.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spacing w:after="0" w:line="139" w:lineRule="exact"/>
        <w:rPr>
          <w:sz w:val="20"/>
          <w:szCs w:val="20"/>
          <w:color w:val="auto"/>
        </w:rPr>
      </w:pPr>
    </w:p>
    <w:p>
      <w:pPr>
        <w:ind w:right="220" w:firstLine="492"/>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49" w:lineRule="exact"/>
        <w:rPr>
          <w:sz w:val="20"/>
          <w:szCs w:val="20"/>
          <w:color w:val="auto"/>
        </w:rPr>
      </w:pPr>
    </w:p>
    <w:p>
      <w:pPr>
        <w:ind w:right="180" w:firstLine="492"/>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121" w:lineRule="exact"/>
        <w:rPr>
          <w:sz w:val="20"/>
          <w:szCs w:val="20"/>
          <w:color w:val="auto"/>
        </w:rPr>
      </w:pPr>
    </w:p>
    <w:p>
      <w:pPr>
        <w:ind w:left="680" w:right="660" w:hanging="321"/>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broad network of clinical sites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ATCs) for administration of our product;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and monitor sites for product delivery and consistent flow of appropriate patients;</w:t>
      </w:r>
    </w:p>
    <w:p>
      <w:pPr>
        <w:spacing w:after="0" w:line="9" w:lineRule="exact"/>
        <w:rPr>
          <w:rFonts w:ascii="Times New Roman" w:cs="Times New Roman" w:eastAsia="Times New Roman" w:hAnsi="Times New Roman"/>
          <w:sz w:val="18"/>
          <w:szCs w:val="18"/>
          <w:color w:val="auto"/>
        </w:rPr>
      </w:pPr>
    </w:p>
    <w:p>
      <w:pPr>
        <w:ind w:left="680" w:right="46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as well as through other arrangements with third parties marketing or selling on our behalf;</w:t>
      </w:r>
    </w:p>
    <w:p>
      <w:pPr>
        <w:ind w:left="680" w:right="48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to deliver the therapies to a sufficiently sized patient population;</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our products;</w:t>
      </w:r>
    </w:p>
    <w:p>
      <w:pPr>
        <w:spacing w:after="0" w:line="9" w:lineRule="exact"/>
        <w:rPr>
          <w:rFonts w:ascii="Times New Roman" w:cs="Times New Roman" w:eastAsia="Times New Roman" w:hAnsi="Times New Roman"/>
          <w:sz w:val="18"/>
          <w:szCs w:val="18"/>
          <w:color w:val="auto"/>
        </w:rPr>
      </w:pPr>
    </w:p>
    <w:p>
      <w:pPr>
        <w:ind w:left="680" w:right="18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680" w:right="78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w:t>
      </w:r>
    </w:p>
    <w:p>
      <w:pPr>
        <w:spacing w:after="0" w:line="9" w:lineRule="exact"/>
        <w:rPr>
          <w:rFonts w:ascii="Times New Roman" w:cs="Times New Roman" w:eastAsia="Times New Roman" w:hAnsi="Times New Roman"/>
          <w:sz w:val="18"/>
          <w:szCs w:val="18"/>
          <w:color w:val="auto"/>
        </w:rPr>
      </w:pPr>
    </w:p>
    <w:p>
      <w:pPr>
        <w:ind w:left="680" w:right="6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680" w:right="36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for our product candidates, including at rates that will enable the market to adopt our products and enable sites to deliver the entire therapy to patients;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third party logistics providers that will successfully distribute our products;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launch, ensure that our product will be used as directed and that additional unexpected safety risks will not arise.</w:t>
      </w:r>
    </w:p>
    <w:p>
      <w:pPr>
        <w:spacing w:after="0" w:line="203" w:lineRule="exact"/>
        <w:rPr>
          <w:sz w:val="20"/>
          <w:szCs w:val="20"/>
          <w:color w:val="auto"/>
        </w:rPr>
      </w:pPr>
    </w:p>
    <w:p>
      <w:pPr>
        <w:ind w:right="2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10" w:lineRule="exact"/>
        <w:rPr>
          <w:sz w:val="20"/>
          <w:szCs w:val="20"/>
          <w:color w:val="auto"/>
        </w:rPr>
      </w:pPr>
    </w:p>
    <w:p>
      <w:pPr>
        <w:ind w:firstLine="492"/>
        <w:spacing w:after="0" w:line="243"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received accelerated approval from the FDA, and we are currently developing lifileucel in clinical trials as part of a regimen which uses lymphodepletion and IL-2. We and our collaborators are also developing TIL cell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approved product’s safety or efficacy profile, changes to the availability of the approved product, and changes to the standard of care.</w:t>
      </w:r>
    </w:p>
    <w:p>
      <w:pPr>
        <w:spacing w:after="0" w:line="181" w:lineRule="exact"/>
        <w:rPr>
          <w:sz w:val="20"/>
          <w:szCs w:val="20"/>
          <w:color w:val="auto"/>
        </w:rPr>
      </w:pPr>
    </w:p>
    <w:p>
      <w:pPr>
        <w:ind w:right="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lifileucel in metastatic melanoma and metastatic cervical cancer, as well as for lifileucel in combination with pembrolizumab in advanced melanoma. We were granted breakthrough therapy designation, or BTD, for lifileucel for metastatic cervical cancer and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the conventional FDA procedures and does not assure ultimate marketing approval by the FDA. In addition, the FDA may later decide that the products no longer meet the designation conditions.</w:t>
      </w:r>
    </w:p>
    <w:p>
      <w:pPr>
        <w:spacing w:after="0" w:line="144" w:lineRule="exact"/>
        <w:rPr>
          <w:sz w:val="20"/>
          <w:szCs w:val="20"/>
          <w:color w:val="auto"/>
        </w:rPr>
      </w:pPr>
    </w:p>
    <w:p>
      <w:pPr>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34"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We received orphan drug designation, or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 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Trials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due to the need to rely on third parties, including clinical trial sites.</w:t>
      </w:r>
    </w:p>
    <w:p>
      <w:pPr>
        <w:spacing w:after="0" w:line="202"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We are heavily reliant on third parties to conduct our clinical trials. We have a limited history of conducting clinical trials and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Furthermore, clinical trials may be delayed or otherwise may be more difficult to execute in the future.</w:t>
      </w:r>
    </w:p>
    <w:p>
      <w:pPr>
        <w:spacing w:after="0" w:line="151" w:lineRule="exact"/>
        <w:rPr>
          <w:sz w:val="20"/>
          <w:szCs w:val="20"/>
          <w:color w:val="auto"/>
        </w:rPr>
      </w:pPr>
    </w:p>
    <w:p>
      <w:pPr>
        <w:ind w:right="260" w:firstLine="492"/>
        <w:spacing w:after="0" w:line="266" w:lineRule="auto"/>
        <w:rPr>
          <w:sz w:val="20"/>
          <w:szCs w:val="20"/>
          <w:color w:val="auto"/>
        </w:rPr>
      </w:pPr>
      <w:r>
        <w:rPr>
          <w:rFonts w:ascii="Times New Roman" w:cs="Times New Roman" w:eastAsia="Times New Roman" w:hAnsi="Times New Roman"/>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pivotal clinical trials will be completed on time, if at all, that they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35"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CMOs, or consultants. Relying on third-party clinical investigators, CROs, or CMOs may force us to encounter delays and challenges that are outside of our control. For example, 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3"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55"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 In the EU, revised transparency rules for clinical trials became applicable with the launch of the new Clinical Trials Information System, or CTIS. The CTIS is the online system for the regulatory submission, authorization, and supervision of clinical trials conducted in the EU/European Economic Area, or EEA, under Regulation (EU) 536/2014. Data of all clinical trials conducted in the EU/EEA – including their results – must be submitted to the CTIS and are made publicly available, unless a specific exemption applies.</w:t>
      </w:r>
    </w:p>
    <w:p>
      <w:pPr>
        <w:spacing w:after="0" w:line="14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47" w:lineRule="exact"/>
        <w:rPr>
          <w:sz w:val="20"/>
          <w:szCs w:val="20"/>
          <w:color w:val="auto"/>
        </w:rPr>
      </w:pPr>
    </w:p>
    <w:p>
      <w:pPr>
        <w:ind w:right="220" w:firstLine="492"/>
        <w:spacing w:after="0" w:line="289" w:lineRule="auto"/>
        <w:rPr>
          <w:sz w:val="20"/>
          <w:szCs w:val="20"/>
          <w:color w:val="auto"/>
        </w:rPr>
      </w:pPr>
      <w:r>
        <w:rPr>
          <w:rFonts w:ascii="Times New Roman" w:cs="Times New Roman" w:eastAsia="Times New Roman" w:hAnsi="Times New Roman"/>
          <w:sz w:val="17"/>
          <w:szCs w:val="17"/>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w:t>
      </w:r>
    </w:p>
    <w:p>
      <w:pPr>
        <w:spacing w:after="0" w:line="127" w:lineRule="exact"/>
        <w:rPr>
          <w:sz w:val="20"/>
          <w:szCs w:val="20"/>
          <w:color w:val="auto"/>
        </w:rPr>
      </w:pPr>
    </w:p>
    <w:p>
      <w:pPr>
        <w:jc w:val="both"/>
        <w:ind w:right="10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p>
      <w:pPr>
        <w:spacing w:after="0" w:line="134"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completed enrollment in the pivotal clinical trial for melanoma, C-144-01, and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We obtained BLA approval on February 16, 2024. We plan to initiate clinical trials in new indications and new cohorts in existing clinical trials. For example, we plan to commence a registrational trial in previously treated advanced undifferentiated pleomorphic sarcoma, or UPS, and dedifferentiated liposarcoma, or DDLPS, in the second quarter of 2026.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submissions to the FDA or permit competitors to obtain approvals that may alter our BLA filing strategy. Additionally, temporary or permanent clinical holds could be placed on our clinical trials for a variety of reasons. For instance, on December 22, 2023, the FDA placed a clinical hold on the IOV-LUN-202 trial in response to a reported Grade 5 (fatal) serious adverse event potentially related to the non-myeloablative lymphodepletion pre-conditioning regimen, and we paused enrollment and the lifileucel treatment regimen for new patients in IOV-LUN-202 during the clinical hold. On March 4, 2024, the FDA lifted the partial clinical hold on the IOV-LUN-202 trial, permitting us to resume patient enrollment. A failure of one or more clinical trials can occur at any stage of testing, and our future clinical studies may not be successful. Events that may prevent successful or timely initiation or completion of clinical development, or product approval include:</w:t>
      </w:r>
    </w:p>
    <w:p>
      <w:pPr>
        <w:spacing w:after="0" w:line="150" w:lineRule="exact"/>
        <w:rPr>
          <w:sz w:val="20"/>
          <w:szCs w:val="20"/>
          <w:color w:val="auto"/>
        </w:rPr>
      </w:pPr>
    </w:p>
    <w:p>
      <w:pPr>
        <w:ind w:left="1160" w:right="400" w:hanging="315"/>
        <w:spacing w:after="0" w:line="257"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spacing w:after="0" w:line="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regulatory agencies on clinical trial design;</w:t>
      </w:r>
    </w:p>
    <w:p>
      <w:pPr>
        <w:spacing w:after="0" w:line="9" w:lineRule="exact"/>
        <w:rPr>
          <w:rFonts w:ascii="Times New Roman" w:cs="Times New Roman" w:eastAsia="Times New Roman" w:hAnsi="Times New Roman"/>
          <w:sz w:val="18"/>
          <w:szCs w:val="18"/>
          <w:color w:val="auto"/>
        </w:rPr>
      </w:pPr>
    </w:p>
    <w:p>
      <w:pPr>
        <w:ind w:left="1160" w:right="80" w:hanging="315"/>
        <w:spacing w:after="0" w:line="25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spacing w:after="0" w:line="1" w:lineRule="exact"/>
        <w:rPr>
          <w:rFonts w:ascii="Times New Roman" w:cs="Times New Roman" w:eastAsia="Times New Roman" w:hAnsi="Times New Roman"/>
          <w:sz w:val="18"/>
          <w:szCs w:val="18"/>
          <w:color w:val="auto"/>
        </w:rPr>
      </w:pPr>
    </w:p>
    <w:p>
      <w:pPr>
        <w:ind w:left="1160" w:right="80" w:hanging="315"/>
        <w:spacing w:after="0" w:line="25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jc w:val="both"/>
        <w:ind w:left="1160" w:right="600" w:hanging="315"/>
        <w:spacing w:after="0" w:line="25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spacing w:after="0" w:line="1" w:lineRule="exact"/>
        <w:rPr>
          <w:rFonts w:ascii="Times New Roman" w:cs="Times New Roman" w:eastAsia="Times New Roman" w:hAnsi="Times New Roman"/>
          <w:sz w:val="18"/>
          <w:szCs w:val="18"/>
          <w:color w:val="auto"/>
        </w:rPr>
      </w:pPr>
    </w:p>
    <w:p>
      <w:pPr>
        <w:ind w:left="1160" w:right="40" w:hanging="315"/>
        <w:spacing w:after="0" w:line="25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ind w:left="1160" w:hanging="315"/>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trial site;</w:t>
      </w:r>
    </w:p>
    <w:p>
      <w:pPr>
        <w:spacing w:after="0" w:line="9" w:lineRule="exact"/>
        <w:rPr>
          <w:rFonts w:ascii="Times New Roman" w:cs="Times New Roman" w:eastAsia="Times New Roman" w:hAnsi="Times New Roman"/>
          <w:sz w:val="18"/>
          <w:szCs w:val="18"/>
          <w:color w:val="auto"/>
        </w:rPr>
      </w:pPr>
    </w:p>
    <w:p>
      <w:pPr>
        <w:ind w:left="1160" w:right="20" w:hanging="315"/>
        <w:spacing w:after="0" w:line="260"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right="360"/>
        <w:spacing w:after="0" w:line="257" w:lineRule="auto"/>
        <w:rPr>
          <w:sz w:val="20"/>
          <w:szCs w:val="20"/>
          <w:color w:val="auto"/>
        </w:rPr>
      </w:pPr>
      <w:r>
        <w:rPr>
          <w:rFonts w:ascii="Times New Roman" w:cs="Times New Roman" w:eastAsia="Times New Roman" w:hAnsi="Times New Roman"/>
          <w:sz w:val="18"/>
          <w:szCs w:val="18"/>
          <w:color w:val="auto"/>
        </w:rPr>
        <w:t>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sz w:val="20"/>
          <w:szCs w:val="20"/>
          <w:color w:val="auto"/>
        </w:rPr>
      </w:pPr>
    </w:p>
    <w:p>
      <w:pPr>
        <w:ind w:left="1160" w:hanging="31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trials;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adding new investigators or clinical trial sites, or withdrawal of clinical trial sites from a clinical trial;</w:t>
      </w:r>
    </w:p>
    <w:p>
      <w:pPr>
        <w:spacing w:after="0" w:line="9" w:lineRule="exact"/>
        <w:rPr>
          <w:rFonts w:ascii="Times New Roman" w:cs="Times New Roman" w:eastAsia="Times New Roman" w:hAnsi="Times New Roman"/>
          <w:sz w:val="18"/>
          <w:szCs w:val="18"/>
          <w:color w:val="auto"/>
        </w:rPr>
      </w:pPr>
    </w:p>
    <w:p>
      <w:pPr>
        <w:ind w:left="1160" w:right="14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change in strategic direction for an indication resulting from differences in results between cohorts in a clinical trial, such as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Times New Roman" w:cs="Times New Roman" w:eastAsia="Times New Roman" w:hAnsi="Times New Roman"/>
          <w:sz w:val="18"/>
          <w:szCs w:val="18"/>
          <w:color w:val="auto"/>
        </w:rPr>
      </w:pPr>
    </w:p>
    <w:p>
      <w:pPr>
        <w:ind w:left="1160" w:right="48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patients, or other third parties, or us to adhere to clinical trial requirements, including regulatory, contractual or protocol requirements;</w:t>
      </w:r>
    </w:p>
    <w:p>
      <w:pPr>
        <w:ind w:left="1160" w:right="70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cGCP requirements or applicable regulatory guidelines in other countries;</w:t>
      </w:r>
    </w:p>
    <w:p>
      <w:pPr>
        <w:ind w:left="11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Times New Roman" w:cs="Times New Roman" w:eastAsia="Times New Roman" w:hAnsi="Times New Roman"/>
          <w:sz w:val="18"/>
          <w:szCs w:val="18"/>
          <w:color w:val="auto"/>
        </w:rPr>
      </w:pPr>
    </w:p>
    <w:p>
      <w:pPr>
        <w:jc w:val="both"/>
        <w:ind w:left="1160" w:right="2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spacing w:after="0" w:line="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clinical trial;</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9" w:lineRule="exact"/>
        <w:rPr>
          <w:rFonts w:ascii="Times New Roman" w:cs="Times New Roman" w:eastAsia="Times New Roman" w:hAnsi="Times New Roman"/>
          <w:sz w:val="18"/>
          <w:szCs w:val="18"/>
          <w:color w:val="auto"/>
        </w:rPr>
      </w:pPr>
    </w:p>
    <w:p>
      <w:pPr>
        <w:ind w:left="1160" w:right="34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Times New Roman" w:cs="Times New Roman" w:eastAsia="Times New Roman" w:hAnsi="Times New Roman"/>
          <w:sz w:val="18"/>
          <w:szCs w:val="18"/>
          <w:color w:val="auto"/>
        </w:rPr>
      </w:pPr>
    </w:p>
    <w:p>
      <w:pPr>
        <w:ind w:left="1160" w:right="4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ind w:left="1160" w:right="2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clinical trials;</w:t>
      </w:r>
    </w:p>
    <w:p>
      <w:pPr>
        <w:ind w:left="11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we may have insufficient funds for a clinical trial or to pay the substantial user fees required by the FDA upon the filing of a BLA;</w:t>
      </w:r>
    </w:p>
    <w:p>
      <w:pPr>
        <w:ind w:left="1160" w:right="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spacing w:after="0" w:line="1" w:lineRule="exact"/>
        <w:rPr>
          <w:rFonts w:ascii="Times New Roman" w:cs="Times New Roman" w:eastAsia="Times New Roman" w:hAnsi="Times New Roman"/>
          <w:sz w:val="18"/>
          <w:szCs w:val="18"/>
          <w:color w:val="auto"/>
        </w:rPr>
      </w:pPr>
    </w:p>
    <w:p>
      <w:pPr>
        <w:ind w:left="1160" w:right="20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Times New Roman" w:cs="Times New Roman" w:eastAsia="Times New Roman" w:hAnsi="Times New Roman"/>
          <w:sz w:val="18"/>
          <w:szCs w:val="18"/>
          <w:color w:val="auto"/>
        </w:rPr>
      </w:pPr>
    </w:p>
    <w:p>
      <w:pPr>
        <w:ind w:left="1160" w:right="44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1160" w:right="20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ind w:left="1160" w:hanging="315"/>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due to potential health epidemics and pandemics;</w:t>
      </w:r>
    </w:p>
    <w:p>
      <w:pPr>
        <w:spacing w:after="0" w:line="9" w:lineRule="exact"/>
        <w:rPr>
          <w:rFonts w:ascii="Times New Roman" w:cs="Times New Roman" w:eastAsia="Times New Roman" w:hAnsi="Times New Roman"/>
          <w:sz w:val="18"/>
          <w:szCs w:val="18"/>
          <w:color w:val="auto"/>
        </w:rPr>
      </w:pPr>
    </w:p>
    <w:p>
      <w:pPr>
        <w:ind w:left="1160" w:right="92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1160" w:hanging="315"/>
        <w:spacing w:after="0" w:line="25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when making a decision on our product candidates and prolonged government shutdowns, inadequate funding, loss of employees, changes in regulations or policies by the new U.S. administration or other disruptions may occur at the FDA, and thus, final FDA approval of our product candidates may be further delayed;</w:t>
      </w:r>
    </w:p>
    <w:p>
      <w:pPr>
        <w:spacing w:after="0" w:line="1" w:lineRule="exact"/>
        <w:rPr>
          <w:rFonts w:ascii="Times New Roman" w:cs="Times New Roman" w:eastAsia="Times New Roman" w:hAnsi="Times New Roman"/>
          <w:sz w:val="18"/>
          <w:szCs w:val="18"/>
          <w:color w:val="auto"/>
        </w:rPr>
      </w:pPr>
    </w:p>
    <w:p>
      <w:pPr>
        <w:ind w:left="1160" w:right="340" w:hanging="315"/>
        <w:spacing w:after="0" w:line="260"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CMOs or other larger-scale facilities operated by a CMO or by us and delays or failures by our CMOs or us to make any necessary changes to such manufacturing process;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right="220" w:hanging="315"/>
        <w:spacing w:after="0" w:line="257" w:lineRule="auto"/>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Times New Roman" w:cs="Times New Roman" w:eastAsia="Times New Roman" w:hAnsi="Times New Roman"/>
          <w:sz w:val="18"/>
          <w:szCs w:val="18"/>
          <w:color w:val="auto"/>
        </w:rPr>
      </w:pPr>
    </w:p>
    <w:p>
      <w:pPr>
        <w:jc w:val="both"/>
        <w:ind w:left="1160" w:right="160" w:hanging="315"/>
        <w:spacing w:after="0" w:line="255" w:lineRule="auto"/>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186"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If prolonged government shutdowns, inadequate funding, loss of employees, changes in regulations or policies by the new U.S. administration or other disruptions were to occur at the FDA, final FDA approval of our product candidates may be delayed. The ability of the FDA and other government agencies to review and approve new or modified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drugs or modifications to approved drugs to be reviewed and/or approved by necessary government agencies, which would adversely affect our business.</w:t>
      </w:r>
    </w:p>
    <w:p>
      <w:pPr>
        <w:spacing w:after="0" w:line="149"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regulatory approval, and will increase our future costs and expenses.</w:t>
      </w:r>
    </w:p>
    <w:p>
      <w:pPr>
        <w:spacing w:after="0" w:line="156"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regulatory approval or notification, may not have their desired effect, or the FDA or foreign regulatory authorities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spacing w:after="0" w:line="148"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5"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189"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and difficulties in identifying and enrolling patients who meet clinical trial eligibility criteria, may cause significant delays. We may not commence or complete clinical trials involving any of our products as projected or may not conduct them successfully.</w:t>
      </w:r>
    </w:p>
    <w:p>
      <w:pPr>
        <w:spacing w:after="0" w:line="156" w:lineRule="exact"/>
        <w:rPr>
          <w:sz w:val="20"/>
          <w:szCs w:val="20"/>
          <w:color w:val="auto"/>
        </w:rPr>
      </w:pPr>
    </w:p>
    <w:p>
      <w:pPr>
        <w:ind w:right="100" w:firstLine="492"/>
        <w:spacing w:after="0" w:line="258" w:lineRule="auto"/>
        <w:rPr>
          <w:sz w:val="20"/>
          <w:szCs w:val="20"/>
          <w:color w:val="auto"/>
        </w:rPr>
      </w:pPr>
      <w:r>
        <w:rPr>
          <w:rFonts w:ascii="Times New Roman" w:cs="Times New Roman" w:eastAsia="Times New Roman" w:hAnsi="Times New Roman"/>
          <w:sz w:val="18"/>
          <w:szCs w:val="18"/>
          <w:color w:val="auto"/>
        </w:rPr>
        <w:t>We are currently conducting multiple company-sponsored clinical trials to assess the overall safety and efficacy of Iovance TIL monotherapy and TIL combinations in patients with solid tumor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w:t>
      </w:r>
    </w:p>
    <w:p>
      <w:pPr>
        <w:spacing w:after="0" w:line="14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regulatory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5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Furthermore, the timely completion of clinical trials in accordance with their protocols depends, among other things, on our ability to enroll a sufficient number of patients who remain in the clinical trial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spacing w:after="0" w:line="165"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37" w:lineRule="exact"/>
        <w:rPr>
          <w:sz w:val="20"/>
          <w:szCs w:val="20"/>
          <w:color w:val="auto"/>
        </w:rPr>
      </w:pPr>
    </w:p>
    <w:p>
      <w:pPr>
        <w:ind w:right="120" w:firstLine="492"/>
        <w:spacing w:after="0" w:line="267" w:lineRule="auto"/>
        <w:rPr>
          <w:sz w:val="20"/>
          <w:szCs w:val="20"/>
          <w:color w:val="auto"/>
        </w:rPr>
      </w:pPr>
      <w:r>
        <w:rPr>
          <w:rFonts w:ascii="Times New Roman" w:cs="Times New Roman" w:eastAsia="Times New Roman" w:hAnsi="Times New Roman"/>
          <w:sz w:val="18"/>
          <w:szCs w:val="18"/>
          <w:color w:val="auto"/>
        </w:rPr>
        <w:t xml:space="preserve">Iovance TIL cell therapies are manufactured for commercial use and clinical trials internally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If we fail to commence or complete, or experiences delays in, manufacturing our products and product candidates, our planned clinical trials will be delayed, which will adversely affect our stock price and our ability to conduct our business as currently planned.</w:t>
      </w:r>
    </w:p>
    <w:p>
      <w:pPr>
        <w:spacing w:after="0" w:line="131" w:lineRule="exact"/>
        <w:rPr>
          <w:sz w:val="20"/>
          <w:szCs w:val="20"/>
          <w:color w:val="auto"/>
        </w:rPr>
      </w:pPr>
    </w:p>
    <w:p>
      <w:pPr>
        <w:ind w:right="1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2" w:lineRule="exact"/>
        <w:rPr>
          <w:sz w:val="20"/>
          <w:szCs w:val="20"/>
          <w:color w:val="auto"/>
        </w:rPr>
      </w:pPr>
    </w:p>
    <w:p>
      <w:pPr>
        <w:ind w:right="640" w:firstLine="492"/>
        <w:spacing w:after="0" w:line="282"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include candidates based on new cell therapy technologies and manufactured on a</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spacing w:after="0" w:line="150" w:lineRule="exact"/>
        <w:rPr>
          <w:sz w:val="20"/>
          <w:szCs w:val="20"/>
          <w:color w:val="auto"/>
        </w:rPr>
      </w:pPr>
    </w:p>
    <w:p>
      <w:pPr>
        <w:ind w:right="2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2"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The clinical trials of our product candidates are, and the manufacturing and marketing of our products is, subject to extensive and rigorous review and regulation by numerous government authorities in the U.S. and in other countries where we intend to test and market our product candidates. Before obtaining additional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4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spacing w:after="0" w:line="148"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62"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We have reported preliminary results for clinical trials of our product candidates, including TIL cell therapy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47" w:lineRule="exact"/>
        <w:rPr>
          <w:sz w:val="20"/>
          <w:szCs w:val="20"/>
          <w:color w:val="auto"/>
        </w:rPr>
      </w:pPr>
    </w:p>
    <w:p>
      <w:pPr>
        <w:ind w:right="4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2"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spacing w:after="0" w:line="135" w:lineRule="exact"/>
        <w:rPr>
          <w:sz w:val="20"/>
          <w:szCs w:val="20"/>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clinical trial population required for analysis of the clinical trial’s primary endpoints;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9" w:lineRule="exact"/>
        <w:rPr>
          <w:rFonts w:ascii="Times New Roman" w:cs="Times New Roman" w:eastAsia="Times New Roman" w:hAnsi="Times New Roman"/>
          <w:sz w:val="18"/>
          <w:szCs w:val="18"/>
          <w:color w:val="auto"/>
        </w:rPr>
      </w:pPr>
    </w:p>
    <w:p>
      <w:pPr>
        <w:ind w:left="1160" w:right="20" w:hanging="315"/>
        <w:spacing w:after="0" w:line="250"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160" w:right="360" w:hanging="315"/>
        <w:spacing w:after="0" w:line="250"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ind w:left="1160" w:right="140" w:hanging="315"/>
        <w:spacing w:after="0" w:line="250"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 w:lineRule="exact"/>
        <w:rPr>
          <w:rFonts w:ascii="Times New Roman" w:cs="Times New Roman" w:eastAsia="Times New Roman" w:hAnsi="Times New Roman"/>
          <w:sz w:val="18"/>
          <w:szCs w:val="18"/>
          <w:color w:val="auto"/>
        </w:rPr>
      </w:pPr>
    </w:p>
    <w:p>
      <w:pPr>
        <w:ind w:left="1160" w:right="280" w:hanging="315"/>
        <w:spacing w:after="0" w:line="253"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8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60" w:firstLine="492"/>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spacing w:after="0" w:line="131" w:lineRule="exact"/>
        <w:rPr>
          <w:sz w:val="20"/>
          <w:szCs w:val="20"/>
          <w:color w:val="auto"/>
        </w:rPr>
      </w:pPr>
    </w:p>
    <w:p>
      <w:pPr>
        <w:ind w:right="28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product and product candidates may cause undesirable side effects or have other properties that could halt their clinical development, prevent their regulatory approval, limit their commercial potential, or result in significant negative consequences.</w:t>
      </w:r>
    </w:p>
    <w:p>
      <w:pPr>
        <w:spacing w:after="0" w:line="148"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w:t>
      </w:r>
    </w:p>
    <w:p>
      <w:pPr>
        <w:spacing w:after="0" w:line="14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cell therapy in larger patient populations, such as in patients that have not yet been treated with other therapies or have not yet progressed on other therapies.</w:t>
      </w:r>
    </w:p>
    <w:p>
      <w:pPr>
        <w:spacing w:after="0" w:line="151"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subjects to complete our clinical trials or result in potential product liability claims. Such toxicities, which may arise from TIL cell therapy in general, including co-therapies, may include, for example, thrombocytopenia, chills, anemia, pyrexia, febrile neutropenia, diarrhea, neutropenia, vomiting, hypotension, and dyspnea. In addition, failure to manage toxicities, adverse events or side effects and to take recommended or other precautions may result in deaths or harm to patients. Furthermore, harm to patients may not be appropriately recognized or managed 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products if our trials are not successful.</w:t>
      </w:r>
    </w:p>
    <w:p>
      <w:pPr>
        <w:spacing w:after="0" w:line="189" w:lineRule="exact"/>
        <w:rPr>
          <w:sz w:val="20"/>
          <w:szCs w:val="20"/>
          <w:color w:val="auto"/>
        </w:rPr>
      </w:pPr>
    </w:p>
    <w:p>
      <w:pPr>
        <w:ind w:right="220" w:firstLine="492"/>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39" w:lineRule="exact"/>
        <w:rPr>
          <w:sz w:val="20"/>
          <w:szCs w:val="20"/>
          <w:color w:val="auto"/>
        </w:rPr>
      </w:pPr>
    </w:p>
    <w:p>
      <w:pPr>
        <w:ind w:left="1160" w:right="620" w:hanging="315"/>
        <w:spacing w:after="0" w:line="261"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ind w:left="1160" w:right="180" w:hanging="315"/>
        <w:spacing w:after="0" w:line="250"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ind w:left="1160" w:right="280" w:hanging="315"/>
        <w:spacing w:after="0" w:line="250"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ind w:left="1160" w:right="340" w:hanging="315"/>
        <w:spacing w:after="0" w:line="250"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1160" w:right="200" w:hanging="315"/>
        <w:spacing w:after="0" w:line="250"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w:t>
      </w:r>
    </w:p>
    <w:p>
      <w:pPr>
        <w:ind w:left="1160" w:right="920" w:hanging="315"/>
        <w:spacing w:after="0" w:line="260" w:lineRule="auto"/>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 and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right="820" w:hanging="315"/>
        <w:spacing w:after="0" w:line="282" w:lineRule="auto"/>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as well as clinical trials from our competitors, may diminish our anticipated revenues due to overlapping patient populations, costs and payor coverage, or patient needs.</w:t>
      </w:r>
    </w:p>
    <w:p>
      <w:pPr>
        <w:spacing w:after="0" w:line="162"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and foreign regulatory authorities of our TIL-based product candidates for the treatment of solid tumors. The clinical trials for our products under development may not be completed on schedule and the FDA and foreign regulatory authorities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new technology from third parties.</w:t>
      </w:r>
    </w:p>
    <w:p>
      <w:pPr>
        <w:spacing w:after="0" w:line="189" w:lineRule="exact"/>
        <w:rPr>
          <w:sz w:val="20"/>
          <w:szCs w:val="20"/>
          <w:color w:val="auto"/>
        </w:rPr>
      </w:pPr>
    </w:p>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or prevent our development of such other products.</w:t>
      </w:r>
    </w:p>
    <w:p>
      <w:pPr>
        <w:spacing w:after="0" w:line="143" w:lineRule="exact"/>
        <w:rPr>
          <w:sz w:val="20"/>
          <w:szCs w:val="20"/>
          <w:color w:val="auto"/>
        </w:rPr>
      </w:pPr>
    </w:p>
    <w:p>
      <w:pPr>
        <w:ind w:right="1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substantial royalties and lump sum benchmark payments under our license or acquisition agreements with the NIH, Novartis, Clinigen, and Cellectis, and we must meet certain milestones to maintain our license rights.</w:t>
      </w:r>
    </w:p>
    <w:p>
      <w:pPr>
        <w:spacing w:after="0" w:line="132"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Under our license or acquisition agreements with the NIH,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44" w:lineRule="exact"/>
        <w:rPr>
          <w:sz w:val="20"/>
          <w:szCs w:val="20"/>
          <w:color w:val="auto"/>
        </w:rPr>
      </w:pPr>
    </w:p>
    <w:p>
      <w:pPr>
        <w:ind w:right="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support our research, development, and supplement our internal manufacturing activities and, therefore, are subject to the efforts of these parties and our ability to successfully collaborate with these third parties.</w:t>
      </w:r>
    </w:p>
    <w:p>
      <w:pPr>
        <w:spacing w:after="0" w:line="110" w:lineRule="exact"/>
        <w:rPr>
          <w:sz w:val="20"/>
          <w:szCs w:val="20"/>
          <w:color w:val="auto"/>
        </w:rPr>
      </w:pPr>
    </w:p>
    <w:p>
      <w:pPr>
        <w:ind w:right="20" w:firstLine="492"/>
        <w:spacing w:after="0" w:line="23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currently supplies the majority of commercial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clinical lifileucel with additional capacity previously supplemented by a CMO, and certain clinical trials for our next-generation investigational TIL cell therapies are supported by CMOs.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and/or commercialization efforts may be delayed, thereby delaying the submission of products for regulatory approval or the market introduction and subsequent sales of our products and product candidates. Any such delay may lower our revenues and potential profitability.</w:t>
      </w:r>
    </w:p>
    <w:p>
      <w:pPr>
        <w:spacing w:after="0" w:line="174"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addition, in order to supplement our own efforts to improve TIL manufacturing and develop TIL cell therapies in new indications in clinical trials, we currently work and collaborate with government and academic research institutions, medical institutions, and corporate partners such as the NCI, Moffitt, Memorial Sloan Kettering Cancer Center, or MSKCC, Cellectis, and Novartis. For example, in February 2026, we announced positive initial data from a pilot clinical trial led by MSKCC and supported by us of lifileucel in patients with advanced UPS or DDLPS who were refractory to at least one prior line of systemic therapy.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Disagreements between parties to a collaboration arrangement regarding clinical development and commercialization matters can lead to delays in the development process or commercialization of the applicable product and/or product candidate and, in some cases, termination of the collaboration arrangement. These disagreements can be difficult to resolve if neither of the parties has final decision-making authority under the collaboration agreement.</w:t>
      </w:r>
    </w:p>
    <w:p>
      <w:pPr>
        <w:spacing w:after="0" w:line="139"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53" w:lineRule="exact"/>
        <w:rPr>
          <w:sz w:val="20"/>
          <w:szCs w:val="20"/>
          <w:color w:val="auto"/>
        </w:rPr>
      </w:pPr>
    </w:p>
    <w:p>
      <w:pPr>
        <w:ind w:right="300" w:firstLine="492"/>
        <w:spacing w:after="0" w:line="266"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35" w:lineRule="exact"/>
        <w:rPr>
          <w:sz w:val="20"/>
          <w:szCs w:val="20"/>
          <w:color w:val="auto"/>
        </w:rPr>
      </w:pPr>
    </w:p>
    <w:p>
      <w:pPr>
        <w:ind w:left="1160" w:hanging="315"/>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7" w:lineRule="exact"/>
        <w:rPr>
          <w:rFonts w:ascii="Times New Roman" w:cs="Times New Roman" w:eastAsia="Times New Roman" w:hAnsi="Times New Roman"/>
          <w:sz w:val="18"/>
          <w:szCs w:val="18"/>
          <w:color w:val="auto"/>
        </w:rPr>
      </w:pPr>
    </w:p>
    <w:p>
      <w:pPr>
        <w:ind w:left="1160" w:right="6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and/or commercialization of products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18"/>
          <w:szCs w:val="18"/>
          <w:color w:val="auto"/>
        </w:rPr>
      </w:pPr>
    </w:p>
    <w:p>
      <w:pPr>
        <w:ind w:left="1160" w:right="22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9" w:lineRule="exact"/>
        <w:rPr>
          <w:rFonts w:ascii="Times New Roman" w:cs="Times New Roman" w:eastAsia="Times New Roman" w:hAnsi="Times New Roman"/>
          <w:sz w:val="18"/>
          <w:szCs w:val="18"/>
          <w:color w:val="auto"/>
        </w:rPr>
      </w:pPr>
    </w:p>
    <w:p>
      <w:pPr>
        <w:ind w:left="1160" w:right="10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ind w:left="1160" w:right="20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ind w:left="1160" w:right="60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and/or product candidates discovered in collaboration with us may be viewed by our collaborators as competitive with their own products and/or product candidates, which may cause collaborators to cease to devote resources to the commercialization of our products and/or product candidates;</w:t>
      </w:r>
    </w:p>
    <w:p>
      <w:pPr>
        <w:spacing w:after="0" w:line="1" w:lineRule="exact"/>
        <w:rPr>
          <w:rFonts w:ascii="Times New Roman" w:cs="Times New Roman" w:eastAsia="Times New Roman" w:hAnsi="Times New Roman"/>
          <w:sz w:val="18"/>
          <w:szCs w:val="18"/>
          <w:color w:val="auto"/>
        </w:rPr>
      </w:pPr>
    </w:p>
    <w:p>
      <w:pPr>
        <w:jc w:val="both"/>
        <w:ind w:left="1160" w:right="30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1160" w:right="140" w:hanging="315"/>
        <w:spacing w:after="0" w:line="265" w:lineRule="auto"/>
        <w:tabs>
          <w:tab w:leader="none" w:pos="11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products and/or product candidates, might lead to additional responsibilities for us with respect to products and/or product candidates, or might result in litigation or arbitration, any of which would be time consuming and expensive;</w:t>
      </w:r>
    </w:p>
    <w:p>
      <w:pPr>
        <w:jc w:val="both"/>
        <w:ind w:left="1160" w:right="2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1160" w:right="2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ind w:left="1160" w:right="760" w:hanging="315"/>
        <w:spacing w:after="0" w:line="250"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1160" w:right="480" w:hanging="315"/>
        <w:spacing w:after="0" w:line="255"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6"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If any third-party collaborator breaches or terminates its agreement with us or fails to conduct its activities in a timely manner, the commercialization of our product candidates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3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be able to successfully collaborate with our partners as anticipated and that our current or future collaborations will be completed as contemplated, support the regulatory approval of our current product candidates, or result in any viable additional products and/or product candidates. For instance, to the extent that these collaborators conduct their studies with manufacturing processes that are different from ours or with a product that is different from ours, the results generated from their studies may not be seen in our current or future studies that employ our manufacturing processes, and the results generated from their studies may not support approval of our product candidates.</w:t>
      </w:r>
    </w:p>
    <w:p>
      <w:pPr>
        <w:spacing w:after="0" w:line="160" w:lineRule="exact"/>
        <w:rPr>
          <w:sz w:val="20"/>
          <w:szCs w:val="20"/>
          <w:color w:val="auto"/>
        </w:rPr>
      </w:pPr>
    </w:p>
    <w:p>
      <w:pPr>
        <w:ind w:right="300" w:firstLine="492"/>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commercialization of products and/or product candidates or reduce the scope of any sales or marketing activities, or increase our expenditures and undertake development or commercialization activities at our own expense.</w:t>
      </w:r>
    </w:p>
    <w:p>
      <w:pPr>
        <w:spacing w:after="0" w:line="13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spacing w:after="0" w:line="134"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In addition to our own research and process development efforts, we seek to collaborate with government, academic research institutions and corporate partners to improve TIL manufacturing and to develop TIL cell therapies for new indications. We continue to collaborate with the NCI, NIH, Moffitt, MDACC, and others to evaluate new solid tumor, including soft tissue sarcomas, and hematologic indications for TIL cell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products and product candidates, may be incorrect or unreliable, or may have a negative impact on us if the results of such studies are imputed to our products or proposed indications, even if such imputation is improper. For example, we have entered into collaborations with academic partners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85" w:lineRule="exact"/>
        <w:rPr>
          <w:sz w:val="20"/>
          <w:szCs w:val="20"/>
          <w:color w:val="auto"/>
        </w:rPr>
      </w:pPr>
    </w:p>
    <w:p>
      <w:pPr>
        <w:ind w:right="2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business, and the biotechnology industry in which we operate, makes it difficult to evaluate our business plan and our prospects.</w:t>
      </w:r>
    </w:p>
    <w:p>
      <w:pPr>
        <w:spacing w:after="0" w:line="118" w:lineRule="exact"/>
        <w:rPr>
          <w:sz w:val="20"/>
          <w:szCs w:val="20"/>
          <w:color w:val="auto"/>
        </w:rPr>
      </w:pPr>
    </w:p>
    <w:p>
      <w:pPr>
        <w:ind w:right="140" w:firstLine="492"/>
        <w:spacing w:after="0" w:line="258" w:lineRule="auto"/>
        <w:rPr>
          <w:sz w:val="20"/>
          <w:szCs w:val="20"/>
          <w:color w:val="auto"/>
        </w:rPr>
      </w:pPr>
      <w:r>
        <w:rPr>
          <w:rFonts w:ascii="Times New Roman" w:cs="Times New Roman" w:eastAsia="Times New Roman" w:hAnsi="Times New Roman"/>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56"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We face the problems, expenses, difficulties, complications, and delays normally associated with a commercial biopharmaceutical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biopharmaceutical companies with significant pre-commercial assets involved in the rapidly</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evolving field of immunotherapy. We also face the risks associated with the shift from development to commercialization of new products based on innovative technologies. There can be no assurance that we will be successful in developing our business.</w:t>
      </w:r>
    </w:p>
    <w:p>
      <w:pPr>
        <w:spacing w:after="0" w:line="95" w:lineRule="exact"/>
        <w:rPr>
          <w:sz w:val="20"/>
          <w:szCs w:val="20"/>
          <w:color w:val="auto"/>
        </w:rPr>
      </w:pPr>
    </w:p>
    <w:p>
      <w:pPr>
        <w:ind w:right="4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CROs or other contractors or consultants, may fail or suffer security breaches.</w:t>
      </w:r>
    </w:p>
    <w:p>
      <w:pPr>
        <w:spacing w:after="0" w:line="132"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right="20" w:firstLine="492"/>
        <w:spacing w:after="0" w:line="274" w:lineRule="auto"/>
        <w:rPr>
          <w:sz w:val="20"/>
          <w:szCs w:val="20"/>
          <w:color w:val="auto"/>
        </w:rPr>
      </w:pPr>
      <w:r>
        <w:rPr>
          <w:rFonts w:ascii="Times New Roman" w:cs="Times New Roman" w:eastAsia="Times New Roman" w:hAnsi="Times New Roman"/>
          <w:sz w:val="17"/>
          <w:szCs w:val="17"/>
          <w:color w:val="auto"/>
        </w:rPr>
        <w:t>We maintain a specialized information technology system for tracking chain of custody and chain of identity for TIL cell therapy patients. Like other autologous cell therapies, this is extremely important for patient safety and is a requirement outlined in our BLA submission. This requires us to store and maintain patient specific health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impair our ability to deliver patient care.</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systems, infrastructure and data.</w:t>
      </w:r>
    </w:p>
    <w:p>
      <w:pPr>
        <w:spacing w:after="0" w:line="202" w:lineRule="exact"/>
        <w:rPr>
          <w:sz w:val="20"/>
          <w:szCs w:val="20"/>
          <w:color w:val="auto"/>
        </w:rPr>
      </w:pPr>
    </w:p>
    <w:p>
      <w:pPr>
        <w:ind w:right="120" w:firstLine="492"/>
        <w:spacing w:after="0" w:line="252"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pacing w:after="0" w:line="153" w:lineRule="exact"/>
        <w:rPr>
          <w:sz w:val="20"/>
          <w:szCs w:val="20"/>
          <w:color w:val="auto"/>
        </w:rPr>
      </w:pPr>
    </w:p>
    <w:p>
      <w:pPr>
        <w:ind w:right="40" w:firstLine="49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directly or through our third-party service providers, may adopt, use or incorporate artificial intelligence, or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spacing w:after="0" w:line="143"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or the EU AI Act, which establishes a comprehensive, risk-based governance framework for AI in the EU market. The majority of the substantive requirements of the EU AI Act are not enforceable yet and are expected to apply from August 2, 2026.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47" w:lineRule="exact"/>
        <w:rPr>
          <w:sz w:val="20"/>
          <w:szCs w:val="20"/>
          <w:color w:val="auto"/>
        </w:rPr>
      </w:pPr>
    </w:p>
    <w:p>
      <w:pPr>
        <w:ind w:right="40" w:firstLine="492"/>
        <w:spacing w:after="0" w:line="273" w:lineRule="auto"/>
        <w:rPr>
          <w:sz w:val="20"/>
          <w:szCs w:val="20"/>
          <w:color w:val="auto"/>
        </w:rPr>
      </w:pPr>
      <w:r>
        <w:rPr>
          <w:rFonts w:ascii="Times New Roman" w:cs="Times New Roman" w:eastAsia="Times New Roman" w:hAnsi="Times New Roman"/>
          <w:sz w:val="17"/>
          <w:szCs w:val="17"/>
          <w:color w:val="auto"/>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 in our business.</w:t>
      </w:r>
    </w:p>
    <w:p>
      <w:pPr>
        <w:spacing w:after="0" w:line="144"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spacing w:after="0" w:line="147" w:lineRule="exact"/>
        <w:rPr>
          <w:sz w:val="20"/>
          <w:szCs w:val="20"/>
          <w:color w:val="auto"/>
        </w:rPr>
      </w:pPr>
    </w:p>
    <w:p>
      <w:pPr>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and pandemics, in regions where we or third parties on which we rely have significant manufacturing facilities, concentrations of clinical trial sites or other business operations.</w:t>
      </w:r>
    </w:p>
    <w:p>
      <w:pPr>
        <w:spacing w:after="0" w:line="118" w:lineRule="exact"/>
        <w:rPr>
          <w:sz w:val="20"/>
          <w:szCs w:val="20"/>
          <w:color w:val="auto"/>
        </w:rPr>
      </w:pPr>
    </w:p>
    <w:p>
      <w:pPr>
        <w:ind w:right="160" w:firstLine="492"/>
        <w:spacing w:after="0" w:line="266"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w:t>
      </w:r>
    </w:p>
    <w:p>
      <w:pPr>
        <w:spacing w:after="0" w:line="1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pandemics or the spread of other infectious diseases could impact personnel at third-party manufacturing facilities in the U.S. and other countries, or the availability or cost of materials, which would disrupt our supply chain. In addition, our clinical trials may be affected by health epidemics and pandemics. Clinical site initiation, patient enrollment and patient monitoring may be delayed due to prioritization of hospital resources toward health epidemics and pandemics.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HCPs, may have heightened exposure to viruses that cause pandemics and epidemics, and such exposure may adversely impact our clinical trial operations. Health epidemics,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74" w:lineRule="auto"/>
        <w:rPr>
          <w:sz w:val="20"/>
          <w:szCs w:val="20"/>
          <w:color w:val="auto"/>
        </w:rPr>
      </w:pPr>
      <w:r>
        <w:rPr>
          <w:rFonts w:ascii="Times New Roman" w:cs="Times New Roman" w:eastAsia="Times New Roman" w:hAnsi="Times New Roman"/>
          <w:sz w:val="17"/>
          <w:szCs w:val="17"/>
          <w:color w:val="auto"/>
        </w:rPr>
        <w:t>We continue to monitor the impact, if any, of health epidemics and pandemics, on our current and future operations, including our regulatory filing timelines and strategy, as well as our preparation for commercial launch. As with the COVID-19 pandemic, any restrictions regarding travel and face to face interactions or constraints on resources, either by us or our contractors, including our CMOs, may negatively impact our regulatory strategy or commercial launch preparations. Health epidemics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128" w:lineRule="exact"/>
        <w:rPr>
          <w:sz w:val="20"/>
          <w:szCs w:val="20"/>
          <w:color w:val="auto"/>
        </w:rPr>
      </w:pPr>
    </w:p>
    <w:p>
      <w:pPr>
        <w:ind w:right="2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2"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EU member states and other foreign jurisdictions, including Switzerland, the UK,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48"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regulations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50" w:lineRule="exact"/>
        <w:rPr>
          <w:sz w:val="20"/>
          <w:szCs w:val="20"/>
          <w:color w:val="auto"/>
        </w:rPr>
      </w:pPr>
    </w:p>
    <w:p>
      <w:pPr>
        <w:ind w:right="2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2"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laws apply more broadly than the HIPPA (as amended by the HITECH Act), or HIPAA, and associated regulations. For example, the California Consumer Privacy Act, or CCPA, which went into effect January 1, 2020, and as amended and expanded by the California Privacy Rights Act, or CPRA, which went into effect on January 1, 2023, among other things, create new data privacy obligations for covered companies and provides new privacy rights to California residents, including the right to opt out of certain disclosures of their information. They also created a private right of action with statutory damages for certain data breaches, thereby potentially increasing risks associated with a data breach.</w:t>
      </w:r>
    </w:p>
    <w:p>
      <w:pPr>
        <w:spacing w:after="0" w:line="148"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Although the California law includes limited exceptions, including for certain information collected as part of clinical trials as specified in the law, it may regulate or impact our processing of personal information depending on the context. Additional modifications may continue to be made to the CPRA by the California legislature and their interpretation by regulators may continue to evolve. Other states have begun to pass similar data protection laws, which may be amended from time to time. Therefore, the effects of these state data protection laws are significant and will likely require us to modify our data processing practices and may cause us to incur substantial costs and expenses to comply.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9" w:lineRule="exact"/>
        <w:rPr>
          <w:sz w:val="20"/>
          <w:szCs w:val="20"/>
          <w:color w:val="auto"/>
        </w:rPr>
      </w:pPr>
    </w:p>
    <w:p>
      <w:pPr>
        <w:ind w:left="1160" w:hanging="315"/>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9" w:lineRule="exact"/>
        <w:rPr>
          <w:rFonts w:ascii="Times New Roman" w:cs="Times New Roman" w:eastAsia="Times New Roman" w:hAnsi="Times New Roman"/>
          <w:sz w:val="18"/>
          <w:szCs w:val="18"/>
          <w:color w:val="auto"/>
        </w:rPr>
      </w:pPr>
    </w:p>
    <w:p>
      <w:pPr>
        <w:ind w:left="1160" w:right="200" w:hanging="315"/>
        <w:spacing w:after="0" w:line="250"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ind w:left="1160" w:right="520" w:hanging="315"/>
        <w:spacing w:after="0" w:line="250"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ind w:left="1160" w:right="800" w:hanging="315"/>
        <w:spacing w:after="0" w:line="250"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ind w:left="1160" w:hanging="315"/>
        <w:spacing w:after="0" w:line="250"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1160" w:right="780" w:hanging="315"/>
        <w:spacing w:after="0" w:line="260"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1"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spacing w:after="0" w:line="150" w:lineRule="exact"/>
        <w:rPr>
          <w:sz w:val="20"/>
          <w:szCs w:val="20"/>
          <w:color w:val="auto"/>
        </w:rPr>
      </w:pPr>
    </w:p>
    <w:p>
      <w:pPr>
        <w:ind w:right="1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global operations, which expose us to additional risks, and any adverse event could have a material adverse effect on our results of operations and financial condition.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operations outside the U.S. have recently expanded. Risks inherent in conducting a global business include:</w:t>
      </w:r>
    </w:p>
    <w:p>
      <w:pPr>
        <w:spacing w:after="0" w:line="198" w:lineRule="exact"/>
        <w:rPr>
          <w:sz w:val="20"/>
          <w:szCs w:val="20"/>
          <w:color w:val="auto"/>
        </w:rPr>
      </w:pPr>
    </w:p>
    <w:p>
      <w:pPr>
        <w:ind w:left="1160" w:hanging="315"/>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medical reimbursement policies and programs and pricing restrictions in key markets;</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regulatory requirements that could restrict our ability to manufacture and sell our products in key markets;</w:t>
      </w:r>
    </w:p>
    <w:p>
      <w:pPr>
        <w:spacing w:after="0" w:line="9" w:lineRule="exact"/>
        <w:rPr>
          <w:rFonts w:ascii="Times New Roman" w:cs="Times New Roman" w:eastAsia="Times New Roman" w:hAnsi="Times New Roman"/>
          <w:sz w:val="18"/>
          <w:szCs w:val="18"/>
          <w:color w:val="auto"/>
        </w:rPr>
      </w:pPr>
    </w:p>
    <w:p>
      <w:pPr>
        <w:ind w:left="1160" w:right="660" w:hanging="315"/>
        <w:spacing w:after="0" w:line="250" w:lineRule="auto"/>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tariffs, and import or export licensing requirements, including the imposition of trade sanctions or similar restrictions by the U.S. or other governments;</w:t>
      </w:r>
    </w:p>
    <w:p>
      <w:pPr>
        <w:ind w:left="1160" w:hanging="315"/>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nationalization and expropriation.</w:t>
      </w:r>
    </w:p>
    <w:p>
      <w:pPr>
        <w:spacing w:after="0" w:line="207"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In addition, there may be changes to our business if there is instability, disruption, or destruction in a significant geographic region, regardless of cause, including war, terrorism, riot, civil insurrection or social unrest; and natural or man-made disasters, including famine, flood, fire, earthquake, storm, or disease. Events like these, such as the ongoing war between Russia and Ukraine, rising conflict in the Middle East and other global conflicts, could result in material adverse effects on macroeconomic conditions, currency exchange rates and financial markets, and may adversely affect our business, results of operations, and financial condition.</w:t>
      </w:r>
    </w:p>
    <w:p>
      <w:pPr>
        <w:spacing w:after="0" w:line="143" w:lineRule="exact"/>
        <w:rPr>
          <w:sz w:val="20"/>
          <w:szCs w:val="20"/>
          <w:color w:val="auto"/>
        </w:rPr>
      </w:pPr>
    </w:p>
    <w:p>
      <w:pPr>
        <w:jc w:val="both"/>
        <w:ind w:right="180" w:firstLine="492"/>
        <w:spacing w:after="0" w:line="312" w:lineRule="auto"/>
        <w:rPr>
          <w:sz w:val="20"/>
          <w:szCs w:val="20"/>
          <w:color w:val="auto"/>
        </w:rPr>
      </w:pPr>
      <w:r>
        <w:rPr>
          <w:rFonts w:ascii="Times New Roman" w:cs="Times New Roman" w:eastAsia="Times New Roman" w:hAnsi="Times New Roman"/>
          <w:sz w:val="17"/>
          <w:szCs w:val="17"/>
          <w:color w:val="auto"/>
        </w:rPr>
        <w:t>Furthermore, changes in regulations and policies by the new U.S. administration, including increases in tariffs, and the resulting political and economic uncertainty in the U.S. may also impact our operations as well as the financial markets and the global economy.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p>
      <w:pPr>
        <w:spacing w:after="0" w:line="140" w:lineRule="exact"/>
        <w:rPr>
          <w:sz w:val="20"/>
          <w:szCs w:val="20"/>
          <w:color w:val="auto"/>
        </w:rPr>
      </w:pPr>
    </w:p>
    <w:p>
      <w:pPr>
        <w:ind w:right="80" w:firstLine="492"/>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the global financial markets and global political conditions. The financial markets and the global economy may also be adversely affected by the current or anticipated impact of military conflict, including the ongoing conflicts in Ukraine, the Middle East and other global conflicts, terrorism or other geopolitical events, political tensions between the U.S. and China, or inflation. For example, the BIOSECURE Act was signed into law in December 2025 as part of the Fiscal Year 2026 National Defense Authorization Act. The BIOSECURE Act restricts U.S. government agencies from purchasing or obtaining certain biotechnology equipment or services from “biotechnology companies of concern,” or BCCs; entering, extending or renewing a contract with any entity using biotechnology equipment or services provided by a BCC to perform a government contract; or granting government funds or loans for such biotechnology equipment or services provided by the BCC. The BIOSECURE Act may have significant implications for U.S. companies with government contracts that obtain biotechnology equipment or services from a BCC, including contracts with the Department of Veterans Affairs, and any related impact on reimbursement under Medicaid or Medicare Part B. Sanctions imposed by the U.S. and other countries in response to such conflicts and political tensions may also adversely impact our business, the financial markets and the global economy, and any economic countermeasures by the affected countries or others could exacerbate market and economic instability, and lead to instability and lack of liquidity in capital markets, potentially making it more difficult for us to obtain additional funds.</w:t>
      </w:r>
    </w:p>
    <w:p>
      <w:pPr>
        <w:spacing w:after="0" w:line="170" w:lineRule="exact"/>
        <w:rPr>
          <w:sz w:val="20"/>
          <w:szCs w:val="20"/>
          <w:color w:val="auto"/>
        </w:rPr>
      </w:pPr>
    </w:p>
    <w:p>
      <w:pPr>
        <w:ind w:right="200" w:firstLine="492"/>
        <w:spacing w:after="0" w:line="256"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 ongoing military conflicts in Ukraine or the Middle East, geopolitical tensions, tariffs, or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the Middle East and other global conflicts, geopolitical tensions, inflation, sanctions and resulting market disruptions are impossible to predict, but could be substantial. Any such disruptions may also magnify the impact of other risks described herein.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181" w:lineRule="exact"/>
        <w:rPr>
          <w:sz w:val="20"/>
          <w:szCs w:val="20"/>
          <w:color w:val="auto"/>
        </w:rPr>
      </w:pPr>
    </w:p>
    <w:p>
      <w:pPr>
        <w:ind w:right="20" w:firstLine="492"/>
        <w:spacing w:after="0" w:line="217" w:lineRule="auto"/>
        <w:rPr>
          <w:sz w:val="20"/>
          <w:szCs w:val="20"/>
          <w:color w:val="auto"/>
        </w:rPr>
      </w:pPr>
      <w:r>
        <w:rPr>
          <w:rFonts w:ascii="Times New Roman" w:cs="Times New Roman" w:eastAsia="Times New Roman" w:hAnsi="Times New Roman"/>
          <w:sz w:val="18"/>
          <w:szCs w:val="18"/>
          <w:color w:val="auto"/>
        </w:rPr>
        <w:t>With the acquisition of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May 2023 and with the future commercialization of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other markets, a portion of our business will be conducted outside the U.S. Furthermore, we are required to make certain future payments under the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acquisition agreement that are denominated in non-U.S. dollars, including future deferred consideration and earnout payments based on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business, cash flow, results of operations, financial condition, and prospects. Our primary exposure to movements in foreign currency exchange rates currently relates to non-U.S. dollar denominated sales in Europe, the UK, and Asia, and non-U.S. dollar denominated operating expenses and certain assets and liabilities in our operating subsidiaries.</w:t>
      </w:r>
    </w:p>
    <w:p>
      <w:pPr>
        <w:spacing w:after="0" w:line="178" w:lineRule="exact"/>
        <w:rPr>
          <w:sz w:val="20"/>
          <w:szCs w:val="20"/>
          <w:color w:val="auto"/>
        </w:rPr>
      </w:pPr>
    </w:p>
    <w:p>
      <w:pPr>
        <w:ind w:right="160" w:firstLine="492"/>
        <w:spacing w:after="0" w:line="261" w:lineRule="auto"/>
        <w:rPr>
          <w:sz w:val="20"/>
          <w:szCs w:val="20"/>
          <w:color w:val="auto"/>
        </w:rPr>
      </w:pPr>
      <w:r>
        <w:rPr>
          <w:rFonts w:ascii="Times New Roman" w:cs="Times New Roman" w:eastAsia="Times New Roman" w:hAnsi="Times New Roman"/>
          <w:sz w:val="18"/>
          <w:szCs w:val="18"/>
          <w:color w:val="auto"/>
        </w:rPr>
        <w:t>Additionally, we have entered and may enter into business development transactions, borrowings, or other financial transactions that may give rise to currency and interest rate exposure. 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39"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31" w:lineRule="exact"/>
        <w:rPr>
          <w:sz w:val="20"/>
          <w:szCs w:val="20"/>
          <w:color w:val="auto"/>
        </w:rPr>
      </w:pPr>
    </w:p>
    <w:p>
      <w:pPr>
        <w:ind w:right="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32"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ectPr>
          <w:pgSz w:w="11900" w:h="16838" w:orient="portrait"/>
          <w:cols w:equalWidth="0" w:num="1">
            <w:col w:w="9880"/>
          </w:cols>
          <w:pgMar w:left="980" w:top="661"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55"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spacing w:after="0" w:line="148"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89"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Changes in regulations and policies of the new U.S. administration may have the effect of scaling back or halting the progress of proposed or enacted ESG-related regulations, which may also have an effect on requirements and preferences of various government agencies and external stakeholders.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57"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jc w:val="both"/>
        <w:ind w:right="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spacing w:after="0" w:line="134" w:lineRule="exact"/>
        <w:rPr>
          <w:sz w:val="20"/>
          <w:szCs w:val="20"/>
          <w:color w:val="auto"/>
        </w:rPr>
      </w:pPr>
    </w:p>
    <w:p>
      <w:pPr>
        <w:ind w:firstLine="492"/>
        <w:spacing w:after="0" w:line="274" w:lineRule="auto"/>
        <w:rPr>
          <w:sz w:val="20"/>
          <w:szCs w:val="20"/>
          <w:color w:val="auto"/>
        </w:rPr>
      </w:pPr>
      <w:r>
        <w:rPr>
          <w:rFonts w:ascii="Times New Roman" w:cs="Times New Roman" w:eastAsia="Times New Roman" w:hAnsi="Times New Roman"/>
          <w:sz w:val="17"/>
          <w:szCs w:val="17"/>
          <w:color w:val="auto"/>
        </w:rPr>
        <w:t>Our products, potential products, and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or may experience changes in review personnel which may alter the FDA’s advice with respect to our strategy and submissions, which in turn, may lengthen the regulatory review process, increase our development costs and delay or prevent their commercialization.</w:t>
      </w:r>
    </w:p>
    <w:p>
      <w:pPr>
        <w:spacing w:after="0" w:line="138" w:lineRule="exact"/>
        <w:rPr>
          <w:sz w:val="20"/>
          <w:szCs w:val="20"/>
          <w:color w:val="auto"/>
        </w:rPr>
      </w:pPr>
    </w:p>
    <w:p>
      <w:pPr>
        <w:ind w:right="140" w:firstLine="492"/>
        <w:spacing w:after="0" w:line="237" w:lineRule="auto"/>
        <w:rPr>
          <w:sz w:val="20"/>
          <w:szCs w:val="20"/>
          <w:color w:val="auto"/>
        </w:rPr>
      </w:pPr>
      <w:r>
        <w:rPr>
          <w:rFonts w:ascii="Times New Roman" w:cs="Times New Roman" w:eastAsia="Times New Roman" w:hAnsi="Times New Roman"/>
          <w:sz w:val="18"/>
          <w:szCs w:val="18"/>
          <w:color w:val="auto"/>
        </w:rPr>
        <w:t>Prior to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 adoptive cell therapy using a TIL product had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or foreign regulatory approvals, if at all. We have completed the process for FDA approval for one adoptive cell therapy product. We will not be able to commercialize any of our potential products until we obtain FDA or foreign regulatory approvals, and so any delay in obtaining, or inability to obtain, FDA or foreign regulatory approvals would harm our business.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or product candidates.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5" w:lineRule="exact"/>
        <w:rPr>
          <w:sz w:val="20"/>
          <w:szCs w:val="20"/>
          <w:color w:val="auto"/>
        </w:rPr>
      </w:pPr>
    </w:p>
    <w:p>
      <w:pPr>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foreign regulatory approval process is lengthy and time-consuming, and we may experience significant delays in the clinical development and regulatory approval of our product candidates.</w:t>
      </w:r>
    </w:p>
    <w:p>
      <w:pPr>
        <w:spacing w:after="0" w:line="132"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A BLA must include extensive preclinical and clinical data and supporting information to establish the product candidate’s safety and effectiveness for each desired indication. Our BLA submissions and expected timelines for our product candidates are based on our interpretation of communications received from the FDA to date regarding each product candidate and are subject to revision if additional communications are received from the FDA. As such, we may experience delays with FDA approval of BLAs for our product candidates.</w:t>
      </w:r>
    </w:p>
    <w:p>
      <w:pPr>
        <w:spacing w:after="0" w:line="143"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We are conducting registrational trials for advanced NSCLC and frontline advanced melanoma cancer with our lifileucel product candidate, and we plan to commence a registrational trial in previously treated advanced UPS and DDLPS in the second quarter of 2026. The ongoing trials, which we refer to as IOV-LUN-202 Cohorts 1 and 2 in the case of advanced NSCLC and TILVANCE-301 in the case of advanced melanoma, are currently underway and have been the subject of formal FDA meetings and communications. For instance, on December 22, 2023, the FDA placed a clinical hold on the IOV-LUN-202 trial in response to a reported Grade 5 (fatal) serious adverse event potentially related to the non-myeloablative lymphodepletion, or NMA-LD, pre-conditioning regimen, and we paused enrollment and the lifileucel treatment regimen for new patients in IOV-LUN-202 during the clinical hold. On March 4, 2024, the FDA lifted the partial clinical hold on the IOV-LUN-202 trial, permitting us to resume patient enrollment using a reduced NMA-LD regimen. Our current beliefs regarding the registration pathway for lifileucel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the lifileucel product candidate or prevent their approval.</w:t>
      </w:r>
    </w:p>
    <w:p>
      <w:pPr>
        <w:spacing w:after="0" w:line="154"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As previously disclosed, Iovance began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inhibitor-naïve metastatic melanoma. However, the regulatory approval pathway for our product candidates may be uncertain, complex, expensive, and lengthy, and approval may not be obtained.</w:t>
      </w:r>
    </w:p>
    <w:p>
      <w:pPr>
        <w:spacing w:after="0" w:line="162" w:lineRule="exact"/>
        <w:rPr>
          <w:sz w:val="20"/>
          <w:szCs w:val="20"/>
          <w:color w:val="auto"/>
        </w:rPr>
      </w:pPr>
    </w:p>
    <w:p>
      <w:pPr>
        <w:ind w:right="400" w:firstLine="492"/>
        <w:spacing w:after="0" w:line="282" w:lineRule="auto"/>
        <w:rPr>
          <w:sz w:val="20"/>
          <w:szCs w:val="20"/>
          <w:color w:val="auto"/>
        </w:rPr>
      </w:pPr>
      <w:r>
        <w:rPr>
          <w:rFonts w:ascii="Times New Roman" w:cs="Times New Roman" w:eastAsia="Times New Roman" w:hAnsi="Times New Roman"/>
          <w:sz w:val="18"/>
          <w:szCs w:val="18"/>
          <w:color w:val="auto"/>
        </w:rPr>
        <w:t>We may also experience delays, including delays arising from the need to increase enrollment, in completing planned clinical trials for a variety of reasons, including delays related to:</w:t>
      </w:r>
    </w:p>
    <w:p>
      <w:pPr>
        <w:spacing w:after="0" w:line="121" w:lineRule="exact"/>
        <w:rPr>
          <w:sz w:val="20"/>
          <w:szCs w:val="20"/>
          <w:color w:val="auto"/>
        </w:rPr>
      </w:pPr>
    </w:p>
    <w:p>
      <w:pPr>
        <w:ind w:left="1160" w:hanging="315"/>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clinical trials;</w:t>
      </w:r>
    </w:p>
    <w:p>
      <w:pPr>
        <w:spacing w:after="0" w:line="27" w:lineRule="exact"/>
        <w:rPr>
          <w:rFonts w:ascii="Times New Roman" w:cs="Times New Roman" w:eastAsia="Times New Roman" w:hAnsi="Times New Roman"/>
          <w:sz w:val="18"/>
          <w:szCs w:val="18"/>
          <w:color w:val="auto"/>
        </w:rPr>
      </w:pPr>
    </w:p>
    <w:p>
      <w:pPr>
        <w:ind w:left="1160" w:right="200" w:hanging="315"/>
        <w:spacing w:after="0" w:line="250"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contract terms with prospective CROs and clinical trial sites, the terms of which can be subject to extensive negotiation and may vary significantly among different CROs and clinical trial sites;</w:t>
      </w:r>
    </w:p>
    <w:p>
      <w:pPr>
        <w:ind w:left="1160" w:hanging="315"/>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IRB, or central IRB;</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hanging="315"/>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9" w:lineRule="exact"/>
        <w:rPr>
          <w:rFonts w:ascii="Times New Roman" w:cs="Times New Roman" w:eastAsia="Times New Roman" w:hAnsi="Times New Roman"/>
          <w:sz w:val="18"/>
          <w:szCs w:val="18"/>
          <w:color w:val="auto"/>
        </w:rPr>
      </w:pPr>
    </w:p>
    <w:p>
      <w:pPr>
        <w:ind w:left="1160" w:right="180" w:hanging="315"/>
        <w:spacing w:after="0" w:line="250"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 and applying them on a subject-by-subject basis for use in clinical trials; or</w:t>
      </w:r>
    </w:p>
    <w:p>
      <w:pPr>
        <w:ind w:left="1160" w:right="380" w:hanging="315"/>
        <w:spacing w:after="0" w:line="260"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implementing or validating changes to our manufacturing or quality control processes and methods needed to address FDA feedback.</w:t>
      </w:r>
    </w:p>
    <w:p>
      <w:pPr>
        <w:spacing w:after="0" w:line="141"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3"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The FDA’s review of our regulatory submissions may be delayed in the future due to reasons beyond our control (such as the reductions of staffing or other resources at the FDA). FDA operations are affected by various factors, such as shifting government priorities, budgets and funding levels, authorization and payment of user fees, the ability to hire and retain key personnel, as well as other statutory, regulatory, and policy changes impacting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other meetings.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43" w:lineRule="exact"/>
        <w:rPr>
          <w:sz w:val="20"/>
          <w:szCs w:val="20"/>
          <w:color w:val="auto"/>
        </w:rPr>
      </w:pPr>
    </w:p>
    <w:p>
      <w:pPr>
        <w:ind w:right="3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or maintaining regulatory approval of our product candidates in other jurisdictions.</w:t>
      </w:r>
    </w:p>
    <w:p>
      <w:pPr>
        <w:spacing w:after="0" w:line="118"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 approval for previously approved products.</w:t>
      </w:r>
    </w:p>
    <w:p>
      <w:pPr>
        <w:spacing w:after="0" w:line="170" w:lineRule="exact"/>
        <w:rPr>
          <w:sz w:val="20"/>
          <w:szCs w:val="20"/>
          <w:color w:val="auto"/>
        </w:rPr>
      </w:pPr>
    </w:p>
    <w:p>
      <w:pPr>
        <w:ind w:right="380" w:firstLine="492"/>
        <w:spacing w:after="0" w:line="312" w:lineRule="auto"/>
        <w:rPr>
          <w:sz w:val="20"/>
          <w:szCs w:val="20"/>
          <w:color w:val="auto"/>
        </w:rPr>
      </w:pPr>
      <w:r>
        <w:rPr>
          <w:rFonts w:ascii="Times New Roman" w:cs="Times New Roman" w:eastAsia="Times New Roman" w:hAnsi="Times New Roman"/>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5" w:lineRule="exact"/>
        <w:rPr>
          <w:sz w:val="20"/>
          <w:szCs w:val="20"/>
          <w:color w:val="auto"/>
        </w:rPr>
      </w:pPr>
    </w:p>
    <w:p>
      <w:pPr>
        <w:ind w:right="2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8" w:lineRule="exact"/>
        <w:rPr>
          <w:sz w:val="20"/>
          <w:szCs w:val="20"/>
          <w:color w:val="auto"/>
        </w:rPr>
      </w:pPr>
    </w:p>
    <w:p>
      <w:pPr>
        <w:ind w:right="20" w:firstLine="492"/>
        <w:spacing w:after="0" w:line="24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ongoing surveillance to monitor the safety and efficacy of the product candidate. Although not required for Amtagvi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Proleukin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it is possible in the future that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56"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pacing w:after="0" w:line="143"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Initiatives established by the current presidential administration have led to greater regulatory scrutiny around prescription drug promotion, in particular direct-to-consumer (DTC) advertising, coinciding with a presidential memorandum that directed FDA to intensify oversight and enforcement under existing authorities and to initiate rulemaking to eliminate the “adequate provision” loophole that allows safety information to be placed in separate formats or locations. While FDA continues to regulate advertising and promotion under the FDCA and implementing standards, there has been a significant increase in warning letters and untitled letters issued by the agency’s Office of Prescription Drug Promotion. Failure to comply with current or forthcoming FDA requirements may trigger enforcement by FDA, DOJ, or HHS Office of Inspector General (as well as state authorities), which may result in warning letters, civil and criminal penalties, agreements restricting promotional practices, and significant reputational harm.</w:t>
      </w:r>
    </w:p>
    <w:p>
      <w:pPr>
        <w:spacing w:after="0" w:line="165"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9"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5" w:lineRule="exact"/>
        <w:rPr>
          <w:sz w:val="20"/>
          <w:szCs w:val="20"/>
          <w:color w:val="auto"/>
        </w:rPr>
      </w:pPr>
    </w:p>
    <w:p>
      <w:pPr>
        <w:ind w:left="1160" w:right="180" w:hanging="315"/>
        <w:spacing w:after="0" w:line="261"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ind w:left="1160" w:right="700" w:hanging="315"/>
        <w:spacing w:after="0" w:line="250"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or holds on or termination of clinical trials;</w:t>
      </w:r>
    </w:p>
    <w:p>
      <w:pPr>
        <w:spacing w:after="0" w:line="9" w:lineRule="exact"/>
        <w:rPr>
          <w:rFonts w:ascii="Times New Roman" w:cs="Times New Roman" w:eastAsia="Times New Roman" w:hAnsi="Times New Roman"/>
          <w:sz w:val="18"/>
          <w:szCs w:val="18"/>
          <w:color w:val="auto"/>
        </w:rPr>
      </w:pPr>
    </w:p>
    <w:p>
      <w:pPr>
        <w:ind w:left="1160" w:right="20" w:hanging="315"/>
        <w:spacing w:after="0" w:line="250"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60" w:right="160" w:hanging="315"/>
        <w:spacing w:after="0" w:line="261"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ind w:left="1160" w:right="180" w:hanging="315"/>
        <w:spacing w:after="0" w:line="250"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ind w:left="1160" w:right="500" w:hanging="315"/>
        <w:spacing w:after="0" w:line="250"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restrictions on manufacturing or distribution if there is an inability to trace the source of a problem due to the nature of cell therapy;</w:t>
      </w:r>
    </w:p>
    <w:p>
      <w:pPr>
        <w:ind w:left="1160" w:hanging="315"/>
        <w:spacing w:after="0" w:line="181" w:lineRule="auto"/>
        <w:tabs>
          <w:tab w:leader="none" w:pos="11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regulatory approvals for the Proleukin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w:t>
      </w:r>
    </w:p>
    <w:p>
      <w:pPr>
        <w:ind w:left="1160" w:hanging="315"/>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66" w:lineRule="exact"/>
        <w:rPr>
          <w:sz w:val="20"/>
          <w:szCs w:val="20"/>
          <w:color w:val="auto"/>
        </w:rPr>
      </w:pPr>
    </w:p>
    <w:p>
      <w:pPr>
        <w:ind w:right="420" w:firstLine="492"/>
        <w:spacing w:after="0" w:line="312" w:lineRule="auto"/>
        <w:rPr>
          <w:sz w:val="20"/>
          <w:szCs w:val="20"/>
          <w:color w:val="auto"/>
        </w:rPr>
      </w:pPr>
      <w:r>
        <w:rPr>
          <w:rFonts w:ascii="Times New Roman" w:cs="Times New Roman" w:eastAsia="Times New Roman" w:hAnsi="Times New Roman"/>
          <w:sz w:val="17"/>
          <w:szCs w:val="17"/>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13" w:lineRule="exact"/>
        <w:rPr>
          <w:sz w:val="20"/>
          <w:szCs w:val="20"/>
          <w:color w:val="auto"/>
        </w:rPr>
      </w:pPr>
    </w:p>
    <w:p>
      <w:pPr>
        <w:ind w:right="360" w:firstLine="492"/>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43" w:lineRule="exact"/>
        <w:rPr>
          <w:sz w:val="20"/>
          <w:szCs w:val="20"/>
          <w:color w:val="auto"/>
        </w:rPr>
      </w:pPr>
    </w:p>
    <w:p>
      <w:pPr>
        <w:jc w:val="both"/>
        <w:ind w:right="10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healthcare and promotional laws, including fraud and abuse and information privacy and security laws, we could face substantial penalties and our business, financial condition, results of operations, and prospects could be adversely affected.</w:t>
      </w:r>
    </w:p>
    <w:p>
      <w:pPr>
        <w:spacing w:after="0" w:line="134"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As a biopharmaceutical company, we are subject to many federal and state healthcare laws, such laws may include the federal Anti-Kickback Statute, or the AKS, the federal civil and criminal False Claims Act, or the FCA, the civil monetary penalties statute, or the CMP Law, the Medicaid Drug Rebate statute and other price reporting requirements, the Veterans Health Care Act of 1992, or the VHCA, HIPAA, the Foreign Corrupt Practices Act of 1977, or FCPA, the ACA, and similar state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If we do not comply with all applicable laws, we may be subject to enforcement by both the federal government and the states in which we conduct our business as well as by other third parties, such as patients.</w:t>
      </w:r>
    </w:p>
    <w:p>
      <w:pPr>
        <w:spacing w:after="0" w:line="165"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We do not currently participate in the Medicaid Drug Rebate Program. If we fail to comply with the reporting and payment obligations under the Medicaid Drug Rebate Program or other governmental pricing programs because we incorrectly determined participating was not required, we could be subject to certain reimbursement requirements, penalties, sanctions, and fines, which could adversely impact our business, financial condition, results of operations, and prospects. In the event that we begin to participate in such a program,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48"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HCPs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53" w:lineRule="auto"/>
        <w:rPr>
          <w:sz w:val="20"/>
          <w:szCs w:val="20"/>
          <w:color w:val="auto"/>
        </w:rPr>
      </w:pPr>
      <w:r>
        <w:rPr>
          <w:rFonts w:ascii="Times New Roman" w:cs="Times New Roman" w:eastAsia="Times New Roman" w:hAnsi="Times New Roman"/>
          <w:sz w:val="18"/>
          <w:szCs w:val="18"/>
          <w:color w:val="auto"/>
        </w:rPr>
        <w:t>In order to obtain additional clarification on the AKS or the CMP Law, a written interpretative advisory opinion can be requested from the Department of Health and Human Services’ Office of Inspector General, or OIG, regarding existing or contemplated arrangements. Advisory opinions are binding as to the OIG, but only with respect to the requesting party or parties. The advisory opinions are not binding as to other governmental agencies (e.g., the Department of Justice) and certain matters (e.g., whether certain payments made in conjunction with conduct seeking to meet certain safe harbor protections are at fair market value) are not within the purview of an advisory opinion. In 2024, the OIG issued to us a favorable advisory opinion concluding that a proposed arrangement, providing travel and lodging for certain patients and caregivers in connection with a patient’s receipt of our cell therapy product, presented a sufficient low risk of fraud and abuse under the AKS and did not generate prohibited remuneration under the CMP Law. We offer travel and lodging support for patients and caregivers who meet our criteria and have structured our program in line with the OIG advisory opinion. While we believe we have properly structured our support in compliance with the AKS and the CMP Law, we cannot guarantee that the OIG or other regulators will not be able to successfully challenge our arrangements.</w:t>
      </w:r>
    </w:p>
    <w:p>
      <w:pPr>
        <w:spacing w:after="0" w:line="151" w:lineRule="exact"/>
        <w:rPr>
          <w:sz w:val="20"/>
          <w:szCs w:val="20"/>
          <w:color w:val="auto"/>
        </w:rPr>
      </w:pPr>
    </w:p>
    <w:p>
      <w:pPr>
        <w:ind w:right="80" w:firstLine="492"/>
        <w:spacing w:after="0" w:line="253"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the OIG, and state attorneys general. Additionally, advertising and promotional activities may be scrutinized and challenged by members of Congress, competitors, healthcare professionals,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63"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47"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47"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and actions,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FCA,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manufacturers of drugs and biologics have increased significantly in volume and breadth, leading to several substantial civil and criminal settlements, up to</w:t>
      </w:r>
    </w:p>
    <w:p>
      <w:pPr>
        <w:spacing w:after="0" w:line="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products, if any, we may become subject to such litigation and, if we do not successfully defend against such actions, those actions may have a material adverse effect on our business, financial condition, results of operations and prospects.</w:t>
      </w:r>
    </w:p>
    <w:p>
      <w:pPr>
        <w:spacing w:after="0" w:line="121"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53" w:lineRule="exact"/>
        <w:rPr>
          <w:sz w:val="20"/>
          <w:szCs w:val="20"/>
          <w:color w:val="auto"/>
        </w:rPr>
      </w:pPr>
    </w:p>
    <w:p>
      <w:pPr>
        <w:ind w:right="200" w:firstLine="492"/>
        <w:spacing w:after="0" w:line="256" w:lineRule="auto"/>
        <w:rPr>
          <w:sz w:val="20"/>
          <w:szCs w:val="20"/>
          <w:color w:val="auto"/>
        </w:rPr>
      </w:pPr>
      <w:r>
        <w:rPr>
          <w:rFonts w:ascii="Times New Roman" w:cs="Times New Roman" w:eastAsia="Times New Roman" w:hAnsi="Times New Roman"/>
          <w:sz w:val="18"/>
          <w:szCs w:val="18"/>
          <w:color w:val="auto"/>
        </w:rPr>
        <w:t>In the EU, companies may not promote unauthorized products or therapeutic indications. Therefore, it is generally prohibited to disseminate information regarding off-label uses of medicinal products. Exceptionally, companies may provide information on unauthorized products or indications in response to a written unsolicited request by an HCP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reactive basis only), as that is excluded from the definition of advertising under EU law. This should be done through the medical team/Medical Science Liaisons, or MSLs, and not the marketing/sales representatives. Moreover, specific rules may apply in each EU member state as regards the interactions between MSLs and HCPs.</w:t>
      </w:r>
    </w:p>
    <w:p>
      <w:pPr>
        <w:spacing w:after="0" w:line="143" w:lineRule="exact"/>
        <w:rPr>
          <w:sz w:val="20"/>
          <w:szCs w:val="20"/>
          <w:color w:val="auto"/>
        </w:rPr>
      </w:pPr>
    </w:p>
    <w:p>
      <w:pPr>
        <w:ind w:right="8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products or product candidates, which could make it difficult for us to sell our product candidates profitably.</w:t>
      </w:r>
    </w:p>
    <w:p>
      <w:pPr>
        <w:spacing w:after="0" w:line="118" w:lineRule="exact"/>
        <w:rPr>
          <w:sz w:val="20"/>
          <w:szCs w:val="20"/>
          <w:color w:val="auto"/>
        </w:rPr>
      </w:pPr>
    </w:p>
    <w:p>
      <w:pPr>
        <w:ind w:right="160" w:firstLine="492"/>
        <w:spacing w:after="0" w:line="258"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entities, private health insurers, self-insured employers, and other organizations. In addition, because our product candidates represent new approaches to the treatment of cancer for which no reimbursement rates may currently or definitively apply, we cannot accurately estimate the potential revenue from our product candidates.</w:t>
      </w:r>
    </w:p>
    <w:p>
      <w:pPr>
        <w:spacing w:after="0" w:line="156" w:lineRule="exact"/>
        <w:rPr>
          <w:sz w:val="20"/>
          <w:szCs w:val="20"/>
          <w:color w:val="auto"/>
        </w:rPr>
      </w:pPr>
    </w:p>
    <w:p>
      <w:pPr>
        <w:ind w:right="40" w:firstLine="492"/>
        <w:spacing w:after="0" w:line="312"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often rely on third-party payors to reimburse all or part of the costs associated with their treatment. Obtaining coverage and adequate reimbursement from payors is critical to new product acceptance.</w:t>
      </w:r>
    </w:p>
    <w:p>
      <w:pPr>
        <w:spacing w:after="0" w:line="9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Third-party payors, including government health care programs,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8" w:lineRule="exact"/>
        <w:rPr>
          <w:sz w:val="20"/>
          <w:szCs w:val="20"/>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0"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Federal and state legislatures and agencies continue to promulgate laws and regulations impacting coverage and reimbursement of drugs and treatments. For example, on September 26, 2024, the CMS issued a final rule titled “Medicaid Program; Misclassification of Drugs, Program Administration and Program Integrity Updates Under the Medicaid Drug Rebate Program,” which may impact our reimbursement and rebate strategy.</w:t>
      </w:r>
    </w:p>
    <w:p>
      <w:pPr>
        <w:spacing w:after="0" w:line="139"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Payors may refuse to provide coverage for or may deny reimbursement for a product, depending on how they view such data. Even if we obtain coverage for a given product, the resulting reimbursement payment rates might not be adequate for us to achieve or sustain profitability. If payors subject our product candidates to maximum payment amounts or impose limitations that make it difficult to obtain reimbursement, providers may choose to use therapies which are less expensive when compared to our product candidates. Payors may require co-payments that patients find unacceptably high. Moreover, the factors noted above have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continued to be the focus of policy and regulatory debate that has, thus far, shown the potential for movement towards permanent policy changes; this trend is apt to continue, and may result in more or less favorable impacts on pricing. In some cases, we do not have long-term agreements with insurance companies but negotiate single-case agreements on a case-by-case basis to obtain prior authorization, coverage, and reimbursement for a particular case.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spacing w:after="0" w:line="151"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Providers may be unlikely to prescribe, and patients may be unlikely to use our product candidates unless coverage is provided, and reimbursement is adequate to cover a significant portion of the cost of our product candidates. This effort may include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2"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and from jurisdiction to jurisdiction. As a result, the coverage determination process is often a time-consuming and costly process that will require us to provide scientific, clinical, and cost-effectiveness data to support the use of our product candidates to each payor separately, with no assurance that coverage and adequate reimbursement will be obtained. In the EU, each member state is responsible for establishing the price and reimbursement conditions of medicinal products placed in its market.</w:t>
      </w:r>
    </w:p>
    <w:p>
      <w:pPr>
        <w:spacing w:after="0" w:line="147"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47" w:lineRule="exact"/>
        <w:rPr>
          <w:sz w:val="20"/>
          <w:szCs w:val="20"/>
          <w:color w:val="auto"/>
        </w:rPr>
      </w:pPr>
    </w:p>
    <w:p>
      <w:pPr>
        <w:ind w:right="60" w:firstLine="492"/>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to generate revenue and achieve profitability will decline. Moreover, recent and ongoing series of congressional hearings relating to drug pricing has presented heightened attention to the biopharmaceutical industry, creating the potential for political and public pressure. The potential for resulting legislative or policy changes presents uncertainty.</w:t>
      </w:r>
    </w:p>
    <w:p>
      <w:pPr>
        <w:spacing w:after="0" w:line="160"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8" w:lineRule="exact"/>
        <w:rPr>
          <w:sz w:val="20"/>
          <w:szCs w:val="20"/>
          <w:color w:val="auto"/>
        </w:rPr>
      </w:pPr>
    </w:p>
    <w:p>
      <w:pPr>
        <w:ind w:right="120" w:firstLine="492"/>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53" w:lineRule="exact"/>
        <w:rPr>
          <w:sz w:val="20"/>
          <w:szCs w:val="20"/>
          <w:color w:val="auto"/>
        </w:rPr>
      </w:pPr>
    </w:p>
    <w:p>
      <w:pPr>
        <w:ind w:left="1160" w:hanging="315"/>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7"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66"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5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61" w:lineRule="exact"/>
        <w:rPr>
          <w:sz w:val="20"/>
          <w:szCs w:val="20"/>
          <w:color w:val="auto"/>
        </w:rPr>
      </w:pPr>
    </w:p>
    <w:p>
      <w:pPr>
        <w:ind w:right="6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18"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result in more rigorous coverage criteria and in additional downward pressure on the price that we, or our collaborators, may receive for any approved products.</w:t>
      </w:r>
    </w:p>
    <w:p>
      <w:pPr>
        <w:spacing w:after="0" w:line="121"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the EU, several pieces of legislation recently approved—or still in the process of being approved—will impact regulatory procedures applicable to medicinal products, including those based on genes, tissues, or cells, or Advanced Therapy Medicinal Products. These include, among others, the new Regulation (EU) 2024/1938 on standards of quality and safety for substances of human origin intended for human application and the new Regulation (EU) 2021/2282 on health technology assessment, which went into effect on January 12, 2025. Moreover, on April 10, 2024, the European Parliament adopted its position on the European Commission proposal to reform EU pharmaceutical legislation, consisting of a new directive replacing Directive 2001/83/EC and a new regulation replacing Regulation (EC) 726/2004. The Council of the EU and European parliament reached a provisional agreement in December 2025, which if approved by the council and parliament through the EU ordinary legislative procedure, will represent the most significant review of EU pharmaceutical legislation since 2004. The changes proposed are far reaching, including a change in the period of standard regulatory exclusivity, a package of incentives aimed at addressing unmet medical needs, and an extension of the so-called Bolar exemption.</w:t>
      </w:r>
    </w:p>
    <w:p>
      <w:pPr>
        <w:spacing w:after="0" w:line="167"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Moreover, it is unclear how regulations and sub-regulatory policy, which fluctuate continually, may affect the interpretation and further implementation of the existing law and its practical effects on our business. We are unable to predict the future course of federal or state healthcare legislation in the U.S.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Loper Bright Enterprises v. Raimondo, 603 U.S. 369 (2024) and Corner Post, Inc. v. Board of Governors of the Federal Reserve System, 603 U.S. 799 (2024), will impact the FDA’s enforcement and decision-making authority. Loper Bright explicitly overturned Chevron deference, which previously gave judicial deference to administrative action by agencies in the executive branch. Furthermore, the Supreme Court’s decision in Corner Post may result in challenges to FDA decisions by new litigants long into the future.</w:t>
      </w:r>
    </w:p>
    <w:p>
      <w:pPr>
        <w:spacing w:after="0" w:line="154"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New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We continue to monitor the potential impact of proposals and recently enacted legislation to lower prescription drug costs at the federal and state level. As an example, of changes enacted by a new administration, the IRA, or the IRA, was signed into law in August 2022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which started in 2026, and Medicare Part B drugs starting in 2028. We continue to evaluate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 Further, CMS recently proposed two mandatory payment model pilots, the Guarding U.S. Medicare Against Rising Drug Costs, or GUARD, Model, focused on Part D drugs, and Global Benchmark for Efficient Drug Pricing, or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spacing w:after="0" w:line="153"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Adoption of government controls and measures and tightening of restrictive policies in jurisdictions with existing controls and measures, could exclude or limit our product candidates from coverage and limit payments for pharmaceuticals. We continue to monitor the potential impact of these and other proposals to lower prescription drug costs at the federal and state level.</w:t>
      </w:r>
    </w:p>
    <w:p>
      <w:pPr>
        <w:spacing w:after="0" w:line="135" w:lineRule="exact"/>
        <w:rPr>
          <w:sz w:val="20"/>
          <w:szCs w:val="20"/>
          <w:color w:val="auto"/>
        </w:rPr>
      </w:pPr>
    </w:p>
    <w:p>
      <w:pPr>
        <w:ind w:right="280" w:firstLine="492"/>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within state healthcare programs and payers, including price or patient reimbursement constraints, rebates and other price concessions, restrictions on certain product access and marketing cost disclosure and transparency measures, and, in some cases, designed to encourage importation from other countries and other purchasing approaches.</w:t>
      </w:r>
    </w:p>
    <w:p>
      <w:pPr>
        <w:spacing w:after="0" w:line="153"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Any changes in the law or regulatory framework that reduce our revenue or increase our costs could also have a material and adverse effect on our business, financial condition and results of operations.</w:t>
      </w:r>
    </w:p>
    <w:p>
      <w:pPr>
        <w:spacing w:after="0" w:line="135" w:lineRule="exact"/>
        <w:rPr>
          <w:sz w:val="20"/>
          <w:szCs w:val="20"/>
          <w:color w:val="auto"/>
        </w:rPr>
      </w:pPr>
    </w:p>
    <w:p>
      <w:pPr>
        <w:ind w:right="1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spacing w:after="0" w:line="134"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Changing regulatory policies resulting from the political environment could impact our regulatory and compliance costs and future revenues, all of which could materially and adversely affect our business, financial condition, and operating results. Failure to adapt to or comply with evolving regulatory requirements or investor or stakeholder expectations and standards could negatively impact our reputation, ability to do business with certain partners, access to capital, and our stock price. Changes in U.S. federal policy by the executive branch and regulatory agencies may continue to occur, which could lead to changes involving the level of oversight, reimbursement to and focus on the biopharmaceutical industry operations globally. However, the nature, timing, and effects of such potential changes remain highly uncertain. It is presently unclear exactly what additional actions the administration in the U.S. will implement, and if implemented, how these actions may impact the biopharmaceutical industry, and our company specifically, in the U.S. and worldwide.</w:t>
      </w:r>
    </w:p>
    <w:p>
      <w:pPr>
        <w:spacing w:after="0" w:line="161" w:lineRule="exact"/>
        <w:rPr>
          <w:sz w:val="20"/>
          <w:szCs w:val="20"/>
          <w:color w:val="auto"/>
        </w:rPr>
      </w:pPr>
    </w:p>
    <w:p>
      <w:pPr>
        <w:ind w:firstLine="492"/>
        <w:spacing w:after="0" w:line="251"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of trade relationships around the world, including potential changes to trade laws and regulations, trade policies, and tariffs. The administration has used emergency authority to impose tariffs on imported branded pharmaceuticals and subsequently reported to have negotiated agreements with certain countries including the United Kingdom and Japan. For example, on April 2, 2025, the Administration announced more tariffs imposed pursuant to the International Emergency Economic Powers Act, designated “reciprocal tariffs” purportedly in response to the trade deficit national emergency announced on virtually all imported products from all countries. The reciprocal tariffs imposed a 10% tariff on most countries, which were to increase to a higher, country-specific tariff rate on countries identified in Annex 1 of the executive order. The country-specific tariffs were later paused for 90 days. In addition, the Administration, through the Department of Commerce, has an ongoing investigation into the pharmaceutical industry pursuant to Section 232 of the Trade Expansion Act of 1962, whereby the President may impose additional tariffs on imports within the pharmaceutical industry if deemed necessary based on national security grounds. In addition, the Administration announced a 100% tariff, effective October 1, 2025, on any branded or patented pharmaceuticals imported into the U.S., unless the relevant drug manufacturer has or is in the process of building a manufacturing facility in the U.S., which has been paused as negotiations with large drug manufacturers continue. Further, the President signed an executive order to reduce prescription drug pricing, including to implement Most Favored Nation drug pricing policies designed to align certain prescription drug prices in the U.S. to lower prices available in other countries. Agreements with major pharmaceutical companies were announced to lower prices or offer medicines on the TrumpRx platform. The details of each of these proposals are unclear, and the final terms remain uncertain. As a result of these dynamics, we cannot predict the impact to our relationships with third-party manufacturers or our business of any future changes to the U.S.’ or other countries’ trading relationships or the impact of new laws or regulations adopted by the U.S. or other countries. Evolving international trade relations, new legislation and tariffs may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products and product candidates we are developing and could materially impact our supply chain and manufacturing costs.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189" w:lineRule="exact"/>
        <w:rPr>
          <w:sz w:val="20"/>
          <w:szCs w:val="20"/>
          <w:color w:val="auto"/>
        </w:rPr>
      </w:pPr>
    </w:p>
    <w:p>
      <w:pPr>
        <w:ind w:right="280" w:firstLine="492"/>
        <w:spacing w:after="0" w:line="282"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could adversely affect our business, cash flow, results of operations, financial condition, and prospects; these laws and regulations include (i) additional health care reform initiatives in the U.S. or in other countries, including additional mandatory discounts or fees; (ii) the FCPA, FCA or other anti-bribery and corruption laws across all of the jurisdictions that we operate in; (iii) new laws, regulations, and judicial or other governmental decisions affecting pricing, drug reimbursement, and access or marketing within or across jurisdictions;</w:t>
      </w:r>
    </w:p>
    <w:p>
      <w:pPr>
        <w:spacing w:after="0" w:line="3" w:lineRule="exact"/>
        <w:rPr>
          <w:sz w:val="20"/>
          <w:szCs w:val="20"/>
          <w:color w:val="auto"/>
        </w:rPr>
      </w:pPr>
    </w:p>
    <w:p>
      <w:pPr>
        <w:ind w:right="360" w:firstLine="8"/>
        <w:spacing w:after="0" w:line="253"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HCPs; (ix) environmental regulations, such as the EU’s Corporate Sustainability Reporting Directive; and (x) the potential impact of importation restrictions, embargoes, trade sanctions, and legislative and/or other regulatory changes.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02"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undergo a health technology assessment or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44"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18"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70"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right="5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32"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owned or controlled by us or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using,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54"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180" w:lineRule="exact"/>
        <w:rPr>
          <w:sz w:val="20"/>
          <w:szCs w:val="20"/>
          <w:color w:val="auto"/>
        </w:rPr>
      </w:pPr>
    </w:p>
    <w:p>
      <w:pPr>
        <w:jc w:val="both"/>
        <w:ind w:right="160" w:firstLine="492"/>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89"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89"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24"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given to the patents we own or have licensed from the NIH, Cellectis or Novartis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60"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at all.</w:t>
      </w:r>
    </w:p>
    <w:p>
      <w:pPr>
        <w:spacing w:after="0" w:line="147" w:lineRule="exact"/>
        <w:rPr>
          <w:sz w:val="20"/>
          <w:szCs w:val="20"/>
          <w:color w:val="auto"/>
        </w:rPr>
      </w:pPr>
    </w:p>
    <w:p>
      <w:pPr>
        <w:ind w:right="4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1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U.S. patent in the NIH License Agreement is not owned solely by the NIH. No assurance can be given that NIH’s co-owner of the certain U.S. patent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61"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Since the NCI and numerous other academic institutions already use TIL cell therapy for the treatment of metastatic melanoma and other indications, their methods and data are also available to third parties, who may want to enter into our line of business and compete against us. Other than our Gen 2 manufacturing process rights, our TIL composition of matter rights, our method of use rights in certain indications, and our licensed rights, we currently do not own any exclusive rights on our entire product portfolio that could be used to fully prevent third parties from duplicating our business plan or from otherwise directly competing against us. While additional technologies that may be developed under our CRADA may be licensed to us on an exclusive basis, no assurance can be given that our existing exclusive rights will be sufficient to prevent others from competing with us and developing substantially similar products.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189" w:lineRule="exact"/>
        <w:rPr>
          <w:sz w:val="20"/>
          <w:szCs w:val="20"/>
          <w:color w:val="auto"/>
        </w:rPr>
      </w:pPr>
    </w:p>
    <w:p>
      <w:pPr>
        <w:jc w:val="both"/>
        <w:ind w:right="320" w:firstLine="492"/>
        <w:spacing w:after="0" w:line="289" w:lineRule="auto"/>
        <w:rPr>
          <w:sz w:val="20"/>
          <w:szCs w:val="20"/>
          <w:color w:val="auto"/>
        </w:rPr>
      </w:pPr>
      <w:r>
        <w:rPr>
          <w:rFonts w:ascii="Times New Roman" w:cs="Times New Roman" w:eastAsia="Times New Roman" w:hAnsi="Times New Roman"/>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3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56" w:lineRule="exact"/>
        <w:rPr>
          <w:sz w:val="20"/>
          <w:szCs w:val="20"/>
          <w:color w:val="auto"/>
        </w:rPr>
      </w:pPr>
    </w:p>
    <w:p>
      <w:pPr>
        <w:ind w:right="7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18"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47" w:lineRule="exact"/>
        <w:rPr>
          <w:sz w:val="20"/>
          <w:szCs w:val="20"/>
          <w:color w:val="auto"/>
        </w:rPr>
      </w:pPr>
    </w:p>
    <w:p>
      <w:pPr>
        <w:ind w:right="1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32"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8"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0" w:lineRule="exact"/>
        <w:rPr>
          <w:sz w:val="20"/>
          <w:szCs w:val="20"/>
          <w:color w:val="auto"/>
        </w:rPr>
      </w:pPr>
    </w:p>
    <w:p>
      <w:pPr>
        <w:ind w:right="3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2" w:lineRule="exact"/>
        <w:rPr>
          <w:sz w:val="20"/>
          <w:szCs w:val="20"/>
          <w:color w:val="auto"/>
        </w:rPr>
      </w:pPr>
    </w:p>
    <w:p>
      <w:pPr>
        <w:ind w:right="160" w:firstLine="492"/>
        <w:spacing w:after="0" w:line="282"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our employees and contractors. In addition, we employ individuals who were previously employed at other biotechnology or pharmaceutical companies. We may be subject to</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claims that we or our employees, consultants or independent contractors have inadvertently or otherwise used or disclosed confidential information of these third parties or our employees’ former employers. Litigation may be necessary to defend against or pursue these claims. Even if we are successful in resolving these claims, litigation could result in substantial costs and be a distraction to our management and employees.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98" w:lineRule="exact"/>
        <w:rPr>
          <w:sz w:val="20"/>
          <w:szCs w:val="20"/>
          <w:color w:val="auto"/>
        </w:rPr>
      </w:pPr>
    </w:p>
    <w:p>
      <w:pPr>
        <w:ind w:right="8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18"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investment in our stock could decline in value.</w:t>
      </w:r>
    </w:p>
    <w:p>
      <w:pPr>
        <w:spacing w:after="0" w:line="202" w:lineRule="exact"/>
        <w:rPr>
          <w:sz w:val="20"/>
          <w:szCs w:val="20"/>
          <w:color w:val="auto"/>
        </w:rPr>
      </w:pPr>
    </w:p>
    <w:p>
      <w:pPr>
        <w:ind w:right="260" w:firstLine="492"/>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21" w:lineRule="exact"/>
        <w:rPr>
          <w:sz w:val="20"/>
          <w:szCs w:val="20"/>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capital markets due to potential health epidemics and pandemics;</w:t>
      </w:r>
    </w:p>
    <w:p>
      <w:pPr>
        <w:spacing w:after="0" w:line="27" w:lineRule="exact"/>
        <w:rPr>
          <w:rFonts w:ascii="Times New Roman" w:cs="Times New Roman" w:eastAsia="Times New Roman" w:hAnsi="Times New Roman"/>
          <w:sz w:val="18"/>
          <w:szCs w:val="18"/>
          <w:color w:val="auto"/>
        </w:rPr>
      </w:pPr>
    </w:p>
    <w:p>
      <w:pPr>
        <w:ind w:left="1160" w:right="20" w:hanging="315"/>
        <w:spacing w:after="0" w:line="250"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clinical trials by us, our collaborators, or our competitors, or negative developments with respect to similar products, including those being developed by our collaborators;</w:t>
      </w: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new contracts by us or our competitors;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meet or exceed such estimates;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lack of receipt, of funding in support of conducing our business;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financial markets;</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9"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Quarterly Report on Form 10-Q.</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202"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89"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9" w:lineRule="exact"/>
        <w:rPr>
          <w:sz w:val="20"/>
          <w:szCs w:val="20"/>
          <w:color w:val="auto"/>
        </w:rPr>
      </w:pPr>
    </w:p>
    <w:p>
      <w:pPr>
        <w:ind w:right="580" w:firstLine="492"/>
        <w:spacing w:after="0" w:line="282" w:lineRule="auto"/>
        <w:rPr>
          <w:sz w:val="20"/>
          <w:szCs w:val="20"/>
          <w:color w:val="auto"/>
        </w:rPr>
      </w:pPr>
      <w:r>
        <w:rPr>
          <w:rFonts w:ascii="Times New Roman" w:cs="Times New Roman" w:eastAsia="Times New Roman" w:hAnsi="Times New Roman"/>
          <w:sz w:val="18"/>
          <w:szCs w:val="18"/>
          <w:color w:val="auto"/>
        </w:rPr>
        <w:t>As of March 31, 2026, we had 438,106,537 shares of common stock outstanding. In addition, we had 34,125,787 shares of common stock equivalents that would increase the number of common stock outstanding if these instruments were exercised or</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to 500,000,000 shares, which amendment was approved by our stockholders on June 6, 2023.</w:t>
      </w:r>
    </w:p>
    <w:p>
      <w:pPr>
        <w:spacing w:after="0" w:line="148"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August 2025, we entered into a Sale Agreement with Jefferies with respect to an at the market offering program, under which we may, from time to time, issue and sell up to $350.0 million of our common stock, and we may offer additional shares under our automatic shelf registration statement in the future. Future issuances may result in substantial dilution to our existing stockholders and could cause our stock price to decline.</w:t>
      </w:r>
    </w:p>
    <w:p>
      <w:pPr>
        <w:spacing w:after="0" w:line="156" w:lineRule="exact"/>
        <w:rPr>
          <w:sz w:val="20"/>
          <w:szCs w:val="20"/>
          <w:color w:val="auto"/>
        </w:rPr>
      </w:pPr>
    </w:p>
    <w:p>
      <w:pPr>
        <w:ind w:right="3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18"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43" w:lineRule="exact"/>
        <w:rPr>
          <w:sz w:val="20"/>
          <w:szCs w:val="20"/>
          <w:color w:val="auto"/>
        </w:rPr>
      </w:pPr>
    </w:p>
    <w:p>
      <w:pPr>
        <w:ind w:right="10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48"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47" w:lineRule="exact"/>
        <w:rPr>
          <w:sz w:val="20"/>
          <w:szCs w:val="20"/>
          <w:color w:val="auto"/>
        </w:rPr>
      </w:pPr>
    </w:p>
    <w:p>
      <w:pPr>
        <w:ind w:right="2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18"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49" w:lineRule="exact"/>
        <w:rPr>
          <w:sz w:val="20"/>
          <w:szCs w:val="20"/>
          <w:color w:val="auto"/>
        </w:rPr>
      </w:pPr>
    </w:p>
    <w:p>
      <w:pPr>
        <w:ind w:right="80" w:firstLine="492"/>
        <w:spacing w:after="0" w:line="253" w:lineRule="auto"/>
        <w:rPr>
          <w:sz w:val="20"/>
          <w:szCs w:val="20"/>
          <w:color w:val="auto"/>
        </w:rPr>
      </w:pPr>
      <w:r>
        <w:rPr>
          <w:rFonts w:ascii="Times New Roman" w:cs="Times New Roman" w:eastAsia="Times New Roman" w:hAnsi="Times New Roman"/>
          <w:sz w:val="18"/>
          <w:szCs w:val="18"/>
          <w:color w:val="auto"/>
        </w:rPr>
        <w:t>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agreed to proposed settlements in 2022 and 2024, which the Court declined to approve. The Company continues to vigorously defend against the complaint. Also, on May 15, 2025, two putative securities class actions were filed against us and certain of our officers, alleging violations of federal securities laws for allegedly making materially false and misleading statements regarding our expected revenue for fiscal year 2025, which the plaintiffs claim artificially inflated the price of our common stock. On June 5, 2025, two putative shareholder derivative lawsuits were filed, purportedly brought on behalf of Iovance against certain current and former officers and directors of the Company. The lawsuits contain allegations based on or similar to those in the putative securities class actions and claim, among other things, that the defendants breached their fiduciary duties and violated Section 14(a) of the 1934 Act by issuing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causing the Company to issue false and misleading disclosures concerning the Company’s financial forecasts for fiscal year 2025. The outcome of these and other future litigation is uncertain.</w:t>
      </w:r>
    </w:p>
    <w:p>
      <w:pPr>
        <w:spacing w:after="0" w:line="117" w:lineRule="exact"/>
        <w:rPr>
          <w:sz w:val="20"/>
          <w:szCs w:val="20"/>
          <w:color w:val="auto"/>
        </w:rPr>
      </w:pPr>
    </w:p>
    <w:p>
      <w:pPr>
        <w:ind w:right="4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2"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50,000,000 shares of “blank check” preferred stock (of which only 17,000 shares were authorized for issuance as Series A Convertible Preferred Stock and 11,500,000 shares were authorized for issuance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47" w:lineRule="exact"/>
        <w:rPr>
          <w:sz w:val="20"/>
          <w:szCs w:val="20"/>
          <w:color w:val="auto"/>
        </w:rPr>
      </w:pPr>
    </w:p>
    <w:p>
      <w:pPr>
        <w:ind w:right="10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18"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5" w:lineRule="exact"/>
        <w:rPr>
          <w:sz w:val="20"/>
          <w:szCs w:val="20"/>
          <w:color w:val="auto"/>
        </w:rPr>
      </w:pPr>
    </w:p>
    <w:p>
      <w:pPr>
        <w:jc w:val="both"/>
        <w:ind w:right="6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4"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6" w:lineRule="exact"/>
        <w:rPr>
          <w:sz w:val="20"/>
          <w:szCs w:val="20"/>
          <w:color w:val="auto"/>
        </w:rPr>
      </w:pPr>
    </w:p>
    <w:p>
      <w:pPr>
        <w:ind w:right="540"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5"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0" w:lineRule="exact"/>
        <w:rPr>
          <w:sz w:val="20"/>
          <w:szCs w:val="20"/>
          <w:color w:val="auto"/>
        </w:rPr>
      </w:pPr>
    </w:p>
    <w:p>
      <w:pPr>
        <w:jc w:val="both"/>
        <w:ind w:right="60" w:firstLine="492"/>
        <w:spacing w:after="0" w:line="281" w:lineRule="auto"/>
        <w:rPr>
          <w:sz w:val="20"/>
          <w:szCs w:val="20"/>
          <w:color w:val="auto"/>
        </w:rPr>
      </w:pPr>
      <w:r>
        <w:rPr>
          <w:rFonts w:ascii="Times New Roman" w:cs="Times New Roman" w:eastAsia="Times New Roman" w:hAnsi="Times New Roman"/>
          <w:sz w:val="17"/>
          <w:szCs w:val="17"/>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20"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18"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those states which have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65"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Securities, Use of Proceeds, and Issuer Purchases of Equity Securities.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right="220" w:firstLine="492"/>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9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61"/>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898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852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Certificate of Incorporation, as amended, of Registrant (incorporated herein by reference to Exhibit 3.1 to Registrant’s</w:t>
              </w:r>
            </w:hyperlink>
          </w:p>
        </w:tc>
        <w:tc>
          <w:tcPr>
            <w:tcW w:w="320" w:type="dxa"/>
            <w:vAlign w:val="bottom"/>
            <w:gridSpan w:val="2"/>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gridSpan w:val="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Current Report on Form 8-K filed with the Commission on July 10, 2023).</w:t>
              </w:r>
            </w:hyperlink>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8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Fourth Amended and Restated Bylaws of Iovance Biotherapeutics, Inc. (incorporated herein by reference to Exhibit 3.1 to</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gridSpan w:val="9"/>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Registrant’s Current Report on Form 8-K filed with the Commission on March 29, 2024).</w:t>
              </w:r>
            </w:hyperlink>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6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Chief Executive Officer.</w:t>
            </w:r>
          </w:p>
        </w:tc>
        <w:tc>
          <w:tcPr>
            <w:tcW w:w="2380" w:type="dxa"/>
            <w:vAlign w:val="bottom"/>
            <w:gridSpan w:val="3"/>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Principal Financial Officer.</w:t>
            </w: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 of Chief Executive Officer (furnished herewith).</w:t>
            </w:r>
          </w:p>
        </w:tc>
        <w:tc>
          <w:tcPr>
            <w:tcW w:w="3400" w:type="dxa"/>
            <w:vAlign w:val="bottom"/>
            <w:gridSpan w:val="5"/>
          </w:tcPr>
          <w:p>
            <w:pPr>
              <w:spacing w:after="0"/>
              <w:rPr>
                <w:sz w:val="17"/>
                <w:szCs w:val="17"/>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 of Principal Financial Officer (furnished herewith).</w:t>
            </w:r>
          </w:p>
        </w:tc>
        <w:tc>
          <w:tcPr>
            <w:tcW w:w="3200" w:type="dxa"/>
            <w:vAlign w:val="bottom"/>
            <w:gridSpan w:val="4"/>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0"/>
                <w:szCs w:val="20"/>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ind w:left="1080" w:right="120" w:hanging="1071"/>
        <w:spacing w:after="0" w:line="260"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does not appear in the Interactive Data File because its XBRL tags are embedded within the Inline XBRL document).</w:t>
      </w:r>
    </w:p>
    <w:p>
      <w:pPr>
        <w:spacing w:after="0" w:line="194"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(unless otherwise noted as being furnished herewith).</w:t>
      </w:r>
    </w:p>
    <w:p>
      <w:pPr>
        <w:spacing w:after="0" w:line="27" w:lineRule="exact"/>
        <w:rPr>
          <w:sz w:val="20"/>
          <w:szCs w:val="20"/>
          <w:color w:val="auto"/>
        </w:rPr>
      </w:pPr>
    </w:p>
    <w:p>
      <w:pPr>
        <w:ind w:left="840" w:hanging="832"/>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9" w:lineRule="exact"/>
        <w:rPr>
          <w:sz w:val="20"/>
          <w:szCs w:val="20"/>
          <w:color w:val="auto"/>
        </w:rPr>
      </w:pPr>
    </w:p>
    <w:p>
      <w:pPr>
        <w:ind w:left="840" w:hanging="832"/>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redacted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20"/>
        </w:trPr>
        <w:tc>
          <w:tcPr>
            <w:tcW w:w="2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208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2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208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Corleen Roche</w:t>
            </w:r>
          </w:p>
        </w:tc>
      </w:tr>
      <w:tr>
        <w:trPr>
          <w:trHeight w:val="191"/>
        </w:trPr>
        <w:tc>
          <w:tcPr>
            <w:tcW w:w="2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34"/>
        </w:trPr>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77"/>
        </w:trPr>
        <w:tc>
          <w:tcPr>
            <w:tcW w:w="2880" w:type="dxa"/>
            <w:vAlign w:val="bottom"/>
          </w:tcPr>
          <w:p>
            <w:pPr>
              <w:spacing w:after="0"/>
              <w:rPr>
                <w:sz w:val="24"/>
                <w:szCs w:val="24"/>
                <w:color w:val="auto"/>
              </w:rPr>
            </w:pP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2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 Frederick G. Vogt, PhD., J.D, Interim Chief Executive Officer and President, and General Counsel of Iovance Biotherapeutics, Inc., certify that:</w:t>
      </w:r>
    </w:p>
    <w:p>
      <w:pPr>
        <w:spacing w:after="0" w:line="162" w:lineRule="exact"/>
        <w:rPr>
          <w:sz w:val="20"/>
          <w:szCs w:val="20"/>
          <w:color w:val="auto"/>
        </w:rPr>
      </w:pPr>
    </w:p>
    <w:p>
      <w:pPr>
        <w:ind w:left="680" w:hanging="672"/>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0" w:hanging="652"/>
        <w:spacing w:after="0" w:line="266" w:lineRule="auto"/>
        <w:tabs>
          <w:tab w:leader="none" w:pos="6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2026</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Corleen Roche, Chief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0" w:hanging="652"/>
        <w:spacing w:after="0" w:line="266" w:lineRule="auto"/>
        <w:tabs>
          <w:tab w:leader="none" w:pos="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8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Corleen Roche</w:t>
            </w:r>
          </w:p>
        </w:tc>
      </w:tr>
      <w:tr>
        <w:trPr>
          <w:trHeight w:val="191"/>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776"/>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March 31, 2026,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March 31, 2026, as filed with the Securities and Exchange Commission on the date hereof (the “Report”), Corleen Roche, Chief Financial Officer, hereby certifies, pursuant to 18 U.S.C. §1350, as adopted pursuant to §906 of the Sarbanes-Oxley Act of 2002, that:</w:t>
      </w:r>
    </w:p>
    <w:p>
      <w:pPr>
        <w:spacing w:after="0" w:line="176" w:lineRule="exact"/>
        <w:rPr>
          <w:sz w:val="20"/>
          <w:szCs w:val="20"/>
          <w:color w:val="auto"/>
        </w:rPr>
      </w:pPr>
    </w:p>
    <w:p>
      <w:pPr>
        <w:ind w:left="280" w:hanging="25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firstLine="8"/>
        <w:spacing w:after="0" w:line="282" w:lineRule="auto"/>
        <w:tabs>
          <w:tab w:leader="none" w:pos="2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880" w:val="left"/>
          <w:tab w:leader="none" w:pos="528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By:</w:t>
        <w:tab/>
        <w:t>/s/ Corleen Roche</w:t>
      </w:r>
    </w:p>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-127635</wp:posOffset>
            </wp:positionV>
            <wp:extent cx="29578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320040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40"/>
      </w:cols>
      <w:pgMar w:left="96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606"/>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Roman"/>
      <w:start w:val="4"/>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2"/>
      <w:numFmt w:val="decimal"/>
      <w:start w:val="10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17" Type="http://schemas.openxmlformats.org/officeDocument/2006/relationships/hyperlink" Target="https://www.sec.gov/Archives/edgar/data/1425205/000110465923079684/tm2320915d2_ex3-1.htm" TargetMode="External"/><Relationship Id="rId118" Type="http://schemas.openxmlformats.org/officeDocument/2006/relationships/hyperlink" Target="https://www.sec.gov/Archives/edgar/data/1425205/000110465924041200/tm2410183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2026-05-07T08:20:23Z</dcterms:created>
  <dcterms:modified xsi:type="dcterms:W3CDTF">2026-05-07T08:20:23Z</dcterms:modified>
</cp:coreProperties>
</file>