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10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2020</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7"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34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value</w:t>
            </w:r>
          </w:p>
        </w:tc>
        <w:tc>
          <w:tcPr>
            <w:tcW w:w="140" w:type="dxa"/>
            <w:vAlign w:val="bottom"/>
          </w:tcPr>
          <w:p>
            <w:pPr>
              <w:spacing w:after="0"/>
              <w:rPr>
                <w:sz w:val="19"/>
                <w:szCs w:val="19"/>
                <w:color w:val="auto"/>
              </w:rPr>
            </w:pPr>
          </w:p>
        </w:tc>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At October 26, 2020, the issuer had 146,687,334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1075055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09"/>
        </w:trPr>
        <w:tc>
          <w:tcPr>
            <w:tcW w:w="9380" w:type="dxa"/>
            <w:vAlign w:val="bottom"/>
            <w:gridSpan w:val="2"/>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5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3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 OTHER INFORMATION</w:t>
              </w:r>
            </w:hyperlink>
          </w:p>
        </w:tc>
        <w:tc>
          <w:tcPr>
            <w:tcW w:w="5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Unregistered Sales of Securities and Use of Proceeds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Mine Safety Disclosure</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5.</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6.</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38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color w:val="auto"/>
                <w:w w:val="93"/>
              </w:rPr>
              <w:t>(unaudited)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68,310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645,838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assets</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782,294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24,794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Operating lease liabilities - current</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64,390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6,063</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8 and 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00" w:type="dxa"/>
            <w:vAlign w:val="bottom"/>
          </w:tcPr>
          <w:p>
            <w:pPr>
              <w:ind w:left="100"/>
              <w:spacing w:after="0"/>
              <w:rPr>
                <w:sz w:val="20"/>
                <w:szCs w:val="20"/>
                <w:color w:val="auto"/>
              </w:rPr>
            </w:pPr>
            <w:r>
              <w:rPr>
                <w:rFonts w:ascii="Arial" w:cs="Arial" w:eastAsia="Arial" w:hAnsi="Arial"/>
                <w:sz w:val="16"/>
                <w:szCs w:val="16"/>
                <w:color w:val="auto"/>
                <w:w w:val="93"/>
              </w:rPr>
              <w:t>Series A Convertible Preferred stock, $0.001 par value; 17,000 shares designated, 194 shares issued and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6"/>
                <w:szCs w:val="16"/>
                <w:color w:val="auto"/>
                <w:w w:val="98"/>
              </w:rPr>
              <w:t>outstanding as of September 30, 2020 and December 31, 2019 (aggregate liquidation value of $194)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Series B Convertible Preferred stock, $0.001 par value; 11,500,000 shares designated, 3,581,119 shares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issued and outstanding as of September 30, 2020 and December 31, 2019 (aggregate liquidation value of</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$17,010)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00" w:type="dxa"/>
            <w:vAlign w:val="bottom"/>
          </w:tcPr>
          <w:p>
            <w:pPr>
              <w:ind w:left="100"/>
              <w:spacing w:after="0"/>
              <w:rPr>
                <w:sz w:val="20"/>
                <w:szCs w:val="20"/>
                <w:color w:val="auto"/>
              </w:rPr>
            </w:pPr>
            <w:r>
              <w:rPr>
                <w:rFonts w:ascii="Arial" w:cs="Arial" w:eastAsia="Arial" w:hAnsi="Arial"/>
                <w:sz w:val="16"/>
                <w:szCs w:val="16"/>
                <w:color w:val="auto"/>
                <w:w w:val="94"/>
              </w:rPr>
              <w:t>Common stock, $0.000041666 par value; 300,000,000 shares authorized, 146,581,624 and 126,411,808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6"/>
                <w:szCs w:val="16"/>
                <w:color w:val="auto"/>
              </w:rPr>
              <w:t>shares issued and outstanding as of September 30, 2020 and December 31, 2019, respectively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1,473,472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869,354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(761,796)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711,841</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782,294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111,785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(193,403)</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(191,184)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(133,988)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Weighted Average Shares of Common Stock Outstanding, Basic</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146,492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124,035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135,457</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123,674</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and Diluted</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(58,571)</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(49,487)</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(loss) / gain: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 gain on short-term investments</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(49,620)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Series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11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Sock</w:t>
            </w:r>
          </w:p>
        </w:tc>
        <w:tc>
          <w:tcPr>
            <w:tcW w:w="116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3"/>
              </w:rPr>
              <w:t>Preferred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3,581,119</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126,411,808</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869,354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(570,612)</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30,655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680,561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19,475,806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567,042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(191,184)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shd w:val="clear" w:color="auto" w:fill="CCEEFF"/>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3,581,119</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146,581,624</w:t>
            </w:r>
          </w:p>
        </w:tc>
        <w:tc>
          <w:tcPr>
            <w:tcW w:w="4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1,473,472</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(761,796)</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b w:val="1"/>
                <w:bCs w:val="1"/>
                <w:color w:val="auto"/>
              </w:rPr>
              <w:t>September 30, 2020</w:t>
            </w: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5,854,845</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123,415,576</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838,984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(372,760)</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Adoption of ASU 2018-07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21,738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514,450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from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conversion</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(2,273,726)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2,273,726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Unrealized gain on short-</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term investments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Cancellation of common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from settlement of</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dispute</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(133,988)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shd w:val="clear" w:color="auto" w:fill="CCEEFF"/>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3,581,119</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126,192,990</w:t>
            </w:r>
          </w:p>
        </w:tc>
        <w:tc>
          <w:tcPr>
            <w:tcW w:w="4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861,859</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(507,044)</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b w:val="1"/>
                <w:bCs w:val="1"/>
                <w:color w:val="auto"/>
              </w:rPr>
              <w:t>September 30, 2019</w:t>
            </w: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Series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11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Sock</w:t>
            </w:r>
          </w:p>
        </w:tc>
        <w:tc>
          <w:tcPr>
            <w:tcW w:w="116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3"/>
              </w:rPr>
              <w:t>Preferred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June 30, 2020</w:t>
            </w:r>
          </w:p>
        </w:tc>
        <w:tc>
          <w:tcPr>
            <w:tcW w:w="4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3,581,119</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146,434,810</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1,461,207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(703,225)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146,814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(58,571)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shd w:val="clear" w:color="auto" w:fill="CCEEFF"/>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3,581,119</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146,581,624</w:t>
            </w:r>
          </w:p>
        </w:tc>
        <w:tc>
          <w:tcPr>
            <w:tcW w:w="4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1,473,472</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(761,796)</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b w:val="1"/>
                <w:bCs w:val="1"/>
                <w:color w:val="auto"/>
              </w:rPr>
              <w:t>September 30, 2020</w:t>
            </w: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2019</w:t>
            </w: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194</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5,854,845</w:t>
            </w: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123,820,508</w:t>
            </w:r>
          </w:p>
        </w:tc>
        <w:tc>
          <w:tcPr>
            <w:tcW w:w="4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854,596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(457,557)</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91,550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preferred stock conversion</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2"/>
              </w:rPr>
              <w:t>(2,273,726)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2,273,726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(49,487)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shd w:val="clear" w:color="auto" w:fill="CCEEFF"/>
          </w:tcPr>
          <w:p>
            <w:pPr>
              <w:ind w:left="80"/>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194</w:t>
            </w: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3,581,119</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126,192,990</w:t>
            </w:r>
          </w:p>
        </w:tc>
        <w:tc>
          <w:tcPr>
            <w:tcW w:w="4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861,859</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(507,044)</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b w:val="1"/>
                <w:bCs w:val="1"/>
                <w:color w:val="auto"/>
              </w:rPr>
              <w:t>September 30, 2019</w:t>
            </w: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Nine Months Ended</w:t>
      </w:r>
    </w:p>
    <w:p>
      <w:pPr>
        <w:ind w:left="80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(191,184)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of dispute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(Right-of-use assets)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(711,643)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Unrealized (loss) / gain on short-term investments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Acquisitions of property and equipment included in accounts payable and accrued expense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2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metastatic cervical cancer. Lifileucel for metastatic cervical cancer was formerly known as LN-145.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right="60" w:firstLine="492"/>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and nine months ended September 30, 2020 and 2019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to be obtained for a full fiscal year. The balance sheet information as of December 31, 2019, was derived from the audited financial statements included in the Company's Annual Report on Form 10-K filed with the Securities and Exchange Commission (the “SEC”) on February 25, 2020. These interim financial statements should be read in conjunction with that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The Company is currently developing therapeutics for the treatment of cancer, including solid tumors and hematological malignancies. The Company currently does not have any commercial products and has not yet generated any revenues from its business. The Company currently does not anticipate that it will generate any significant revenues from the sale or licensing of any of its product candidates during the 12 months from the date these financial statements are issued. The Company has incurred a net loss of $191.2 million for the nine months ended September 30, 2020 and used $142.4 million of cash in its operating activities during the nine months ended September 30, 2020. In June 2020, the Company received net proceeds of $567.0 million from the June 2020 Public Offering (as discussed in Note 5). As of September 30, 2020, the Company had $719.7 million in cash, cash equivalents, short-term investments, and restricted cash ($68.3 million of cash and cash equivalents, $645.8 million in short-term investments and $5.5 million in restricted cash).</w:t>
      </w:r>
    </w:p>
    <w:p>
      <w:pPr>
        <w:spacing w:after="0" w:line="165"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Company expects to continue its research and development activities, increase pre-commercial activities and continue the construction of the tenant improvements for its new manufacturing facility, which will increase the amount of cash used during 2020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right="300" w:firstLine="492"/>
        <w:spacing w:after="0" w:line="342"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is subject to credit risk from its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and liquidity of investments sufficient to meet cash flow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85"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income. Any impairment losses related to credit losses (if any) are included in an allowance for credit losses with an offsetting entry to net loss. No impairment losses related to credit losses were recognized for the three and nine months ended September 30, 2020 and 2019. The cost of debt securities is adjusted for the amortization of premiums and accretion of discounts to maturity. Such amortization and accretion are included in net interest income in the condensed consolidated statements of operations. Gains and losses on securities sold are recorded based on the specific identification method and are included in net interest income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except for securities issued by the U.S. government. Currently the Company invests excess cash only in obligations issued by the U.S. government and U.S. government agencies.</w:t>
      </w:r>
    </w:p>
    <w:p>
      <w:pPr>
        <w:spacing w:after="0" w:line="133"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The Company maintains a required minimum balance, currently $5.5 million in a segregated bank account in connection with two letters of credit, one for $5.45 million for the benefit of the landlord for its commercial manufacturing facility used as a security deposit for the lease (See Note 9 - Leases), and a second one for $74,685 for the benefit of a utilities service provider. The total amount is classified as Restricted Cash on the Balance Sheet. The original term of the letter of credit expired on May 28, 2020; however, the term was automatically extended for an additional one-year period on May 28, 2020, and will be automatically extended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$1,000,000, with a minimum-security deposit of $1,450,000 maintained through the end of the lease term. The $74,685 letter of credit will expire on February 25, 2021, however, it will be automatically extended, without written agreement, to the expiration date of December 1, 2022. As of September 30, 2020, restricted cash consisted of $5.5 million and this amount has been classified as a non-current asset on the Company’s condensed consolidated balance sheets.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0"/>
              </w:rPr>
              <w:t>Restricted cash (included in non-current assets on the condensed consolidated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balance sheets)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shares of common stock issuable upon (i) the exercise of outstanding stock options, (ii) vesting of restricted stock units, and (iii) conversion of preferred stock, are only included in the calculation of diluted net loss per share when their effect is dilutive.</w:t>
      </w:r>
    </w:p>
    <w:p>
      <w:pPr>
        <w:spacing w:after="0" w:line="147"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At September 30, 2020 and 2019,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40" w:type="dxa"/>
            <w:vAlign w:val="bottom"/>
            <w:gridSpan w:val="4"/>
          </w:tcPr>
          <w:p>
            <w:pPr>
              <w:ind w:lef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9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12,768,881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9,494,722</w:t>
            </w:r>
          </w:p>
        </w:tc>
        <w:tc>
          <w:tcPr>
            <w:tcW w:w="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34,371</w:t>
            </w:r>
          </w:p>
        </w:tc>
        <w:tc>
          <w:tcPr>
            <w:tcW w:w="20" w:type="dxa"/>
            <w:vAlign w:val="bottom"/>
          </w:tcPr>
          <w:p>
            <w:pPr>
              <w:spacing w:after="0"/>
              <w:rPr>
                <w:sz w:val="18"/>
                <w:szCs w:val="18"/>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16,447,000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13,207,212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share of common stock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320" w:firstLine="492"/>
        <w:spacing w:after="0" w:line="257" w:lineRule="auto"/>
        <w:rPr>
          <w:sz w:val="20"/>
          <w:szCs w:val="20"/>
          <w:color w:val="auto"/>
        </w:rPr>
      </w:pPr>
      <w:r>
        <w:rPr>
          <w:rFonts w:ascii="Arial" w:cs="Arial" w:eastAsia="Arial" w:hAnsi="Arial"/>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47"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30"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have fair valued assets classified under Level 2 as of September 30, 2020 and December 31, 2019.</w:t>
      </w:r>
    </w:p>
    <w:p>
      <w:pPr>
        <w:spacing w:after="0" w:line="196"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have fair valued assets classified under Level 3 as of September 30, 2020 and December 31, 2019.</w:t>
      </w:r>
    </w:p>
    <w:p>
      <w:pPr>
        <w:spacing w:after="0" w:line="196"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and short-term investments, all of which are reported at their respective fair value on its condensed consolidated balance sheets.</w:t>
      </w:r>
    </w:p>
    <w:p>
      <w:pPr>
        <w:spacing w:after="0" w:line="130"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As of September 30, 2020 and December 31, 2019, financial assets measured at fair value on a recurring basis are categorized in the table below based upon the lowest level of significant input to the valuations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Assets at Fair Value as of September 30, 2020</w:t>
            </w:r>
          </w:p>
        </w:tc>
        <w:tc>
          <w:tcPr>
            <w:tcW w:w="7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224,683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224,683</w:t>
            </w:r>
          </w:p>
        </w:tc>
      </w:tr>
      <w:tr>
        <w:trPr>
          <w:trHeight w:val="209"/>
        </w:trPr>
        <w:tc>
          <w:tcPr>
            <w:tcW w:w="5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645,838</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Assets at Fair Value as of December 31, 2019</w:t>
            </w:r>
          </w:p>
        </w:tc>
        <w:tc>
          <w:tcPr>
            <w:tcW w:w="7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5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200" w:firstLine="49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valuation of short-term investments, accounting for potential liabilities, and the valuation allowance associated with the Company’s deferred tax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420" w:firstLine="49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subsidiaries, Iovance Biotherapeutics Manufacturing LLC and Iovance Biotherapeutics GmbH. All intercompany accounts and transactions have been eliminated. The U.S. dollar is the functional currency for all of the Company's consolidated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2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entities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no material tax provision impact for the three and nine months ended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September 30, 2020 and December 31, 2019.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The Company periodically grants stock options to 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26"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47"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color w:val="auto"/>
        </w:rPr>
        <w:t>The Company has in the past issued restricted stock units (“RSUs”) and restricted stock awards (“RSAs”)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RSUs and RSAs is based on the closing price of the Company’s common stock on the grant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2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15,590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20" w:type="dxa"/>
            <w:vAlign w:val="bottom"/>
            <w:tcBorders>
              <w:bottom w:val="single" w:sz="8" w:color="CCEEFF"/>
            </w:tcBorders>
          </w:tcPr>
          <w:p>
            <w:pPr>
              <w:spacing w:after="0"/>
              <w:rPr>
                <w:sz w:val="18"/>
                <w:szCs w:val="18"/>
                <w:color w:val="auto"/>
              </w:rPr>
            </w:pP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30,655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Total stock-based compensation expenses broken down based on each individual instrument were as follows (in thousands):</w:t>
      </w:r>
    </w:p>
    <w:p>
      <w:pPr>
        <w:spacing w:after="0" w:line="363"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6"/>
                <w:szCs w:val="16"/>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9"/>
                <w:szCs w:val="19"/>
                <w:color w:val="auto"/>
              </w:rPr>
            </w:pPr>
          </w:p>
        </w:tc>
        <w:tc>
          <w:tcPr>
            <w:tcW w:w="156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4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9"/>
                <w:szCs w:val="19"/>
                <w:color w:val="auto"/>
              </w:rPr>
            </w:pPr>
          </w:p>
        </w:tc>
      </w:tr>
      <w:tr>
        <w:trPr>
          <w:trHeight w:val="27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30,543</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18,668</w:t>
            </w:r>
          </w:p>
        </w:tc>
        <w:tc>
          <w:tcPr>
            <w:tcW w:w="20" w:type="dxa"/>
            <w:vAlign w:val="bottom"/>
            <w:shd w:val="clear" w:color="auto" w:fill="CCEEFF"/>
          </w:tcPr>
          <w:p>
            <w:pPr>
              <w:spacing w:after="0"/>
              <w:rPr>
                <w:sz w:val="24"/>
                <w:szCs w:val="24"/>
                <w:color w:val="auto"/>
              </w:rPr>
            </w:pPr>
          </w:p>
        </w:tc>
      </w:tr>
      <w:tr>
        <w:trPr>
          <w:trHeight w:val="297"/>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 expenses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tcPr>
          <w:p>
            <w:pPr>
              <w:spacing w:after="0"/>
              <w:rPr>
                <w:sz w:val="24"/>
                <w:szCs w:val="24"/>
                <w:color w:val="auto"/>
              </w:rPr>
            </w:pPr>
          </w:p>
        </w:tc>
      </w:tr>
      <w:tr>
        <w:trPr>
          <w:trHeight w:val="291"/>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30,655</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18,870</w:t>
            </w:r>
          </w:p>
        </w:tc>
        <w:tc>
          <w:tcPr>
            <w:tcW w:w="20" w:type="dxa"/>
            <w:vAlign w:val="bottom"/>
            <w:shd w:val="clear" w:color="auto" w:fill="CCEEFF"/>
          </w:tcPr>
          <w:p>
            <w:pPr>
              <w:spacing w:after="0"/>
              <w:rPr>
                <w:sz w:val="24"/>
                <w:szCs w:val="24"/>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applies the accounting standards for distinguishing liabilities from equity when determining the classification and measurement of its preferred stock. Preferred stock subject to mandatory redemption are classified as liability instruments and are measured at fair value. Conditionally redeemable preferred stock (including preferred stock that feature redemption rights that are either within the control of the holder or subject to redemption upon the occurrence of uncertain events not solely within the Company’s control) are classified as temporary equity. At all other times, preferred stock is classified as 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26"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57"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ASU 2019-05, ASU 2019-11, and ASU 2020-03 (collectively, Topic 326), to introduce a new impairment model for recognizing credit losses on financial instruments based on an estimate of current expected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requires modified retrospective application to all outstanding instruments, with a cumulative effect adjustment recorded to opening retained earnings as of the beginning of the first period in which the guidance becomes effective. The Company adopted this guidance on January 1, 2020, however, the adoption of this new guidance did not have any material impact on its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9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(ASU 2018-15). The guidance requires a customer in a cloud computing arrangement that is a service contract to follow the internal use software guidance to determine which implementation costs to defer and recognize as an asset. It therefore requires a customer to defer potentially significant implementation costs incurred in a cloud computing arrangement that were often expensed as incurred under the legacy GAAP and recognize them as expense over the term of the hosting arrangement. ASU 2018-15 is effective for fiscal years beginning subsequent to December 15, 2019. The Company adopted this guidance on January 1, 2020. The Company recorded $0.8 million as prepaid expenses and long-term assets on the condensed consolidated balance sheet as of September 30, 2020. The amortization expense recorded for the three and nine months ended September 30, 2020 was de minimis.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85"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The Company’s management evaluates events that have occurred after the balance sheet date but before the financial statements are issued.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SHORT-TERM INVESTMENTS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and short-term investments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60" w:type="dxa"/>
            <w:vAlign w:val="bottom"/>
            <w:gridSpan w:val="4"/>
          </w:tcPr>
          <w:p>
            <w:pPr>
              <w:ind w:left="16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Cash equivalents total</w:t>
            </w:r>
          </w:p>
        </w:tc>
        <w:tc>
          <w:tcPr>
            <w:tcW w:w="1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$17.1 million and $3.9 million as of September 30, 2020 and December 31, 2019,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Short-term investments</w:t>
            </w:r>
          </w:p>
        </w:tc>
        <w:tc>
          <w:tcPr>
            <w:tcW w:w="268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September 30,</w:t>
            </w:r>
          </w:p>
        </w:tc>
        <w:tc>
          <w:tcPr>
            <w:tcW w:w="20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242,249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224,683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investments total</w:t>
            </w:r>
          </w:p>
        </w:tc>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645,838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293,112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80" w:type="dxa"/>
            <w:vAlign w:val="bottom"/>
            <w:vMerge w:val="restart"/>
          </w:tcPr>
          <w:p>
            <w:pPr>
              <w:jc w:val="right"/>
              <w:ind w:right="17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The cost and fair value of cash equivalents and short-term investments at September 30, 2020 and December 31, 2019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Accretion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As of September 30, 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421,372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224,757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224,683</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646,129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645,838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Accretion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241,709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Upon adoption of Topic 326 on January 1, 2020, the Company is required to assess and estimate CECL on AFS debt securities only when the fair value is below the amortized cost of the asset and is no longer based on an impairment being “other-than-temporary”. The credit-related losses are required to be recognized through the statements of operations and non-credit related losses are reported in other comprehensive income. For the three and nine months ended September 30, 2020, no CECL was recognized in the condensed consolidated statement of operations and all unrealized gains and losses are included in accumulated other comprehensive income. All short-term investments held by the Company as of September 30, 2020 and December 31, 2019 have a maturity of less than one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BALANCE SHEET COMPONENTS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180" w:type="dxa"/>
            <w:vAlign w:val="bottom"/>
            <w:gridSpan w:val="3"/>
          </w:tcPr>
          <w:p>
            <w:pPr>
              <w:ind w:left="126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7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payroll and employee related expenses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Commercial manufacturing facility related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Manufacturing related</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09"/>
        </w:trPr>
        <w:tc>
          <w:tcPr>
            <w:tcW w:w="47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 of Common Stock</w:t>
      </w:r>
    </w:p>
    <w:p>
      <w:pPr>
        <w:spacing w:after="0" w:line="185"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98"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In October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3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85"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At September 30, 2020, 17,000 shares were designated as Series A Convertible Preferred Stock (“Series A Convertible Preferred Stock”) and 11,500,000 shares were designated as Series B Convertible Preferred Stock (“Series B Convertible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37"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nine months ended September 30, 2020 or 2019. At September 30, 2020 and December 31, 2019, 194 shares of Series A Convertible Preferred Stock (that are convertible into 97,000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1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No shares of Series B Convertible Preferred Stock were converted during the nine months ended September 30, 2020 and 2019. At September 30, 2020 and December 31, 2019, 3,581,119 shares of Series B Preferred Stock (that are convertible into 3,581,119 shares of common stock) remained outstanding.</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Stock</w:t>
      </w:r>
    </w:p>
    <w:p>
      <w:pPr>
        <w:spacing w:after="0" w:line="185"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 for the nine months ended September 30, 2019.</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the 2011 Plan. In August 2013, the Board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At September 30, 2020, 11,240 shares were available for future grant under the 2011 Plan.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Plan was approved by the Company’s stockholders at the Company’s 2014 Annual Meeting of Stockholders held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2014. The 2014 Plan, as approved by the stockholders, authorized the issuance up to an aggregate of 2,350,000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On April 10, 2015, the Board amended the 2014 Plan to increase the total number of shares that can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to 4,000,000 shares of the Company’s common stock. The increase in shares available for issuance under the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 at the Company’s 2015 Annual Meeting of Stockholders in June 2015.</w:t>
      </w:r>
    </w:p>
    <w:p>
      <w:pPr>
        <w:spacing w:after="0" w:line="170"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At September 30, 2020, 15,746 shares were available for grant under the Company’s 2014 Plan.</w:t>
      </w:r>
    </w:p>
    <w:p>
      <w:pPr>
        <w:spacing w:after="0" w:line="14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At September 30, 2020, 7,641,416 shares of common stock were available for grant under the Company’s 2018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On June 1, 2016, the Company entered into an RSU agreement with the Company’s new Chief Executive Officer, Maria Fardis, Ph.D., M.B.A., pursuant to which the Company granted Dr. Fardis 550,000 non-transferrable RSUs at a fair market value price of $5.87 per share as an inducement to her employment pursuant to the exception to The Nasdaq Global Market rules that generally require stockholder approval of equity incentive plans. The 550,000 RSUs vested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vested in equal monthly installments over the 36-month period following the first anniversary of the effective date of Dr. Fardis’ employment, such that the RSUs were fully vested as of June 1, 2020. At September 30, 2020, the Company had no RSUs outstanding.</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Stock-based compensation expense for RSUs are measured based on the closing fair market value of the Company’s common stock on the date of grant. The stock-based compensation expenses relating to RSUs were zero and $0.07 million for the three months ended September 30, 2020 and 2019, respectively, and $0.1 million and $0.2 million for the nine months ended September 30, 2020 and 2019, respectively, recorded as part of general and administrative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400" w:firstLine="492"/>
        <w:spacing w:after="0" w:line="259" w:lineRule="auto"/>
        <w:rPr>
          <w:sz w:val="20"/>
          <w:szCs w:val="20"/>
          <w:color w:val="auto"/>
        </w:rPr>
      </w:pPr>
      <w:r>
        <w:rPr>
          <w:rFonts w:ascii="Arial" w:cs="Arial" w:eastAsia="Arial" w:hAnsi="Arial"/>
          <w:sz w:val="18"/>
          <w:szCs w:val="18"/>
          <w:color w:val="auto"/>
        </w:rPr>
        <w:t>In June 2020, the Company adopted the 2020 Employee Stock Purchase Plan (the "2020 ESPP") upon its approval by the Company's shareholders at its Annual Stockholders Meeting on June 8, 2020. The Company reserved 500,000 shares of its common stock for issuance under the 2020 ESPP. As of September 30, 2020, no shares were issued under the 2020 ESPP and there was no unrecognized compensation cost related to the 2020 ESPP.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 summary of the status of stock options at September 30, 2020, and the changes during the nine months then ended, is presented in the following table: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4,531,651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12,768,881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6,123,984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6.69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134,353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The Company recorded stock-based compensation expenses related to stock options of $10.7 million and $6.5 million for the three months ended September 30, 2020 and 2019 respectively, and $30.5 million and $18.7 million for the nine months ended September 30, 2020 and 2019, respectively. As of September 30, 2020, there was $78.4 million of total unrecognized compensation expense related to the options to be recognized over a weighted average period of 2.0 years.</w:t>
      </w:r>
    </w:p>
    <w:p>
      <w:pPr>
        <w:spacing w:after="0" w:line="160"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nine months ended September 30, 2020 and 2019 was $16.37 and $8.90 per option, respectively.</w:t>
      </w:r>
    </w:p>
    <w:p>
      <w:pPr>
        <w:spacing w:after="0" w:line="130"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quarter ended September 30, 2020 and the exercise price of the options, multiplied by the number of in-the-money stock options) that would have been received by the option holders had all option holders exercised their options on September 30, 2020. The intrinsic value of the Company’s stock options changes based on the closing price of the Company’s common stock.</w:t>
      </w:r>
    </w:p>
    <w:p>
      <w:pPr>
        <w:spacing w:after="0" w:line="188"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nine months ended September 30, 2020 and 2019:</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7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39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6.06 – 6.08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69.99%</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6"/>
              </w:rPr>
              <w:t>- 70.96%  70.78%</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- 71.62%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30"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43"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97"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43"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September 30, 2020 and 2019, and $1.5 million for the nine months ended September 30, 2020 and 2019 as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20" w:firstLine="492"/>
        <w:spacing w:after="0" w:line="288" w:lineRule="auto"/>
        <w:rPr>
          <w:sz w:val="20"/>
          <w:szCs w:val="20"/>
          <w:color w:val="auto"/>
        </w:rPr>
      </w:pPr>
      <w:r>
        <w:rPr>
          <w:rFonts w:ascii="Arial" w:cs="Arial" w:eastAsia="Arial" w:hAnsi="Arial"/>
          <w:sz w:val="16"/>
          <w:szCs w:val="16"/>
          <w:color w:val="auto"/>
        </w:rPr>
        <w:t>Effective October 5, 2011, the Company entered into an Exclusive Patent License Agreement (the “Patent License Agreement”) with the NIH, an agency of the United States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The Company anticipates making a milestone payment in conjunction with the submission of a Biologics License Application for any of its product candidates covered by the Patent License Agreement.</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w:t>
      </w:r>
    </w:p>
    <w:p>
      <w:pPr>
        <w:spacing w:after="0" w:line="161"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right="60" w:firstLine="492"/>
        <w:spacing w:after="0" w:line="268"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$0.1 million and $0.2 million for the three months ended September 30, 2020 and 2019, respectively, and $0.5 million and $0.7 million for the nine months ended September 30, 2020 and 2019, respectively, in connection with the research collaboration and clinical grant agreements with Moffitt.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85"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and nine months ended September 30, 2020 and 2019.</w:t>
      </w:r>
    </w:p>
    <w:p>
      <w:pPr>
        <w:spacing w:after="0" w:line="145" w:lineRule="exact"/>
        <w:rPr>
          <w:sz w:val="20"/>
          <w:szCs w:val="20"/>
          <w:color w:val="auto"/>
        </w:rPr>
      </w:pPr>
    </w:p>
    <w:p>
      <w:pPr>
        <w:ind w:right="260" w:firstLine="492"/>
        <w:spacing w:after="0" w:line="296" w:lineRule="auto"/>
        <w:rPr>
          <w:sz w:val="20"/>
          <w:szCs w:val="20"/>
          <w:color w:val="auto"/>
        </w:rPr>
      </w:pPr>
      <w:r>
        <w:rPr>
          <w:rFonts w:ascii="Arial" w:cs="Arial" w:eastAsia="Arial" w:hAnsi="Arial"/>
          <w:sz w:val="16"/>
          <w:szCs w:val="16"/>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w:t>
      </w:r>
    </w:p>
    <w:p>
      <w:pPr>
        <w:sectPr>
          <w:pgSz w:w="11900" w:h="16838" w:orient="portrait"/>
          <w:cols w:equalWidth="0" w:num="1">
            <w:col w:w="9880"/>
          </w:cols>
          <w:pgMar w:left="980" w:top="665" w:right="103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a first sale has occurred, which in the aggregate amounts to up to $0.4 million a year. The Company recorded a de minimis amount and $0.01 million for the three months ended September 30, 2020 and 2019, respectively, and a de minimis amount and $0.02 million for the nine months ended September 30, 2020 and 2019, respectively, as research and development expenses in connection with the Second Moffit License.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In light of the COVID-19 Pandemic, MDACC has temporarily suspended their research programs and decommissioned their research labs, and as a result, enrollment in the Company’s MDACC-sponsored studies under the SAA was temporarily paused, but has recently been partially restarted. The Company recorded $0.3 million and $0.7 million associated with the MDACC SAA for the three months ended September 30, 2020 and 2019, respectively, and $0.5 million and $2.3 million for the nine months ended September 30, 2020 and 2019, respectively as research and development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02"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AppTech, Inc. (“WuXi”) pursuant to which WuXi agreed to provide manufacturing and other services, which has since been amended and assigned to our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statement of work for the first suite was amended in 2019 and September 2020, and the second suite was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quarterly fixed fees payable for each of the dedicated manufacturing suites ranges from $0.6 million to $2.7 million depending on the production capacity level targeted. The terms of the related statements of work for the first and second dedicated manufacturing suites currently extend to August 2022 and June 2021, respectively. The Company recorded costs associated with agreements with WuXi of $2.8 million and $9.2 million for the three months ended September 30, 2020 and 2019 respectively, and $16.2 million and $20 million for the nine months ended September 30, 2020 and 2019, respectively, as research and development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 (Cellectis)</w:t>
      </w:r>
    </w:p>
    <w:p>
      <w:pPr>
        <w:spacing w:after="0" w:line="189"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On January 12, 2020, the Company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the license agreement from Cellectis of $0.1 million and $0.3 million for the three and nine months ended September 30,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 (Novartis)</w:t>
      </w:r>
    </w:p>
    <w:p>
      <w:pPr>
        <w:spacing w:after="0" w:line="189"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royalties from commercial sales of the product. The Company recorded costs associated with the license agreement from Novartis of $ 10.0 million as research and development expenses for the three months ended March 31, 2020. The Company did not record any expenses after March 31, 2020 through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189"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the Company, as nominal defendant, and certain of its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its April 10, 2017 settlement thereof, and seeks unspecified damages on behalf of the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consolidated case is titled </w:t>
      </w:r>
      <w:r>
        <w:rPr>
          <w:rFonts w:ascii="Arial" w:cs="Arial" w:eastAsia="Arial" w:hAnsi="Arial"/>
          <w:sz w:val="16"/>
          <w:szCs w:val="16"/>
          <w:i w:val="1"/>
          <w:iCs w:val="1"/>
          <w:color w:val="auto"/>
        </w:rPr>
        <w:t>In re Iovance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Biotherapeutics, Inc. Stockholder Derivative Litigation </w:t>
      </w:r>
      <w:r>
        <w:rPr>
          <w:rFonts w:ascii="Arial" w:cs="Arial" w:eastAsia="Arial" w:hAnsi="Arial"/>
          <w:sz w:val="16"/>
          <w:szCs w:val="16"/>
          <w:color w:val="auto"/>
        </w:rPr>
        <w:t>(lead case no. 17-cv-1806). On January 28, 2020, the parties reached a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On April 24, 2020, the court granted preliminary approval for the proposed settlement. The terms of the settlement were disseminated to shareholders as part of the notice process on May 8, 2020. On July 2, 2020, the court granted final approval for the settlement. The Company has not incurred any significant costs or expenses in connection with this settlement.</w:t>
      </w:r>
    </w:p>
    <w:p>
      <w:pPr>
        <w:spacing w:after="0" w:line="147"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July 31, 2020, the Solomon Plaintiffs, through new counsel, filed a motion for reconsideration of the dismissal of the First Solomon Suit for want of prosecution. On August 11, 2020, the Company filed an opposition brief against the Solomon Plaintiffs’ motion for reconsideration. On August 17, 2020, the Solomon Plaintiffs filed a reply brief in support of their motion for reconsideration. On September 2, 2020, the Solomon Plaintiffs filed a notice of appeal of the dismissal for want of prosecution.</w:t>
      </w:r>
    </w:p>
    <w:p>
      <w:pPr>
        <w:spacing w:after="0" w:line="352"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United States District Court for the Southern District of New York, where the case has been assigned case no. 1:20-cv-1391. The Company has not yet responded to the complaint in the Second Solomon Suit. On May 22, 2020, the Company moved to dismiss the Second Solomon Suit for lack of personal jurisdiction. On July 17, 2020, the Solomon Plaintiffs filed an opposition brief against the Company’s motion to dismiss for lack of personal jurisdiction. On August 7, 2020, the Company filed a reply brief in support of the Company’s motion to dismiss for lack of personal jurisdiction.</w:t>
      </w:r>
    </w:p>
    <w:p>
      <w:pPr>
        <w:spacing w:after="0" w:line="145"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57"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w:t>
      </w:r>
      <w:r>
        <w:rPr>
          <w:rFonts w:ascii="Arial" w:cs="Arial" w:eastAsia="Arial" w:hAnsi="Arial"/>
          <w:sz w:val="17"/>
          <w:szCs w:val="17"/>
          <w:color w:val="auto"/>
        </w:rPr>
        <w:t xml:space="preserve"> </w:t>
      </w:r>
      <w:r>
        <w:rPr>
          <w:rFonts w:ascii="Arial" w:cs="Arial" w:eastAsia="Arial" w:hAnsi="Arial"/>
          <w:sz w:val="17"/>
          <w:szCs w:val="17"/>
          <w:i w:val="1"/>
          <w:iCs w:val="1"/>
          <w:color w:val="auto"/>
        </w:rPr>
        <w:t>Maria Fardis</w:t>
      </w:r>
      <w:r>
        <w:rPr>
          <w:rFonts w:ascii="Arial" w:cs="Arial" w:eastAsia="Arial" w:hAnsi="Arial"/>
          <w:sz w:val="17"/>
          <w:szCs w:val="17"/>
          <w:color w:val="auto"/>
        </w:rPr>
        <w:t>, Dr. Steven Fischkoff, the Company’s former Vice President and Chief Medical Officer, filed a lawsuit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Supreme Court of the State of New York, County of New York. Dr. Fischkoff was dismissed by the Company on March 28, 2017. Dr. Fischkoff was terminated “for cause” as that term is defined in his employment agreement. In his complaint,</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the Company’s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On September 23, 2020, the parties reached a confidential settlement in this matter, and on October 13, 2020, the court approved a stipulation of dismissal with prejudice filed by the parties.</w:t>
      </w:r>
    </w:p>
    <w:p>
      <w:pPr>
        <w:spacing w:after="0" w:line="13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condensed consolidated financial statements.</w:t>
      </w:r>
    </w:p>
    <w:p>
      <w:pPr>
        <w:spacing w:after="0" w:line="138"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02"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61"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4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June 5,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98"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43"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6"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30"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308" w:lineRule="auto"/>
        <w:rPr>
          <w:sz w:val="20"/>
          <w:szCs w:val="20"/>
          <w:color w:val="auto"/>
        </w:rPr>
      </w:pPr>
      <w:r>
        <w:rPr>
          <w:rFonts w:ascii="Arial" w:cs="Arial" w:eastAsia="Arial" w:hAnsi="Arial"/>
          <w:sz w:val="17"/>
          <w:szCs w:val="17"/>
          <w:color w:val="auto"/>
        </w:rPr>
        <w:t>The Company leased office space in New York for a monthly rental of approximately $18,000 a month from January 2017 through July 2017. On June 5, 2017, the Company entered into an agreement whereby the Company will lease office space from</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 On September 1, 2020, the Company entered into an agreement to extend the lease term to January 31, 2021, for approximately $4,000 a month.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98" w:lineRule="exact"/>
        <w:rPr>
          <w:sz w:val="20"/>
          <w:szCs w:val="20"/>
          <w:color w:val="auto"/>
        </w:rPr>
      </w:pPr>
    </w:p>
    <w:p>
      <w:pPr>
        <w:jc w:val="both"/>
        <w:ind w:right="2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25"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 month term at a rate of approximately $6,500 per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98"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 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 (A) one hundred sixty (160) days after the Phase I-A substantial completion date, July 16, 2020, or (B) 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44" w:lineRule="exact"/>
        <w:rPr>
          <w:sz w:val="20"/>
          <w:szCs w:val="20"/>
          <w:color w:val="auto"/>
        </w:rPr>
      </w:pPr>
    </w:p>
    <w:p>
      <w:pPr>
        <w:ind w:right="320" w:firstLine="537"/>
        <w:spacing w:after="0" w:line="259" w:lineRule="auto"/>
        <w:rPr>
          <w:sz w:val="20"/>
          <w:szCs w:val="20"/>
          <w:color w:val="auto"/>
        </w:rPr>
      </w:pPr>
      <w:r>
        <w:rPr>
          <w:rFonts w:ascii="Arial" w:cs="Arial" w:eastAsia="Arial" w:hAnsi="Arial"/>
          <w:sz w:val="18"/>
          <w:szCs w:val="18"/>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The Company will also be responsible for paying operating expenses, which are expected to be approximately $53,000 per month in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202"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clauses are included in the calculation of the lease term for each of the CMOs when it is reasonably certain that it will not exercise such options.</w:t>
      </w:r>
    </w:p>
    <w:p>
      <w:pPr>
        <w:spacing w:after="0" w:line="130"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39"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September 30, 2020</w:t>
            </w:r>
          </w:p>
        </w:tc>
        <w:tc>
          <w:tcPr>
            <w:tcW w:w="1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included in current liabilities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portion included in non-current liabilities</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condensed consolidated statement of operations, and other information related to our operating leases as follows (in thousands except weighted-average remaining lease terms and discount rates):</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4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5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0"/>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r>
      <w:tr>
        <w:trPr>
          <w:trHeight w:val="196"/>
        </w:trPr>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6"/>
              </w:rPr>
              <w:t>Cash paid for amounts included in the measurement of lease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liabilities included in Operating cashflows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5,995</w:t>
            </w:r>
          </w:p>
        </w:tc>
        <w:tc>
          <w:tcPr>
            <w:tcW w:w="18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5,861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5"/>
              </w:rPr>
              <w:t>Increase in right-of-use assets from the adoption of Topic 842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Right-of-use assets obtained from entering new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4,667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4,667</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the maturities of the Company’s operating lease liabilities were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rPr>
              <w:t>CMO</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embedded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leases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As of September 30, 2020, the weighted average remaining lease term is 1.71 years and the weighted average discount rate used to determine the operating lease liabilities was 7.5%. As of September 30, 2020, the Company has a finance lease for the commercial manufacturing facility that has not yet commenced. This finance lease will commence in December 2020 with a lease term of 20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CLOUD COMPUTING ARRANGEMENTS</w:t>
      </w:r>
    </w:p>
    <w:p>
      <w:pPr>
        <w:spacing w:after="0" w:line="189"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The Company defers implementation costs incurred in cloud computing arrangements in accordance with ASC 2018-15 and amortizes it over the noncancelable term of the cloud computing arrangements plus any optional renewal periods (1) that are reasonably certain to be exercised by the Company or (2) for which exercises, of the renewal option is controlled by the cloud service provider. Costs incurred during the application development stage that are directly attributable to developing or obtaining software for internal use are defined as implementation costs and capitalized. Costs incurred during operation and post-implementation stages are charged to expense. As of September 30, 2020, the Company capitalized $0.8 million and included in prepaid expenses and long-term assets in its condensed consolidated balance sheet. The amortization expense recognized for the three and nine months ended September 30, 2020 was de minimis.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RELATED PARTY TRANSACTIONS</w:t>
      </w:r>
    </w:p>
    <w:p>
      <w:pPr>
        <w:spacing w:after="0" w:line="189"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zero and $0.1 million in stock-based compensation expense related to this consulting agreement during the three months ended September 30, 2020 and 2019, respectively, and $0.2 million and $0.3 million for the nine months ended September 30, 2020 and 2019, respectively. In addition, in connection with the adoption of ASC 2018-07, the Company recognized $0.3 million to retained earnings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i w:val="1"/>
          <w:iCs w:val="1"/>
          <w:color w:val="auto"/>
        </w:rPr>
        <w:t>The management’s discussion and analysis of financial condition as of September 30, 2020 and results of operations for the three and nine months ended September 30, 2020, should be read in conjunction with management’s discussion and analysis of financial condition and results of operations included in our Annual Report on Form 10-K for the year ended December 31, 2019 which was filed with the Securities and Exchange Commission, or SEC, on February 25, 2020.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and other reports we file with the SEC.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in diseases such as metastatic melanoma and cervical cancer. We have developed a new, shorter manufacturing process for TIL known as Generation 2, or Gen 2, which yields a cryopreserved TIL product. This proprietary and scalable manufacturing method is being further investigated in multiple indications. Our lead product candidates include lifileucel for metastatic melanoma and metastatic cervical cancer. Lifileucel for metastatic cervical cancer was formerly known as LN-145. In addition to metastatic melanoma and metastatic cervical cancer, we are investigating the effectiveness and safety of TIL for the treatment of squamous cell carcinoma of the head and neck, non-small cell lung cancer, and peripheral blood lymphocyte, or PBL, therapy for chronic lymphocytic leukemia through our sponsored trials, as well as in other oncology indications through collaborations.</w:t>
      </w:r>
    </w:p>
    <w:p>
      <w:pPr>
        <w:spacing w:after="0" w:line="16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conducting a Phase 2 clinical trial, C-144-01, of our lead product candidate, lifileucel, for the treatment of metastatic melanoma. This multicenter pivotal trial enrolled patients with melanoma whose disease has progressed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The C-144-01 trial uses our proprietary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ASCO annual meeting on May 29, 2020, or ASCO 2020. In 66 patients with metastatic melanoma, treatment with lifileucel resulted in an objective response rate, or ORR, of 36%, as assessed by investigator, with 2 complete responses and 22 partial responses. The disease control rate, or DCR, was 80.3%. Patients were heavily pretreated and had a mean of 3.3 prior therapies. The data released at ASCO 2020 disclosed that after a median study follow up of 18.7 months for Cohort 2 patients, the median duration of response, or DOR, has not been reached per investigator assessment. Furthermore, durable responses have been observed across a wide age range of metastatic melanoma patients, and among those who have received prior anti-CTLA-4 and BRAF targeted treatments, regardless of BRAF mutation status, and equally in patients with PD-L1 high and low status. The adverse event profile was generally consistent with the underlying advanced disease and the profile of the lymphodepletion and IL-2 regimens.</w:t>
      </w:r>
    </w:p>
    <w:p>
      <w:pPr>
        <w:spacing w:after="0" w:line="16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Cohort 4 of in the C-144-01 trial was enrolled to evaluate ORR as read out by an Independent Review Committee, or IRC, as the primary endpoint based on our interpretation of discussions with the U.S. Food and Drug Administration, or FDA, as part of an End of Phase 2, or EOP2, meeting held with the FDA in the third quarter of 2018. In October 2018 and based on the data provided to the FDA during the EOP2 meeting, we announced that lifileucel had received a Regenerative Medicine Advanced Therapy, or RMAT, designation from the FDA.</w:t>
      </w:r>
    </w:p>
    <w:p>
      <w:pPr>
        <w:spacing w:after="0" w:line="188"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Enrollment in pivotal Cohort 4 in the C-144-01 trial commenced in March 2019 and patient dosing was completed in January 2020. A total of 89 patients were dosed in Cohort 4. Initial results from the pivotal Cohort 4 are available for 68 patients with two radiological assessments, as determined by investigator. Lifileucel shows a 32.4% ORR, including 1 complete response and 21 partial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responses, 2 of which are yet to be confirmed with follow up visits, and a DCR of 72.1% as of the data cut off of March 16, 2020, corresponding to 5.3 months of median study follow up. This data is highly consistent with the Cohort 2 data read out at a similar median duration of study follow up. The ORR of Cohort 2 at a median study follow up of 6 months was 33%. In October 2020, after a Type B meeting with the FDA, we announced that we had delayed our BLA submission for lifileucel in metastatic melanoma until a date now expected to occur in 2021 as a result of FDA feedback, in order to allow us to simultaneously refine existing and develop new potency assays. At the same time, we also announced that we had reached agreement with the FDA on the duration of follow up for Cohort 4 to support our BLA submission for lifileucel in the treatment of metastatic melanoma.</w:t>
      </w:r>
    </w:p>
    <w:p>
      <w:pPr>
        <w:spacing w:after="0" w:line="17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the development in the treatment of cervical cancer. Updated results from the C-145-04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DOR had not been reached. The adverse event profile was generally consistent with the underlying advanced disease and the profile of the lymphodepletion and IL-2 regimens. Based on an EOP2 meeting held with the FDA in June 2019, we believe that results from the C-145-04 clinical trial may be sufficient to support registration of lifileucel for the treatment of patients with metastatic cervical cancer. In accordance with the FDA’s recommendations, the protocol was amended to further define the patient population. In November 2019, in order to position lifileucel for potential future use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when the pivotal Cohort 1 is completed and we believe may support expanded access to lifileucel. Cohort 2 of the C-145-04 trial continues and is expected to complete enrollment during the second half of 2020. We intend to initiate a dialog with the FDA subsequent to such completion to discuss BLA submission plans.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C-145-03 is our ongoing Phase 2, multicenter trial that we are conducting to assess the safety and efficacy of our product candidate LN-145 for the treatment of patients with recurrent metastatic squamous cell carcinoma of the head and neck. In October 2018, we reported that, to date, preliminary data for 13 patients in the C-145-03 clinical trial yielded an ORR of 31% with a DOR ranging from 2.8 to 7.6 months. The adverse event profile remained consistent with previous reports. We continue to enroll patients in this study. We have redesigned our C-145-03 trial to include multiple cohorts, in order to allow for dosing of TIL therapies produced by multiple manufacturing methods, including our Gen 2 manufacturing process, our Generation 3, or Gen 3, manufacturing process, and our PD-1 selected TIL manufacturing process. Our PD-1 selected TIL manufacturing process is referred to as LN-145-S1.</w:t>
      </w:r>
    </w:p>
    <w:p>
      <w:pPr>
        <w:spacing w:after="0" w:line="166"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are also investigating the potential of our TIL therapies in earlier lines of treatment and in combination with pembrolizumab, and are studying LN-145 as a monotherapy in relapsed refractory non-small cell lung cancer, or NSCLC, patients. IOV-COM-202 is a Phase 2, multicenter trial that is composed of five cohorts which can enroll up to a total of 75 patients. In May 2019, we reported that the first patient was dosed in the IOV-COM-202 trial. In Cohort 1A, we are enrolling unresectable or metastatic melanoma patients who have not received prior immunotherapy, including checkpoint inhibitors such as anti-PD-1/anti-PD-L1 therapy. The patients receive lifileucel in combination with pembrolizumab. In Cohort 2A, we are enrolling advanced, recurrent, or metastatic head and neck squamous cell carcinoma, or HNSCC, patients who are naïve to prior immunotherapy including anti-PD-1/anti-PD-L1 therapy. The patients will receive LN-145 in combination with pembrolizumab. Cohort 3A is enrolling advanced or metastatic NSCLC patients who are naïve to prior immunotherapy including anti-PD-1/anti-PD-L1 therapy. The patients in Cohort 3A will receive LN-145 in combination with pembrolizumab. In Cohort 3B, we are enrolling NSCLC patients who have previously received systemic therapy which could include checkpoint inhibitors. The patients are receiving LN-145. In February 2020, we announced the addition of Cohort 1B to the IOV-COM-202 trial, for patients with melanoma whose disease has progressed following treatment with at least one systemic therapy, including a PD-1 inhibitor and if BRAF mutated, a BRAF inhibitor, or a combination of BRAF and MEK inhibitors. The patients will receive LN-145-S1. In addition to its ongoing enrollment in the U.S., the IOV-COM-202 trial has also received regulatory approval in Canada and in certain European countries. In October 2020, we disclosed an abstract that was accepted for presentation at the Society for Immunotherapy in Cancer, which included interim results from ongoing Cohort 2A of the IOV-COM-202 trial as follows. Nine HNSCC patients have received LN-145 plus pembrolizumab with a median duration of follow up of 6.9 months. Nine and eight patients were evaluable for safety and efficacy, respectively. Four patients had a confirmed, objective response with an ORR of 44% including 1 complete response and 3 partial responses. Median DOR was not reached. The</w:t>
      </w:r>
    </w:p>
    <w:p>
      <w:pPr>
        <w:sectPr>
          <w:pgSz w:w="11900" w:h="16838" w:orient="portrait"/>
          <w:cols w:equalWidth="0" w:num="1">
            <w:col w:w="9920"/>
          </w:cols>
          <w:pgMar w:left="980" w:top="665" w:right="99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disease control rate at data cutoff was 89% in 9 patients, and 7 of the 8 evaluable patients (87.5%) had a reduction in target lesions. The mean number of prior therapies was 1.1 with 89% of the patients having received prior chemotherapy. Four patients were human papilloma virus, or HPV, positive, two patients were HPV negative, and three patients had unknown HPV status. The treatment emergent adverse Event, or TEAE, profile was consistent with the underlying advanced disease and the known adverse event profiles of pembrolizumab, lymphodepletion, and IL-2 regimens. The most common TEAEs were chills, hypotension, anemia, thrombocytopenia, pyrexia, fatigue and tachycardia.</w:t>
      </w:r>
    </w:p>
    <w:p>
      <w:pPr>
        <w:spacing w:after="0" w:line="192"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In November 2019, we announced that our investigational new drug application, or IND,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Phase 1/2 clinical trial evaluating the safety and efficacy of IOV-2001 in patients with relapsed or refractory chronic lymphocytic leukemia or small lymphocytic leukemia. The IOV-CLL-01 trial is expected to enroll up to approximately 70 patients.</w:t>
      </w:r>
    </w:p>
    <w:p>
      <w:pPr>
        <w:spacing w:after="0" w:line="1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part of our collaboration program with the MD Anderson Cancer Center, or MDACC, two Phase 2 trials were initiated in 2018. Both trials are sponsored by MDACC. The first trial, NCT03449108, is intended to allow for investigation of LN-145 manufactured by Iovance using our manufacturing processes to treat patients with soft tissue sarcoma, osteosarcoma and platinum resistant ovarian cancer. A second trial under the collaboration with MDACC,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7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or Yale,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graph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142875</wp:posOffset>
            </wp:positionV>
            <wp:extent cx="6172200" cy="2657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61"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26" w:lineRule="exact"/>
        <w:rPr>
          <w:sz w:val="20"/>
          <w:szCs w:val="20"/>
          <w:color w:val="auto"/>
        </w:rPr>
      </w:pPr>
    </w:p>
    <w:p>
      <w:pPr>
        <w:ind w:right="120" w:firstLine="492"/>
        <w:spacing w:after="0" w:line="311" w:lineRule="auto"/>
        <w:rPr>
          <w:sz w:val="20"/>
          <w:szCs w:val="20"/>
          <w:color w:val="auto"/>
        </w:rPr>
      </w:pPr>
      <w:r>
        <w:rPr>
          <w:rFonts w:ascii="Arial" w:cs="Arial" w:eastAsia="Arial" w:hAnsi="Arial"/>
          <w:sz w:val="16"/>
          <w:szCs w:val="16"/>
          <w:color w:val="auto"/>
        </w:rPr>
        <w:t>We expect our research and development expenses to increase over the next couple of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recruiting fees, sign on, retention and special bonuses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38"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in 2020 as we continue to prepare for commercialization and support an expected increase in total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results from our interest-bearing cash and short term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did not generate any revenues during the three and nine months ended September 30, 2020 or September 30, 2019.</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r>
      <w:tr>
        <w:trPr>
          <w:trHeight w:val="42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$ 43,050</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$ 41,582</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1,468</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%$ 149,276</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$ 111,785</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37,491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89"/>
              </w:rPr>
              <w:t>Stock-based compensation expense included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 research and development expense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5,282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3,346</w:t>
            </w:r>
          </w:p>
        </w:tc>
        <w:tc>
          <w:tcPr>
            <w:tcW w:w="16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1,936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15,065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8,767</w:t>
            </w:r>
          </w:p>
        </w:tc>
        <w:tc>
          <w:tcPr>
            <w:tcW w:w="1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6,298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Research and development expense for the three months ended September 30, 2020 increased by $1.5 million, or 4%, compared to the same period in 2019. The increase was primarily attributable to (i) a $5.3 million increase in payroll and related expenses driven by a higher number of full-time research and development employees, and (ii) a $1.9 million increase in stock-based compensation expenses, which were partially offset by a $5.6 million decrease in manufacturing costs due to decreased production runs during the three months ended September 30, 2020.</w:t>
      </w:r>
    </w:p>
    <w:p>
      <w:pPr>
        <w:spacing w:after="0" w:line="147"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Research and development expense for the nine months ended September 30, 2020 increased by $37.5 million, or 34%, compared to the same period in 2019. The increase was primarily attributable to (i) a $15.2 million increase in payroll and related expenses driven by a higher number of full-time research and development employees, (ii) a $11.8 million increase in clinical trial costs due to an increase in enrollment across all the trials, (iii) a $10.0 million increase for the license to further develop IOV-3001 obtained from Novartis, and (iv) a $6.3 million increase in stock-based compensation expenses. These increases were partially offset by a $4.3 million decrease in manufacturing costs due to decreased production runs in 2020 due to completion of enrollment in the melanoma pivotal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104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91"/>
              </w:rPr>
              <w:t>Increase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$ 15,916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$ 10,029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$ 44,127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$ 29,977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14,150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included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 general and administrative</w:t>
            </w:r>
          </w:p>
        </w:tc>
        <w:tc>
          <w:tcPr>
            <w:tcW w:w="700" w:type="dxa"/>
            <w:vAlign w:val="bottom"/>
          </w:tcPr>
          <w:p>
            <w:pPr>
              <w:jc w:val="right"/>
              <w:spacing w:after="0"/>
              <w:rPr>
                <w:sz w:val="20"/>
                <w:szCs w:val="20"/>
                <w:color w:val="auto"/>
              </w:rPr>
            </w:pPr>
            <w:r>
              <w:rPr>
                <w:rFonts w:ascii="Arial" w:cs="Arial" w:eastAsia="Arial" w:hAnsi="Arial"/>
                <w:sz w:val="18"/>
                <w:szCs w:val="18"/>
                <w:color w:val="auto"/>
              </w:rPr>
              <w:t>5,424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3,252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15,590</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10,103</w:t>
            </w:r>
          </w:p>
        </w:tc>
        <w:tc>
          <w:tcPr>
            <w:tcW w:w="16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5,487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2020 increased by $5.9 million, or 59%, compared to the same period in 2019. The increase was primarily attributable to a $1.9 million increase in payroll and related expenses and a $2.2 million increase in stock-based compensation expenses driven by a higher number of full-time general and administrative employees and a higher average stock price.</w:t>
      </w:r>
    </w:p>
    <w:p>
      <w:pPr>
        <w:spacing w:after="0" w:line="146"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General and administrative expenses for the nine months ended September 30, 2020 increased by $14.2 million, or 47%, compared to the same period in 2019. The increase was primarily attributable to (i) a $5.4 million increase in payroll and related expenses driven by a higher number of full-time general and administrative employees and a higher average stock price, (ii) a $5.5 million increase in stock-based compensation expenses, and (iii) a $1.7 million increase in director’s and officer’s insurance premiums.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395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2,219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$ 7,774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34" w:lineRule="exact"/>
        <w:rPr>
          <w:sz w:val="20"/>
          <w:szCs w:val="20"/>
          <w:color w:val="auto"/>
        </w:rPr>
      </w:pPr>
    </w:p>
    <w:p>
      <w:pPr>
        <w:jc w:val="both"/>
        <w:ind w:right="40" w:firstLine="492"/>
        <w:spacing w:after="0" w:line="263" w:lineRule="auto"/>
        <w:rPr>
          <w:sz w:val="20"/>
          <w:szCs w:val="20"/>
          <w:color w:val="auto"/>
        </w:rPr>
      </w:pPr>
      <w:r>
        <w:rPr>
          <w:rFonts w:ascii="Arial" w:cs="Arial" w:eastAsia="Arial" w:hAnsi="Arial"/>
          <w:sz w:val="18"/>
          <w:szCs w:val="18"/>
          <w:color w:val="auto"/>
        </w:rPr>
        <w:t>Net interest income for the three and nine months ended September 30, 2020 and 2019 decreased by $1.7 million or 81% and $5.6 million or 71% respectively, due primarily to a decrease in interest rates for the three and nine months period ended September 30, 2020 as compared to the same periods in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Increase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gridSpan w:val="2"/>
          </w:tcPr>
          <w:p>
            <w:pPr>
              <w:ind w:left="260"/>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(Decrease)</w:t>
            </w:r>
          </w:p>
        </w:tc>
        <w:tc>
          <w:tcPr>
            <w:tcW w:w="188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(Decrease)</w:t>
            </w:r>
          </w:p>
        </w:tc>
      </w:tr>
      <w:tr>
        <w:trPr>
          <w:trHeight w:val="142"/>
        </w:trPr>
        <w:tc>
          <w:tcPr>
            <w:tcW w:w="38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42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$ 58,571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$ 49,487</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9,084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18 % $ 191,184</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$ 133,988</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57,196</w:t>
            </w:r>
          </w:p>
        </w:tc>
        <w:tc>
          <w:tcPr>
            <w:tcW w:w="16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43 %</w:t>
            </w:r>
          </w:p>
        </w:tc>
      </w:tr>
    </w:tbl>
    <w:p>
      <w:pPr>
        <w:spacing w:after="0" w:line="202"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Net loss for the three and nine months ended September 30, 2020 increased by $9.1 million or 18% and $57.2 million or 43% compared to the same periods in 2019.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and commercial preparation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2020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47" w:lineRule="exact"/>
        <w:rPr>
          <w:sz w:val="20"/>
          <w:szCs w:val="20"/>
          <w:color w:val="auto"/>
        </w:rPr>
      </w:pPr>
    </w:p>
    <w:p>
      <w:pPr>
        <w:ind w:right="140" w:firstLine="492"/>
        <w:spacing w:after="0" w:line="272" w:lineRule="auto"/>
        <w:rPr>
          <w:sz w:val="20"/>
          <w:szCs w:val="20"/>
          <w:color w:val="auto"/>
        </w:rPr>
      </w:pPr>
      <w:r>
        <w:rPr>
          <w:rFonts w:ascii="Arial" w:cs="Arial" w:eastAsia="Arial" w:hAnsi="Arial"/>
          <w:sz w:val="17"/>
          <w:szCs w:val="17"/>
          <w:color w:val="auto"/>
        </w:rPr>
        <w:t>On December 28, 2017, we filed a shelf registration statement, or the 2017 Shelf Registration Statement, with the SEC, for the issuance of common stock, preferred stock, warrants, rights, debt securities and units, which we refer to collectively as Shelf Securities, up to an aggregate amount of $250 million.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37"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up to an aggregate amount of $250 million of Shelf Securities,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under the Securities Act of 1933, as amended.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51"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On September 17, 2019, we filed a shelf registration statement with the SEC for the issuance of up to an aggregate amount of $400 million of Shelf Securities,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4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pacing w:after="0" w:line="146"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On June 2, 2020, we sold 19,475,806 shares of our common stock at a public offering price of $31.0 per share pursuant to the 2020 Automatic Shelf Registration Statement.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44" w:lineRule="exact"/>
        <w:rPr>
          <w:sz w:val="20"/>
          <w:szCs w:val="20"/>
          <w:color w:val="auto"/>
        </w:rPr>
      </w:pPr>
    </w:p>
    <w:p>
      <w:pPr>
        <w:ind w:right="260" w:firstLine="492"/>
        <w:spacing w:after="0" w:line="342" w:lineRule="auto"/>
        <w:rPr>
          <w:sz w:val="20"/>
          <w:szCs w:val="20"/>
          <w:color w:val="auto"/>
        </w:rPr>
      </w:pPr>
      <w:r>
        <w:rPr>
          <w:rFonts w:ascii="Arial" w:cs="Arial" w:eastAsia="Arial" w:hAnsi="Arial"/>
          <w:sz w:val="16"/>
          <w:szCs w:val="16"/>
          <w:color w:val="auto"/>
        </w:rPr>
        <w:t>In the future, we may periodically offer one or more of the Shelf Securities in amounts, prices and terms to be announced when and if the securities are offered. If any of the Shelf Securities covered by the 2020 Automatic Shelf Registration Statement are offered</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sale, a prospectus supplement will be prepared and filed with the SEC containing specific information about the terms of such offering at that time.</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significant revenues from the sale or licensing of any products during the 12 months from the date these financial statements are issued. We have incurred a net loss of $191.2 million for the nine months ended September 30, 2020 and used $142.4 million of cash in our operating activities for the nine months ended September 30, 2020. As of September 30, 2020, we had $68.3 million of cash and cash equivalents, $645.8 million of short-term investments, $5.5 million of restricted cash, $711.8 million of stockholders’ equity and had working capital of $659.2 million.</w:t>
      </w:r>
    </w:p>
    <w:p>
      <w:pPr>
        <w:spacing w:after="0" w:line="168"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We expect to continue our research and development activities, initiate pre-commercial activities and to begin construction on our tenant improvements to our new production facility, which will increase the amount of cash we will use during 2020 and beyond. Specifically, we expect continued spending on clinical trials, research and development activities, higher payroll expenses as we increase our professional, commercial and scientific staff and continue our expansion of manufacturing activities including building our own facility. Based on the funds we have available as of the date of filing of this Quarterly Report on Form 10-Q, and after consideration of the possible impacts of the COVID-19 Pandemic, we believe that we have sufficient capital to fund our anticipated operating expenses and capital expenditure for at least the next 12 months from the date of filing this report.</w:t>
      </w:r>
    </w:p>
    <w:p>
      <w:pPr>
        <w:spacing w:after="0" w:line="13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(142,442)</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(105,067)</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63,211</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160" w:type="dxa"/>
            <w:vAlign w:val="bottom"/>
            <w:tcBorders>
              <w:bottom w:val="single" w:sz="8" w:color="CCEEFF"/>
            </w:tcBorders>
          </w:tcPr>
          <w:p>
            <w:pPr>
              <w:spacing w:after="0"/>
              <w:rPr>
                <w:sz w:val="18"/>
                <w:szCs w:val="18"/>
                <w:color w:val="auto"/>
              </w:rPr>
            </w:pP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380" w:firstLine="492"/>
        <w:spacing w:after="0" w:line="286" w:lineRule="auto"/>
        <w:rPr>
          <w:sz w:val="20"/>
          <w:szCs w:val="20"/>
          <w:color w:val="auto"/>
        </w:rPr>
      </w:pPr>
      <w:r>
        <w:rPr>
          <w:rFonts w:ascii="Arial" w:cs="Arial" w:eastAsia="Arial" w:hAnsi="Arial"/>
          <w:sz w:val="17"/>
          <w:szCs w:val="17"/>
          <w:color w:val="auto"/>
        </w:rPr>
        <w:t>Net cash used in operating activities for the nine months ended September 30, 2020 was $142.4 million compared to $105.1 million for the same period in 2019. The increase of $37.4 million was primarily due to increased costs in research and development activities. Included in $37.4 million was the $10.0 million upfront payment we paid for IOV-3001.</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Net cash used in investing activities for the nine months ended September 30, 2020 was $376.6 million compared to net cash provided by investing activities of $63.2 million for the same period in 2019. The increase in cash used in investing activities of $439.8 million was primarily due to the purchase of short-term investments to invest the net proceeds from our June 2020 public offering.</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2020 was $573.5 million compared to $4.0 million for the same period in 2019. The increase of $569.4 million was primarily due to net proceeds of $567.0 million from our June 2020 public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CARES Act</w:t>
      </w:r>
    </w:p>
    <w:p>
      <w:pPr>
        <w:spacing w:after="0" w:line="18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CARES Act, among other things, permits net operating losses, or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which we refer to herein as the COVID-19 Pandemic. The Secretary of Health and Human Services declared a public health emergency on January 31, 2020, under section 319 of the Public Health Service Act (42 U.S.C. 247d), in response to the COVID-19 Pandemic.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85" w:lineRule="exact"/>
        <w:rPr>
          <w:sz w:val="20"/>
          <w:szCs w:val="20"/>
          <w:color w:val="auto"/>
        </w:rPr>
      </w:pPr>
    </w:p>
    <w:p>
      <w:pPr>
        <w:ind w:right="260" w:firstLine="492"/>
        <w:spacing w:after="0" w:line="269"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9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46"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fiscal year ending December 31, 2020.</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2020, we had no obligations that would require disclosure as 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9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311"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At September 30, 2020, we had $645.8 million invested in short-term marketable securities with a maturity date of less than one year. As such we believe that we are not exposed to any material market risk. If interest rates had varied by 1% in the three months ended September 30, 2020, the fair value of our investment portfolio would increase or decrease by approximately $2.2 million.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September 30, 2020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8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8 to our Condensed Consolidated Financial Statements for the quarter ended September 30, 2020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0">
        <w:r>
          <w:rPr>
            <w:rFonts w:ascii="Arial" w:cs="Arial" w:eastAsia="Arial" w:hAnsi="Arial"/>
            <w:sz w:val="18"/>
            <w:szCs w:val="18"/>
            <w:i w:val="1"/>
            <w:iCs w:val="1"/>
            <w:u w:val="single" w:color="auto"/>
            <w:color w:val="0000EE"/>
          </w:rPr>
          <w:t>Annual Report on Form 10-K for the year ended December 31, 2019 filed on February 25, 2020,</w:t>
        </w:r>
      </w:hyperlink>
      <w:r>
        <w:rPr>
          <w:rFonts w:ascii="Arial" w:cs="Arial" w:eastAsia="Arial" w:hAnsi="Arial"/>
          <w:sz w:val="18"/>
          <w:szCs w:val="18"/>
          <w:i w:val="1"/>
          <w:iCs w:val="1"/>
          <w:color w:val="auto"/>
        </w:rPr>
        <w:t xml:space="preserve"> including our financial statements and related notes, and our other filings from time to time with the Securities and Exchange Commission or SEC.</w:t>
      </w:r>
    </w:p>
    <w:p>
      <w:pPr>
        <w:spacing w:after="0" w:line="165"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September 30, 2020, we had an accumulated deficit of $761.8 million. In addition, during the nine months ended September 30, 2020, we incurred a net loss of $191.2 million. Since our inception we have not generated any revenues from operations. We are preparing for the commercial launch of our products, if approved, in 2021.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43"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43"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38"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97"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7"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17"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68"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metastatic cervical cancer. FDA may also consider its approvals of competing products, which may alter the treatment 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43"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43" w:lineRule="exact"/>
        <w:rPr>
          <w:sz w:val="20"/>
          <w:szCs w:val="20"/>
          <w:color w:val="auto"/>
        </w:rPr>
      </w:pPr>
    </w:p>
    <w:p>
      <w:pPr>
        <w:ind w:left="820" w:right="540" w:hanging="320"/>
        <w:spacing w:after="0" w:line="258"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45"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65"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46"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46" w:lineRule="exact"/>
        <w:rPr>
          <w:sz w:val="20"/>
          <w:szCs w:val="20"/>
          <w:color w:val="auto"/>
        </w:rPr>
      </w:pPr>
    </w:p>
    <w:p>
      <w:pPr>
        <w:ind w:right="60" w:firstLine="492"/>
        <w:spacing w:after="0" w:line="342"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17"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60"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0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20" w:firstLine="8"/>
        <w:spacing w:after="0" w:line="268" w:lineRule="auto"/>
        <w:tabs>
          <w:tab w:leader="none" w:pos="27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May 2020, we disclosed interim results for Cohort 4 of the C-144-01 clinical trial. Although the data is highly consistent with the Cohort 2 data read out at a similar median duration of study follow up, the interim results speak only to data available as of March 16, 2020, and although such data have been reviewed by the investigators, they have not been reviewed by IRC.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40" w:lineRule="exact"/>
        <w:rPr>
          <w:rFonts w:ascii="Arial" w:cs="Arial" w:eastAsia="Arial" w:hAnsi="Arial"/>
          <w:sz w:val="17"/>
          <w:szCs w:val="17"/>
          <w:color w:val="auto"/>
        </w:rPr>
      </w:pPr>
    </w:p>
    <w:p>
      <w:pPr>
        <w:ind w:left="820" w:right="200" w:hanging="320"/>
        <w:spacing w:after="0" w:line="255" w:lineRule="auto"/>
        <w:tabs>
          <w:tab w:leader="none" w:pos="814" w:val="left"/>
        </w:tabs>
        <w:numPr>
          <w:ilvl w:val="1"/>
          <w:numId w:val="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380" w:hanging="320"/>
        <w:spacing w:after="0" w:line="250" w:lineRule="auto"/>
        <w:tabs>
          <w:tab w:leader="none" w:pos="81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hanging="320"/>
        <w:spacing w:after="0" w:line="250" w:lineRule="auto"/>
        <w:tabs>
          <w:tab w:leader="none" w:pos="81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240" w:hanging="320"/>
        <w:spacing w:after="0" w:line="281" w:lineRule="auto"/>
        <w:tabs>
          <w:tab w:leader="none" w:pos="814" w:val="left"/>
        </w:tabs>
        <w:numPr>
          <w:ilvl w:val="1"/>
          <w:numId w:val="4"/>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hanging="320"/>
        <w:spacing w:after="0" w:line="281" w:lineRule="auto"/>
        <w:tabs>
          <w:tab w:leader="none" w:pos="814" w:val="left"/>
        </w:tabs>
        <w:numPr>
          <w:ilvl w:val="1"/>
          <w:numId w:val="4"/>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jc w:val="both"/>
        <w:ind w:left="820" w:right="60" w:hanging="320"/>
        <w:spacing w:after="0" w:line="253" w:lineRule="auto"/>
        <w:tabs>
          <w:tab w:leader="none" w:pos="81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or from different interpretations of investigator results by IRC;</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line="258"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20" w:right="1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34"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52"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7"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19"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30"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8" w:lineRule="exact"/>
        <w:rPr>
          <w:sz w:val="20"/>
          <w:szCs w:val="20"/>
          <w:color w:val="auto"/>
        </w:rPr>
      </w:pPr>
    </w:p>
    <w:p>
      <w:pPr>
        <w:ind w:right="20" w:firstLine="492"/>
        <w:spacing w:after="0" w:line="308" w:lineRule="auto"/>
        <w:rPr>
          <w:sz w:val="20"/>
          <w:szCs w:val="20"/>
          <w:color w:val="auto"/>
        </w:rPr>
      </w:pPr>
      <w:r>
        <w:rPr>
          <w:rFonts w:ascii="Arial" w:cs="Arial" w:eastAsia="Arial" w:hAnsi="Arial"/>
          <w:sz w:val="17"/>
          <w:szCs w:val="17"/>
          <w:color w:val="auto"/>
        </w:rPr>
        <w:t>Furthermore, the timely completion of clinical trials in accordance with their protocols depends, among other things, on our ability to enroll a sufficient number of patients who remain in the study until its conclusion, including the ability of us or our</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4"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52"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8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5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820" w:right="1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120" w:hanging="320"/>
        <w:spacing w:after="0" w:line="26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20"/>
        <w:spacing w:after="0" w:line="253"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3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to occur in 2021.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27"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candidates, if approved. The commercial terms of any new arrangement could be less favorable than our existing arrangements and the expenses relating to the transfer of necessary technology and processes could be significant.</w:t>
      </w:r>
    </w:p>
    <w:p>
      <w:pPr>
        <w:spacing w:after="0" w:line="130"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6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42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80" w:hanging="320"/>
        <w:spacing w:after="0" w:line="26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30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right="240" w:firstLine="486"/>
        <w:spacing w:after="0" w:line="289" w:lineRule="auto"/>
        <w:rPr>
          <w:sz w:val="20"/>
          <w:szCs w:val="20"/>
          <w:color w:val="auto"/>
        </w:rPr>
      </w:pPr>
      <w:r>
        <w:rPr>
          <w:rFonts w:ascii="Arial" w:cs="Arial" w:eastAsia="Arial" w:hAnsi="Arial"/>
          <w:sz w:val="16"/>
          <w:szCs w:val="16"/>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FDA and other regulatory authority inspections following marketing approval. Further, we, in cooperation with our CMOs, must supply all necessary chemistry, manufacturing, and control documentation in support of a BLA on a timely basis. There is no guarantee that us or our CMOs will be able to successfully pass all aspects of a pre-approval inspection by the FDA or other foreign regulatory authorities.</w:t>
      </w:r>
    </w:p>
    <w:p>
      <w:pPr>
        <w:spacing w:after="0" w:line="12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w:t>
      </w:r>
    </w:p>
    <w:p>
      <w:pPr>
        <w:sectPr>
          <w:pgSz w:w="11900" w:h="16838" w:orient="portrait"/>
          <w:cols w:equalWidth="0" w:num="1">
            <w:col w:w="9880"/>
          </w:cols>
          <w:pgMar w:left="980" w:top="665" w:right="1039" w:bottom="1440" w:gutter="0" w:footer="0" w:header="0"/>
        </w:sect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4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5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5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9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46" w:lineRule="exact"/>
        <w:rPr>
          <w:sz w:val="20"/>
          <w:szCs w:val="20"/>
          <w:color w:val="auto"/>
        </w:rPr>
      </w:pPr>
    </w:p>
    <w:p>
      <w:pPr>
        <w:ind w:left="820" w:hanging="320"/>
        <w:spacing w:after="0" w:line="277"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ectPr>
          <w:pgSz w:w="11900" w:h="16838" w:orient="portrait"/>
          <w:cols w:equalWidth="0" w:num="1">
            <w:col w:w="9900"/>
          </w:cols>
          <w:pgMar w:left="980" w:top="665" w:right="101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540" w:hanging="320"/>
        <w:spacing w:after="0" w:line="258"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1"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38"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2017-2019, we announced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4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jc w:val="both"/>
        <w:ind w:right="200" w:firstLine="486"/>
        <w:spacing w:after="0" w:line="301" w:lineRule="auto"/>
        <w:rPr>
          <w:sz w:val="20"/>
          <w:szCs w:val="20"/>
          <w:color w:val="auto"/>
        </w:rPr>
      </w:pPr>
      <w:r>
        <w:rPr>
          <w:rFonts w:ascii="Arial" w:cs="Arial" w:eastAsia="Arial" w:hAnsi="Arial"/>
          <w:sz w:val="16"/>
          <w:szCs w:val="16"/>
          <w:color w:val="auto"/>
        </w:rPr>
        <w:t>Our operations have consumed substantial amounts of cash since inception. From our inception to September 30, 2020, we have an accumulated deficit of $761.8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million. In October 2018, we closed an underwritten public offering of our common stock. The net proceeds from the offering, after deducting the underwriting discounts and commissions and other offering expenses payable by us, were $236.7 million. In June 2020, we closed an underwritten offering of our common stock. The net proceeds from the offering, after deducting the underwriting discounts and commissions and other offering expenses payable by us, were $567.0 million. In addition to our continued spending for our product candidates, we expect to spend approximately $75 million to $85 million over the next three years for equipment and construction costs for our commercial-scale production facility under construction in Philadelphia, Pennsylvania, for which we have latitude as to the timing and amount of expenditures. As of September 30, 2020, we had $719.7 million in cash, cash equivalents and short-term investments ($68.3 million of cash and cash equivalents and $645.8 million in short-term investments and $5.5 million in restricted cash).</w:t>
      </w:r>
    </w:p>
    <w:p>
      <w:pPr>
        <w:spacing w:after="0" w:line="1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6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00" w:hanging="320"/>
        <w:spacing w:after="0" w:line="258"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9" w:lineRule="exact"/>
        <w:rPr>
          <w:rFonts w:ascii="Arial" w:cs="Arial" w:eastAsia="Arial" w:hAnsi="Arial"/>
          <w:sz w:val="18"/>
          <w:szCs w:val="18"/>
          <w:color w:val="auto"/>
        </w:rPr>
      </w:pPr>
    </w:p>
    <w:p>
      <w:pPr>
        <w:ind w:left="820" w:right="68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60" w:hanging="320"/>
        <w:spacing w:after="0" w:line="26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4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54"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may not use them effectively.</w:t>
      </w:r>
    </w:p>
    <w:p>
      <w:pPr>
        <w:spacing w:after="0" w:line="157"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2019, we had U.S. federal net operating loss carryforwards of approximately $426.7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5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have performed an analysis under Section 382 of the Code as of December 31, 2018. Per the analysis, the May 2013 recapitalization, and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3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47"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83"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2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our facilities or any of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9"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Bristol-Myers Squibb,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30"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52"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48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6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27"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60"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right="20" w:hanging="320"/>
        <w:spacing w:after="0" w:line="277"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40" w:hanging="320"/>
        <w:spacing w:after="0" w:line="255"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0"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ectPr>
          <w:pgSz w:w="11900" w:h="16838" w:orient="portrait"/>
          <w:cols w:equalWidth="0" w:num="1">
            <w:col w:w="9860"/>
          </w:cols>
          <w:pgMar w:left="980" w:top="665" w:right="1059"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We were granted Fast Track designation by the FDA for lifileucel in metastatic melanoma and metastatic cervical cancer. We were granted Breakthrough Therapy designation, or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08"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We received orphan drug designation in the United States for lifileucel to treat malignant melanoma stages IIB-IV and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28"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60"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51"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00" w:hanging="320"/>
        <w:spacing w:after="0" w:line="291" w:lineRule="auto"/>
        <w:tabs>
          <w:tab w:leader="none" w:pos="8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0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45"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3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3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3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3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98"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46"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disease caused by the novel coronavirus, SARS-CoV-2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and at our manufacturing facility in Philadelphia, which are currently subject to state executive orders and shelter-in-place orders, and at our clinical trial sites, as well as the business or operations of our other manufacturers, CROs or other third parties with whom we conduct business.*</w:t>
      </w:r>
    </w:p>
    <w:p>
      <w:pPr>
        <w:spacing w:after="0" w:line="124"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United States and several European countries. Our headquarters is located in the San Francisco Bay Area. The President of the United States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United States.</w:t>
      </w:r>
    </w:p>
    <w:p>
      <w:pPr>
        <w:spacing w:after="0" w:line="121"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United States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w:t>
      </w:r>
    </w:p>
    <w:p>
      <w:pPr>
        <w:spacing w:after="0" w:line="15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Should the COVID-19 Pandemic continue for an extended period of time and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w:t>
      </w:r>
    </w:p>
    <w:p>
      <w:pPr>
        <w:spacing w:after="0" w:line="13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49"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 the California Consumer Privacy Act, or CCPA</w:t>
      </w:r>
    </w:p>
    <w:p>
      <w:pPr>
        <w:spacing w:after="0" w:line="2" w:lineRule="exact"/>
        <w:rPr>
          <w:sz w:val="20"/>
          <w:szCs w:val="20"/>
          <w:color w:val="auto"/>
        </w:rPr>
      </w:pPr>
    </w:p>
    <w:p>
      <w:pPr>
        <w:ind w:right="20" w:firstLine="8"/>
        <w:spacing w:after="0" w:line="292" w:lineRule="auto"/>
        <w:tabs>
          <w:tab w:leader="none" w:pos="1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The California Attorney General will issue final regulations. Although the law includes limited exceptions, including for certain information collected as part of clinical trials as specified in the law, it may regulate or impact</w:t>
      </w:r>
    </w:p>
    <w:p>
      <w:pPr>
        <w:sectPr>
          <w:pgSz w:w="11900" w:h="16838" w:orient="portrait"/>
          <w:cols w:equalWidth="0" w:num="1">
            <w:col w:w="9920"/>
          </w:cols>
          <w:pgMar w:left="980" w:top="665"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our processing of personal information depending on the context. It remains unclear what language the final Attorney General regulations will contain, or how the statute and regulations will be interpreted.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33"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25"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08"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9"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6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20" w:hanging="320"/>
        <w:spacing w:after="0" w:line="277"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30"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51" w:lineRule="exact"/>
        <w:rPr>
          <w:sz w:val="20"/>
          <w:szCs w:val="20"/>
          <w:color w:val="auto"/>
        </w:rPr>
      </w:pPr>
    </w:p>
    <w:p>
      <w:pPr>
        <w:ind w:right="6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4"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may it more difficult for us to raise capital in future private and public offerings. We currently anticipate that we may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have ended as of April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 xml:space="preserve">Shortly after the SEC announced settlements with us, with other public companies, and with unrelated parties in the </w:t>
      </w:r>
      <w:r>
        <w:rPr>
          <w:rFonts w:ascii="Arial" w:cs="Arial" w:eastAsia="Arial" w:hAnsi="Arial"/>
          <w:sz w:val="17"/>
          <w:szCs w:val="17"/>
          <w:i w:val="1"/>
          <w:iCs w:val="1"/>
          <w:color w:val="auto"/>
        </w:rPr>
        <w:t>In the Matter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Certain Stock Promotions </w:t>
      </w:r>
      <w:r>
        <w:rPr>
          <w:rFonts w:ascii="Arial" w:cs="Arial" w:eastAsia="Arial" w:hAnsi="Arial"/>
          <w:sz w:val="17"/>
          <w:szCs w:val="17"/>
          <w:color w:val="auto"/>
        </w:rPr>
        <w:t>investigation, two securities class action complaints were filed in the U.S. District Court for the Northern</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7"/>
          <w:szCs w:val="17"/>
          <w:i w:val="1"/>
          <w:iCs w:val="1"/>
          <w:color w:val="auto"/>
        </w:rPr>
        <w:t>Jay Rabkin v. Lion Biotechnologies, Inc., et al.,</w:t>
      </w:r>
      <w:r>
        <w:rPr>
          <w:rFonts w:ascii="Arial" w:cs="Arial" w:eastAsia="Arial" w:hAnsi="Arial"/>
          <w:sz w:val="17"/>
          <w:szCs w:val="17"/>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60"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 xml:space="preserve">In the Matter of Certain Stock Promotions </w:t>
      </w:r>
      <w:r>
        <w:rPr>
          <w:rFonts w:ascii="Arial" w:cs="Arial" w:eastAsia="Arial" w:hAnsi="Arial"/>
          <w:sz w:val="16"/>
          <w:szCs w:val="16"/>
          <w:color w:val="auto"/>
        </w:rPr>
        <w:t>matter and our April 10, 2017 settlement thereof, and seeks unspecified damages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company and injunctive 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The consolidated cases are titled </w:t>
      </w:r>
      <w:r>
        <w:rPr>
          <w:rFonts w:ascii="Arial" w:cs="Arial" w:eastAsia="Arial" w:hAnsi="Arial"/>
          <w:sz w:val="16"/>
          <w:szCs w:val="16"/>
          <w:i w:val="1"/>
          <w:iCs w:val="1"/>
          <w:color w:val="auto"/>
        </w:rPr>
        <w:t>In re Iovance Biotherapeutics, Inc. Stockholder Derivative Litigation</w:t>
      </w:r>
      <w:r>
        <w:rPr>
          <w:rFonts w:ascii="Arial" w:cs="Arial" w:eastAsia="Arial" w:hAnsi="Arial"/>
          <w:sz w:val="16"/>
          <w:szCs w:val="16"/>
          <w:color w:val="auto"/>
        </w:rPr>
        <w:t xml:space="preserve"> (lead case no. 17-cv-1806). We agreed to a proposed settlement in this matter on January 28, 2020, which was given preliminary approval by the court on April 24, 2020 and final approval by the court on July 2, 2020. We do not expect to incur any significant costs or expenses in connection with this settlement. The court retains jurisdiction over the parties in the case for the purposes of administration, interpretation, implementation, and enforcement of the settlement, and related matters.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late 2020.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to occur in 2021. Accordingly, the regulatory approval pathway for our product candidates may be uncertain, complex, expensive and lengthy, and approval may not be obtained.</w:t>
      </w:r>
    </w:p>
    <w:p>
      <w:pPr>
        <w:spacing w:after="0" w:line="16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 or</w:t>
      </w:r>
    </w:p>
    <w:p>
      <w:pPr>
        <w:ind w:left="820" w:right="100" w:hanging="320"/>
        <w:spacing w:after="0" w:line="26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5" w:lineRule="exact"/>
        <w:rPr>
          <w:sz w:val="20"/>
          <w:szCs w:val="20"/>
          <w:color w:val="auto"/>
        </w:rPr>
      </w:pPr>
    </w:p>
    <w:p>
      <w:pPr>
        <w:ind w:right="26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6" w:lineRule="exact"/>
        <w:rPr>
          <w:sz w:val="20"/>
          <w:szCs w:val="20"/>
          <w:color w:val="auto"/>
        </w:rPr>
      </w:pPr>
    </w:p>
    <w:p>
      <w:pPr>
        <w:jc w:val="both"/>
        <w:ind w:right="220" w:firstLine="492"/>
        <w:spacing w:after="0" w:line="311" w:lineRule="auto"/>
        <w:rPr>
          <w:sz w:val="20"/>
          <w:szCs w:val="20"/>
          <w:color w:val="auto"/>
        </w:rPr>
      </w:pPr>
      <w:r>
        <w:rPr>
          <w:rFonts w:ascii="Arial" w:cs="Arial" w:eastAsia="Arial" w:hAnsi="Arial"/>
          <w:sz w:val="16"/>
          <w:szCs w:val="16"/>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28"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65"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9"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25" w:lineRule="exact"/>
        <w:rPr>
          <w:sz w:val="20"/>
          <w:szCs w:val="20"/>
          <w:color w:val="auto"/>
        </w:rPr>
      </w:pPr>
    </w:p>
    <w:p>
      <w:pPr>
        <w:ind w:left="820" w:right="300" w:hanging="320"/>
        <w:spacing w:after="0" w:line="258"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80" w:hanging="320"/>
        <w:spacing w:after="0" w:line="26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97"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2" w:lineRule="exact"/>
        <w:rPr>
          <w:sz w:val="20"/>
          <w:szCs w:val="20"/>
          <w:color w:val="auto"/>
        </w:rPr>
      </w:pPr>
    </w:p>
    <w:p>
      <w:pPr>
        <w:jc w:val="both"/>
        <w:ind w:right="54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69"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ind w:right="18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substantiate any claims that we make for our products including claims comparing our products to other companies’ products and must abide by the FDA’s strict requirements regarding the content of promotion and advertising.</w:t>
      </w:r>
    </w:p>
    <w:p>
      <w:pPr>
        <w:spacing w:after="0" w:line="130"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3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3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4" w:lineRule="exact"/>
        <w:rPr>
          <w:sz w:val="20"/>
          <w:szCs w:val="20"/>
          <w:color w:val="auto"/>
        </w:rPr>
      </w:pPr>
    </w:p>
    <w:p>
      <w:pPr>
        <w:ind w:right="36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57" w:lineRule="exact"/>
        <w:rPr>
          <w:sz w:val="20"/>
          <w:szCs w:val="20"/>
          <w:color w:val="auto"/>
        </w:rPr>
      </w:pPr>
    </w:p>
    <w:p>
      <w:pPr>
        <w:ind w:right="460" w:firstLine="492"/>
        <w:spacing w:after="0" w:line="342" w:lineRule="auto"/>
        <w:rPr>
          <w:sz w:val="20"/>
          <w:szCs w:val="20"/>
          <w:color w:val="auto"/>
        </w:rPr>
      </w:pPr>
      <w:r>
        <w:rPr>
          <w:rFonts w:ascii="Arial" w:cs="Arial" w:eastAsia="Arial" w:hAnsi="Arial"/>
          <w:sz w:val="16"/>
          <w:szCs w:val="16"/>
          <w:color w:val="auto"/>
        </w:rPr>
        <w:t>Government authorities and third-party payors decide which drugs and treatments they will cover and the amount of reimbursement. Coverage decisions may depend upon clinical and economic standards that disfavor new drug products when more</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37"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4"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1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5" w:lineRule="exact"/>
        <w:rPr>
          <w:sz w:val="20"/>
          <w:szCs w:val="20"/>
          <w:color w:val="auto"/>
        </w:rPr>
      </w:pPr>
    </w:p>
    <w:p>
      <w:pPr>
        <w:ind w:right="10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6"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might not be available to enable us to maintain price levels sufficient to realize an appropriate return on investment in product development.</w:t>
      </w:r>
    </w:p>
    <w:p>
      <w:pPr>
        <w:spacing w:after="0" w:line="130"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54"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51"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5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It is unclear how the eventual decision from this appeal, subsequent appeals, and other efforts to repeal and replace the ACA will impact the ACA and our business.</w:t>
      </w:r>
    </w:p>
    <w:p>
      <w:pPr>
        <w:spacing w:after="0" w:line="14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21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0"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4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prescribed time limits, non-payment of fees and failure to properly legalize and submit formal documents. In such an event, our competitors might be able to enter the market, which would have a material adverse effect on our business.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3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98"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3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43"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4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43"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2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43"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elections of directors, amendments to our certificate of incorporation or bylaws, or approval of any merger, sale of assets, or other major corporate transaction. This level of control may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prevent or discourage unsolicited acquisition proposals or offers for our common stock that you may believe are in your best interest as one of our stockholders.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198" w:lineRule="exact"/>
        <w:rPr>
          <w:sz w:val="20"/>
          <w:szCs w:val="20"/>
          <w:color w:val="auto"/>
        </w:rPr>
      </w:pPr>
    </w:p>
    <w:p>
      <w:pPr>
        <w:ind w:right="220" w:firstLine="535"/>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30" w:lineRule="exact"/>
        <w:rPr>
          <w:sz w:val="20"/>
          <w:szCs w:val="20"/>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80" w:hanging="319"/>
        <w:spacing w:after="0" w:line="260"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2020.</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198"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8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As of September 30, 2020, we had 146,581,624 shares of common stock outstanding. In addition, we had 16,447,000 shares of common stock equivalents that would increase the number of common stock outstanding if these instruments were exercised or 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at our 2019 Annual Meeting of Stockholders held on June 10, 2019.</w:t>
      </w:r>
    </w:p>
    <w:p>
      <w:pPr>
        <w:spacing w:after="0" w:line="126"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30"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65"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38"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43"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38"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7" w:lineRule="exact"/>
        <w:rPr>
          <w:sz w:val="20"/>
          <w:szCs w:val="20"/>
          <w:color w:val="auto"/>
        </w:rPr>
      </w:pPr>
    </w:p>
    <w:p>
      <w:pPr>
        <w:jc w:val="both"/>
        <w:ind w:right="6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43"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28"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43"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United States of America shall be the exclusive forum for the resolution of any complaint asserting a cause of action under the Securities Act. This provision limits the ability of our shareholders to bring claims under the Securities Act in any court other than the United States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25"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30"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In July 2020, we entered into a Severance Agreement and General Release with Timothy Morris, our former Chief Financial Officer, effective as of July 8, 2020, pursuant to which Mr. Morris received the severance payment described in Section 6.2 of his Executive Employment Agreement effective August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5" w:right="11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120" w:type="dxa"/>
            <w:vAlign w:val="bottom"/>
            <w:gridSpan w:val="6"/>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520" w:type="dxa"/>
            <w:vAlign w:val="bottom"/>
            <w:gridSpan w:val="3"/>
          </w:tcPr>
          <w:p>
            <w:pPr>
              <w:ind w:left="164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auto"/>
            </w:tcBorders>
            <w:gridSpan w:val="4"/>
          </w:tcPr>
          <w:p>
            <w:pPr>
              <w:spacing w:after="0" w:line="169"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Severance Agreement and General Release, effective July 8, 2020, between Iovance Biotherapeutics, Inc. and Timothy</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Morris (incorporated herein by reference to Exhibit 10.4 to the Registrants Quarterly Report on Form 10-Q filed with the</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Commission on August 6, 2020).</w:t>
              </w:r>
            </w:hyperlink>
          </w:p>
        </w:tc>
        <w:tc>
          <w:tcPr>
            <w:tcW w:w="6520" w:type="dxa"/>
            <w:vAlign w:val="bottom"/>
            <w:gridSpan w:val="3"/>
          </w:tcPr>
          <w:p>
            <w:pPr>
              <w:spacing w:after="0"/>
              <w:rPr>
                <w:sz w:val="17"/>
                <w:szCs w:val="17"/>
                <w:color w:val="auto"/>
              </w:rPr>
            </w:pP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8920" w:type="dxa"/>
            <w:vAlign w:val="bottom"/>
            <w:gridSpan w:val="5"/>
          </w:tcPr>
          <w:p>
            <w:pPr>
              <w:spacing w:after="0"/>
              <w:rPr>
                <w:rFonts w:ascii="Arial" w:cs="Arial" w:eastAsia="Arial" w:hAnsi="Arial"/>
                <w:sz w:val="18"/>
                <w:szCs w:val="18"/>
                <w:color w:val="0000EE"/>
              </w:rPr>
            </w:pPr>
            <w:hyperlink w:anchor="page84">
              <w:r>
                <w:rPr>
                  <w:rFonts w:ascii="Arial" w:cs="Arial" w:eastAsia="Arial" w:hAnsi="Arial"/>
                  <w:sz w:val="18"/>
                  <w:szCs w:val="18"/>
                  <w:u w:val="single" w:color="auto"/>
                  <w:color w:val="0000EE"/>
                </w:rPr>
                <w:t>Rule 13a-14(a)/15d-14(a) Certification of Chief Executive Officer</w:t>
              </w:r>
              <w:r>
                <w:rPr>
                  <w:rFonts w:ascii="Arial" w:cs="Arial" w:eastAsia="Arial" w:hAnsi="Arial"/>
                  <w:sz w:val="18"/>
                  <w:szCs w:val="18"/>
                  <w:color w:val="0000EE"/>
                </w:rPr>
                <w:t>.</w:t>
              </w:r>
            </w:hyperlink>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8920" w:type="dxa"/>
            <w:vAlign w:val="bottom"/>
            <w:gridSpan w:val="5"/>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Rule 13a-14(a)/15d-14(a) Certification of Chief Financial Officer.</w:t>
              </w:r>
            </w:hyperlink>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8920" w:type="dxa"/>
            <w:vAlign w:val="bottom"/>
            <w:gridSpan w:val="5"/>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Section 1350 Certification of Chief Executive Officer (furnished herewith).</w:t>
              </w:r>
            </w:hyperlink>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8920" w:type="dxa"/>
            <w:vAlign w:val="bottom"/>
            <w:gridSpan w:val="5"/>
          </w:tcPr>
          <w:p>
            <w:pPr>
              <w:spacing w:after="0"/>
              <w:rPr>
                <w:rFonts w:ascii="Arial" w:cs="Arial" w:eastAsia="Arial" w:hAnsi="Arial"/>
                <w:sz w:val="18"/>
                <w:szCs w:val="18"/>
                <w:color w:val="0000EE"/>
              </w:rPr>
            </w:pPr>
            <w:hyperlink w:anchor="page87">
              <w:r>
                <w:rPr>
                  <w:rFonts w:ascii="Arial" w:cs="Arial" w:eastAsia="Arial" w:hAnsi="Arial"/>
                  <w:sz w:val="18"/>
                  <w:szCs w:val="18"/>
                  <w:u w:val="single" w:color="auto"/>
                  <w:color w:val="0000EE"/>
                </w:rPr>
                <w:t>Section 1350 Certification of Chief Financial Officer (furnished herewith)</w:t>
              </w:r>
              <w:r>
                <w:rPr>
                  <w:rFonts w:ascii="Arial" w:cs="Arial" w:eastAsia="Arial" w:hAnsi="Arial"/>
                  <w:sz w:val="18"/>
                  <w:szCs w:val="18"/>
                  <w:color w:val="0000EE"/>
                </w:rPr>
                <w:t>.</w:t>
              </w:r>
            </w:hyperlink>
          </w:p>
        </w:tc>
      </w:tr>
    </w:tbl>
    <w:p>
      <w:pPr>
        <w:ind w:left="1000" w:hanging="991"/>
        <w:spacing w:after="0" w:line="28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September 30, 2020, formatted in iXBRL (Inline eXtensible Business Reporting Language): (1) Condensed Consolidated Balance Sheets as of September 30, 2020 and December 31, 2019; (2) Condensed Consolidated Statements of</w:t>
      </w:r>
    </w:p>
    <w:p>
      <w:pPr>
        <w:spacing w:after="0" w:line="2" w:lineRule="exact"/>
        <w:rPr>
          <w:sz w:val="20"/>
          <w:szCs w:val="20"/>
          <w:color w:val="auto"/>
        </w:rPr>
      </w:pPr>
    </w:p>
    <w:p>
      <w:pPr>
        <w:ind w:left="1000" w:right="120"/>
        <w:spacing w:after="0" w:line="250" w:lineRule="auto"/>
        <w:rPr>
          <w:sz w:val="20"/>
          <w:szCs w:val="20"/>
          <w:color w:val="auto"/>
        </w:rPr>
      </w:pPr>
      <w:r>
        <w:rPr>
          <w:rFonts w:ascii="Arial" w:cs="Arial" w:eastAsia="Arial" w:hAnsi="Arial"/>
          <w:sz w:val="18"/>
          <w:szCs w:val="18"/>
          <w:color w:val="auto"/>
        </w:rPr>
        <w:t>Operations for the three and nine months ended September 30, 2020 and 2019; (3) Condensed Consolidated Statements of Comprehensive Loss for the three and nine months ended September 30, 2020 and 2019; (4) Condensed Consolidated Statements of Stockholders’ Equity as of September 30, 2020 and December 31, 2019; (5) Condensed Consolidated Statements of Cash Flows for the nine months ended September 30, 2020 and 2019; and (6) Notes to Condensed Consolidated Financial Statements.</w:t>
      </w:r>
    </w:p>
    <w:p>
      <w:pPr>
        <w:spacing w:after="0" w:line="2" w:lineRule="exact"/>
        <w:rPr>
          <w:sz w:val="20"/>
          <w:szCs w:val="20"/>
          <w:color w:val="auto"/>
        </w:rPr>
      </w:pPr>
    </w:p>
    <w:p>
      <w:pPr>
        <w:ind w:left="1000" w:right="120" w:hanging="991"/>
        <w:spacing w:after="0" w:line="260"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212" w:lineRule="exact"/>
        <w:rPr>
          <w:rFonts w:ascii="Arial" w:cs="Arial" w:eastAsia="Arial" w:hAnsi="Arial"/>
          <w:sz w:val="18"/>
          <w:szCs w:val="18"/>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3"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November 5, 2020</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Maria Fardis, Ph.D., M.B.A.</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November 5, 2020</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Michael C. Swartzburg</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VP, Finance (Interim Principal Financial Officer)</w:t>
            </w:r>
          </w:p>
        </w:tc>
      </w:tr>
      <w:tr>
        <w:trPr>
          <w:trHeight w:val="878"/>
        </w:trPr>
        <w:tc>
          <w:tcPr>
            <w:tcW w:w="3120" w:type="dxa"/>
            <w:vAlign w:val="bottom"/>
          </w:tcPr>
          <w:p>
            <w:pPr>
              <w:spacing w:after="0"/>
              <w:rPr>
                <w:sz w:val="24"/>
                <w:szCs w:val="24"/>
                <w:color w:val="auto"/>
              </w:rPr>
            </w:pP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82</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Dated: November 5, 2020</w:t>
            </w:r>
          </w:p>
        </w:tc>
        <w:tc>
          <w:tcPr>
            <w:tcW w:w="6480" w:type="dxa"/>
            <w:vAlign w:val="bottom"/>
            <w:gridSpan w:val="2"/>
          </w:tcPr>
          <w:p>
            <w:pPr>
              <w:ind w:left="1540"/>
              <w:spacing w:after="0"/>
              <w:rPr>
                <w:sz w:val="20"/>
                <w:szCs w:val="20"/>
                <w:color w:val="auto"/>
              </w:rPr>
            </w:pPr>
            <w:r>
              <w:rPr>
                <w:rFonts w:ascii="Arial" w:cs="Arial" w:eastAsia="Arial" w:hAnsi="Arial"/>
                <w:sz w:val="18"/>
                <w:szCs w:val="18"/>
                <w:color w:val="auto"/>
              </w:rPr>
              <w:t>By: /s/ Maria Fardis, Ph.D., M.B.A.</w:t>
            </w:r>
          </w:p>
        </w:tc>
      </w:tr>
      <w:tr>
        <w:trPr>
          <w:trHeight w:val="195"/>
        </w:trPr>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776"/>
        </w:trPr>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Michael C. Swartzburg, Interim Principal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5, 2020</w:t>
            </w:r>
          </w:p>
        </w:tc>
        <w:tc>
          <w:tcPr>
            <w:tcW w:w="6500" w:type="dxa"/>
            <w:vAlign w:val="bottom"/>
            <w:gridSpan w:val="2"/>
          </w:tcPr>
          <w:p>
            <w:pPr>
              <w:ind w:left="1560"/>
              <w:spacing w:after="0"/>
              <w:rPr>
                <w:sz w:val="20"/>
                <w:szCs w:val="20"/>
                <w:color w:val="auto"/>
              </w:rPr>
            </w:pPr>
            <w:r>
              <w:rPr>
                <w:rFonts w:ascii="Arial" w:cs="Arial" w:eastAsia="Arial" w:hAnsi="Arial"/>
                <w:sz w:val="18"/>
                <w:szCs w:val="18"/>
                <w:color w:val="auto"/>
              </w:rPr>
              <w:t>By: /s/ Michael C. Swartzburg</w:t>
            </w:r>
          </w:p>
        </w:tc>
      </w:tr>
      <w:tr>
        <w:trPr>
          <w:trHeight w:val="195"/>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VP, Finance (Interim Principal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2020,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5, 2020</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 /s/ Maria Fardis, Ph.D., M.B.A.</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2020, as filed with the Securities and Exchange Commission on the date hereof (the “Report”), Michael C. Swartzburg, Interim Principal Financial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firstLine="8"/>
        <w:spacing w:after="0" w:line="277" w:lineRule="auto"/>
        <w:tabs>
          <w:tab w:leader="none" w:pos="2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5, 2020</w:t>
            </w:r>
          </w:p>
        </w:tc>
        <w:tc>
          <w:tcPr>
            <w:tcW w:w="6500" w:type="dxa"/>
            <w:vAlign w:val="bottom"/>
            <w:gridSpan w:val="2"/>
          </w:tcPr>
          <w:p>
            <w:pPr>
              <w:ind w:left="1560"/>
              <w:spacing w:after="0"/>
              <w:rPr>
                <w:sz w:val="20"/>
                <w:szCs w:val="20"/>
                <w:color w:val="auto"/>
              </w:rPr>
            </w:pPr>
            <w:r>
              <w:rPr>
                <w:rFonts w:ascii="Arial" w:cs="Arial" w:eastAsia="Arial" w:hAnsi="Arial"/>
                <w:sz w:val="18"/>
                <w:szCs w:val="18"/>
                <w:color w:val="auto"/>
              </w:rPr>
              <w:t>By:  /s/ Michael C. Swartzburg</w:t>
            </w:r>
          </w:p>
        </w:tc>
      </w:tr>
      <w:tr>
        <w:trPr>
          <w:trHeight w:val="195"/>
        </w:trPr>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VP, Finance (Interim Principal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lvl w:ilvl="1">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50" Type="http://schemas.openxmlformats.org/officeDocument/2006/relationships/hyperlink" Target="https://www.sec.gov/ix?doc=/Archives/edgar/data/1425205/000110465920024830/iova-20191231x10kab9a30.htm" TargetMode="External"/><Relationship Id="rId96" Type="http://schemas.openxmlformats.org/officeDocument/2006/relationships/hyperlink" Target="https://www.sec.gov/Archives/edgar/data/1425205/000110465920091526/iova-20200630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2020-11-05T17:13:54Z</dcterms:created>
  <dcterms:modified xsi:type="dcterms:W3CDTF">2020-11-05T17:13:54Z</dcterms:modified>
</cp:coreProperties>
</file>