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5" w:lineRule="exact"/>
        <w:rPr>
          <w:rFonts w:ascii="MS PGothic" w:cs="MS PGothic" w:eastAsia="MS PGothic" w:hAnsi="MS PGothic"/>
          <w:sz w:val="18"/>
          <w:szCs w:val="18"/>
          <w:color w:val="auto"/>
        </w:rPr>
      </w:pPr>
    </w:p>
    <w:p>
      <w:pPr>
        <w:ind w:left="3260"/>
        <w:spacing w:after="0"/>
        <w:rPr>
          <w:rFonts w:ascii="MS PGothic" w:cs="MS PGothic" w:eastAsia="MS PGothic" w:hAnsi="MS PGothic"/>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2021</w:t>
      </w:r>
    </w:p>
    <w:p>
      <w:pPr>
        <w:spacing w:after="0" w:line="11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sz w:val="24"/>
          <w:szCs w:val="24"/>
          <w:color w:val="auto"/>
        </w:rPr>
      </w:pPr>
    </w:p>
    <w:p>
      <w:pPr>
        <w:ind w:left="3600"/>
        <w:spacing w:after="0"/>
        <w:tabs>
          <w:tab w:leader="none" w:pos="5940" w:val="left"/>
          <w:tab w:leader="none" w:pos="6260" w:val="left"/>
        </w:tabs>
        <w:rPr>
          <w:sz w:val="20"/>
          <w:szCs w:val="20"/>
          <w:color w:val="auto"/>
        </w:rPr>
      </w:pPr>
      <w:r>
        <w:rPr>
          <w:rFonts w:ascii="Arial" w:cs="Arial" w:eastAsia="Arial" w:hAnsi="Arial"/>
          <w:sz w:val="18"/>
          <w:szCs w:val="18"/>
          <w:color w:val="auto"/>
        </w:rPr>
        <w:t>For the transition period from</w:t>
        <w:tab/>
        <w:t>to</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-20320</wp:posOffset>
            </wp:positionV>
            <wp:extent cx="85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-20320</wp:posOffset>
            </wp:positionV>
            <wp:extent cx="85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Commission File Number 001-36860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128"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3700" w:type="dxa"/>
            <w:vAlign w:val="bottom"/>
          </w:tcPr>
          <w:p>
            <w:pPr>
              <w:jc w:val="center"/>
              <w:ind w:right="1430"/>
              <w:spacing w:after="0"/>
              <w:rPr>
                <w:sz w:val="20"/>
                <w:szCs w:val="20"/>
                <w:color w:val="auto"/>
              </w:rPr>
            </w:pPr>
            <w:r>
              <w:rPr>
                <w:rFonts w:ascii="Arial" w:cs="Arial" w:eastAsia="Arial" w:hAnsi="Arial"/>
                <w:sz w:val="18"/>
                <w:szCs w:val="18"/>
                <w:color w:val="auto"/>
                <w:w w:val="92"/>
              </w:rPr>
              <w:t>Delaware</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89"/>
              </w:rPr>
              <w:t>75-3254381</w:t>
            </w:r>
          </w:p>
        </w:tc>
      </w:tr>
      <w:tr>
        <w:trPr>
          <w:trHeight w:val="216"/>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(I.R.S. employer</w:t>
            </w:r>
          </w:p>
        </w:tc>
      </w:tr>
      <w:tr>
        <w:trPr>
          <w:trHeight w:val="230"/>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number)</w:t>
            </w:r>
          </w:p>
        </w:tc>
      </w:tr>
    </w:tbl>
    <w:p>
      <w:pPr>
        <w:spacing w:after="0" w:line="107" w:lineRule="exact"/>
        <w:rPr>
          <w:sz w:val="24"/>
          <w:szCs w:val="24"/>
          <w:color w:val="auto"/>
        </w:rPr>
      </w:pPr>
    </w:p>
    <w:p>
      <w:pPr>
        <w:ind w:left="306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(Address of principal executive offices and zip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right="1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89"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1780" w:space="40"/>
            <w:col w:w="2420" w:space="720"/>
            <w:col w:w="49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344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Common stock, par value $0.000041666 per value</w:t>
            </w:r>
          </w:p>
        </w:tc>
        <w:tc>
          <w:tcPr>
            <w:tcW w:w="140" w:type="dxa"/>
            <w:vAlign w:val="bottom"/>
          </w:tcPr>
          <w:p>
            <w:pPr>
              <w:spacing w:after="0"/>
              <w:rPr>
                <w:sz w:val="19"/>
                <w:szCs w:val="19"/>
                <w:color w:val="auto"/>
              </w:rPr>
            </w:pPr>
          </w:p>
        </w:tc>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IOVA</w:t>
            </w:r>
          </w:p>
        </w:tc>
        <w:tc>
          <w:tcPr>
            <w:tcW w:w="120" w:type="dxa"/>
            <w:vAlign w:val="bottom"/>
          </w:tcPr>
          <w:p>
            <w:pPr>
              <w:spacing w:after="0"/>
              <w:rPr>
                <w:sz w:val="19"/>
                <w:szCs w:val="19"/>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Stock Market, LLC</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At April 26, 2021, the issuer had 152,849,282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92075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360" w:type="dxa"/>
            <w:vAlign w:val="bottom"/>
            <w:tcBorders>
              <w:top w:val="single" w:sz="8" w:color="CCEEFF"/>
            </w:tcBorders>
            <w:gridSpan w:val="18"/>
            <w:shd w:val="clear" w:color="auto" w:fill="CCEEFF"/>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2.</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0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Item 4.</w:t>
              </w:r>
            </w:hyperlink>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18"/>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PART II OTHER INFORMATION</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Item 1.</w:t>
              </w:r>
            </w:hyperlink>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1A.</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Item 2.</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38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Unregistered Sales of Securities and Use of Proceeds</w:t>
              </w:r>
            </w:hyperlink>
          </w:p>
        </w:tc>
        <w:tc>
          <w:tcPr>
            <w:tcW w:w="4640" w:type="dxa"/>
            <w:vAlign w:val="bottom"/>
            <w:tcBorders>
              <w:bottom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3.</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Defaults Upon Senior Securities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Item 4.</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Mine Safety Disclosure</w:t>
              </w:r>
            </w:hyperlink>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5.</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Other Information</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Item 6.</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Exhibits</w:t>
              </w:r>
            </w:hyperlink>
          </w:p>
        </w:tc>
        <w:tc>
          <w:tcPr>
            <w:tcW w:w="786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18"/>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SIGNATURES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IOVANCE BIOTHERAPEUTICS, INC. Condensed Consolidated Balance Sheets (unaudited; in thousands, except share and per share information)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131,954</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investments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605,218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55,131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assets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750,573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768,458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13,369</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 current</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55,059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 noncurrent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6"/>
                <w:szCs w:val="16"/>
                <w:color w:val="auto"/>
              </w:rPr>
              <w:t>Long-term note payable</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Non-Current Liabilities</w:t>
            </w: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48,083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57,089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111,960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w w:val="96"/>
              </w:rPr>
              <w:t>Series A Convertible Preferred stock, $0.001 par value; 17,000 shares designated, 194 shares issued and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rPr>
              <w:t>outstanding as of March 31, 2021 and December 31, 2020</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Series B Convertible Preferred stock, $0.001 par value; 11,500,000 shares designated, 2,842,158 and</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3,581,119 shares issued and outstanding as of March 31, 2021 and December 31, 2020, respectively</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w w:val="97"/>
              </w:rPr>
              <w:t>Common stock, $0.000041666 par value; 300,000,000 shares authorized, 149,315,299 and 146,874,917</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rPr>
              <w:t>shares issued and outstanding as of March 31, 2021 and December 31, 2020, respectively</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1,552,968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1,486,662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(905,642)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Total Stockholders’ Equity</w:t>
            </w: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647,431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656,498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750,573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768,458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16"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Three Months Ended</w:t>
      </w:r>
    </w:p>
    <w:p>
      <w:pPr>
        <w:ind w:left="82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55,949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19,621</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costs and expenses</w:t>
            </w:r>
          </w:p>
        </w:tc>
        <w:tc>
          <w:tcPr>
            <w:tcW w:w="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75,570</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(75,570)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(70,810)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(75,449)</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7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(0.51)</w:t>
            </w:r>
          </w:p>
        </w:tc>
        <w:tc>
          <w:tcPr>
            <w:tcW w:w="280" w:type="dxa"/>
            <w:vAlign w:val="bottom"/>
            <w:vMerge w:val="continue"/>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Weighted Average Shares of Common Stock Outstanding, Basic and Diluted</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147,370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5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(75,449)</w:t>
            </w:r>
          </w:p>
        </w:tc>
        <w:tc>
          <w:tcPr>
            <w:tcW w:w="1180" w:type="dxa"/>
            <w:vAlign w:val="bottom"/>
            <w:gridSpan w:val="3"/>
            <w:shd w:val="clear" w:color="auto" w:fill="CCEEFF"/>
          </w:tcPr>
          <w:p>
            <w:pPr>
              <w:jc w:val="right"/>
              <w:ind w:right="6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 on short-term investments</w:t>
            </w:r>
          </w:p>
        </w:tc>
        <w:tc>
          <w:tcPr>
            <w:tcW w:w="1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9"/>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50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(75,372)</w:t>
            </w:r>
          </w:p>
        </w:tc>
        <w:tc>
          <w:tcPr>
            <w:tcW w:w="400" w:type="dxa"/>
            <w:vAlign w:val="bottom"/>
            <w:gridSpan w:val="2"/>
          </w:tcPr>
          <w:p>
            <w:pPr>
              <w:spacing w:after="0"/>
              <w:rPr>
                <w:sz w:val="18"/>
                <w:szCs w:val="18"/>
                <w:color w:val="auto"/>
              </w:rPr>
            </w:pP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Series A</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89"/>
              </w:rPr>
              <w:t>Series B</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4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9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Sock</w:t>
            </w: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vMerge w:val="continue"/>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400" w:type="dxa"/>
            <w:vAlign w:val="bottom"/>
            <w:gridSpan w:val="2"/>
            <w:shd w:val="clear" w:color="auto" w:fill="CCEEFF"/>
          </w:tcPr>
          <w:p>
            <w:pPr>
              <w:jc w:val="right"/>
              <w:ind w:right="122"/>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3,581,119</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146,874,917</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1,486,662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(830,193)</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16,941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423,178</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offering, net of offering costs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1,278,243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42,885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from</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conversion</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(738,961)</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738,961</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Unrealized gain on short-term</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bottom w:val="single" w:sz="8" w:color="CCEEFF"/>
            </w:tcBorders>
          </w:tcPr>
          <w:p>
            <w:pPr>
              <w:ind w:left="80"/>
              <w:spacing w:after="0" w:line="142" w:lineRule="exact"/>
              <w:rPr>
                <w:sz w:val="20"/>
                <w:szCs w:val="20"/>
                <w:color w:val="auto"/>
              </w:rPr>
            </w:pPr>
            <w:r>
              <w:rPr>
                <w:rFonts w:ascii="Arial" w:cs="Arial" w:eastAsia="Arial" w:hAnsi="Arial"/>
                <w:sz w:val="14"/>
                <w:szCs w:val="14"/>
                <w:b w:val="1"/>
                <w:bCs w:val="1"/>
                <w:color w:val="auto"/>
              </w:rPr>
              <w:t>Balance - March 31, 2021</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1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149,315,299</w:t>
            </w:r>
          </w:p>
        </w:tc>
        <w:tc>
          <w:tcPr>
            <w:tcW w:w="1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1,552,968</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(905,642)</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647,431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880" w:type="dxa"/>
            <w:vAlign w:val="bottom"/>
          </w:tcPr>
          <w:p>
            <w:pPr>
              <w:spacing w:after="0" w:line="126" w:lineRule="exact"/>
              <w:rPr>
                <w:sz w:val="20"/>
                <w:szCs w:val="20"/>
                <w:color w:val="auto"/>
              </w:rPr>
            </w:pPr>
            <w:r>
              <w:rPr>
                <w:rFonts w:ascii="Arial" w:cs="Arial" w:eastAsia="Arial" w:hAnsi="Arial"/>
                <w:sz w:val="14"/>
                <w:szCs w:val="14"/>
                <w:b w:val="1"/>
                <w:bCs w:val="1"/>
                <w:color w:val="auto"/>
              </w:rPr>
              <w:t>Balance -</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Pr>
          <w:p>
            <w:pPr>
              <w:jc w:val="right"/>
              <w:spacing w:after="0"/>
              <w:rPr>
                <w:sz w:val="20"/>
                <w:szCs w:val="20"/>
                <w:color w:val="auto"/>
              </w:rPr>
            </w:pPr>
            <w:r>
              <w:rPr>
                <w:rFonts w:ascii="Arial" w:cs="Arial" w:eastAsia="Arial" w:hAnsi="Arial"/>
                <w:sz w:val="14"/>
                <w:szCs w:val="14"/>
                <w:color w:val="auto"/>
              </w:rPr>
              <w:t>194</w:t>
            </w:r>
          </w:p>
        </w:tc>
        <w:tc>
          <w:tcPr>
            <w:tcW w:w="400" w:type="dxa"/>
            <w:vAlign w:val="bottom"/>
            <w:gridSpan w:val="2"/>
          </w:tcPr>
          <w:p>
            <w:pPr>
              <w:jc w:val="right"/>
              <w:ind w:right="122"/>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9"/>
              </w:rPr>
              <w:t>3,581,119</w:t>
            </w: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89"/>
              </w:rPr>
              <w:t>126,411,808</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869,354</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4"/>
                <w:szCs w:val="14"/>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(570,612)</w:t>
            </w:r>
          </w:p>
        </w:tc>
        <w:tc>
          <w:tcPr>
            <w:tcW w:w="8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298,971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issued for services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7,273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payments related to</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withheld for vested</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404,075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 on short-term</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(69,595)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(69,595)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top w:val="single" w:sz="8" w:color="CCEEFF"/>
              <w:bottom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Balance - March 31, 2020</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3,581,119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126,823,156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882,599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(640,207)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(75,449)</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16,941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lease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Accretion (amortization) of discounts and premiums on investments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(14,401)</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(62,391)</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Maturities of investments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158,286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investments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(70,370)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(10,705)</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77,211</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42,885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debt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50,364</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72,854</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138,038</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Net unrealized (loss) gain on short-term investments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Acquisitions of property and equipment included in accounts payable and accrued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Conversion of convertible preferred stock to common stock</w:t>
            </w:r>
          </w:p>
        </w:tc>
        <w:tc>
          <w:tcPr>
            <w:tcW w:w="2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02"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Iovance Biotherapeutics, Inc. (the “Company”, “we”, “us” or “our”) is a clinical-stage biopharmaceutical company focused on the development and commercialization of cell therapies as novel cancer immunotherapy products designed to harness the power of a patient’s own immune system to eradicate cancer cells. Tumor infiltrating lymphocyte (“TIL”) therapy is an autologous cell therapy platform technology that was originally developed by the National Cancer Institute (“NCI”), which conducted initial clinical trials in diseases such as metastatic melanoma and cervical cancer. The Company has developed a new, shorter manufacturing process for TIL therapy known as Generation 2 (“Gen 2”), which yields a cryopreserved TIL product. This proprietary and scalable manufacturing method is being further investigated in multiple indications. The Company’s lead product candidates include lifileucel for metastatic melanoma and metastatic cervical cancer. Lifileucel for metastatic cervical cancer was formerly known as LN-145. In addition to metastatic melanoma and metastatic cervical cancer, the Company is investigating the effectiveness and safety of TIL therapy and peripheral blood lymphocyte therapy for the treatment of squamous cell carcinoma of the head and neck, non-small cell lung cancer, and chronic lymphocytic leukemia through its sponsored trials, as well as in other oncology indications through collaborations. On June 1, 2017, the Company reincorporated from a Nevada corporation to a Delaware 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185"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The unaudited condensed consolidated financial statements of the Company for the three months ended March 31, 2021 and 2020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to be obtained for a full fiscal year. The balance sheet information as of December 31, 2020, was derived from the audited financial statements included in the Company's Annual Report on Form 10-K filed with the Securities and Exchange Commission (the “SEC”) on February 25, 2021. These interim financial statements should be read in conjunction with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The Company is currently engaged in the development of therapeutics to fight cancer, specifically solid tumors. The Company currently does not have any commercial products and has not yet generated any revenues from its business. The Company currently does not anticipate that it will generate any significant revenues from the sale or licensing of any of its product candidates during the 12 months from the date these financial statements are issued. The Company has incurred a net loss of $75.4 million for the three months ended March 31, 2021 and used $62.4 million of cash in its operating activities during the three months ended March 31, 2021. For the three months ended March 31, 2021, the Company received net proceeds of approximately $42.9 million from the “at the market” offering program the Company has in place with Jefferies LLC, acting as sales agent. As of March 31, 2021, the Company had $610.2 million in cash, cash equivalents, investments, and restricted cash ($131.9 million of cash and cash equivalents, $462.0 million in short-term investments, $10.2 million in long-term investments, and $6.1 million in restricted cash).</w:t>
      </w:r>
    </w:p>
    <w:p>
      <w:pPr>
        <w:spacing w:after="0" w:line="166"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The Company expects to continue its research and development activities, increase pre-commercial activities and continue the construction of the tenant improvements for its new manufacturing facility, which will increase the amount of cash used during 2021 and beyond. Specifically, the Company expects continued spending on its current and planned clinical trials, continued expansion of manufacturing activities, including construction of a manufacturing facility, higher payroll expenses as the Company increases its professional and scientific staff and continuation of pre-commercial activities. Based on the funds the Company has available as of the date these financial statements are issued, the Company believes that it has sufficient capital to fund its anticipated operating expenses and capital expenditures as planned for at least the next twelve months from the date these financial statements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85"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pandemic (the “COVID-19 Pandemic”). The Secretary of</w:t>
      </w:r>
    </w:p>
    <w:p>
      <w:pPr>
        <w:sectPr>
          <w:pgSz w:w="11900" w:h="16838" w:orient="portrait"/>
          <w:cols w:equalWidth="0" w:num="1">
            <w:col w:w="9900"/>
          </w:cols>
          <w:pgMar w:left="980" w:top="665" w:right="101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Health and Human Services declared a public health emergency on January 31, 2020, under section 319 of the Public Health Service Act (42 U.S.C. 247d), in response to the COVID-19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in U.S. government securities, the Company does not believe the COVID-19 Pandemic has had or will have a material impact on the Company's current investment liquidity.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98" w:lineRule="exact"/>
        <w:rPr>
          <w:sz w:val="20"/>
          <w:szCs w:val="20"/>
          <w:color w:val="auto"/>
        </w:rPr>
      </w:pPr>
    </w:p>
    <w:p>
      <w:pPr>
        <w:ind w:right="360" w:firstLine="492"/>
        <w:spacing w:after="0" w:line="255" w:lineRule="auto"/>
        <w:rPr>
          <w:sz w:val="20"/>
          <w:szCs w:val="20"/>
          <w:color w:val="auto"/>
        </w:rPr>
      </w:pPr>
      <w:r>
        <w:rPr>
          <w:rFonts w:ascii="Arial" w:cs="Arial" w:eastAsia="Arial" w:hAnsi="Arial"/>
          <w:sz w:val="18"/>
          <w:szCs w:val="18"/>
          <w:color w:val="auto"/>
        </w:rPr>
        <w:t>The Company is subject to credit risk from its portfolio of cash equivalents and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liquidity of investments sufficient to meet cash flow requirements of its business, and maximization of total return while maintaining safety and liquidity.</w:t>
      </w:r>
    </w:p>
    <w:p>
      <w:pPr>
        <w:spacing w:after="0" w:line="188" w:lineRule="exact"/>
        <w:rPr>
          <w:sz w:val="20"/>
          <w:szCs w:val="20"/>
          <w:color w:val="auto"/>
        </w:rPr>
      </w:pPr>
    </w:p>
    <w:p>
      <w:pPr>
        <w:ind w:right="4480"/>
        <w:spacing w:after="0" w:line="456"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POLICIES </w:t>
      </w:r>
      <w:r>
        <w:rPr>
          <w:rFonts w:ascii="Arial" w:cs="Arial" w:eastAsia="Arial" w:hAnsi="Arial"/>
          <w:sz w:val="18"/>
          <w:szCs w:val="18"/>
          <w:b w:val="1"/>
          <w:bCs w:val="1"/>
          <w:i w:val="1"/>
          <w:iCs w:val="1"/>
          <w:color w:val="auto"/>
        </w:rPr>
        <w:t>Cash, Cash Equivalents, and Investments</w:t>
      </w:r>
    </w:p>
    <w:p>
      <w:pPr>
        <w:ind w:firstLine="492"/>
        <w:spacing w:after="0" w:line="268" w:lineRule="auto"/>
        <w:rPr>
          <w:sz w:val="20"/>
          <w:szCs w:val="20"/>
          <w:color w:val="auto"/>
        </w:rPr>
      </w:pPr>
      <w:r>
        <w:rPr>
          <w:rFonts w:ascii="Arial" w:cs="Arial" w:eastAsia="Arial" w:hAnsi="Arial"/>
          <w:sz w:val="17"/>
          <w:szCs w:val="17"/>
          <w:color w:val="auto"/>
        </w:rPr>
        <w:t>The Company’s cash and cash equivalents include short-term investments with original maturities of three months or less when purchased. The Company's investments are classified as “available-for-sale” and are presented at fair value as either a current or non-current asset based on the length of maturity from the reporting date. Unrealized gains and losses on available-for-sale securities are included in accumulated other comprehensive income. Any impairment losses related to credit losses (if any) are included in an allowance for credit losses with an offsetting entry to net loss. No impairment losses related to credit losses were recognized for the three months ended March 31, 2021 or March 31, 2020. The cost of debt securities is adjusted for the amortization of premiums and accretion of discounts to maturity. Such amortization and accretion are included in net interest income in the Condensed Consolidated Statements of Operations. Gains and losses on securities sold are recorded based on the specific identification method and are included in net interest income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papers, and places restrictions on maturities and concentration by type and issuer, except for securities issued by the U.S. government.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The Company maintains a required minimum balance, currently $6.1 million in a segregated bank account in connection with three letters of credit, one for $5,450,000 million for the benefit of the landlord for its commercial manufacturing facility used as a security deposit for the lease (See Note 10 - Leases), the second one for $74,685 for the benefit of a utilities service provider, and the third one for $559,082 for the benefit of the landlord for its new headquarters lease. The total amount is classified as Restricted Cash on the Condensed Consolidated Balance Sheet. The first letter of credit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$1,000,000, with a minimum security deposit of $1,450,000 maintained through the end of the lease term. The second letter of credit of $74,685 expired on March 9, 2021, however, it automatically extends, without written agreement, to the expiration date of December 1, 2022. The third letter of credit of $559,082 expires on February 1, 2032, however, it will be automatically extended, without written agreement, for one year periods to February in each succeeding calendar year. As of March 31, 2021 and December 31, 2020, restricted cash consisted of $6.1 million and $5.5 million, respectively. This amount has been classified as a non-current asset on the Company’s Condensed Consolidated Balance Sheets.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92"/>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131,954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2"/>
              </w:rPr>
              <w:t>Restricted cash (included in non-current assets on the condensed consolidated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balance sheets)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6,084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138,038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ind w:right="70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shares of common stock outstanding during the period.</w:t>
      </w:r>
    </w:p>
    <w:p>
      <w:pPr>
        <w:spacing w:after="0" w:line="143" w:lineRule="exact"/>
        <w:rPr>
          <w:sz w:val="20"/>
          <w:szCs w:val="20"/>
          <w:color w:val="auto"/>
        </w:rPr>
      </w:pPr>
    </w:p>
    <w:p>
      <w:pPr>
        <w:ind w:right="100" w:firstLine="492"/>
        <w:spacing w:after="0" w:line="255" w:lineRule="auto"/>
        <w:rPr>
          <w:sz w:val="20"/>
          <w:szCs w:val="20"/>
          <w:color w:val="auto"/>
        </w:rPr>
      </w:pPr>
      <w:r>
        <w:rPr>
          <w:rFonts w:ascii="Arial" w:cs="Arial" w:eastAsia="Arial" w:hAnsi="Arial"/>
          <w:sz w:val="18"/>
          <w:szCs w:val="18"/>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shares of common stock issuable upon (i) the exercise of outstanding stock options and warrants, (ii) purchases though the 2020 Employee Stock Purchase Plan (the “2020 ESPP”), (iii) vesting of restricted stock units and restricted stock awards, and (iv) conversion of preferred stock, are only included in the calculation of diluted net loss per share when their effect is dilutive.</w:t>
      </w:r>
    </w:p>
    <w:p>
      <w:pPr>
        <w:spacing w:after="0" w:line="152" w:lineRule="exact"/>
        <w:rPr>
          <w:sz w:val="20"/>
          <w:szCs w:val="20"/>
          <w:color w:val="auto"/>
        </w:rPr>
      </w:pPr>
    </w:p>
    <w:p>
      <w:pPr>
        <w:ind w:right="80" w:firstLine="492"/>
        <w:spacing w:after="0" w:line="277" w:lineRule="auto"/>
        <w:rPr>
          <w:sz w:val="20"/>
          <w:szCs w:val="20"/>
          <w:color w:val="auto"/>
        </w:rPr>
      </w:pPr>
      <w:r>
        <w:rPr>
          <w:rFonts w:ascii="Arial" w:cs="Arial" w:eastAsia="Arial" w:hAnsi="Arial"/>
          <w:sz w:val="18"/>
          <w:szCs w:val="18"/>
          <w:color w:val="auto"/>
        </w:rPr>
        <w:t>As of March 31, 2021 and 2020, the following outstanding common stock equivalents have been excluded from the calculation of net loss per share because their impact would be anti-dilutive.</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9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15,419,226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12,136,899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97,000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2,842,158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3,581,119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2020 ESPP</w:t>
            </w:r>
          </w:p>
        </w:tc>
        <w:tc>
          <w:tcPr>
            <w:tcW w:w="920" w:type="dxa"/>
            <w:vAlign w:val="bottom"/>
          </w:tcPr>
          <w:p>
            <w:pPr>
              <w:jc w:val="right"/>
              <w:spacing w:after="0"/>
              <w:rPr>
                <w:sz w:val="20"/>
                <w:szCs w:val="20"/>
                <w:color w:val="auto"/>
              </w:rPr>
            </w:pPr>
            <w:r>
              <w:rPr>
                <w:rFonts w:ascii="Arial" w:cs="Arial" w:eastAsia="Arial" w:hAnsi="Arial"/>
                <w:sz w:val="18"/>
                <w:szCs w:val="18"/>
                <w:color w:val="auto"/>
              </w:rPr>
              <w:t>55,963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r>
      <w:tr>
        <w:trPr>
          <w:trHeight w:val="210"/>
        </w:trPr>
        <w:tc>
          <w:tcPr>
            <w:tcW w:w="59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18,414,347</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15,826,476</w:t>
            </w: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on an as-converted basis</w:t>
      </w:r>
    </w:p>
    <w:p>
      <w:pPr>
        <w:spacing w:after="0" w:line="185"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The effect of potentially dilutive securities would be reflected in diluted earnings per share of common stock by application of the treasury stock method. Under the treasury stock method, an increase in the fair market value of the Company's common stock could result in a greater dilutive effect from potentially dilutive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Under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31"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57"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Level 1–These are investments where values are based on unadjusted quoted prices for identical assets in an active market that the Company has the ability to access.</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Level 2–These are investments where values are based on quoted market prices in markets that are not active or model derived valuations in which all significant inputs are observable in active markets.</w:t>
      </w:r>
    </w:p>
    <w:p>
      <w:pPr>
        <w:spacing w:after="0" w:line="130"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Level 3–These are financial instruments where values are derived from techniques in which one or more significant inputs are unobservable.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have fair valued assets classified under Level 3 as of March 31, 2021 or December 31, 2020.</w:t>
      </w:r>
    </w:p>
    <w:p>
      <w:pPr>
        <w:spacing w:after="0" w:line="185" w:lineRule="exact"/>
        <w:rPr>
          <w:sz w:val="20"/>
          <w:szCs w:val="20"/>
          <w:color w:val="auto"/>
        </w:rPr>
      </w:pPr>
    </w:p>
    <w:p>
      <w:pPr>
        <w:ind w:right="400" w:firstLine="492"/>
        <w:spacing w:after="0" w:line="308" w:lineRule="auto"/>
        <w:rPr>
          <w:sz w:val="20"/>
          <w:szCs w:val="20"/>
          <w:color w:val="auto"/>
        </w:rPr>
      </w:pPr>
      <w:r>
        <w:rPr>
          <w:rFonts w:ascii="Arial" w:cs="Arial" w:eastAsia="Arial" w:hAnsi="Arial"/>
          <w:sz w:val="17"/>
          <w:szCs w:val="17"/>
          <w:color w:val="auto"/>
        </w:rPr>
        <w:t>The Company’s financial instruments consist of cash, cash equivalents, short and long-term investments, and long-term notes payable, all of which are reported at their respective fair value on its Condensed Consolidated Balance Sheets.</w:t>
      </w:r>
    </w:p>
    <w:p>
      <w:pPr>
        <w:spacing w:after="0" w:line="106"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Company’s financial instruments consist of Level 1 and Level 2 assets. Where quoted prices are available in an active market, securities are classified as Level 1.</w:t>
      </w:r>
    </w:p>
    <w:p>
      <w:pPr>
        <w:spacing w:after="0" w:line="157"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When quoted market prices are not available for a specific security, the Company estimates the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interest rate curves, reported trades, broker/dealer quotes and market reference data. Level 2 assets consist of commercial paper and government agency securities. Level 2 inputs for the valuations are limited to quoted prices for similar assets or liabilities in active markets and inputs other than quoted prices that are observable for the asset.</w:t>
      </w:r>
    </w:p>
    <w:p>
      <w:pPr>
        <w:spacing w:after="0" w:line="138"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As of March 31, 2021 and December 31, 2020, financial assets measured at fair value on a recurring basis are categorized in the table below based upon the lowest level of significant input to the valuations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169"/>
              <w:spacing w:after="0"/>
              <w:rPr>
                <w:sz w:val="20"/>
                <w:szCs w:val="20"/>
                <w:color w:val="auto"/>
              </w:rPr>
            </w:pPr>
            <w:r>
              <w:rPr>
                <w:rFonts w:ascii="Arial" w:cs="Arial" w:eastAsia="Arial" w:hAnsi="Arial"/>
                <w:sz w:val="14"/>
                <w:szCs w:val="14"/>
                <w:b w:val="1"/>
                <w:bCs w:val="1"/>
                <w:color w:val="auto"/>
                <w:w w:val="92"/>
              </w:rPr>
              <w:t>Assets at Fair Value as of March 31, 2021</w:t>
            </w:r>
          </w:p>
        </w:tc>
        <w:tc>
          <w:tcPr>
            <w:tcW w:w="780" w:type="dxa"/>
            <w:vAlign w:val="bottom"/>
            <w:tcBorders>
              <w:bottom w:val="single" w:sz="8" w:color="auto"/>
            </w:tcBorders>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380,219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380,219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62,035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29,949</w:t>
            </w:r>
          </w:p>
        </w:tc>
      </w:tr>
      <w:tr>
        <w:trPr>
          <w:trHeight w:val="210"/>
        </w:trPr>
        <w:tc>
          <w:tcPr>
            <w:tcW w:w="54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380,219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91,984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472,203</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8"/>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right"/>
              <w:ind w:right="49"/>
              <w:spacing w:after="0"/>
              <w:rPr>
                <w:sz w:val="20"/>
                <w:szCs w:val="20"/>
                <w:color w:val="auto"/>
              </w:rPr>
            </w:pPr>
            <w:r>
              <w:rPr>
                <w:rFonts w:ascii="Arial" w:cs="Arial" w:eastAsia="Arial" w:hAnsi="Arial"/>
                <w:sz w:val="14"/>
                <w:szCs w:val="14"/>
                <w:b w:val="1"/>
                <w:bCs w:val="1"/>
                <w:color w:val="auto"/>
              </w:rPr>
              <w:t>Assets at Fair Value as of December 31, 2020</w:t>
            </w:r>
          </w:p>
        </w:tc>
        <w:tc>
          <w:tcPr>
            <w:tcW w:w="780" w:type="dxa"/>
            <w:vAlign w:val="bottom"/>
            <w:tcBorders>
              <w:bottom w:val="single" w:sz="8" w:color="auto"/>
            </w:tcBorders>
          </w:tcPr>
          <w:p>
            <w:pPr>
              <w:spacing w:after="0"/>
              <w:rPr>
                <w:sz w:val="24"/>
                <w:szCs w:val="2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91,999</w:t>
            </w:r>
          </w:p>
        </w:tc>
      </w:tr>
      <w:tr>
        <w:trPr>
          <w:trHeight w:val="210"/>
        </w:trPr>
        <w:tc>
          <w:tcPr>
            <w:tcW w:w="5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the assumptions made in valuing stock instruments issued for services and used in measuring operating right-of-use assets and operating lease liabilities, accounting for potential liabilities, capitalization of internal-use software development costs, and the valuation allowance associated with the Company’s deferred tax assets.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Iovance Biotherapeutics, Inc. and its wholly-owned subsidiaries, Iovance Biotherapeutics Manufacturing LLC, Iovance Biotherapeutics GmbH, and Iovance Biotherapeutics B.V. All intercompany accounts and transactions have been eliminated. The U.S. dollar is the functional currency for all of the Company's consolidated operations.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be realized. Deferred tax assets and liabilities are adjusted for the effects of changes in tax laws and rates on the date of enactment.</w:t>
      </w:r>
    </w:p>
    <w:p>
      <w:pPr>
        <w:spacing w:after="0" w:line="134" w:lineRule="exact"/>
        <w:rPr>
          <w:sz w:val="20"/>
          <w:szCs w:val="20"/>
          <w:color w:val="auto"/>
        </w:rPr>
      </w:pPr>
    </w:p>
    <w:p>
      <w:pPr>
        <w:ind w:right="120" w:firstLine="492"/>
        <w:spacing w:after="0" w:line="296" w:lineRule="auto"/>
        <w:rPr>
          <w:sz w:val="20"/>
          <w:szCs w:val="20"/>
          <w:color w:val="auto"/>
        </w:rPr>
      </w:pPr>
      <w:r>
        <w:rPr>
          <w:rFonts w:ascii="Arial" w:cs="Arial" w:eastAsia="Arial" w:hAnsi="Arial"/>
          <w:sz w:val="16"/>
          <w:szCs w:val="16"/>
          <w:color w:val="auto"/>
        </w:rPr>
        <w:t>ASC Topic 740-10-30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w:t>
      </w:r>
    </w:p>
    <w:p>
      <w:pPr>
        <w:spacing w:after="0" w:line="121" w:lineRule="exact"/>
        <w:rPr>
          <w:sz w:val="20"/>
          <w:szCs w:val="20"/>
          <w:color w:val="auto"/>
        </w:rPr>
      </w:pPr>
    </w:p>
    <w:p>
      <w:pPr>
        <w:ind w:right="100" w:firstLine="492"/>
        <w:spacing w:after="0" w:line="270" w:lineRule="auto"/>
        <w:rPr>
          <w:sz w:val="20"/>
          <w:szCs w:val="20"/>
          <w:color w:val="auto"/>
        </w:rPr>
      </w:pPr>
      <w:r>
        <w:rPr>
          <w:rFonts w:ascii="Arial" w:cs="Arial" w:eastAsia="Arial" w:hAnsi="Arial"/>
          <w:sz w:val="17"/>
          <w:szCs w:val="17"/>
          <w:color w:val="auto"/>
        </w:rPr>
        <w:t>On March 27, 2020, the Coronavirus Aid, Relief, and Economic Security Act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The tax relief measures for business entities include a five-year net operating loss (“NOL”) carrybacks, suspension of annual deduction limitation of 80% taxable income from net operating losses generated in a tax year beginning after December 31, 2017, changes in the deductibility of interest, acceleration of alternative minimum tax credit refunds, payroll tax relief, and technical correction to allow accelerated deductions for qualified improvement property. The CARES Act also provides other non-tax benefits to assist those impacted by the pandemic. The Company evaluated the impact of the CARES Act and determined the impact is immaterial for the three months ended March 31,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Company determines if an arrangement includes a lease at inception. Operating leases are included in its Condensed Consolidated Balance Sheet as Operating lease right-of-use assets and Operating lease liabilities as of March 31, 2021 and December 31, 2020.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date or the date of adoption of Accounting Standard Update (ASU) No. 2016-02 and ASU No. 2018-10, Leases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38"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Company periodically grants stock options to employees in non-capital raising transactions as compensation for services rendered. The Company accounts for all stock-based payment awards made to employee, including the employee stock purchase plans based on the authoritative guidance provided by the FASB where the value of the award is measured on the date of grant and recognized over the vesting period. Upon the adoption of ASU No. 2018-07, Compensation-Stock Compensation (“Topic 718”),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38" w:lineRule="exact"/>
        <w:rPr>
          <w:sz w:val="20"/>
          <w:szCs w:val="20"/>
          <w:color w:val="auto"/>
        </w:rPr>
      </w:pPr>
    </w:p>
    <w:p>
      <w:pPr>
        <w:ind w:right="40" w:firstLine="492"/>
        <w:spacing w:after="0" w:line="311" w:lineRule="auto"/>
        <w:rPr>
          <w:sz w:val="20"/>
          <w:szCs w:val="20"/>
          <w:color w:val="auto"/>
        </w:rPr>
      </w:pPr>
      <w:r>
        <w:rPr>
          <w:rFonts w:ascii="Arial" w:cs="Arial" w:eastAsia="Arial" w:hAnsi="Arial"/>
          <w:sz w:val="16"/>
          <w:szCs w:val="16"/>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The stock-based compensation expense is recorded based upon the value derived from the Black-Scholes option pricing</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model. The assumptions used in the Black-Scholes option pricing model could materially affect compensation expense recorded in future periods.</w:t>
      </w:r>
    </w:p>
    <w:p>
      <w:pPr>
        <w:spacing w:after="0" w:line="130" w:lineRule="exact"/>
        <w:rPr>
          <w:sz w:val="20"/>
          <w:szCs w:val="20"/>
          <w:color w:val="auto"/>
        </w:rPr>
      </w:pPr>
    </w:p>
    <w:p>
      <w:pPr>
        <w:ind w:right="160" w:firstLine="492"/>
        <w:spacing w:after="0" w:line="279" w:lineRule="auto"/>
        <w:rPr>
          <w:sz w:val="20"/>
          <w:szCs w:val="20"/>
          <w:color w:val="auto"/>
        </w:rPr>
      </w:pPr>
      <w:r>
        <w:rPr>
          <w:rFonts w:ascii="Arial" w:cs="Arial" w:eastAsia="Arial" w:hAnsi="Arial"/>
          <w:sz w:val="17"/>
          <w:szCs w:val="17"/>
          <w:color w:val="auto"/>
        </w:rPr>
        <w:t>The Company has in the past issued restricted stock units (“RSUs”) and restricted stock awards (“RSAs”) as part of its share-based compensation programs. The Company measures the compensation cost with respect to RSUs and RSAs issued to employees based upon the estimated fair value of the equity instruments at the date of the grant, which is recognized as an expense over the period during which an employee is required to provide services in exchange for the awards.</w:t>
      </w:r>
    </w:p>
    <w:p>
      <w:pPr>
        <w:spacing w:after="0" w:line="144" w:lineRule="exact"/>
        <w:rPr>
          <w:sz w:val="20"/>
          <w:szCs w:val="20"/>
          <w:color w:val="auto"/>
        </w:rPr>
      </w:pPr>
    </w:p>
    <w:p>
      <w:pPr>
        <w:ind w:right="1160" w:firstLine="492"/>
        <w:spacing w:after="0" w:line="453" w:lineRule="auto"/>
        <w:rPr>
          <w:sz w:val="20"/>
          <w:szCs w:val="20"/>
          <w:color w:val="auto"/>
        </w:rPr>
      </w:pPr>
      <w:r>
        <w:rPr>
          <w:rFonts w:ascii="Arial" w:cs="Arial" w:eastAsia="Arial" w:hAnsi="Arial"/>
          <w:sz w:val="18"/>
          <w:szCs w:val="18"/>
          <w:color w:val="auto"/>
        </w:rPr>
        <w:t xml:space="preserve">The fair value of RSUs and RSAs is based on the closing price of the Company’s common stock on the grant date. </w:t>
      </w:r>
      <w:r>
        <w:rPr>
          <w:rFonts w:ascii="Arial" w:cs="Arial" w:eastAsia="Arial" w:hAnsi="Arial"/>
          <w:sz w:val="18"/>
          <w:szCs w:val="18"/>
          <w:b w:val="1"/>
          <w:bCs w:val="1"/>
          <w:i w:val="1"/>
          <w:iCs w:val="1"/>
          <w:color w:val="auto"/>
        </w:rPr>
        <w:t>Accrued Research and Development Costs</w:t>
      </w:r>
    </w:p>
    <w:p>
      <w:pPr>
        <w:spacing w:after="0" w:line="2"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Research and development costs are expensed as incurred. Clinical development costs compose a significant component of research and development costs. The Company has a history of contracting with third parties that perform various clinical trial activities on its behalf. Service agreements with contract research organizations (“CROs”) and contract manufacturing organizations (“CMOs”) are recognized as the services are incurred. The Company accrues for expenses resulting from obligations under agreements with its third-parties for which the timing of payments does not match the periods over which the materials or services are provided to the Company. Accruals are recorded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judgements and estimates in determining the accrual balance in each reporting period.</w:t>
      </w:r>
    </w:p>
    <w:p>
      <w:pPr>
        <w:spacing w:after="0" w:line="139" w:lineRule="exact"/>
        <w:rPr>
          <w:sz w:val="20"/>
          <w:szCs w:val="20"/>
          <w:color w:val="auto"/>
        </w:rPr>
      </w:pPr>
    </w:p>
    <w:p>
      <w:pPr>
        <w:ind w:right="40" w:firstLine="492"/>
        <w:spacing w:after="0" w:line="272" w:lineRule="auto"/>
        <w:rPr>
          <w:sz w:val="20"/>
          <w:szCs w:val="20"/>
          <w:color w:val="auto"/>
        </w:rPr>
      </w:pPr>
      <w:r>
        <w:rPr>
          <w:rFonts w:ascii="Arial" w:cs="Arial" w:eastAsia="Arial" w:hAnsi="Arial"/>
          <w:sz w:val="17"/>
          <w:szCs w:val="17"/>
          <w:color w:val="auto"/>
        </w:rPr>
        <w:t>In the event advance payments are made to a CRO, CMO or other outside service provider, the payments are recorded within prepaid expenses and other current assets and subsequently recognized as research and development expense when the associated services have been performed. As actual costs become known, the Company adjusts its liabilities and assets. Inputs, such as the extent of services received and the duration of services to be performed, may vary from the Company’s estimates, which will result in adjustments to research and development expense in future periods. Changes in these estimates that result in material changes to the Company’s accruals could materially affect the Company’s results of operations. The Company’s historical estimates have not been materially different from actual amounts recorded.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The Company applies the accounting standards for distinguishing liabilities from equity when determining the classification and measurement of its preferred stock. Preferred stock subject to mandatory redemption are classified as liability instruments and are measured at fair value. Conditionally redeemable preferred stock (including preferred stock that feature redemption rights that are either within the control of the holder or subject to redemption upon the occurrence of uncertain events not solely within the Company’s control) are classified as temporary equity. At all other times, preferred stock is classified as stockholders’ equity.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185"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according to certain criteria. The criteria include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26"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firstLine="492"/>
        <w:spacing w:after="0" w:line="263"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 Adopted</w:t>
      </w:r>
    </w:p>
    <w:p>
      <w:pPr>
        <w:spacing w:after="0" w:line="198" w:lineRule="exact"/>
        <w:rPr>
          <w:sz w:val="20"/>
          <w:szCs w:val="20"/>
          <w:color w:val="auto"/>
        </w:rPr>
      </w:pPr>
    </w:p>
    <w:p>
      <w:pPr>
        <w:ind w:right="280" w:firstLine="492"/>
        <w:spacing w:after="0" w:line="291" w:lineRule="auto"/>
        <w:rPr>
          <w:sz w:val="20"/>
          <w:szCs w:val="20"/>
          <w:color w:val="auto"/>
        </w:rPr>
      </w:pPr>
      <w:r>
        <w:rPr>
          <w:rFonts w:ascii="Arial" w:cs="Arial" w:eastAsia="Arial" w:hAnsi="Arial"/>
          <w:sz w:val="16"/>
          <w:szCs w:val="16"/>
          <w:color w:val="auto"/>
        </w:rPr>
        <w:t xml:space="preserve">In December 2019, the Financial Accounting Standards Board (“FASB”) issued ASU No. 2019-12, Income Taxes (Topic 740): </w:t>
      </w:r>
      <w:r>
        <w:rPr>
          <w:rFonts w:ascii="Arial" w:cs="Arial" w:eastAsia="Arial" w:hAnsi="Arial"/>
          <w:sz w:val="16"/>
          <w:szCs w:val="16"/>
          <w:i w:val="1"/>
          <w:iCs w:val="1"/>
          <w:color w:val="auto"/>
        </w:rPr>
        <w:t xml:space="preserve">Simplifying the Accounting for Income Taxes, </w:t>
      </w:r>
      <w:r>
        <w:rPr>
          <w:rFonts w:ascii="Arial" w:cs="Arial" w:eastAsia="Arial" w:hAnsi="Arial"/>
          <w:sz w:val="16"/>
          <w:szCs w:val="16"/>
          <w:color w:val="auto"/>
        </w:rPr>
        <w:t>which simplifies accounting for income taxes by eliminating certain exceptions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in Topic 740 related to the approach for allocating income tax expense or benefit for the year to continuing operations, discontinued operations, other comprehensive income, and other charges or credits recorded directly to stockholders’ equity; the methodology for calculating income tax expense or benefit in an interim period; and the recognition of deferred tax liabilities outside basis difference. This ASU became effective for the Company on January 1, 2021, however, the adoption of this new standard did not have a material impact on its condensed consolidated financial statements and related disclosures.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EQUIVALENTS AND INVESTMENTS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equivalents consist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 Money market funds</w:t>
            </w:r>
          </w:p>
        </w:tc>
        <w:tc>
          <w:tcPr>
            <w:tcW w:w="18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74,424</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equivalents total</w:t>
            </w:r>
          </w:p>
        </w:tc>
        <w:tc>
          <w:tcPr>
            <w:tcW w:w="1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8"/>
              </w:rPr>
              <w:t>74,424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Cash equivalents in the tables above exclude cash demand deposits of $57.5 million and $17.6 million as of March 31, 2021 and December 31, 2020, respectively (in thousands).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available-for-sale debt securities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461,976</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investments</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Investments total</w:t>
            </w:r>
          </w:p>
        </w:tc>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472,203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80" w:firstLine="492"/>
        <w:spacing w:after="0" w:line="258" w:lineRule="auto"/>
        <w:rPr>
          <w:sz w:val="20"/>
          <w:szCs w:val="20"/>
          <w:color w:val="auto"/>
        </w:rPr>
      </w:pPr>
      <w:r>
        <w:rPr>
          <w:rFonts w:ascii="Arial" w:cs="Arial" w:eastAsia="Arial" w:hAnsi="Arial"/>
          <w:sz w:val="18"/>
          <w:szCs w:val="18"/>
          <w:color w:val="auto"/>
        </w:rPr>
        <w:t>The following table summarizes the classification of the Company’s available-for-sale debt securities in its Condensed Consolidated Balance Sheets (in thousands):</w:t>
      </w:r>
    </w:p>
    <w:tbl>
      <w:tblPr>
        <w:tblLayout w:type="fixed"/>
        <w:tblInd w:w="0" w:type="dxa"/>
        <w:tblCellMar>
          <w:top w:w="0" w:type="dxa"/>
          <w:left w:w="0" w:type="dxa"/>
          <w:bottom w:w="0" w:type="dxa"/>
          <w:right w:w="0" w:type="dxa"/>
        </w:tblCellMar>
      </w:tblPr>
      <w:tr>
        <w:trPr>
          <w:trHeight w:val="141"/>
        </w:trPr>
        <w:tc>
          <w:tcPr>
            <w:tcW w:w="418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Investments</w:t>
            </w: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
              <w:spacing w:after="0" w:line="141" w:lineRule="exact"/>
              <w:rPr>
                <w:sz w:val="20"/>
                <w:szCs w:val="20"/>
                <w:color w:val="auto"/>
              </w:rPr>
            </w:pPr>
            <w:r>
              <w:rPr>
                <w:rFonts w:ascii="Arial" w:cs="Arial" w:eastAsia="Arial" w:hAnsi="Arial"/>
                <w:sz w:val="14"/>
                <w:szCs w:val="14"/>
                <w:b w:val="1"/>
                <w:bCs w:val="1"/>
                <w:color w:val="auto"/>
              </w:rPr>
              <w:t>March 31,</w:t>
            </w:r>
          </w:p>
        </w:tc>
        <w:tc>
          <w:tcPr>
            <w:tcW w:w="2020" w:type="dxa"/>
            <w:vAlign w:val="bottom"/>
            <w:gridSpan w:val="4"/>
          </w:tcPr>
          <w:p>
            <w:pPr>
              <w:ind w:left="160"/>
              <w:spacing w:after="0" w:line="14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380,219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470,109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91,999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Arial" w:cs="Arial" w:eastAsia="Arial" w:hAnsi="Arial"/>
                <w:sz w:val="18"/>
                <w:szCs w:val="18"/>
                <w:color w:val="auto"/>
              </w:rPr>
              <w:t>Investments total</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472,203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562,108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20" w:type="dxa"/>
            <w:vAlign w:val="bottom"/>
            <w:vMerge w:val="restart"/>
          </w:tcPr>
          <w:p>
            <w:pPr>
              <w:jc w:val="right"/>
              <w:ind w:right="175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and fair value of investments as of March 31, 2021 and December 31, 2020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As of March 31, 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380,135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380,219</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62,034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29,950</w:t>
            </w:r>
          </w:p>
        </w:tc>
        <w:tc>
          <w:tcPr>
            <w:tcW w:w="0" w:type="dxa"/>
            <w:vAlign w:val="bottom"/>
          </w:tcPr>
          <w:p>
            <w:pPr>
              <w:spacing w:after="0"/>
              <w:rPr>
                <w:sz w:val="1"/>
                <w:szCs w:val="1"/>
                <w:color w:val="auto"/>
              </w:rPr>
            </w:pPr>
          </w:p>
        </w:tc>
      </w:tr>
      <w:tr>
        <w:trPr>
          <w:trHeight w:val="210"/>
        </w:trPr>
        <w:tc>
          <w:tcPr>
            <w:tcW w:w="5020" w:type="dxa"/>
            <w:vAlign w:val="bottom"/>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472,107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472,203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91,999</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562,089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Company’s available-for-sale debt securities by contractual maturity (in thousands):</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Amortized Cost</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One year to two years</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Investments total</w:t>
            </w: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$ 472,203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92"/>
        <w:spacing w:after="0" w:line="296" w:lineRule="auto"/>
        <w:rPr>
          <w:sz w:val="20"/>
          <w:szCs w:val="20"/>
          <w:color w:val="auto"/>
        </w:rPr>
      </w:pPr>
      <w:r>
        <w:rPr>
          <w:rFonts w:ascii="Arial" w:cs="Arial" w:eastAsia="Arial" w:hAnsi="Arial"/>
          <w:sz w:val="16"/>
          <w:szCs w:val="16"/>
          <w:color w:val="auto"/>
        </w:rPr>
        <w:t>All available-for-sale securities held as of March 31, 2021 and December 31, 2020 had contractual maturities of less than two years. No significant available-for-sale securities held as of the periods presented have been in a continuous unrealized loss position for more than 12 months. As of March 31, 2021, unrealized losses on available-for-sale investments are not attributed to credit risk. The Company determined that it has the ability and intent to hold all marketable securities that have been in a continuous loss position until maturity or recovery. To date, the Company has not recorded any impairment charges on its marketable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PROPERTY AND EQUIPMENT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58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56,758</w:t>
            </w: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Total Property and equipment, cost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64,737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72,750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59,159</w:t>
            </w:r>
          </w:p>
        </w:tc>
      </w:tr>
      <w:tr>
        <w:trPr>
          <w:trHeight w:val="20"/>
        </w:trPr>
        <w:tc>
          <w:tcPr>
            <w:tcW w:w="5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Depreciation expense for the three months ended March 31, 2021 and 2020, was approximately $0.4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EXPENSES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1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12,869</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Accrued payroll and employee related expenses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Commercial manufacturing facility related</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R&amp;D Manufacturing related</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1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Authorized Shares of Common Stock</w:t>
      </w:r>
    </w:p>
    <w:p>
      <w:pPr>
        <w:spacing w:after="0" w:line="185"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On June 10, 2019, the certificate of incorporation of the Company was amended to increase the number of authorized shares of the Company's common stock, par value $0.000041666, from 150,000,000 shares to 300,000,000 shares (the "Certificate of Amendment"). The Certificate of Amendment was approved by the Company's stockholders at the Company's 2019 Annual Meeting of Stockholders held on June 10,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Offerings</w:t>
      </w:r>
    </w:p>
    <w:p>
      <w:pPr>
        <w:spacing w:after="0" w:line="198"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In June 2020, the Company closed an underwritten public offering of 16,935,484 shares of the Company’s common stock at a public offering price of $31.00 per share, before underwriting discounts, which included 2,540,322 shares issued upon the exercise in full by the underwriter of its option to purchase additional shares at the public offering price less the underwriting discount (the "June 2020 Public Offering"). The gross proceeds from the offering, before deducting the underwriting discounts and commissions and other offering expenses payable by the Company, were $603.7 million, with net proceeds to the Company of $567.0 million.</w:t>
      </w:r>
    </w:p>
    <w:p>
      <w:pPr>
        <w:spacing w:after="0" w:line="121" w:lineRule="exact"/>
        <w:rPr>
          <w:sz w:val="20"/>
          <w:szCs w:val="20"/>
          <w:color w:val="auto"/>
        </w:rPr>
      </w:pPr>
    </w:p>
    <w:p>
      <w:pPr>
        <w:ind w:right="40" w:firstLine="492"/>
        <w:spacing w:after="0" w:line="275" w:lineRule="auto"/>
        <w:rPr>
          <w:sz w:val="20"/>
          <w:szCs w:val="20"/>
          <w:color w:val="auto"/>
        </w:rPr>
      </w:pPr>
      <w:r>
        <w:rPr>
          <w:rFonts w:ascii="Arial" w:cs="Arial" w:eastAsia="Arial" w:hAnsi="Arial"/>
          <w:sz w:val="17"/>
          <w:szCs w:val="17"/>
          <w:color w:val="auto"/>
        </w:rPr>
        <w:t>In October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$252.2 million, with net proceeds to the Company of $236.7 million.</w:t>
      </w:r>
    </w:p>
    <w:p>
      <w:pPr>
        <w:spacing w:after="0" w:line="136"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85" w:lineRule="exact"/>
        <w:rPr>
          <w:sz w:val="20"/>
          <w:szCs w:val="20"/>
          <w:color w:val="auto"/>
        </w:rPr>
      </w:pPr>
    </w:p>
    <w:p>
      <w:pPr>
        <w:jc w:val="both"/>
        <w:ind w:right="120" w:firstLine="492"/>
        <w:spacing w:after="0" w:line="311" w:lineRule="auto"/>
        <w:rPr>
          <w:sz w:val="20"/>
          <w:szCs w:val="20"/>
          <w:color w:val="auto"/>
        </w:rPr>
      </w:pPr>
      <w:r>
        <w:rPr>
          <w:rFonts w:ascii="Arial" w:cs="Arial" w:eastAsia="Arial" w:hAnsi="Arial"/>
          <w:sz w:val="16"/>
          <w:szCs w:val="16"/>
          <w:color w:val="auto"/>
        </w:rPr>
        <w:t>The Company’s certificate of incorporation authorizes the issuance of up to 50,000,000 shares of “blank check” preferred stock. As of March 31, 2021, 17,000 shares were designated as Series A Convertible Preferred Stock (“Series A Convertible Preferred Stock”) and 11,500,000 shares were designated as Series B Convertible Preferred Stock (“Series B Convertible Preferred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198"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37"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during the three months ended March 31, 2021 or 2020. As of March 31, 2021 and December 31, 2020, 194 shares of Series A Convertible Preferred Stock (that are convertible into 97,000 shares of common stock) remained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18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17"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51" w:lineRule="exact"/>
        <w:rPr>
          <w:sz w:val="20"/>
          <w:szCs w:val="20"/>
          <w:color w:val="auto"/>
        </w:rPr>
      </w:pPr>
    </w:p>
    <w:p>
      <w:pPr>
        <w:ind w:right="260" w:firstLine="492"/>
        <w:spacing w:after="0" w:line="301" w:lineRule="auto"/>
        <w:rPr>
          <w:sz w:val="20"/>
          <w:szCs w:val="20"/>
          <w:color w:val="auto"/>
        </w:rPr>
      </w:pPr>
      <w:r>
        <w:rPr>
          <w:rFonts w:ascii="Arial" w:cs="Arial" w:eastAsia="Arial" w:hAnsi="Arial"/>
          <w:sz w:val="16"/>
          <w:szCs w:val="16"/>
          <w:color w:val="auto"/>
        </w:rPr>
        <w:t>During the three months ended March 31, 2021, a total of 738,961 of Series B Convertible Preferred Stock were converted into 738,961 shares of common stock. No shares of Series B Convertible Preferred Stock were converted during the three months ended March 31, 2020. As of March 31, 2021 and December 31, 2020, 2,842,158 and 3,581,119 shares of Series B Preferred Stock (that are convertible into 2,842,158 and 3,581,119 shares of common stock) remained outstanding,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the Market Offering Program</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February 8, 2021, the Company entered into an Open Market Sale Agreement (the “Sales Agreement”) with Jefferies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(“Jefferies”) with respect to an “at the market” offering program, under which the Company may, from time to time, in its sole discretion,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 and sell through Jefferies, acting as sales agent, up to $350.0 million of shares of the Company’s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$0.000041666 per share (the “Common Shares”). The issuance and sale, if any, of the Common Shares by the Company under the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will be made pursuant to a prospectus supplement, dated February 8, 2021, to the Company’s registration statement on Form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S-3ASR, originally filed with the Securities and Exchange Commission on May 27, 2020, which became effective immediately upon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filing.</w:t>
      </w:r>
    </w:p>
    <w:p>
      <w:pPr>
        <w:spacing w:after="0" w:line="184"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Pursuant to the Sales Agreement, Jefferies may sell the Common Shares by any method permitted by law deemed to be an “at the market” offering as defined in Rule 415 of the Securities Act of 1933, as amended (the “Securities Act”).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w:t>
      </w:r>
    </w:p>
    <w:p>
      <w:pPr>
        <w:spacing w:after="0" w:line="147"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The Company will pay Jefferies a commission of up to 3.0% of the gross sales proceeds of any Common Shares sold through Jefferies under the Sales Agreement.</w:t>
      </w:r>
    </w:p>
    <w:p>
      <w:pPr>
        <w:spacing w:after="0" w:line="130" w:lineRule="exact"/>
        <w:rPr>
          <w:sz w:val="20"/>
          <w:szCs w:val="20"/>
          <w:color w:val="auto"/>
        </w:rPr>
      </w:pPr>
    </w:p>
    <w:p>
      <w:pPr>
        <w:ind w:right="480" w:firstLine="492"/>
        <w:spacing w:after="0" w:line="311" w:lineRule="auto"/>
        <w:rPr>
          <w:sz w:val="20"/>
          <w:szCs w:val="20"/>
          <w:color w:val="auto"/>
        </w:rPr>
      </w:pPr>
      <w:r>
        <w:rPr>
          <w:rFonts w:ascii="Arial" w:cs="Arial" w:eastAsia="Arial" w:hAnsi="Arial"/>
          <w:sz w:val="16"/>
          <w:szCs w:val="16"/>
          <w:color w:val="auto"/>
        </w:rPr>
        <w:t>The Company is not obligated to make any sales of Common Shares under the Sales Agreement. The offering of Common Shares pursuant to the Sales Agreement will terminate upon the earlier to occur of (i) the issuance and sale, through Jefferies, of all Common Shares subject to the Sales Agreement and (ii) termination of the Sales Agreement in accordance with its terms.</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577"/>
        <w:spacing w:after="0" w:line="263" w:lineRule="auto"/>
        <w:rPr>
          <w:sz w:val="20"/>
          <w:szCs w:val="20"/>
          <w:color w:val="auto"/>
        </w:rPr>
      </w:pPr>
      <w:r>
        <w:rPr>
          <w:rFonts w:ascii="Arial" w:cs="Arial" w:eastAsia="Arial" w:hAnsi="Arial"/>
          <w:sz w:val="18"/>
          <w:szCs w:val="18"/>
          <w:color w:val="auto"/>
        </w:rPr>
        <w:t>For the three months ended March 31, 2021, the Company received approximately $42.9 million in net proceeds, net of offering costs, through the sale of 1,278,243 shares of its common stock through the Sales Agreement at a weighted average price per share of $34.67.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STOCK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On June 1, 2016, the Company entered into an RSU agreement with the Company’s Chief Executive Officer, Maria Fardis, Ph.D., M.B.A., pursuant to which the Company granted Dr. Fardis 550,000 non-transferrable RSUs at a fair market value price of $5.87 per share as an inducement to her employment pursuant to the exception to The Nasdaq Global Market rules that generally require stockholder approval of equity incentive plans. The 550,000 RSUs vested in installments as follows: (i) 137,500 restricted stock units vested upon the first anniversary of the effective date of Dr. Fardis’ employment agreement; (ii) 275,000 restricted stock units vested upon the satisfaction of certain clinical trial milestones; and (iii) 137,500 restricted stock units vested in equal monthly installments over the 36-month period following the first anniversary of the effective date of Dr. Fardis’ employment, such that the RSUs were fully vested as of June 1, 2020. As of March 31, 2021, the Company had no RSUs outstanding.</w:t>
      </w:r>
    </w:p>
    <w:p>
      <w:pPr>
        <w:spacing w:after="0" w:line="138"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Stock-based compensation expense for RSUs are measured based on the closing fair market value of the Company’s common stock on the date of grant. No stock-based compensation expenses relating to RSUs were recorded for the three months ended March 31, 2021, and $0.1 million of stock-based compensation expenses were recorded for the same period ended in 2020 as part of general and administrative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On October 14, 2011, the Company’s Board of Directors (the “Board”)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that plan. In August 2013, the Board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Board amended the 2011 Plan to increase the number of shares available for issuance upon the exercise of stock options under the 2011 Plan from 1,700,000 to 1,900,000 shares, effective immediately. As of March 31, 2021, 11,240 shares were available for future grant under the 2011 Plan.</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September 19, 2014, the Board adopted the Iovance Biotherapeutics, Inc. 2014 Equity Incentive Plan (the “2014 Plan”).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Plan was approved by the Company’s stockholders at the Company’s 2014 Annual Meeting of Stockholders held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November 2014. The 2014 Plan, as approved by the stockholders, authorized the issuance up to an aggregate of 2,350,000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On April 10, 2015, the Board amended the 2014 Plan to increase the total number of shares that can be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2014 Plan to 4,000,000 shares of the Company’s common stock. The increase in shares available for issuance under the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was approved by the Company’s stockholders at the Company’s 2015 Annual Meeting of Stockholders in June 2015.</w:t>
      </w:r>
    </w:p>
    <w:p>
      <w:pPr>
        <w:spacing w:after="0" w:line="170"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On August 16, 2016, the Company’s stockholders approved an increase in the total number of shares that can be issued under the 2014 Plan to 9,000,000 shares of the Company’s common stock. As of March 31, 2021, 9,220 shares were available for grant under the Company’s 2014 Plan.</w:t>
      </w:r>
    </w:p>
    <w:p>
      <w:pPr>
        <w:spacing w:after="0" w:line="157"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On April 22, 2018, the Board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As of March 31, 2021, 4,281,126 shares of common stock were available for grant under the Company’s 2018 Plan.</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A summary of the status of stock options as of March 31, 2021, and the changes during the three months then ended, is presented in the following table:</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12,615,638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3,704,589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March 31,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15,419,226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March 31, 2021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7,388,773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quarter ended March 31, 2021 and the exercise price of the options, multiplied by the number of in-the-money stock options) that would have been received by the option holders had all option holders exercised their options on March 31, 2021. The intrinsic value of the Company’s stock options changes based on the closing price of the Company’s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right="140" w:firstLine="492"/>
        <w:spacing w:after="0" w:line="342" w:lineRule="auto"/>
        <w:rPr>
          <w:sz w:val="20"/>
          <w:szCs w:val="20"/>
          <w:color w:val="auto"/>
        </w:rPr>
      </w:pPr>
      <w:r>
        <w:rPr>
          <w:rFonts w:ascii="Arial" w:cs="Arial" w:eastAsia="Arial" w:hAnsi="Arial"/>
          <w:sz w:val="16"/>
          <w:szCs w:val="16"/>
          <w:color w:val="auto"/>
        </w:rPr>
        <w:t>In June 2020, the Company adopted the 2020 ESPP upon its approval by the Company’s shareholders at its Annual Stockholders Meeting on June 8, 2020. The Company reserved 500,000 shares of its common stock for issuance under the 2020 ESPP.</w:t>
      </w:r>
    </w:p>
    <w:p>
      <w:pPr>
        <w:spacing w:after="0" w:line="97"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 month look-back feature. The 2020 ESPP purchases are settled with common stock from the 2020 ESPP’s previously authorized and available pool of shares.</w:t>
      </w:r>
    </w:p>
    <w:p>
      <w:pPr>
        <w:spacing w:after="0" w:line="131"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The compensation expense related to the 2020 ESPP for the three months ended March 31, 2021 was $0.3 million. As of March 31, 2021, no shares were issued under the 2020 ESPP and there was $0.2 million of unrecognized compensation cost associated with the 2020 ESPP, which will be recognized over the remaining 2.3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statements of operations as follows (in thousands):</w:t>
      </w:r>
    </w:p>
    <w:p>
      <w:pPr>
        <w:spacing w:after="0" w:line="135"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Three Months Ended</w:t>
      </w:r>
    </w:p>
    <w:p>
      <w:pPr>
        <w:ind w:left="81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3940" w:type="dxa"/>
            <w:vAlign w:val="bottom"/>
            <w:tcBorders>
              <w:top w:val="single" w:sz="8" w:color="CCEEFF"/>
            </w:tcBorders>
            <w:shd w:val="clear" w:color="auto" w:fill="CCEEFF"/>
          </w:tcPr>
          <w:p>
            <w:pPr>
              <w:spacing w:after="0"/>
              <w:rPr>
                <w:sz w:val="12"/>
                <w:szCs w:val="12"/>
                <w:color w:val="auto"/>
              </w:rPr>
            </w:pPr>
          </w:p>
        </w:tc>
        <w:tc>
          <w:tcPr>
            <w:tcW w:w="3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41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9,202</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 stock-based compensation expenses</w:t>
            </w:r>
          </w:p>
        </w:tc>
        <w:tc>
          <w:tcPr>
            <w:tcW w:w="316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160" w:type="dxa"/>
            <w:vAlign w:val="bottom"/>
            <w:vMerge w:val="restart"/>
          </w:tcPr>
          <w:p>
            <w:pPr>
              <w:jc w:val="right"/>
              <w:ind w:right="195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Total stock-based compensation expenses broken down based on each individual instrument were as follows (in thousands):</w:t>
      </w:r>
    </w:p>
    <w:p>
      <w:pPr>
        <w:spacing w:after="0" w:line="201"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Three Months Ended</w:t>
      </w:r>
    </w:p>
    <w:p>
      <w:pPr>
        <w:ind w:left="81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41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41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CCEEFF"/>
            </w:tcBorders>
            <w:shd w:val="clear" w:color="auto" w:fill="CCEEFF"/>
          </w:tcPr>
          <w:p>
            <w:pPr>
              <w:spacing w:after="0"/>
              <w:rPr>
                <w:sz w:val="12"/>
                <w:szCs w:val="12"/>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Stock option expenses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16,660</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9,345</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ESPP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The Company recorded stock-based compensation expenses related to stock options of $16.7 million and $9.3 million for the three months ended March 31, 2021 and 2020 respectively. As of March 31, 2021, there was $148.4 million of total unrecognized compensation expense related to the options to be recognized over a weighted average period of 2.17 years.</w:t>
      </w:r>
    </w:p>
    <w:p>
      <w:pPr>
        <w:spacing w:after="0" w:line="157"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three months ended March 31, 2021 and 2020 was $26.42 and $15.67 per option, respectively.</w:t>
      </w:r>
    </w:p>
    <w:p>
      <w:pPr>
        <w:spacing w:after="0" w:line="130"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the Company’s equity incentive plans for the three months ended March 31, 2021 and 2020:</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290"/>
        </w:trPr>
        <w:tc>
          <w:tcPr>
            <w:tcW w:w="5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Assumptions: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5.21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6.19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70.35%</w:t>
            </w:r>
          </w:p>
        </w:tc>
        <w:tc>
          <w:tcPr>
            <w:tcW w:w="2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69.99%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0.36%</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1.83%</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Expected Dividend Yield —The Company has never paid dividends and does not expect to pay dividends in the foreseeable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170"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Risk-Free Interest Rate —The risk-free interest rate was based on the market yield currently available on United States Treasury securities with maturities approximately equal to the option’s expected term.</w:t>
      </w:r>
    </w:p>
    <w:p>
      <w:pPr>
        <w:spacing w:after="0" w:line="143" w:lineRule="exact"/>
        <w:rPr>
          <w:sz w:val="20"/>
          <w:szCs w:val="20"/>
          <w:color w:val="auto"/>
        </w:rPr>
      </w:pPr>
    </w:p>
    <w:p>
      <w:pPr>
        <w:ind w:right="320" w:firstLine="492"/>
        <w:spacing w:after="0" w:line="277" w:lineRule="auto"/>
        <w:rPr>
          <w:sz w:val="20"/>
          <w:szCs w:val="20"/>
          <w:color w:val="auto"/>
        </w:rPr>
      </w:pPr>
      <w:r>
        <w:rPr>
          <w:rFonts w:ascii="Arial" w:cs="Arial" w:eastAsia="Arial" w:hAnsi="Arial"/>
          <w:sz w:val="18"/>
          <w:szCs w:val="18"/>
          <w:color w:val="auto"/>
        </w:rPr>
        <w:t>Expected Term —The expected term of the stock option grants was calculated based on historical exercises, cancellations, and forfeitures of stock options and outstanding option shares.</w:t>
      </w:r>
    </w:p>
    <w:p>
      <w:pPr>
        <w:spacing w:after="0" w:line="130"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Expected Volatility —The expected volatility is based on the historical volatility for the Company’s stock over a period equal to the expected terms of the options.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Forfeiture Rate —The Company recognizes forfeitures as they occur.</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LICENSES AND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185" w:lineRule="exact"/>
        <w:rPr>
          <w:sz w:val="20"/>
          <w:szCs w:val="20"/>
          <w:color w:val="auto"/>
        </w:rPr>
      </w:pPr>
    </w:p>
    <w:p>
      <w:pPr>
        <w:ind w:right="220" w:firstLine="492"/>
        <w:spacing w:after="0" w:line="342" w:lineRule="auto"/>
        <w:rPr>
          <w:sz w:val="20"/>
          <w:szCs w:val="20"/>
          <w:color w:val="auto"/>
        </w:rPr>
      </w:pPr>
      <w:r>
        <w:rPr>
          <w:rFonts w:ascii="Arial" w:cs="Arial" w:eastAsia="Arial" w:hAnsi="Arial"/>
          <w:sz w:val="16"/>
          <w:szCs w:val="16"/>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97"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In August 2016, the NCI and the Company entered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52"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for the three months ended March 31, 2021 and 2020 as research and development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85" w:lineRule="exact"/>
        <w:rPr>
          <w:sz w:val="20"/>
          <w:szCs w:val="20"/>
          <w:color w:val="auto"/>
        </w:rPr>
      </w:pPr>
    </w:p>
    <w:p>
      <w:pPr>
        <w:ind w:right="140" w:firstLine="492"/>
        <w:spacing w:after="0" w:line="288" w:lineRule="auto"/>
        <w:rPr>
          <w:sz w:val="20"/>
          <w:szCs w:val="20"/>
          <w:color w:val="auto"/>
        </w:rPr>
      </w:pPr>
      <w:r>
        <w:rPr>
          <w:rFonts w:ascii="Arial" w:cs="Arial" w:eastAsia="Arial" w:hAnsi="Arial"/>
          <w:sz w:val="16"/>
          <w:szCs w:val="16"/>
          <w:color w:val="auto"/>
        </w:rPr>
        <w:t>Effective October 5, 2011, the Company entered into an Exclusive Patent License Agreement (the “Patent License Agreement”) with the NIH, an agency of the U.S. Public Health Service within the Department of Health and Human Services (NIH), which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 The Company anticipates making a milestone payment in conjunction with the submission of a Biologics License Application for any of its product candidates covered by the Patent License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98"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U.S., and the first commercial sale of a licensed product or process in any foreign country.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98" w:lineRule="exact"/>
        <w:rPr>
          <w:sz w:val="20"/>
          <w:szCs w:val="20"/>
          <w:color w:val="auto"/>
        </w:rPr>
      </w:pPr>
    </w:p>
    <w:p>
      <w:pPr>
        <w:ind w:right="80" w:firstLine="492"/>
        <w:spacing w:after="0" w:line="290" w:lineRule="auto"/>
        <w:rPr>
          <w:sz w:val="20"/>
          <w:szCs w:val="20"/>
          <w:color w:val="auto"/>
        </w:rPr>
      </w:pPr>
      <w:r>
        <w:rPr>
          <w:rFonts w:ascii="Arial" w:cs="Arial" w:eastAsia="Arial" w:hAnsi="Arial"/>
          <w:sz w:val="16"/>
          <w:szCs w:val="16"/>
          <w:color w:val="auto"/>
        </w:rPr>
        <w:t>In December 2016, the Company entered into a new three-year Sponsored Research Agreement with H. Lee Moffitt Cancer Center (“Moffitt”) which expired in December 2019. In June 2020, the Company entered into a new Sponsored Research Agreement with Moffitt, with a term that ends either upon completion of the research thereunder or on July 1, 2022, whichever is sooner, and under which immaterial payments will be made to Moffitt in connection with the research services thereunder.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inventions made in the performance of the agreement. Under both clinical grant agreements with Moffit, the Company has non-exclusive rights to clinical data arising from the respective clinical trials. The Company recorded research and development costs of $0.2 million and $0.2 million for the three months ended March 31, 2021 and 2020, respectively, in connection with the research collaboration and clinical grant agreements with Moffitt.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98" w:lineRule="exact"/>
        <w:rPr>
          <w:sz w:val="20"/>
          <w:szCs w:val="20"/>
          <w:color w:val="auto"/>
        </w:rPr>
      </w:pPr>
    </w:p>
    <w:p>
      <w:pPr>
        <w:ind w:right="14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17" w:lineRule="exact"/>
        <w:rPr>
          <w:sz w:val="20"/>
          <w:szCs w:val="20"/>
          <w:color w:val="auto"/>
        </w:rPr>
      </w:pPr>
    </w:p>
    <w:p>
      <w:pPr>
        <w:ind w:right="80" w:firstLine="492"/>
        <w:spacing w:after="0" w:line="289" w:lineRule="auto"/>
        <w:rPr>
          <w:sz w:val="20"/>
          <w:szCs w:val="20"/>
          <w:color w:val="auto"/>
        </w:rPr>
      </w:pPr>
      <w:r>
        <w:rPr>
          <w:rFonts w:ascii="Arial" w:cs="Arial" w:eastAsia="Arial" w:hAnsi="Arial"/>
          <w:sz w:val="16"/>
          <w:szCs w:val="16"/>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the three months ended March 31, 2021 and 2020.</w:t>
      </w:r>
    </w:p>
    <w:p>
      <w:pPr>
        <w:spacing w:after="0" w:line="126"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In addition, the Company agreed to pay an annual commercial use payment for each indication for which a first sale has occurred, which in the aggregate amounts to up to $0.4 million a year. The Company recorded $0.02 million for the three months ended March 31, 2021 and 2020 as research and development expenses in connection with the Second Moffit License.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80" w:firstLine="492"/>
        <w:spacing w:after="0" w:line="288" w:lineRule="auto"/>
        <w:rPr>
          <w:sz w:val="20"/>
          <w:szCs w:val="20"/>
          <w:color w:val="auto"/>
        </w:rPr>
      </w:pPr>
      <w:r>
        <w:rPr>
          <w:rFonts w:ascii="Arial" w:cs="Arial" w:eastAsia="Arial" w:hAnsi="Arial"/>
          <w:sz w:val="16"/>
          <w:szCs w:val="16"/>
          <w:color w:val="auto"/>
        </w:rPr>
        <w:t>On April 17,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The Company recorded $0.02 million and $0.2 million associated with the MDACC SAA for the three months ended March 31, 2021 and 2020, respectively, as research and development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Apptec, Inc.</w:t>
      </w:r>
    </w:p>
    <w:p>
      <w:pPr>
        <w:spacing w:after="0" w:line="189"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In November 2016, the Company entered into a three-year manufacturing and services agreement (“MSA”) with WuXi AppTec, Inc. (“WuXi”) pursuant to which WuXi agreed to provide manufacturing and other services, which has since been amended and assigned to its subsidiary Iovance Biotherapeutics Manufacturing LLC. Under the agreement, the Company entered into two statements of work for two cGMP manufacturing suites to be established and operated by WuXi for the Company, both of the suites are expected to be capable of being used for the commercial manufacture of its products. The statements of work for the first suite were amended in 2019, September 2020 and February 2021, and the second suite was amended in 2019. The statements of work for facility include a fixed component to reserve a dedicated suite and a trained work force, and a variable component, mainly materials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and testing used during the manufacturing processes. Both statements of work provide for adjustments to the targeted production capacity levels and the corresponding fixed quarterly fees upon written notice from the Company of 30 days and 90 days for the first and second dedicated suites, respectively. The terms of the related statements of work for the first and second dedicated manufacturing suites currently extend to February 2022 and June 2021, respectively</w:t>
      </w:r>
      <w:r>
        <w:rPr>
          <w:rFonts w:ascii="Arial" w:cs="Arial" w:eastAsia="Arial" w:hAnsi="Arial"/>
          <w:sz w:val="16"/>
          <w:szCs w:val="16"/>
          <w:color w:val="FF0000"/>
        </w:rPr>
        <w:t>.</w:t>
      </w:r>
      <w:r>
        <w:rPr>
          <w:rFonts w:ascii="Arial" w:cs="Arial" w:eastAsia="Arial" w:hAnsi="Arial"/>
          <w:sz w:val="16"/>
          <w:szCs w:val="16"/>
          <w:color w:val="auto"/>
        </w:rPr>
        <w:t xml:space="preserve"> The Company recorded costs associated with agreements with WuXi of $3.4 million and $6.7 million for the three months ended March 31, 2021 and 2020 respectively, as 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w:t>
      </w:r>
    </w:p>
    <w:p>
      <w:pPr>
        <w:spacing w:after="0" w:line="202" w:lineRule="exact"/>
        <w:rPr>
          <w:sz w:val="20"/>
          <w:szCs w:val="20"/>
          <w:color w:val="auto"/>
        </w:rPr>
      </w:pPr>
    </w:p>
    <w:p>
      <w:pPr>
        <w:ind w:right="80" w:firstLine="492"/>
        <w:spacing w:after="0" w:line="273" w:lineRule="auto"/>
        <w:rPr>
          <w:sz w:val="20"/>
          <w:szCs w:val="20"/>
          <w:color w:val="auto"/>
        </w:rPr>
      </w:pPr>
      <w:r>
        <w:rPr>
          <w:rFonts w:ascii="Arial" w:cs="Arial" w:eastAsia="Arial" w:hAnsi="Arial"/>
          <w:sz w:val="17"/>
          <w:szCs w:val="17"/>
          <w:color w:val="auto"/>
        </w:rPr>
        <w:t>On January 12, 2020, the Company entered into a research collaboration and exclusive worldwide license agreement whereby the Company will license gene-editing technology from Cellectis S.A. ("Cellectis"), a clinical-stage biopharmaceutical company, in order to develop TIL therapies that have been genetically edited. Financial terms of the license include development, regulatory and sales milestone payments from the Company to Cellectis, as well as royalty payments based on net sales of TALEN-modified TIL products. The Company recorded costs associated with agreements with Cellectis of $0.1 million and $0.1 million for the three months ended March 31, 2021 and 2020 respectively, as research and development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w:t>
      </w:r>
    </w:p>
    <w:p>
      <w:pPr>
        <w:spacing w:after="0" w:line="189" w:lineRule="exact"/>
        <w:rPr>
          <w:sz w:val="20"/>
          <w:szCs w:val="20"/>
          <w:color w:val="auto"/>
        </w:rPr>
      </w:pPr>
    </w:p>
    <w:p>
      <w:pPr>
        <w:ind w:right="100" w:firstLine="492"/>
        <w:spacing w:after="0" w:line="254" w:lineRule="auto"/>
        <w:rPr>
          <w:sz w:val="20"/>
          <w:szCs w:val="20"/>
          <w:color w:val="auto"/>
        </w:rPr>
      </w:pPr>
      <w:r>
        <w:rPr>
          <w:rFonts w:ascii="Arial" w:cs="Arial" w:eastAsia="Arial" w:hAnsi="Arial"/>
          <w:sz w:val="18"/>
          <w:szCs w:val="18"/>
          <w:color w:val="auto"/>
        </w:rPr>
        <w:t>On January 12,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No expenses were recorded for the three months ended March 31, 2021. The Company recorded costs associated with the license agreement from Novartis of $10.0 million as research and development expenses for the three months ended March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LEGAL PROCEEDINGS</w:t>
      </w:r>
    </w:p>
    <w:p>
      <w:pPr>
        <w:spacing w:after="0" w:line="20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u w:val="single" w:color="auto"/>
          <w:color w:val="auto"/>
        </w:rPr>
        <w:t>Derivative Lawsuit.</w:t>
      </w:r>
      <w:r>
        <w:rPr>
          <w:rFonts w:ascii="Arial" w:cs="Arial" w:eastAsia="Arial" w:hAnsi="Arial"/>
          <w:sz w:val="17"/>
          <w:szCs w:val="17"/>
          <w:color w:val="auto"/>
        </w:rPr>
        <w:t xml:space="preserve"> On December 11, 2020, a purported stockholder derivative complaint was filed by plaintiff Leo Shumacher against the Company, as nominal defendant, and its current directors, as defendants, in the Court of Chancery in the State of Delaware. The complaint alleges breach of fiduciary duty and a claim for unjust enrichment in connection with alleged excessive compensation of certain non-executive directors of the Company and seeks unspecified damages on behalf of the Company. The defendants intend to vigorously defend against the foregoing complaints. Based on the early stage of the litigation, it is not possible to estimate the amount or range of possible loss that might result from these matters.</w:t>
      </w:r>
    </w:p>
    <w:p>
      <w:pPr>
        <w:spacing w:after="0" w:line="137"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(“Solomon Plaintiffs”) against the Company in the Supreme Court of the State of New York, County of New York (index no. 651881/2016). The Solomon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 In its counterclaims, the Company is seeking damages in an amount exceeding $0.5 million and an order rescinding any and all agreements that the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July 31, 2020, the Solomon Plaintiffs, through new counsel, filed a motion for reconsideration of the dismissal of the</w:t>
      </w:r>
    </w:p>
    <w:p>
      <w:pPr>
        <w:sectPr>
          <w:pgSz w:w="11900" w:h="16838" w:orient="portrait"/>
          <w:cols w:equalWidth="0" w:num="1">
            <w:col w:w="9900"/>
          </w:cols>
          <w:pgMar w:left="980" w:top="665"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First Solomon Suit for want of prosecution. On August 11, 2020, the Company filed an opposition brief against the Solomon Plaintiffs’ motion for reconsideration. On August 17, 2020, the Solomon Plaintiffs filed a reply brief in support of their motion for reconsideration. On September 2, 2020, the Solomon Plaintiffs filed a notice of appeal of the dismissal for want of prosecution. On January 4, 2021, the court granted the Solomon Plaintiffs motion for reconsideration, and reinstituted the case. On January 15, 2021, the Company filed a notice of appeal of the court’s grant of the Solomon Plaintiffs motion for reconsideration. On February 10, 2021, the Company filed its opening brief in support of its appeal of the court’s grant of the Solomon Plaintiff’s motion for reconsideration. On March 24, 2021, the Solomon Plaintiffs filed their brief in opposition to the Company’s appeal of the court’s grant of the Solomon Plaintiff’s motion for reconsideration. On April 2, 2021, the Company filed its reply brief in support of the Company’s appeal of the court’s grant of the Solomon Plaintiff’s motion for reconsideration.</w:t>
      </w:r>
    </w:p>
    <w:p>
      <w:pPr>
        <w:spacing w:after="0" w:line="140"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 xml:space="preserve">On September 27, 2019, the Solomon Plaintiffs filed a new lawsuit (through new legal counsel) (“the Second Solomon Suit”) titled </w:t>
      </w:r>
      <w:r>
        <w:rPr>
          <w:rFonts w:ascii="Arial" w:cs="Arial" w:eastAsia="Arial" w:hAnsi="Arial"/>
          <w:sz w:val="16"/>
          <w:szCs w:val="16"/>
          <w:i w:val="1"/>
          <w:iCs w:val="1"/>
          <w:color w:val="auto"/>
        </w:rPr>
        <w:t>Solomon Capital, LLC, Solomon Capital 401(K) Trust, Solomon Sharbat and Shelhav Raff v. Iovance Biotherapeutics, Inc., f/k/a/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f/k/a/ Genesis Biopharma Inc., and Manish Singh </w:t>
      </w:r>
      <w:r>
        <w:rPr>
          <w:rFonts w:ascii="Arial" w:cs="Arial" w:eastAsia="Arial" w:hAnsi="Arial"/>
          <w:sz w:val="16"/>
          <w:szCs w:val="16"/>
          <w:color w:val="auto"/>
        </w:rPr>
        <w:t>in the Supreme Court of the State of New York, County of</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July 17, 2020, the Solomon Plaintiffs filed an opposition brief against the Company’s motion to dismiss for lack of personal jurisdiction. On August 7, 2020, the Company filed a reply brief in support of the Company’s motion to dismiss for lack of personal jurisdiction. On March 26, 2021, the Court denied the Company’s motion to dismiss for lack of personal jurisdiction. The Company filed a response to the complaint in the Second Solomon Suit on April 30, 2021.</w:t>
      </w:r>
    </w:p>
    <w:p>
      <w:pPr>
        <w:spacing w:after="0" w:line="147"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43"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u w:val="single" w:color="auto"/>
          <w:color w:val="auto"/>
        </w:rPr>
        <w:t>Litigation Involving Dr. Steven Fischkoff</w:t>
      </w:r>
      <w:r>
        <w:rPr>
          <w:rFonts w:ascii="Arial" w:cs="Arial" w:eastAsia="Arial" w:hAnsi="Arial"/>
          <w:sz w:val="16"/>
          <w:szCs w:val="16"/>
          <w:color w:val="auto"/>
        </w:rPr>
        <w:t xml:space="preserve">. On June 13, 2017, in an action titled </w:t>
      </w:r>
      <w:r>
        <w:rPr>
          <w:rFonts w:ascii="Arial" w:cs="Arial" w:eastAsia="Arial" w:hAnsi="Arial"/>
          <w:sz w:val="16"/>
          <w:szCs w:val="16"/>
          <w:i w:val="1"/>
          <w:iCs w:val="1"/>
          <w:color w:val="auto"/>
        </w:rPr>
        <w:t>Steven Fischkoff v. Lion Biotechnologies, Inc. and</w:t>
      </w:r>
      <w:r>
        <w:rPr>
          <w:rFonts w:ascii="Arial" w:cs="Arial" w:eastAsia="Arial" w:hAnsi="Arial"/>
          <w:sz w:val="16"/>
          <w:szCs w:val="16"/>
          <w:color w:val="auto"/>
        </w:rPr>
        <w:t xml:space="preserve"> </w:t>
      </w:r>
      <w:r>
        <w:rPr>
          <w:rFonts w:ascii="Arial" w:cs="Arial" w:eastAsia="Arial" w:hAnsi="Arial"/>
          <w:sz w:val="16"/>
          <w:szCs w:val="16"/>
          <w:i w:val="1"/>
          <w:iCs w:val="1"/>
          <w:color w:val="auto"/>
        </w:rPr>
        <w:t>Maria Fardis</w:t>
      </w:r>
      <w:r>
        <w:rPr>
          <w:rFonts w:ascii="Arial" w:cs="Arial" w:eastAsia="Arial" w:hAnsi="Arial"/>
          <w:sz w:val="16"/>
          <w:szCs w:val="16"/>
          <w:color w:val="auto"/>
        </w:rPr>
        <w:t>, Dr. Steven Fischkoff, the Company’s former Vice President and Chief Medical Officer, filed a lawsuit against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the Company's common stock, together with prejudgment interest, costs, expenses and attorneys’ fees. On July 5, 2017, the Company filed a removal petition and removed the lawsuit to the U.S.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the Company's materials, prohibiting him from disclosing or using the Company’s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the Company and Dr. Fardis. On October 18, 2018, Dr. Fischkoff amended his complaint to assert a new claim for defamation arising from SEC filings in which the Company provided the information about this litigation. On September 23, 2020, the parties reached a confidential settlement in this matter, and on October 13, 2020, the court approved a stipulation of dismissal with prejudice filed by the parties.</w:t>
      </w:r>
    </w:p>
    <w:p>
      <w:pPr>
        <w:spacing w:after="0" w:line="128"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u w:val="single" w:color="auto"/>
          <w:color w:val="auto"/>
        </w:rPr>
        <w:t>Other Matters.</w:t>
      </w:r>
      <w:r>
        <w:rPr>
          <w:rFonts w:ascii="Arial" w:cs="Arial" w:eastAsia="Arial" w:hAnsi="Arial"/>
          <w:sz w:val="16"/>
          <w:szCs w:val="16"/>
          <w:color w:val="auto"/>
        </w:rPr>
        <w:t xml:space="preserve"> 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Company’s 2011 Equity Incentive Plan. Before the Company filed the</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consolidated financial statements.</w:t>
      </w:r>
    </w:p>
    <w:p>
      <w:pPr>
        <w:spacing w:after="0" w:line="136"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189"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Company has evaluated the following existing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 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Headquarters Lease</w:t>
      </w:r>
    </w:p>
    <w:p>
      <w:pPr>
        <w:spacing w:after="0" w:line="198"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On February 3, 2021, the Company entered into a lease agreement with ARE-San Francisco No. 63, LLC (the “New Headquarters Lease”) for laboratories and offices to be constructed in Suite 400 of an existing building located at 825 Industrial Road, San Carlos, California (the “Building”), commonly known as The District. Under the New Headquarters Lease, the Company will lease approximately 49,918 rentable square feet of space in the Building (the “Premises”). The New Headquarters Lease is for a term of 120 months, commencing upon the first day of the first full month (the “Rent Commencement Date”) after the earlier to occur of (i) the date that is 12 months and one day after the execution date (the “Commencement Date”), which is January 30, 2022, or (ii) the date that the Tenant Improvements are substantially completed; provided, however, that the Rent Commencement Date shall be delayed 1 day for each day after the Commencement Date that (a) to the extent that, after the Commencement Date, any governmental authority having jurisdiction, as a result of the COVID-19 outbreak in the U.S., declares or implements any order or mandate that restricts construction activities in San Mateo County, California (any such order or mandate, a “Government Mandate”), to the extent that such Government Mandate precludes the construction of tenant improvements, or (b) a landlord delay occurs. Construction of the Company’s offices is expected to extend through 2021. The New Headquarters Lease includes an option to extend the term of the lease for 60 months, exercisable under certain conditions and at a market rate as described in the New Headquarters Lease.</w:t>
      </w:r>
    </w:p>
    <w:p>
      <w:pPr>
        <w:spacing w:after="0" w:line="133"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Commencing 210 days after the Rent Commencement Date as the result of a rent abatement, the Company’s monthly base rent under the New Headquarters Lease will be approximately $280,000, subject to an annual increase of 3%. Beginning in 2022, the Company will also be responsible for paying operating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Existing Headquarters Leases</w:t>
      </w:r>
    </w:p>
    <w:p>
      <w:pPr>
        <w:spacing w:after="0" w:line="198"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43"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On April 28, 2017, the Company entered into a sublease agreement with Teradata US, Inc., pursuant to which the Company agreed to sublease certain office space located adjacent to the Company’s headquarters for approximately $26,000 per month. The space consists of approximately 11,449 rentable square feet in the building located in San Carlos, California. The sublease for this space expired on October 31, 2018. Monthly lease payments were approximately $26,000.</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On October 19, 2018, the Company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17"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On June 19, 2019, the Company entered into a first amendment (the “Amended Lease”) to its previously disclosed lease agreement with Hudson Skyway Landing, LLC (the “Lease”) for additional space at its corporate headquarters in San Carlos, California. Under the Amended Lease, the Company will lease an additional 8,110 square feet (the “Expansion Space”), for a total of approximately 20,432 square feet of space on the first floor of the building located at 999 Skyway Road, San Carlos, California, commonly known as Skyway Landing II. The term of the Amended Lease remains the same as that of the Lease and expires on April 30, 2021, unless earlier terminated in accordance with the Amended Lease. The Company’s monthly base rent for the Expansion Space under the Amended Lease will be approximately $39,000 for the first year, and $40,000 for the second year.</w:t>
      </w:r>
    </w:p>
    <w:p>
      <w:pPr>
        <w:spacing w:after="0" w:line="150" w:lineRule="exact"/>
        <w:rPr>
          <w:sz w:val="20"/>
          <w:szCs w:val="20"/>
          <w:color w:val="auto"/>
        </w:rPr>
      </w:pPr>
    </w:p>
    <w:p>
      <w:pPr>
        <w:ind w:right="120" w:firstLine="492"/>
        <w:spacing w:after="0" w:line="311" w:lineRule="auto"/>
        <w:rPr>
          <w:sz w:val="20"/>
          <w:szCs w:val="20"/>
          <w:color w:val="auto"/>
        </w:rPr>
      </w:pPr>
      <w:r>
        <w:rPr>
          <w:rFonts w:ascii="Arial" w:cs="Arial" w:eastAsia="Arial" w:hAnsi="Arial"/>
          <w:sz w:val="16"/>
          <w:szCs w:val="16"/>
          <w:color w:val="auto"/>
        </w:rPr>
        <w:t>On February 3, 2021, the Company entered into two amendments (the “Suite 150 Second Amendment” and the “Suite 100 and Suite 125 First Amendment”) to its previously disclosed lease agreements with Hudson Skyway Landing, LLC, for space located on the first floor of the building located at 999 Skyway Road, San Carlos, California, commonly known as Skyway Landing II.</w:t>
      </w:r>
    </w:p>
    <w:p>
      <w:pPr>
        <w:spacing w:after="0" w:line="108"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Under the Suite 100 and Suite 125 Second Amendment, the Company will extend its previously disclosed amended lease of approximately 20,432 rentable square feet of space, which would have expired on April 30, 2021, to December 31, 2021. The Company’s monthly base rent under the Suite 100 and Suite 125 Second Amendment will be approximately $103,000. The Company is also responsible for paying its portion of operating expenses and real estate taxes. The Company has an option to extend the expiration of the Suite 100 and Suite 125 Second Amendment for one month or six months, at its discretion, by providing notice as specified in the Suite 100 and Suite 125 Second Amendment.</w:t>
      </w:r>
    </w:p>
    <w:p>
      <w:pPr>
        <w:spacing w:after="0" w:line="152" w:lineRule="exact"/>
        <w:rPr>
          <w:sz w:val="20"/>
          <w:szCs w:val="20"/>
          <w:color w:val="auto"/>
        </w:rPr>
      </w:pPr>
    </w:p>
    <w:p>
      <w:pPr>
        <w:ind w:right="120" w:firstLine="492"/>
        <w:spacing w:after="0" w:line="275" w:lineRule="auto"/>
        <w:rPr>
          <w:sz w:val="20"/>
          <w:szCs w:val="20"/>
          <w:color w:val="auto"/>
        </w:rPr>
      </w:pPr>
      <w:r>
        <w:rPr>
          <w:rFonts w:ascii="Arial" w:cs="Arial" w:eastAsia="Arial" w:hAnsi="Arial"/>
          <w:sz w:val="17"/>
          <w:szCs w:val="17"/>
          <w:color w:val="auto"/>
        </w:rPr>
        <w:t>Under the Suite 150 First Amendment, the Company will extend its previously disclosed lease of approximately 8,733 rentable square feet of space, which also would have expired on April 30, 2021, to December 31, 2021. The Company’s monthly base rent under the Suite 150 First Amendment will be approximately $44,000. The Company is also responsible for paying its portion of operating expenses and real estate taxes. The Company has an option to extend the expiration of the Suite 150 First Amendment for one month or six months, at its discretion, by providing notice as specified in the Suite 150 First Amendment.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185"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had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47" w:lineRule="exact"/>
        <w:rPr>
          <w:sz w:val="20"/>
          <w:szCs w:val="20"/>
          <w:color w:val="auto"/>
        </w:rPr>
      </w:pPr>
    </w:p>
    <w:p>
      <w:pPr>
        <w:ind w:right="180" w:firstLine="492"/>
        <w:spacing w:after="0" w:line="259"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In December 2019, the Company entered into an agreement to extend the lease term to December 18, 2024 for approximately $20,500 a month.</w:t>
      </w:r>
    </w:p>
    <w:p>
      <w:pPr>
        <w:spacing w:after="0" w:line="160"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In June 2020, the Company amended the lease agreement to further increase the rentable space to 13,139 square feet and extend the lease term to June 30, 2025 for approximately $34,500 a month.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185"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The Company leased office space in New York for a monthly rental of approximately $18,000 a month from January 2017 through July 2017. On June 5, 2017, the Company entered into an agreement whereby the Company will lease office space from August 1, 2017 to July 31, 2018, for approximately $9,000 a month. On April 20, 2018, the Company entered into an agreement to extend the lease term to January 31, 2019 for approximately $7,000 a month. On November 2, 2018, the Company entered into an agreement to extend the lease term to July 31, 2019 for approximately $4,000 a month. On May 1, 2019, the Company entered into an agreement to extend the lease term to January 31, 2020 for approximately $4,000 a month. On October 24, 2019, the Company entered into an agreement to extend the lease term to April 30, 2020 for approximately $4,000 a month. On January 23, 2020, the Company entered into an agreement to extend the lease term to July 31, 2020 for approximately $4,000 a month. On May 24, 2020, the Company entered into an agreement to extend the lease term to October 31, 2020 for approximately $4,000 a month. On September 1,</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2020, the Company entered into an agreement to extend the lease term to January 31, 2021, for approximately $4,000 a month. On January 31, 2021, the lease terminated, and the Company closed its New York office.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198" w:lineRule="exact"/>
        <w:rPr>
          <w:sz w:val="20"/>
          <w:szCs w:val="20"/>
          <w:color w:val="auto"/>
        </w:rPr>
      </w:pPr>
    </w:p>
    <w:p>
      <w:pPr>
        <w:jc w:val="both"/>
        <w:ind w:right="20" w:firstLine="492"/>
        <w:spacing w:after="0" w:line="286" w:lineRule="auto"/>
        <w:rPr>
          <w:sz w:val="20"/>
          <w:szCs w:val="20"/>
          <w:color w:val="auto"/>
        </w:rPr>
      </w:pPr>
      <w:r>
        <w:rPr>
          <w:rFonts w:ascii="Arial" w:cs="Arial" w:eastAsia="Arial" w:hAnsi="Arial"/>
          <w:sz w:val="17"/>
          <w:szCs w:val="17"/>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pacing w:after="0" w:line="125"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On August 1, 2020, the Company entered into an agreement to lease approximately 2,965 square feet of a training facility space in Philadelphia, Pennsylvania for a twelve-month term at a rate of approximately $6,500 per month.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1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On May 28, 2019, the Company entered into a lease agreement with 300 Rouse Boulevard, LLC (the “Commercial Manufacturing Facility Lease”) for a build-to-suit commercial manufacturing facility, laboratories, and offices located in Philadelphia, Pennsylvania. Under the Commercial Manufacturing Facility Lease, the Company leases approximately 136,000 rentable square feet of space in a building located at 300 Rouse Boulevard, Philadelphia, Pennsylvania (the “Premises”). The construction of the commercial manufacturing facility began in July 2019 and has been substantially completed.</w:t>
      </w:r>
    </w:p>
    <w:p>
      <w:pPr>
        <w:spacing w:after="0" w:line="136"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Company determined the commencement date of the Commercial Manufacturing Lease to be October 7, 2020 in accordance with Topic 842 when its landlord made the Premise available for the Company’s use and the Company obtained control over the use of the Premises. The Commercial Manufacturing Facility Lease includes an option to extend the term of the lease, exercisable under certain conditions as described in the Commercial Manufacturing Facility Lease, such that the overall term, when added to the initial term, shall be 359 months, by giving the landlord prior written notice thereof at least 18 months in advance of the expiration date. In determining the lease term, the Company did not include the periods covered by the option to extend the lease as it determined that it is not reasonably certain that the Company will exercise such option. Upon the commencement date, the Company recognized operating lease liabilities and right-of-use assets of $41.3 million and $45.7 million, respectively.</w:t>
      </w:r>
    </w:p>
    <w:p>
      <w:pPr>
        <w:spacing w:after="0" w:line="138" w:lineRule="exact"/>
        <w:rPr>
          <w:sz w:val="20"/>
          <w:szCs w:val="20"/>
          <w:color w:val="auto"/>
        </w:rPr>
      </w:pPr>
    </w:p>
    <w:p>
      <w:pPr>
        <w:jc w:val="both"/>
        <w:ind w:right="220" w:firstLine="492"/>
        <w:spacing w:after="0" w:line="311" w:lineRule="auto"/>
        <w:rPr>
          <w:sz w:val="20"/>
          <w:szCs w:val="20"/>
          <w:color w:val="auto"/>
        </w:rPr>
      </w:pPr>
      <w:r>
        <w:rPr>
          <w:rFonts w:ascii="Arial" w:cs="Arial" w:eastAsia="Arial" w:hAnsi="Arial"/>
          <w:sz w:val="16"/>
          <w:szCs w:val="16"/>
          <w:color w:val="auto"/>
        </w:rPr>
        <w:t>The Company’s monthly base rent under the Lease will be approximately $320,000, subject to an annual increase of 2% for the first ten years, and an annual increase of the greater of 2% or 75% of the average ten-year consumer price index. The Company is also responsible for paying operating expenses, which are expected to be approximately $72,000 per month in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189"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of its material contracts it has, to determine whether they contain a lease under Topic 840. An arrangement is considered a lease or contains a lease if an underlying asset is explicitly or implicitly identified and use of the asset is controlled by the customer. Based on this evaluation, the Company concluded that all of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27" w:lineRule="exact"/>
        <w:rPr>
          <w:sz w:val="20"/>
          <w:szCs w:val="20"/>
          <w:color w:val="auto"/>
        </w:rPr>
      </w:pPr>
    </w:p>
    <w:p>
      <w:pPr>
        <w:ind w:right="160" w:firstLine="492"/>
        <w:spacing w:after="0" w:line="296" w:lineRule="auto"/>
        <w:rPr>
          <w:sz w:val="20"/>
          <w:szCs w:val="20"/>
          <w:color w:val="auto"/>
        </w:rPr>
      </w:pPr>
      <w:r>
        <w:rPr>
          <w:rFonts w:ascii="Arial" w:cs="Arial" w:eastAsia="Arial" w:hAnsi="Arial"/>
          <w:sz w:val="16"/>
          <w:szCs w:val="16"/>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43"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 sheet classification of the Company’s right-of-use asset and lease liabilities was as follows (in thousands):</w:t>
      </w:r>
    </w:p>
    <w:p>
      <w:pPr>
        <w:spacing w:after="0" w:line="2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2021</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54,756</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included in current liabilities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long-term portion included in non-current liabilities</w:t>
            </w:r>
          </w:p>
        </w:tc>
        <w:tc>
          <w:tcPr>
            <w:tcW w:w="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47,083</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45,375</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8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52,999</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expenses in the Company’s Condensed Consolidated Statement of Operations, and other information related to its operating leases as follows (in thousands except weighted-average remaining lease terms and discount rates):</w:t>
      </w:r>
    </w:p>
    <w:p>
      <w:pPr>
        <w:spacing w:after="0" w:line="189"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Three Months Ended</w:t>
      </w:r>
    </w:p>
    <w:p>
      <w:pPr>
        <w:ind w:left="76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720" w:type="dxa"/>
        <w:tblCellMar>
          <w:top w:w="0" w:type="dxa"/>
          <w:left w:w="0" w:type="dxa"/>
          <w:bottom w:w="0" w:type="dxa"/>
          <w:right w:w="0" w:type="dxa"/>
        </w:tblCellMar>
      </w:tblPr>
      <w:tr>
        <w:trPr>
          <w:trHeight w:val="142"/>
        </w:trPr>
        <w:tc>
          <w:tcPr>
            <w:tcW w:w="60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1,371</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r>
      <w:tr>
        <w:trPr>
          <w:trHeight w:val="197"/>
        </w:trPr>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w w:val="95"/>
              </w:rPr>
              <w:t>Cash paid for amounts included in the measurement of lease liabilities included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in Operating cashflows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2,322</w:t>
            </w:r>
          </w:p>
        </w:tc>
        <w:tc>
          <w:tcPr>
            <w:tcW w:w="24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2,197</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from entering new leases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Increase in right-of-use assets from lease modifications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terms (years)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187"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the maturities of the Company’s operating lease liabilities were as follows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Facility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rPr>
              <w:t>CMO</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8"/>
              </w:rPr>
              <w:t>embedded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leases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79"/>
              </w:rPr>
              <w:t>leases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74,899</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101,090</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adjustment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(48,091)</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or the date of lease modifications.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LONG-TERM NOTE</w:t>
      </w:r>
    </w:p>
    <w:p>
      <w:pPr>
        <w:spacing w:after="0" w:line="189"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On January 26, 2021, the Company entered into a Loan Note and accompanying Economic Stimulus Program Loan Agreement with PIDC – Local Development Corporation, a Pennsylvania nonprofit corporation (the “Lender”), pursuant to which the Lender agreed to make a loan (the “Job Creation Loan”) to the Company in a principal amount of $1.0 million. The Job Creation Loan will be for a term of five years starting on February 18, 2021, the date of the issuance of a final certificate of occupancy for the Company’s leased premises in Philadelphia, Pennsylvania. The Job Creation Loan is unsecured, bears no interest, and will be forgiven by the Lender in the amount of $2,000 per full-time or “full time equivalent” (defined as two or more part time employees whose working hours total at least 35 hours a week) employee with an average salary of at least $80,000 (“FT Employees”), up to a maximum amount equal to the amount of the Job Creation Loan, as calculated based on the average number of FT Employees employed at the Company’s premises during the period of the 5-year term beginning on the date that is six months prior to the maturity date and ending on the maturity date. If the Job Creation Loan is not forgiven in full by the maturity date, the remaining balance of the loan not forgiven will become payable on the maturity date. The Loan Note includes customary events of default. Upon the occurrence of an event of default, the Lender will have the right to exercise remedies against the Company, including the right to require immediate payment of all amounts due under the Loan Note.</w:t>
      </w:r>
    </w:p>
    <w:p>
      <w:pPr>
        <w:spacing w:after="0" w:line="141" w:lineRule="exact"/>
        <w:rPr>
          <w:sz w:val="20"/>
          <w:szCs w:val="20"/>
          <w:color w:val="auto"/>
        </w:rPr>
      </w:pPr>
    </w:p>
    <w:p>
      <w:pPr>
        <w:jc w:val="both"/>
        <w:ind w:right="220" w:firstLine="492"/>
        <w:spacing w:after="0" w:line="311" w:lineRule="auto"/>
        <w:rPr>
          <w:sz w:val="20"/>
          <w:szCs w:val="20"/>
          <w:color w:val="auto"/>
        </w:rPr>
      </w:pPr>
      <w:r>
        <w:rPr>
          <w:rFonts w:ascii="Arial" w:cs="Arial" w:eastAsia="Arial" w:hAnsi="Arial"/>
          <w:sz w:val="16"/>
          <w:szCs w:val="16"/>
          <w:color w:val="auto"/>
        </w:rPr>
        <w:t>The Company concludes that it is not reasonably assured that all or a portion of the loan will be forgiven as of March 31, 2021, and therefore accounted for the Job Creation Loan as debt in accordance with ASC Topic 470 – Debt, as opposed to as an in-substance government grant, and classified as a long-term debt in its Condensed Consolidated Balance Sheet as of March 31,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RELATED PARTY TRANSACTIONS</w:t>
      </w:r>
    </w:p>
    <w:p>
      <w:pPr>
        <w:spacing w:after="0" w:line="189" w:lineRule="exact"/>
        <w:rPr>
          <w:sz w:val="20"/>
          <w:szCs w:val="20"/>
          <w:color w:val="auto"/>
        </w:rPr>
      </w:pPr>
    </w:p>
    <w:p>
      <w:pPr>
        <w:ind w:right="80" w:firstLine="492"/>
        <w:spacing w:after="0" w:line="288" w:lineRule="auto"/>
        <w:rPr>
          <w:sz w:val="20"/>
          <w:szCs w:val="20"/>
          <w:color w:val="auto"/>
        </w:rPr>
      </w:pPr>
      <w:r>
        <w:rPr>
          <w:rFonts w:ascii="Arial" w:cs="Arial" w:eastAsia="Arial" w:hAnsi="Arial"/>
          <w:sz w:val="16"/>
          <w:szCs w:val="16"/>
          <w:color w:val="auto"/>
        </w:rPr>
        <w:t>On September 14, 2017, the Company entered into a three-year consulting agreement with Iain Dukes, D. Phil, the Chairman of the Board.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This stock option was fully vested in September 2020. The Company recognized zero and $0.1 million in stock-based compensation expense related to this consulting agreement during the three months ended March 31, 2021 and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INCOME TAXES</w:t>
      </w:r>
    </w:p>
    <w:p>
      <w:pPr>
        <w:spacing w:after="0" w:line="202" w:lineRule="exact"/>
        <w:rPr>
          <w:sz w:val="20"/>
          <w:szCs w:val="20"/>
          <w:color w:val="auto"/>
        </w:rPr>
      </w:pPr>
    </w:p>
    <w:p>
      <w:pPr>
        <w:ind w:right="520" w:firstLine="492"/>
        <w:spacing w:after="0" w:line="342" w:lineRule="auto"/>
        <w:rPr>
          <w:sz w:val="20"/>
          <w:szCs w:val="20"/>
          <w:color w:val="auto"/>
        </w:rPr>
      </w:pPr>
      <w:r>
        <w:rPr>
          <w:rFonts w:ascii="Arial" w:cs="Arial" w:eastAsia="Arial" w:hAnsi="Arial"/>
          <w:sz w:val="16"/>
          <w:szCs w:val="16"/>
          <w:color w:val="auto"/>
        </w:rPr>
        <w:t>The Company did not record income tax expenses for the three months ended March 31, 2021 and 2020, respectively as the Company expected to be in a taxable loss position in 2021 and 2020, and the net deferred tax assets are fully offset by a valuation</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allowance as it is not more likely than not that the benefit will be realized. Therefore, the Company’s effective tax rate was 0.0%, for the three months ended March 31, 2021 and 2020, respectively. As of March 31, 2021, the Company remains in a cumulative book loss position and does not have sufficient positive evidence to realize its net deferred tax assets. As such, the Company continues to maintain a full valuation allowance against its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i w:val="1"/>
          <w:iCs w:val="1"/>
          <w:color w:val="auto"/>
        </w:rPr>
        <w:t>The management’s discussion and analysis of our financial condition as of March 31, 2021 and results of operations for the three months ended March 31, 2021, should be read in conjunction with management’s discussion and analysis of financial condition and results of operations included in our Annual Report on Form 10-K for the year ended December 31, 2020 which was filed with the Securities and Exchange Commission, or SEC, on February 25, 2021.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report and other reports we file with the SEC.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492"/>
        <w:spacing w:after="0" w:line="269"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cell therapies as novel cancer immunotherapy products designed to harness the power of a patient’s own immune system to eradicate cancer cells. TIL therapy is an autologous cell therapy platform technology that was originally developed by the National Cancer Institute, or NCI, which conducted initial clinical trials of this therapy in diseases such as metastatic melanoma and cervical cancer. We have developed a new, shorter manufacturing process for TIL known as Gen 2, which yields a cryopreserved TIL product. This proprietary and scalable manufacturing method is being investigated in multiple indications. Our lead product candidates include lifileucel for metastatic melanoma and metastatic cervical cancer. In addition to metastatic melanoma and metastatic cervical cancer, we are investigating the effectiveness and safety of TIL for the treatment of squamous cell carcinoma of the head and neck, non-small cell lung cancer, and are investigating peripheral blood lymphocyte, or PBL, therapy for patients with relapsed or refractory chronic lymphocytic leukemia, or CLL, and small lymphocytic lymphoma, or SLL, through our sponsored trials, as well as in other oncology indications through collaborations.</w:t>
      </w:r>
    </w:p>
    <w:p>
      <w:pPr>
        <w:spacing w:after="0" w:line="182"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We are conducting a Phase 2 clinical trial, C-144-01, of our lead product candidate, lifileucel, for the treatment of metastatic melanoma. This multicenter pivotal trial enrolled melanoma patients with disease progression following treatment with at least one systemic therapy, including a PD1 inhibitor and, if BRAF mutated, a BRAF inhibitor, or a combination of BRAF and MEK inhibitors. Cohort 4 of the C-144-01 clinical trial is a single-arm cohort intended to support a Biologics License Application, or BLA, submission for lifileucel. Cohorts 2 and 4 of the C-144-01 trial use our Gen 2 manufacturing process. We completed and closed enrollment of patients into Cohort 2 of the C-144-01 trial in 2018. Results from Cohort 2 of the C-144-01 clinical trial were initially reported at the American Society of Clinical Oncology, or ASCO, annual meeting on June 1, 2019 and subsequently updated at the American Association for Cancer Research, or AACR, annual meeting on April 10, 2021. As of the data extract of December 2020, in 66 patients with metastatic melanoma, treatment with lifileucel resulted in an objective response rate, or ORR, of 36%, as assessed by investigator, with 3 complete responses and 21 partial responses. The disease control rate, or DCR, was 80.3%. Median duration of response, or DOR, in Cohort 2 had also still not been reached after 28.1 months of median study follow up. Patients were heavily pretreated and had a mean of 3.3 prior therapies. We have reported durable responses across a wide age range of metastatic melanoma patients, and among those who have received prior anti-CTLA-4 and BRAF targeted treatments, regardless of BRAF mutation status, and equally in patients with PD-L1 high and low status. The adverse event profile was generally consistent with the underlying advanced disease and the profile of the lymphodepletion and IL-2 regimens. In addition, detailed Cohort 2 data has also been accepted for publication in a forthcoming manuscript in a peer-reviewed high impact oncology journal.</w:t>
      </w:r>
    </w:p>
    <w:p>
      <w:pPr>
        <w:spacing w:after="0" w:line="180"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Pivotal Cohort 4 of the C-144-01 trial was enrolled to evaluate ORR as read out by an Independent Review Committee, or IRC, as the primary endpoint based on our interpretation of discussions with the U.S. Food and Drug Administration, or FDA, as part of an End of Phase 2, or EOP2, meeting held with the FDA in the third quarter of 2018. In October 2018, based on the data provided to the FDA during the EOP2 meeting, we announced that lifileucel had received a Regenerative Medicines Advanced Therapy, or RMAT, designation from the FDA. Enrollment in Cohort 4 of the C-144-01 trial commenced in March 2019 and patient dosing was completed in January 2020. A total of 87 patients were dosed with Gen 2 product released for Cohort 4. Initial results from Cohort 4 are available for 68 patients with two radiological assessments, as determined by investigator. Lifileucel showed a 32.4% ORR, including one</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complete response and 21 partial responses, two of which were yet to be confirmed with follow up visits at the time of the data cut, and a DCR of 72.1% as of the data cut off of March 16, 2020, corresponding to 5.3 months of median study follow up. This data is consistent with the Cohort 2 data read out at a similar median duration of study follow up. The ORR of Cohort 2 at a median study follow up of 6 months was 33%. In October 2020, after a Type B meeting with the FDA, we announced that we had delayed our BLA submission for lifileucel in metastatic melanoma as a result of FDA feedback, in order to allow us to simultaneously refine existing and develop new potency assays, and we anticipate submitting our BLA in 2021. We recently submitted additional potency assay data to the FDA, while continuing to evaluate additional assays as backup options in support of the BLA. At the same time, we also announced that we had reached agreement with the FDA on the minimum duration of follow up for Cohort 4 to support our BLA submission for lifileucel in the treatment of metastatic melanoma.</w:t>
      </w:r>
    </w:p>
    <w:p>
      <w:pPr>
        <w:spacing w:after="0" w:line="181" w:lineRule="exact"/>
        <w:rPr>
          <w:sz w:val="20"/>
          <w:szCs w:val="20"/>
          <w:color w:val="auto"/>
        </w:rPr>
      </w:pPr>
    </w:p>
    <w:p>
      <w:pPr>
        <w:ind w:firstLine="492"/>
        <w:spacing w:after="0" w:line="267" w:lineRule="auto"/>
        <w:rPr>
          <w:sz w:val="20"/>
          <w:szCs w:val="20"/>
          <w:color w:val="auto"/>
        </w:rPr>
      </w:pPr>
      <w:r>
        <w:rPr>
          <w:rFonts w:ascii="Arial" w:cs="Arial" w:eastAsia="Arial" w:hAnsi="Arial"/>
          <w:sz w:val="17"/>
          <w:szCs w:val="17"/>
          <w:color w:val="auto"/>
        </w:rPr>
        <w:t>We are also conducting a Phase 2 clinical trial, C-145-04, which is a multicenter pivotal trial that will assess the safety and efficacy of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Breakthrough Therapy Designation, or BTD, from the FDA for development in the treatment of cervical cancer. Updated results from the C-145-04 clinical trial were reported at the ASCO annual meeting on June 1, 2019. In 27 patients with metastatic cervical cancer, treatment with lifileucel resulted in an ORR of 44%. At the time of the study data cut, there were 3 complete responses and 9 partial responses. The DCR was 85%. Patients were heavily pretreated and had a mean of 2.4 prior therapies. The median DOR had not been reached. The adverse event profile was generally consistent with the underlying advanced disease and the profile of the lymphodepletion and IL-2 regimens. Based on an EOP2 meeting held with the FDA in June 2019, we believe that results from the C-145-04 clinical trial may be sufficient to support registration of lifileucel for the treatment of patients with metastatic cervical cancer. In accordance with the FDA’s recommendations, the protocol was amended to further define the patient population. In November 2019, in order to evaluate lifileucel in broader lines of therapy in cervical cancer, we have further amended the C-145-04 trial to collect additional data on early-line patients as well as late-line patients by adding additional cohorts, in anticipation of a changing landscape in this indication, including Cohort 2 for patients that had previously received anti-PD-1 therapy. These additional cohorts also allow access to TIL therapy after completion of the enrollment in the registrational cohorts. In January 2021, we announced that Cohort 2 of the C-145-04 trial had completed enrollment and that data from this cohort may be supportive of registration because of the expected changing landscape of care for cervical patients. We intend to initiate a dialog with the FDA in 2021 to discuss BLA submission plans for lifileucel in cervical cancer.</w:t>
      </w:r>
    </w:p>
    <w:p>
      <w:pPr>
        <w:spacing w:after="0" w:line="188" w:lineRule="exact"/>
        <w:rPr>
          <w:sz w:val="20"/>
          <w:szCs w:val="20"/>
          <w:color w:val="auto"/>
        </w:rPr>
      </w:pPr>
    </w:p>
    <w:p>
      <w:pPr>
        <w:jc w:val="both"/>
        <w:ind w:right="20" w:firstLine="492"/>
        <w:spacing w:after="0" w:line="273" w:lineRule="auto"/>
        <w:rPr>
          <w:sz w:val="20"/>
          <w:szCs w:val="20"/>
          <w:color w:val="auto"/>
        </w:rPr>
      </w:pPr>
      <w:r>
        <w:rPr>
          <w:rFonts w:ascii="Arial" w:cs="Arial" w:eastAsia="Arial" w:hAnsi="Arial"/>
          <w:sz w:val="17"/>
          <w:szCs w:val="17"/>
          <w:color w:val="auto"/>
        </w:rPr>
        <w:t>In November 2020, we announced that we had finalized the protocol for our potential registrational clinical trial in non-small cell lung cancer, or NSCLC, IOV-LUN-202, to investigate LN-145 in patients with recurrent or metastatic NSCLC, without driver mutations, who previously received a single line of approved systemic therapy of combined checkpoint inhibitor and chemotherapy. The IOV-LUN-202 clinical trial includes three cohorts. Cohorts 1 and 3 of the IOV-LUN-202 clinical trial will enroll patients with a PD-L1 TPS of less than one percent, and Cohort 2 will enroll patients with a PD-L1 TPS of greater than or equal to one percent. We intend to enroll patients in the IOV-LUN-202 clinical trial throughout 2021 and 2022.</w:t>
      </w:r>
    </w:p>
    <w:p>
      <w:pPr>
        <w:spacing w:after="0" w:line="178"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C-145-03 is our Phase 2, multicenter trial to assess the safety and efficacy of our product candidate LN-145 for the treatment of patients with recurrent metastatic head and neck squamous cell carcinoma, or HNSCC. In October 2018, we reported that, to date, preliminary data for 13 patients in the C-145-03 clinical trial yielded an ORR of 31% with a DOR ranging from 2.8 to 7.6 months. The adverse event profile remained consistent with previous reports. We redesigned our C-145-03 trial to include multiple cohorts, in order to allow for dosing of TIL therapies produced by multiple manufacturing methods, including our Gen 2 manufacturing process, our Gen 3 manufacturing process, and our PD-1 selected TIL manufacturing process. Our PD-1 selected TIL manufacturing process results in a product that we refer to as LN-145-S1. In January 2021, we announced that we are closing the C-145-03 clinical trial after the trial reached its pre-specified enrollment target.</w:t>
      </w:r>
    </w:p>
    <w:p>
      <w:pPr>
        <w:spacing w:after="0" w:line="178" w:lineRule="exact"/>
        <w:rPr>
          <w:sz w:val="20"/>
          <w:szCs w:val="20"/>
          <w:color w:val="auto"/>
        </w:rPr>
      </w:pPr>
    </w:p>
    <w:p>
      <w:pPr>
        <w:jc w:val="both"/>
        <w:ind w:right="140" w:firstLine="492"/>
        <w:spacing w:after="0" w:line="257" w:lineRule="auto"/>
        <w:rPr>
          <w:sz w:val="20"/>
          <w:szCs w:val="20"/>
          <w:color w:val="auto"/>
        </w:rPr>
      </w:pPr>
      <w:r>
        <w:rPr>
          <w:rFonts w:ascii="Arial" w:cs="Arial" w:eastAsia="Arial" w:hAnsi="Arial"/>
          <w:sz w:val="18"/>
          <w:szCs w:val="18"/>
          <w:color w:val="auto"/>
        </w:rPr>
        <w:t>We are also investigating the potential of our TIL therapies in earlier lines of treatment and in combination with pembrolizumab, and are studying LN-145 as a monotherapy in relapsed refractory NSCLC patients. IOV-COM-202 is a Phase 2, multicenter trial that is composed of seven cohorts that can enroll up to a total of 135 patients. In May 2019, we reported that the first patient was dosed in the IOV-COM-202 trial. In addition to its ongoing enrollment in the U.S., the IOV-COM-202 trial has also received regulatory approval in Canada and in certain European countries.</w:t>
      </w:r>
    </w:p>
    <w:p>
      <w:pPr>
        <w:spacing w:after="0" w:line="188" w:lineRule="exact"/>
        <w:rPr>
          <w:sz w:val="20"/>
          <w:szCs w:val="20"/>
          <w:color w:val="auto"/>
        </w:rPr>
      </w:pPr>
    </w:p>
    <w:p>
      <w:pPr>
        <w:jc w:val="both"/>
        <w:ind w:right="260" w:firstLine="492"/>
        <w:spacing w:after="0" w:line="311" w:lineRule="auto"/>
        <w:rPr>
          <w:sz w:val="20"/>
          <w:szCs w:val="20"/>
          <w:color w:val="auto"/>
        </w:rPr>
      </w:pPr>
      <w:r>
        <w:rPr>
          <w:rFonts w:ascii="Arial" w:cs="Arial" w:eastAsia="Arial" w:hAnsi="Arial"/>
          <w:sz w:val="16"/>
          <w:szCs w:val="16"/>
          <w:color w:val="auto"/>
        </w:rPr>
        <w:t>In Cohort 2A of the IOV-COM-202 trial, we are enrolling advanced, recurrent, or metastatic HNSCC patients who are naïve to prior immunotherapy including anti-PD-1/anti-PD-L1 therapy. The patients receive LN-145 in combination with pembrolizumab. We reported results from ongoing Cohort 2A of the IOV-COM-202 trial at the Society for Immunotherapy in Cancer, or SITC, meeting in</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November 2020, as follows. As of October 16, 2020, nine HNSCC patients have received LN-145 plus pembrolizumab with a median duration of follow up of 8.6 months. Nine and eight patients were evaluable for safety and efficacy, respectively. Four patients had a confirmed, objective response with an ORR of 44% including one complete response and three partial responses. Median DOR was not reached. The DCR at data cutoff was 89% in nine patients, and seven of the eight evaluable patients, or 87.5%, had a reduction in target lesions. The median number of prior therapies was 1.0 with 89% of the patients having received prior chemotherapy. Four patients were HPV positive, three patients were HPV negative, and two patients had unknown HPV status. The treatment emergent adverse event, or TEAE, profile was consistent with the underlying advanced disease and the known adverse event profiles of pembrolizumab, lymphodepletion, and IL-2 regimens. The most common TEAEs, occurring in more than 50% of evaluable subjects, were chills, anemia, hypotension, nausea, pyrexia, and thrombocytopenia.</w:t>
      </w:r>
    </w:p>
    <w:p>
      <w:pPr>
        <w:spacing w:after="0" w:line="181"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In November 2019, we announced that our investigational new drug, or IND, application for our PBL therapy, IOV-2001, was authorized by the FDA and our sponsored clinical trial using this therapy, IOV-CLL-01, was cleared to proceed. IOV-2001 is a non-genetically modified, polyclonal T cell product that is manufactured using a nine-day process from 50 mL of patient's blood. IOV-CLL-01 is a Phase 1/2 clinical trial evaluating the safety and efficacy of IOV-2001 in patients with relapsed or refractory CLL or SLL. The IOV-CLL-01 trial is expected to enroll up to approximately 70 patients.</w:t>
      </w:r>
    </w:p>
    <w:p>
      <w:pPr>
        <w:spacing w:after="0" w:line="188"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As part of our collaboration program with M.D. Anderson Cancer Center, or MDACC, two Phase 2 trials were initiated in 2018. Both trials are sponsored by MDACC. The first trial, NCT03449108, is intended to allow for investigation of LN-145 manufactured by us, using our manufacturing processes, to treat patients with soft tissue sarcoma, osteosarcoma, platinum resistant ovarian cancer, and thyroid cancer. A second trial under the collaboration with MDACC, NCT03610490, is active as well. This trial is treating patients with platinum resistant ovarian cancer, pancreatic and colorectal cancer. This trial uses TIL manufactured by MDACC using urelumab, a 4-1BB agonistic antibody, as part of the manufacturing process. The data obtained using this manufacturing process may not be representative of our data using our Gen 2 manufacturing process.</w:t>
      </w:r>
    </w:p>
    <w:p>
      <w:pPr>
        <w:spacing w:after="0" w:line="177" w:lineRule="exact"/>
        <w:rPr>
          <w:sz w:val="20"/>
          <w:szCs w:val="20"/>
          <w:color w:val="auto"/>
        </w:rPr>
      </w:pPr>
    </w:p>
    <w:p>
      <w:pPr>
        <w:ind w:right="220" w:firstLine="492"/>
        <w:spacing w:after="0" w:line="259" w:lineRule="auto"/>
        <w:rPr>
          <w:sz w:val="20"/>
          <w:szCs w:val="20"/>
          <w:color w:val="auto"/>
        </w:rPr>
      </w:pPr>
      <w:r>
        <w:rPr>
          <w:rFonts w:ascii="Arial" w:cs="Arial" w:eastAsia="Arial" w:hAnsi="Arial"/>
          <w:sz w:val="18"/>
          <w:szCs w:val="18"/>
          <w:color w:val="auto"/>
        </w:rPr>
        <w:t>We are also collaborating with Centre hospitalier de l’Université de Montreal, or CHUM, Yale University, and Moffitt on investigator-sponsored clinical trials of TIL therapies in other indications. The clinical trials sponsored by CHUM and Moffitt use, or will use, TIL manufactured by different manufacturing processes, which may not be representative of our data using our Gen 2 manufacturing process.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current product candidate pipeline and selected investigator-sponsored proof-of-concept studies are summarized in the figure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142875</wp:posOffset>
            </wp:positionV>
            <wp:extent cx="5897880" cy="2760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97880" cy="27603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We have developed a third-generation manufacturing process known as Gen 3. Gen 3 is a shorter process than Gen 2. We are using Gen 3 manufacturing in Cohort 1C of the IOV-COM-202 trial in melanoma and in Cohort 3 of the IOV-LUN-202 trial in NSCLC and have previously used it in the C-145-03 trial in HNSCC.</w:t>
      </w:r>
    </w:p>
    <w:p>
      <w:pPr>
        <w:spacing w:after="0" w:line="184"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We currently own more than twenty-five granted or allowed U.S. and international patents for compositions and methods of treatment in a broad range of cancers relating to our Gen 2 manufacturing process, including U.S. Patent Nos. 10,130,659, 10,166,257, 10,272,113, 10,363,273, 10,398,734, 10,420,799, 10,463,697, 10,537,595, 10,646,517, 10,653,723, 10,693,330, 10,695,372, 10,894,063, 10,905,718, 10,918,666, 10,925,900, 10,933,094, 10,946,044, 10,946,045, 10,953,046, and 10,953,047. We anticipate that the terms of these patents related to Gen 2 manufacturing processes will extend to January 2038, not including any patent term extensions or adjustments that may be available. Our owned and licensed intellectual property portfolio also includes patent applications relating to TIL, marrow infiltrating lymphocyte, or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immune checkpoint inhibitors in combination with TIL therapies; TIL selection technologies; and methods of treating patient subpopulations.</w:t>
      </w:r>
    </w:p>
    <w:p>
      <w:pPr>
        <w:spacing w:after="0" w:line="182" w:lineRule="exact"/>
        <w:rPr>
          <w:sz w:val="20"/>
          <w:szCs w:val="20"/>
          <w:color w:val="auto"/>
        </w:rPr>
      </w:pPr>
    </w:p>
    <w:p>
      <w:pPr>
        <w:ind w:right="180" w:firstLine="492"/>
        <w:spacing w:after="0" w:line="269" w:lineRule="auto"/>
        <w:rPr>
          <w:sz w:val="20"/>
          <w:szCs w:val="20"/>
          <w:color w:val="auto"/>
        </w:rPr>
      </w:pPr>
      <w:r>
        <w:rPr>
          <w:rFonts w:ascii="Arial" w:cs="Arial" w:eastAsia="Arial" w:hAnsi="Arial"/>
          <w:sz w:val="17"/>
          <w:szCs w:val="17"/>
          <w:color w:val="auto"/>
        </w:rPr>
        <w:t>In January 2020, we obtained a license from Novartis to develop and commercialize an antibody cytokine engrafted protein, which we refer to as IOV-3001. Under the agreement, we paid an upfront payment to Novartis and may pay milestones involved in initiation of patient dosing in various phases of clinical development for IOV-3001 and approval of a potential product in the U.S., EU and Japan. Novartis is also entitled to low-to-mid single digit percentage royalties from commercial sales of IOV-3001. In addition, in January 2020, we announced a research collaboration and exclusive worldwide licensing agreement with Cellectis, a clinical-stage biopharmaceutical company focused on developing immunotherapies based on gene-edited allogeneic chimeric antigen receptor modified T cells, whereby we licensed certain TALEN technology from Cellectis in order to develop TIL that have been genetically edited to create potentially more potent cancer therapeutics. The worldwide exclusive license enables us to use TALEN technology addressing multiple gene targets to modify TIL for therapeutic use in several cancer indications. Financial terms of the license include development, regulatory and sales milestone payments from us to Cellectis, as well as royalty payments based on net sales of TALEN-modified TIL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ind w:right="200" w:firstLine="492"/>
        <w:spacing w:after="0" w:line="259" w:lineRule="auto"/>
        <w:rPr>
          <w:sz w:val="20"/>
          <w:szCs w:val="20"/>
          <w:color w:val="auto"/>
        </w:rPr>
      </w:pPr>
      <w:r>
        <w:rPr>
          <w:rFonts w:ascii="Arial" w:cs="Arial" w:eastAsia="Arial" w:hAnsi="Arial"/>
          <w:sz w:val="18"/>
          <w:szCs w:val="18"/>
          <w:color w:val="auto"/>
        </w:rPr>
        <w:t>We have not yet generated any revenues since our formation, and we currently do not anticipate that we will generate any significant revenues from the sale or licensing of our product candidates during the 12 months from the date these financial statements are issued. Our ability to generate revenues in the future will depend on our ability to complete the development of our product candidates and to obtain regulatory approval for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61"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We determine our estimates through discussions with internal clinical personnel and outside service providers as to the progress or stage of completion of trials or services and the agreed upon fee to be paid for such services.</w:t>
      </w:r>
    </w:p>
    <w:p>
      <w:pPr>
        <w:spacing w:after="0" w:line="126" w:lineRule="exact"/>
        <w:rPr>
          <w:sz w:val="20"/>
          <w:szCs w:val="20"/>
          <w:color w:val="auto"/>
        </w:rPr>
      </w:pPr>
    </w:p>
    <w:p>
      <w:pPr>
        <w:ind w:right="480" w:firstLine="492"/>
        <w:spacing w:after="0" w:line="342" w:lineRule="auto"/>
        <w:rPr>
          <w:sz w:val="20"/>
          <w:szCs w:val="20"/>
          <w:color w:val="auto"/>
        </w:rPr>
      </w:pPr>
      <w:r>
        <w:rPr>
          <w:rFonts w:ascii="Arial" w:cs="Arial" w:eastAsia="Arial" w:hAnsi="Arial"/>
          <w:sz w:val="16"/>
          <w:szCs w:val="16"/>
          <w:color w:val="auto"/>
        </w:rPr>
        <w:t>We expect our research and development expenses to increase over the next couple of years as we prepare for commercial manufacturing of our products and continue to conduct our clinical trials for other indications. However, it is difficult to determine</w:t>
      </w:r>
    </w:p>
    <w:p>
      <w:pPr>
        <w:sectPr>
          <w:pgSz w:w="11900" w:h="16838" w:orient="portrait"/>
          <w:cols w:equalWidth="0" w:num="1">
            <w:col w:w="9880"/>
          </w:cols>
          <w:pgMar w:left="980" w:top="665" w:right="1039" w:bottom="1440" w:gutter="0" w:footer="0" w:header="0"/>
        </w:sect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461" w:lineRule="auto"/>
        <w:rPr>
          <w:sz w:val="20"/>
          <w:szCs w:val="20"/>
          <w:color w:val="auto"/>
        </w:rPr>
      </w:pPr>
      <w:r>
        <w:rPr>
          <w:rFonts w:ascii="Arial" w:cs="Arial" w:eastAsia="Arial" w:hAnsi="Arial"/>
          <w:sz w:val="18"/>
          <w:szCs w:val="18"/>
          <w:color w:val="auto"/>
        </w:rPr>
        <w:t xml:space="preserve">with certainty the duration and completion costs of our current or future preclinical programs and clinical trials of our product candidates. </w:t>
      </w:r>
      <w:r>
        <w:rPr>
          <w:rFonts w:ascii="Arial" w:cs="Arial" w:eastAsia="Arial" w:hAnsi="Arial"/>
          <w:sz w:val="18"/>
          <w:szCs w:val="18"/>
          <w:b w:val="1"/>
          <w:bCs w:val="1"/>
          <w:i w:val="1"/>
          <w:iCs w:val="1"/>
          <w:color w:val="auto"/>
        </w:rPr>
        <w:t>General and Administrative Expenses</w:t>
      </w:r>
    </w:p>
    <w:p>
      <w:pPr>
        <w:spacing w:after="0" w:line="1"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General and administrative expenses consist primarily of salaries, recruiting fees, sign on, retention and special bonuses and other related costs, including stock-based compensation, for personnel in executive, finance, accounting,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38"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color w:val="auto"/>
        </w:rPr>
        <w:t>We anticipate general and administrative expenses will increase in 2021 as we continue to prepare for commercialization and support an expected increase in total headcount.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results from our interest-bearing cash and investment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generate any revenues during the three months ended March 31, 2021 or March 31,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152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87"/>
              </w:rPr>
              <w:t>Increase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2"/>
              </w:rPr>
              <w:t>(Decrease)</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40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02"/>
        </w:trPr>
        <w:tc>
          <w:tcPr>
            <w:tcW w:w="498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included in research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development expense</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9,202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4,318</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113 %</w:t>
            </w:r>
          </w:p>
        </w:tc>
      </w:tr>
    </w:tbl>
    <w:p>
      <w:pPr>
        <w:spacing w:after="0" w:line="202"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Research and development expense for the three months ended March 31, 2021 decreased by $1.0 million, or 2%, compared to the same period in 2020. The decrease was primarily attributable to (i) a $10.0 million decrease in the license cost to further develop IOV-3001 obtained from Novartis for which we recognized in January 2020 in full and (ii) a $5.0 million decrease in in manufacturing costs due to the reduced manufacturing capacity and production runs during the three months ended March 31, 2021. These decreases were partially offset by (iii) a $7.0 million increase in payroll and related expenses driven by a higher number of full-time research and development employees, (iv) a $4.9 million increase in stock-based compensation expenses, and (v) a $1.9 million increase in lease cost of our commercial manufacturing facility and other related activities.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152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87"/>
              </w:rPr>
              <w:t>Increase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2"/>
              </w:rPr>
              <w:t>(Decrease)</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40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02"/>
        </w:trPr>
        <w:tc>
          <w:tcPr>
            <w:tcW w:w="498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included in general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7,739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5,094</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52 %</w:t>
            </w:r>
          </w:p>
        </w:tc>
      </w:tr>
    </w:tbl>
    <w:p>
      <w:pPr>
        <w:spacing w:after="0" w:line="202" w:lineRule="exact"/>
        <w:rPr>
          <w:sz w:val="20"/>
          <w:szCs w:val="20"/>
          <w:color w:val="auto"/>
        </w:rPr>
      </w:pPr>
    </w:p>
    <w:p>
      <w:pPr>
        <w:jc w:val="both"/>
        <w:ind w:right="120" w:firstLine="492"/>
        <w:spacing w:after="0" w:line="311" w:lineRule="auto"/>
        <w:rPr>
          <w:sz w:val="20"/>
          <w:szCs w:val="20"/>
          <w:color w:val="auto"/>
        </w:rPr>
      </w:pPr>
      <w:r>
        <w:rPr>
          <w:rFonts w:ascii="Arial" w:cs="Arial" w:eastAsia="Arial" w:hAnsi="Arial"/>
          <w:sz w:val="16"/>
          <w:szCs w:val="16"/>
          <w:color w:val="auto"/>
        </w:rPr>
        <w:t>General and administrative expenses for the three months ended March 31, 2021 increased by $5.8 million, or 42%, compared to the same period in 2020. The increase was primarily attributable to (i) a $2.8 million increase in payroll and related expenses, (ii) a $2.6 million increase in stock-based compensation expenses driven by a higher number of full-time general and administrative</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employees and a higher average stock price, and (iii) $0.5 million increase in insurance and license fees, which were partially offset by $0.1 million decrease in travel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52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87"/>
              </w:rPr>
              <w:t>Increase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(Decrease)</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2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40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7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134" w:lineRule="exact"/>
        <w:rPr>
          <w:sz w:val="20"/>
          <w:szCs w:val="20"/>
          <w:color w:val="auto"/>
        </w:rPr>
      </w:pPr>
    </w:p>
    <w:p>
      <w:pPr>
        <w:ind w:right="340" w:firstLine="492"/>
        <w:spacing w:after="0" w:line="342" w:lineRule="auto"/>
        <w:rPr>
          <w:sz w:val="20"/>
          <w:szCs w:val="20"/>
          <w:color w:val="auto"/>
        </w:rPr>
      </w:pPr>
      <w:r>
        <w:rPr>
          <w:rFonts w:ascii="Arial" w:cs="Arial" w:eastAsia="Arial" w:hAnsi="Arial"/>
          <w:sz w:val="16"/>
          <w:szCs w:val="16"/>
          <w:color w:val="auto"/>
        </w:rPr>
        <w:t>Net interest income for the three months ended March 31, 2021 and 2020 decreased by $1.1 million or 90% due primarily to a decrease in interest rates for the three months period ended March 31, 2021 as compared to the same periods in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540" w:type="dxa"/>
            <w:vAlign w:val="bottom"/>
            <w:gridSpan w:val="3"/>
          </w:tcPr>
          <w:p>
            <w:pPr>
              <w:jc w:val="center"/>
              <w:ind w:left="544"/>
              <w:spacing w:after="0"/>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4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584"/>
              <w:spacing w:after="0"/>
              <w:rPr>
                <w:sz w:val="20"/>
                <w:szCs w:val="20"/>
                <w:color w:val="auto"/>
              </w:rPr>
            </w:pPr>
            <w:r>
              <w:rPr>
                <w:rFonts w:ascii="Arial" w:cs="Arial" w:eastAsia="Arial" w:hAnsi="Arial"/>
                <w:sz w:val="14"/>
                <w:szCs w:val="14"/>
                <w:b w:val="1"/>
                <w:bCs w:val="1"/>
                <w:color w:val="auto"/>
                <w:w w:val="89"/>
              </w:rPr>
              <w:t>(Decrease)</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404"/>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(69,595)</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60" w:firstLine="492"/>
        <w:spacing w:after="0" w:line="259" w:lineRule="auto"/>
        <w:rPr>
          <w:sz w:val="20"/>
          <w:szCs w:val="20"/>
          <w:color w:val="auto"/>
        </w:rPr>
      </w:pPr>
      <w:r>
        <w:rPr>
          <w:rFonts w:ascii="Arial" w:cs="Arial" w:eastAsia="Arial" w:hAnsi="Arial"/>
          <w:sz w:val="18"/>
          <w:szCs w:val="18"/>
          <w:color w:val="auto"/>
        </w:rPr>
        <w:t>Net loss for the three months ended March 31, 2021 increased by $5.9 million or 8% compared to the same periods in 2020. The increase in our net loss was due to the continued expansion of our research and development activities and the overall growth of our corporate infrastructure. We anticipate that we will continue to incur net losses in the future as we further invest in our research and development activities and commercial preparation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We have incurred losses and generated negative cash flows from operations since inception. We expect to continue to incur significant losses in 2021 and may incur significant losses and negative cash flows from operations for the foreseeable future.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Capitalization</w:t>
      </w:r>
    </w:p>
    <w:p>
      <w:pPr>
        <w:spacing w:after="0" w:line="185"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As of March 31, 2021, we had outstanding 149,315,299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spacing w:after="0" w:line="15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195"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 October 17, 2018, we sold 25,300,000 shares of our common stock at a public offering price of $9.97 per share pursuant to the 2018 Shelf Registration Statement. We received gross proceeds of</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approximately $252.2 million and net proceeds of $236.7 million, after deducting underwriting discounts and offering expenses. The 2018 Shelf Registration Statement is no longer available for future offerings.</w:t>
      </w:r>
    </w:p>
    <w:p>
      <w:pPr>
        <w:spacing w:after="0" w:line="170"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On September 17, 2019, we filed a shelf registration statement with the SEC for the issuance up to an aggregate amount of $400 million, which we refer to as the 2019 Shelf Registration Statement. The 2019 Shelf Registration Statement was declared effective on September 24, 2019. The 2019 Shelf Registration Statement was terminated upon effectiveness of the 2020 Automatic Shelf Registration Statement (as discussed below). No shares were sold under the 2019 Shelf Registration Statement prior to its termination.</w:t>
      </w:r>
    </w:p>
    <w:p>
      <w:pPr>
        <w:spacing w:after="0" w:line="157"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On May 27, 2020, we filed an automatic shelf registration statement with the SEC for the issuance of an indeterminate amount of Shelf Securities, which we refer to as the 2020 Automatic Shelf Registration Statement. The 2020 Automatic Shelf Registration Statement was immediately effective upon filing with the SEC, and the 2019 Shelf Registration Statement was simultaneously terminated.</w:t>
      </w:r>
    </w:p>
    <w:p>
      <w:pPr>
        <w:spacing w:after="0" w:line="187"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On June 2, 2020, we sold 19,475,806 shares of our common stock at a public offering price of $31.00 per share pursuant to the 2020 Automatic Shelf Registration Statement. We received gross proceeds of $603.7 million and net proceeds of $567.0 million, after deducting underwriting discounts and offering expenses. Following the public offering, the 2020 Automatic Shelf Registration Statement remains available for the future issuance of an indeterminate amount of Shelf Securities.</w:t>
      </w:r>
    </w:p>
    <w:p>
      <w:pPr>
        <w:spacing w:after="0" w:line="171" w:lineRule="exact"/>
        <w:rPr>
          <w:sz w:val="20"/>
          <w:szCs w:val="20"/>
          <w:color w:val="auto"/>
        </w:rPr>
      </w:pPr>
    </w:p>
    <w:p>
      <w:pPr>
        <w:ind w:right="140" w:firstLine="492"/>
        <w:spacing w:after="0" w:line="257" w:lineRule="auto"/>
        <w:rPr>
          <w:sz w:val="20"/>
          <w:szCs w:val="20"/>
          <w:color w:val="auto"/>
        </w:rPr>
      </w:pPr>
      <w:r>
        <w:rPr>
          <w:rFonts w:ascii="Arial" w:cs="Arial" w:eastAsia="Arial" w:hAnsi="Arial"/>
          <w:sz w:val="18"/>
          <w:szCs w:val="18"/>
          <w:color w:val="auto"/>
        </w:rPr>
        <w:t>On February 8, 2021, we entered into an Open Market Sale Agreement, or the Sales Agreement, with Jefferies LLC, or Jefferies, with respect to an “at the market” offering program, under which we may, from time to time, in our sole discretion, issue and sell through Jefferies, acting as sales agent, up to $350.0 million of shares of our common stock, par value $0.000041666 per share. For the three months ended March 31, 2021, we received approximately $42.9 million in net proceeds through the sale of 1,278,243 shares of our common stock.</w:t>
      </w:r>
    </w:p>
    <w:p>
      <w:pPr>
        <w:spacing w:after="0" w:line="14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the future, we may periodically offer one or more of these securities in amounts, prices and terms to be announced when and if the securities are offered. If any of the securities covered by the 2020 Automatic Shelf Registration Statement are offered for sale, a prospectus supplement will be prepared and filed with the SEC containing specific information about the terms of such offering at that time.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currently engaged in the development of therapeutics to fight cancer. We do not have any commercial products and have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yet generated any revenues from our biopharmaceutical business. We currently do not anticipate that we will generate any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from the sale or licensing of any products during the 12 months from the date these financial statements are issued.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a net loss of $75.4 million for the three months ended March 31, 2021 and used $62.4 million of cash in our 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same period ended March 31, 2021. As of March 31, 2021, we had $604.2 million of cash, cash equivalents, and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($131.9 million of cash and cash equivalents and $462.0 million of short-term investments, and $10.2 million of long-term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$647.4 million of stockholders’ equity and had working capital of $550.2 million.</w:t>
      </w:r>
    </w:p>
    <w:p>
      <w:pPr>
        <w:spacing w:after="0" w:line="211"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expect to further increase our research and development activities, especially continuing pre-commercial activities and completing the construction of our tenant improvements to our new commercial manufacturing facility, which will increase the amount of cash we will use during 2021 and beyond. Specifically, we expect increased spending on clinical trials, research and development activities, higher payroll expenses as we increase our professional and scientific staff and continue our expansion of manufacturing activities including building our own facility. Based on the funds we have available as of the date of the filing of this Quarterly Report on Form 10-Q, we believe that we have sufficient capital to fund our anticipated operating expenses and capital expenditure for at least 12 months from the date of filing this report.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summarizes our cash flows for the periods presented from Operating, Investing and Financing Activities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7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(62,391)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(65,292)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100,105</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38,646</w:t>
            </w: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Net cash used in operating activities for the three months ended March 31, 2021 was $62.4 million compared to $65.3 million for the same period in 2020. The decrease of $2.9 million was primarily due to higher noncash share-based compensation cost, lease cost and accretion of discounts on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160" w:firstLine="492"/>
        <w:spacing w:after="0" w:line="259" w:lineRule="auto"/>
        <w:rPr>
          <w:sz w:val="20"/>
          <w:szCs w:val="20"/>
          <w:color w:val="auto"/>
        </w:rPr>
      </w:pPr>
      <w:r>
        <w:rPr>
          <w:rFonts w:ascii="Arial" w:cs="Arial" w:eastAsia="Arial" w:hAnsi="Arial"/>
          <w:sz w:val="18"/>
          <w:szCs w:val="18"/>
          <w:color w:val="auto"/>
        </w:rPr>
        <w:t>Net cash provided by investing activities for the three months ended March 31, 2021 was $77.2 million compared to net cash provided by investing activities of $100.1 million for the same period in 2020. The decrease in cash provided by investing activities of $22.9 million was primarily due to increase in the purchase of property and equipment related to the commercial manufacturing facility and increased purchases of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ind w:right="100" w:firstLine="492"/>
        <w:spacing w:after="0" w:line="279" w:lineRule="auto"/>
        <w:rPr>
          <w:sz w:val="20"/>
          <w:szCs w:val="20"/>
          <w:color w:val="auto"/>
        </w:rPr>
      </w:pPr>
      <w:r>
        <w:rPr>
          <w:rFonts w:ascii="Arial" w:cs="Arial" w:eastAsia="Arial" w:hAnsi="Arial"/>
          <w:sz w:val="17"/>
          <w:szCs w:val="17"/>
          <w:color w:val="auto"/>
        </w:rPr>
        <w:t>Net cash provided by financing activities for the three months ended March 31, 2021 was $50.4 million compared to $3.8 million for the same period in 2020. The increase of $46.5 million was primarily due to net proceeds of approximately $42.9 million from our sale of 1,278,243 shares of common stock of and a $2.5 million increase in proceeds from the exercise of stock options and $1.0 million proceeds from the issuance of the Job Creation Loan during the three months ended March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19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year ended December 31, 2020.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85"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well-positioned to manage our business through this crisis as it continues to unfold. However, the impacts of the COVID-19 pandemic are broad-reaching and continuing and the financial impacts associated with the COVID-19 pandemic are still uncertain.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the three months ended March 31, 2021.</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we had no obligations that would require disclosure as off-balance sheet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Recent Accounting Standards</w:t>
      </w:r>
    </w:p>
    <w:p>
      <w:pPr>
        <w:spacing w:after="0" w:line="198"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See Note 2 of the financial statements for a discussion of our significant accounting policies, including the discussion of recently issued and adopted accounting standards.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Inflation has not had a material effect on our business, financial condition or results of operations over our two most recent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jc w:val="both"/>
        <w:ind w:firstLine="492"/>
        <w:spacing w:after="0" w:line="290"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March 31, 2021, we had $472.2 million invested in marketable securities with a maturity date of less than two years. As such we believe that we are not exposed to any material market risk. If interest rates had varied by 1% in the year ended March 31, 2021, the fair value of our investment portfolio would increase or decrease by approximately $1.9 million.</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6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jc w:val="both"/>
        <w:ind w:right="240" w:firstLine="492"/>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firstLine="492"/>
        <w:spacing w:after="0" w:line="279" w:lineRule="auto"/>
        <w:rPr>
          <w:sz w:val="20"/>
          <w:szCs w:val="20"/>
          <w:color w:val="auto"/>
        </w:rPr>
      </w:pPr>
      <w:r>
        <w:rPr>
          <w:rFonts w:ascii="Arial" w:cs="Arial" w:eastAsia="Arial" w:hAnsi="Arial"/>
          <w:sz w:val="17"/>
          <w:szCs w:val="17"/>
          <w:color w:val="auto"/>
        </w:rPr>
        <w:t>The information in Note 9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9 to our Condensed Consolidated Financial Statements for the quarter ended March 31, 2021 contained in this Quarterly Report on Form 10-Q.</w:t>
      </w:r>
    </w:p>
    <w:p>
      <w:pPr>
        <w:spacing w:after="0" w:line="3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ind w:firstLine="492"/>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w:t>
      </w:r>
      <w:hyperlink r:id="rId52">
        <w:r>
          <w:rPr>
            <w:rFonts w:ascii="Arial" w:cs="Arial" w:eastAsia="Arial" w:hAnsi="Arial"/>
            <w:sz w:val="18"/>
            <w:szCs w:val="18"/>
            <w:i w:val="1"/>
            <w:iCs w:val="1"/>
            <w:u w:val="single" w:color="auto"/>
            <w:color w:val="0000EE"/>
          </w:rPr>
          <w:t>Annual Report on Form 10-K for the year ended December 31, 2020 filed on February 25, 2021</w:t>
        </w:r>
      </w:hyperlink>
      <w:r>
        <w:rPr>
          <w:rFonts w:ascii="Arial" w:cs="Arial" w:eastAsia="Arial" w:hAnsi="Arial"/>
          <w:sz w:val="18"/>
          <w:szCs w:val="18"/>
          <w:i w:val="1"/>
          <w:iCs w:val="1"/>
          <w:color w:val="auto"/>
        </w:rPr>
        <w:t>, including our financial statements and related notes, and our other filings from time to time with the Securities and Exchange Commission or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25, 2021.</w:t>
      </w:r>
    </w:p>
    <w:p>
      <w:pPr>
        <w:spacing w:after="0" w:line="13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87" w:lineRule="exact"/>
        <w:rPr>
          <w:sz w:val="20"/>
          <w:szCs w:val="20"/>
          <w:color w:val="auto"/>
        </w:rPr>
      </w:pPr>
    </w:p>
    <w:p>
      <w:pPr>
        <w:ind w:left="680" w:right="240" w:hanging="321"/>
        <w:spacing w:after="0" w:line="274"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ind w:left="680" w:right="24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It may take longer and cost more to complete our clinical trials than we project, or we may not be able to complete them at all;</w:t>
      </w:r>
    </w:p>
    <w:p>
      <w:pPr>
        <w:spacing w:after="0" w:line="32" w:lineRule="exact"/>
        <w:rPr>
          <w:rFonts w:ascii="Arial" w:cs="Arial" w:eastAsia="Arial" w:hAnsi="Arial"/>
          <w:sz w:val="16"/>
          <w:szCs w:val="16"/>
          <w:color w:val="auto"/>
        </w:rPr>
      </w:pPr>
    </w:p>
    <w:p>
      <w:pPr>
        <w:ind w:left="680" w:right="2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clinical trials may fail to demonstrate adequately the safety and efficacy of our product candidates, which would prevent or delay regulatory approval and commercialization;</w:t>
      </w:r>
    </w:p>
    <w:p>
      <w:pPr>
        <w:ind w:left="680" w:right="2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 w:lineRule="exact"/>
        <w:rPr>
          <w:rFonts w:ascii="Arial" w:cs="Arial" w:eastAsia="Arial" w:hAnsi="Arial"/>
          <w:sz w:val="18"/>
          <w:szCs w:val="18"/>
          <w:color w:val="auto"/>
        </w:rPr>
      </w:pPr>
    </w:p>
    <w:p>
      <w:pPr>
        <w:ind w:left="680" w:right="1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 w:lineRule="exact"/>
        <w:rPr>
          <w:rFonts w:ascii="Arial" w:cs="Arial" w:eastAsia="Arial" w:hAnsi="Arial"/>
          <w:sz w:val="18"/>
          <w:szCs w:val="18"/>
          <w:color w:val="auto"/>
        </w:rPr>
      </w:pPr>
    </w:p>
    <w:p>
      <w:pPr>
        <w:ind w:left="680" w:right="6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 w:lineRule="exact"/>
        <w:rPr>
          <w:rFonts w:ascii="Arial" w:cs="Arial" w:eastAsia="Arial" w:hAnsi="Arial"/>
          <w:sz w:val="18"/>
          <w:szCs w:val="18"/>
          <w:color w:val="auto"/>
        </w:rPr>
      </w:pPr>
    </w:p>
    <w:p>
      <w:pPr>
        <w:ind w:left="680" w:right="140" w:hanging="321"/>
        <w:spacing w:after="0" w:line="265"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ind w:left="680" w:right="120" w:hanging="321"/>
        <w:spacing w:after="0" w:line="290"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0" w:hanging="321"/>
        <w:spacing w:after="0" w:line="258"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 w:lineRule="exact"/>
        <w:rPr>
          <w:rFonts w:ascii="Arial" w:cs="Arial" w:eastAsia="Arial" w:hAnsi="Arial"/>
          <w:sz w:val="18"/>
          <w:szCs w:val="18"/>
          <w:color w:val="auto"/>
        </w:rPr>
      </w:pPr>
    </w:p>
    <w:p>
      <w:pPr>
        <w:ind w:left="680" w:right="34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 w:lineRule="exact"/>
        <w:rPr>
          <w:rFonts w:ascii="Arial" w:cs="Arial" w:eastAsia="Arial" w:hAnsi="Arial"/>
          <w:sz w:val="18"/>
          <w:szCs w:val="18"/>
          <w:color w:val="auto"/>
        </w:rPr>
      </w:pPr>
    </w:p>
    <w:p>
      <w:pPr>
        <w:ind w:left="680" w:right="10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 assurance can be given that the Gen 2 manufacturing process we have selected will be FDA-compliant, more efficient and lower the cost to manufacture TIL products;</w:t>
      </w:r>
    </w:p>
    <w:p>
      <w:pPr>
        <w:ind w:left="680" w:hanging="321"/>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face significant competition from other biotechnology and pharmaceutical companies and from non-profit institutions;</w:t>
      </w:r>
    </w:p>
    <w:p>
      <w:pPr>
        <w:spacing w:after="0" w:line="20" w:lineRule="exact"/>
        <w:rPr>
          <w:rFonts w:ascii="Arial" w:cs="Arial" w:eastAsia="Arial" w:hAnsi="Arial"/>
          <w:sz w:val="17"/>
          <w:szCs w:val="17"/>
          <w:color w:val="auto"/>
        </w:rPr>
      </w:pPr>
    </w:p>
    <w:p>
      <w:pPr>
        <w:ind w:left="680" w:right="20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Development of a product candidate intended for use in combination with an already approved product may present more or different challenges than development of a product candidate for use as a single agent;</w:t>
      </w:r>
    </w:p>
    <w:p>
      <w:pPr>
        <w:ind w:left="680" w:right="2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 w:lineRule="exact"/>
        <w:rPr>
          <w:rFonts w:ascii="Arial" w:cs="Arial" w:eastAsia="Arial" w:hAnsi="Arial"/>
          <w:sz w:val="18"/>
          <w:szCs w:val="18"/>
          <w:color w:val="auto"/>
        </w:rPr>
      </w:pPr>
    </w:p>
    <w:p>
      <w:pPr>
        <w:jc w:val="both"/>
        <w:ind w:left="680" w:right="20" w:hanging="321"/>
        <w:spacing w:after="0" w:line="265"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While lifileucel has received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ind w:left="680" w:right="24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 w:lineRule="exact"/>
        <w:rPr>
          <w:rFonts w:ascii="Arial" w:cs="Arial" w:eastAsia="Arial" w:hAnsi="Arial"/>
          <w:sz w:val="18"/>
          <w:szCs w:val="18"/>
          <w:color w:val="auto"/>
        </w:rPr>
      </w:pPr>
    </w:p>
    <w:p>
      <w:pPr>
        <w:ind w:left="680" w:right="120" w:hanging="321"/>
        <w:spacing w:after="0" w:line="281"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1" w:lineRule="exact"/>
        <w:rPr>
          <w:rFonts w:ascii="Arial" w:cs="Arial" w:eastAsia="Arial" w:hAnsi="Arial"/>
          <w:sz w:val="16"/>
          <w:szCs w:val="16"/>
          <w:color w:val="auto"/>
        </w:rPr>
      </w:pPr>
    </w:p>
    <w:p>
      <w:pPr>
        <w:ind w:left="680" w:right="44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our product candidates do not achieve broad market acceptance, the revenues that we generate from their sales will be limited;</w:t>
      </w:r>
    </w:p>
    <w:p>
      <w:pPr>
        <w:ind w:left="680" w:right="80" w:hanging="321"/>
        <w:spacing w:after="0" w:line="281"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3" w:lineRule="exact"/>
        <w:rPr>
          <w:rFonts w:ascii="Arial" w:cs="Arial" w:eastAsia="Arial" w:hAnsi="Arial"/>
          <w:sz w:val="16"/>
          <w:szCs w:val="16"/>
          <w:color w:val="auto"/>
        </w:rPr>
      </w:pPr>
    </w:p>
    <w:p>
      <w:pPr>
        <w:ind w:left="680" w:hanging="321"/>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We will need to grow the size and capabilities of our organization, and we may experience difficulties in managing this growth;</w:t>
      </w:r>
    </w:p>
    <w:p>
      <w:pPr>
        <w:spacing w:after="0" w:line="32" w:lineRule="exact"/>
        <w:rPr>
          <w:rFonts w:ascii="Arial" w:cs="Arial" w:eastAsia="Arial" w:hAnsi="Arial"/>
          <w:sz w:val="16"/>
          <w:szCs w:val="16"/>
          <w:color w:val="auto"/>
        </w:rPr>
      </w:pPr>
    </w:p>
    <w:p>
      <w:pPr>
        <w:ind w:left="680" w:right="8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 w:lineRule="exact"/>
        <w:rPr>
          <w:rFonts w:ascii="Arial" w:cs="Arial" w:eastAsia="Arial" w:hAnsi="Arial"/>
          <w:sz w:val="18"/>
          <w:szCs w:val="18"/>
          <w:color w:val="auto"/>
        </w:rPr>
      </w:pPr>
    </w:p>
    <w:p>
      <w:pPr>
        <w:ind w:left="680" w:right="6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FDA regulatory approval process is lengthy and time-consuming, and we may experience significant delays in the clinical development and regulatory approval of our product candidates;</w:t>
      </w:r>
    </w:p>
    <w:p>
      <w:pPr>
        <w:ind w:left="680" w:right="26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Obtaining and maintaining regulatory approval of our product candidates in one jurisdiction does not mean that we will be successful in obtaining regulatory approval of our product candidates in other jurisdictions;</w:t>
      </w:r>
    </w:p>
    <w:p>
      <w:pPr>
        <w:ind w:left="680" w:right="34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Coverage and reimbursement may be limited or unavailable in certain market segments for our product candidates, which could make it difficult for us to sell our product candidates profitably; and</w:t>
      </w: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Governments outside the U.S. tend to impose strict price controls, which may adversely affect our revenues, if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have a history of operating losses; we expect to continue to incur losses and we may never be profitable.*</w:t>
      </w:r>
    </w:p>
    <w:p>
      <w:pPr>
        <w:spacing w:after="0" w:line="210"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March 31, 2021, we had an accumulated deficit of $905.6 million. In addition, during the year ended March 31, 2021, we incurred a net loss of $75.4 million. Since our inception we have not generated any revenues from operations. We are preparing for the commercial launch of our products, if approved, in 2021. We do not expect to generate any meaningful product sales or royalty revenues until we have a product</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approved. We expect to incur significant additional operating losses in the future as we expand our development and clinical trial activities in support of demonstrating the effectiveness of our products.</w:t>
      </w:r>
    </w:p>
    <w:p>
      <w:pPr>
        <w:spacing w:after="0" w:line="130"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57"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30" w:lineRule="exact"/>
        <w:rPr>
          <w:sz w:val="20"/>
          <w:szCs w:val="20"/>
          <w:color w:val="auto"/>
        </w:rPr>
      </w:pPr>
    </w:p>
    <w:p>
      <w:pPr>
        <w:ind w:right="20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36"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51"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83"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including lifileucel, LN-145,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37"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w:t>
      </w:r>
    </w:p>
    <w:p>
      <w:pPr>
        <w:spacing w:after="0" w:line="130"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24" w:lineRule="exact"/>
        <w:rPr>
          <w:sz w:val="20"/>
          <w:szCs w:val="20"/>
          <w:color w:val="auto"/>
        </w:rPr>
      </w:pPr>
    </w:p>
    <w:p>
      <w:pPr>
        <w:ind w:right="140" w:firstLine="492"/>
        <w:spacing w:after="0" w:line="291" w:lineRule="auto"/>
        <w:rPr>
          <w:sz w:val="20"/>
          <w:szCs w:val="20"/>
          <w:color w:val="auto"/>
        </w:rPr>
      </w:pPr>
      <w:r>
        <w:rPr>
          <w:rFonts w:ascii="Arial" w:cs="Arial" w:eastAsia="Arial" w:hAnsi="Arial"/>
          <w:sz w:val="16"/>
          <w:szCs w:val="16"/>
          <w:color w:val="auto"/>
        </w:rPr>
        <w:t>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FDA to base its determination with respect to product approval on such comparisons, FDA may factor these comparisons into its decision whether to approve our TIL therapies, including lifileucel for metastatic melanoma and metastatic cervical cancer. FDA may also consider its approvals of competing products, which may alter the treatment landscape concurrently with their review of our BLA filings, and which may lead to changes in FDA’s review requirements that have</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been previously communicated to us and our interpretation thereof, including changes to requirements for clinical data or clinical study design. Such changes could delay approval or necessitate withdrawal of our BLA filings.</w:t>
      </w:r>
    </w:p>
    <w:p>
      <w:pPr>
        <w:spacing w:after="0" w:line="130"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57"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30" w:lineRule="exact"/>
        <w:rPr>
          <w:sz w:val="20"/>
          <w:szCs w:val="20"/>
          <w:color w:val="auto"/>
        </w:rPr>
      </w:pPr>
    </w:p>
    <w:p>
      <w:pPr>
        <w:ind w:left="820" w:right="540" w:hanging="320"/>
        <w:spacing w:after="0" w:line="258"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66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following launch, assure that our product will be used as directed and that additional unexpected safety risks will not arise.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As a result, clinical trials may be delayed or otherwise may be more difficult to execute in the future.</w:t>
      </w:r>
    </w:p>
    <w:p>
      <w:pPr>
        <w:spacing w:after="0" w:line="158"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51"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39"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oversight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44"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2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61" w:lineRule="exact"/>
        <w:rPr>
          <w:sz w:val="20"/>
          <w:szCs w:val="20"/>
          <w:color w:val="auto"/>
        </w:rPr>
      </w:pPr>
    </w:p>
    <w:p>
      <w:pPr>
        <w:ind w:right="60" w:firstLine="492"/>
        <w:spacing w:after="0" w:line="287" w:lineRule="auto"/>
        <w:rPr>
          <w:sz w:val="20"/>
          <w:szCs w:val="20"/>
          <w:color w:val="auto"/>
        </w:rPr>
      </w:pPr>
      <w:r>
        <w:rPr>
          <w:rFonts w:ascii="Arial" w:cs="Arial" w:eastAsia="Arial" w:hAnsi="Arial"/>
          <w:sz w:val="16"/>
          <w:szCs w:val="16"/>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w:t>
      </w:r>
    </w:p>
    <w:p>
      <w:pPr>
        <w:sectPr>
          <w:pgSz w:w="11900" w:h="16838" w:orient="portrait"/>
          <w:cols w:equalWidth="0" w:num="1">
            <w:col w:w="9920"/>
          </w:cols>
          <w:pgMar w:left="980" w:top="665"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generate revenues could be delayed. To the extent we are unable to successfully identify and manage the performance of third party service providers in the future, our business may be materially and adversely affected.</w:t>
      </w:r>
    </w:p>
    <w:p>
      <w:pPr>
        <w:spacing w:after="0" w:line="130"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3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46" w:lineRule="exact"/>
        <w:rPr>
          <w:sz w:val="20"/>
          <w:szCs w:val="20"/>
          <w:color w:val="auto"/>
        </w:rPr>
      </w:pPr>
    </w:p>
    <w:p>
      <w:pPr>
        <w:jc w:val="both"/>
        <w:ind w:right="22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43"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1" w:lineRule="exact"/>
        <w:rPr>
          <w:sz w:val="20"/>
          <w:szCs w:val="20"/>
          <w:color w:val="auto"/>
        </w:rPr>
      </w:pPr>
    </w:p>
    <w:p>
      <w:pPr>
        <w:ind w:firstLine="8"/>
        <w:spacing w:after="0" w:line="251"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2020, we disclosed interim results for Cohort 4 of the C-144-01 clinical trial. Although the data is consistent with the Cohort 2 data read out at a similar median duration of study follow up, the interim results speak only to data available as of March 16, 2020, and although such data have been reviewed by the investigators, they have not been reviewed by IRC. We plan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70" w:lineRule="exact"/>
        <w:rPr>
          <w:rFonts w:ascii="Arial" w:cs="Arial" w:eastAsia="Arial" w:hAnsi="Arial"/>
          <w:sz w:val="18"/>
          <w:szCs w:val="18"/>
          <w:color w:val="auto"/>
        </w:rPr>
      </w:pPr>
    </w:p>
    <w:p>
      <w:pPr>
        <w:ind w:left="820" w:right="260" w:hanging="320"/>
        <w:spacing w:after="0" w:line="255" w:lineRule="auto"/>
        <w:tabs>
          <w:tab w:leader="none" w:pos="814" w:val="left"/>
        </w:tabs>
        <w:numPr>
          <w:ilvl w:val="1"/>
          <w:numId w:val="6"/>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40" w:hanging="320"/>
        <w:spacing w:after="0" w:line="250" w:lineRule="auto"/>
        <w:tabs>
          <w:tab w:leader="none" w:pos="81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60" w:hanging="320"/>
        <w:spacing w:after="0" w:line="250" w:lineRule="auto"/>
        <w:tabs>
          <w:tab w:leader="none" w:pos="81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8"/>
          <w:szCs w:val="18"/>
          <w:color w:val="auto"/>
        </w:rPr>
      </w:pPr>
    </w:p>
    <w:p>
      <w:pPr>
        <w:ind w:left="820" w:right="300" w:hanging="320"/>
        <w:spacing w:after="0" w:line="281" w:lineRule="auto"/>
        <w:tabs>
          <w:tab w:leader="none" w:pos="814" w:val="left"/>
        </w:tabs>
        <w:numPr>
          <w:ilvl w:val="1"/>
          <w:numId w:val="6"/>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60" w:hanging="320"/>
        <w:spacing w:after="0" w:line="281" w:lineRule="auto"/>
        <w:tabs>
          <w:tab w:leader="none" w:pos="814" w:val="left"/>
        </w:tabs>
        <w:numPr>
          <w:ilvl w:val="1"/>
          <w:numId w:val="6"/>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120" w:hanging="320"/>
        <w:spacing w:after="0" w:line="253"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3" w:lineRule="exact"/>
        <w:rPr>
          <w:rFonts w:ascii="Arial" w:cs="Arial" w:eastAsia="Arial" w:hAnsi="Arial"/>
          <w:sz w:val="18"/>
          <w:szCs w:val="18"/>
          <w:color w:val="auto"/>
        </w:rPr>
      </w:pPr>
    </w:p>
    <w:p>
      <w:pPr>
        <w:ind w:left="82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hanging="320"/>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pacing w:after="0" w:line="32" w:lineRule="exact"/>
        <w:rPr>
          <w:rFonts w:ascii="Arial" w:cs="Arial" w:eastAsia="Arial" w:hAnsi="Arial"/>
          <w:sz w:val="16"/>
          <w:szCs w:val="16"/>
          <w:color w:val="auto"/>
        </w:rPr>
      </w:pPr>
    </w:p>
    <w:p>
      <w:pPr>
        <w:ind w:left="820" w:right="14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standard of care on which a clinical development plan was based, which may require new or additional trials;</w:t>
      </w:r>
    </w:p>
    <w:p>
      <w:pPr>
        <w:spacing w:after="0" w:line="32" w:lineRule="exact"/>
        <w:rPr>
          <w:rFonts w:ascii="Arial" w:cs="Arial" w:eastAsia="Arial" w:hAnsi="Arial"/>
          <w:sz w:val="16"/>
          <w:szCs w:val="16"/>
          <w:color w:val="auto"/>
        </w:rPr>
      </w:pPr>
    </w:p>
    <w:p>
      <w:pPr>
        <w:ind w:left="820" w:right="10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8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 w:lineRule="exact"/>
        <w:rPr>
          <w:rFonts w:ascii="Arial" w:cs="Arial" w:eastAsia="Arial" w:hAnsi="Arial"/>
          <w:sz w:val="18"/>
          <w:szCs w:val="18"/>
          <w:color w:val="auto"/>
        </w:rPr>
      </w:pPr>
    </w:p>
    <w:p>
      <w:pPr>
        <w:ind w:left="820" w:right="80" w:hanging="320"/>
        <w:spacing w:after="0" w:line="281" w:lineRule="auto"/>
        <w:tabs>
          <w:tab w:leader="none" w:pos="814" w:val="left"/>
        </w:tabs>
        <w:numPr>
          <w:ilvl w:val="0"/>
          <w:numId w:val="7"/>
        </w:numPr>
        <w:rPr>
          <w:rFonts w:ascii="Arial" w:cs="Arial" w:eastAsia="Arial" w:hAnsi="Arial"/>
          <w:sz w:val="16"/>
          <w:szCs w:val="16"/>
          <w:color w:val="auto"/>
        </w:rPr>
      </w:pPr>
      <w:r>
        <w:rPr>
          <w:rFonts w:ascii="Arial" w:cs="Arial" w:eastAsia="Arial" w:hAnsi="Arial"/>
          <w:sz w:val="16"/>
          <w:szCs w:val="16"/>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Arial" w:cs="Arial" w:eastAsia="Arial" w:hAnsi="Arial"/>
          <w:sz w:val="16"/>
          <w:szCs w:val="16"/>
          <w:color w:val="auto"/>
        </w:rPr>
      </w:pPr>
    </w:p>
    <w:p>
      <w:pPr>
        <w:ind w:left="820" w:right="4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delays in patient enrollment due to the ongoing COVID-19 pandemic;</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820" w:right="420" w:hanging="320"/>
        <w:spacing w:after="0" w:line="255"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require additional testing and clinical trials will require additional FDA regulatory approval and will increase our future cost of expenses.</w:t>
      </w:r>
    </w:p>
    <w:p>
      <w:pPr>
        <w:spacing w:after="0" w:line="208" w:lineRule="exact"/>
        <w:rPr>
          <w:sz w:val="20"/>
          <w:szCs w:val="20"/>
          <w:color w:val="auto"/>
        </w:rPr>
      </w:pPr>
    </w:p>
    <w:p>
      <w:pPr>
        <w:ind w:right="80" w:firstLine="492"/>
        <w:spacing w:after="0" w:line="289"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or preclinical studies. For example, while we currently intend to file our first BLA using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and preclinical studies, or results in a refusal to file or non-approval of a BLA.</w:t>
      </w:r>
    </w:p>
    <w:p>
      <w:pPr>
        <w:spacing w:after="0" w:line="139"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43"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33"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difficulties in identifying and enrolling patients who meet trial eligibility criteria, and the ongoing COVID-19 pandemic, may cause significant delays. We may not commence or complete clinical trials involving any of our products as projected or may not conduct them successfully.</w:t>
      </w:r>
    </w:p>
    <w:p>
      <w:pPr>
        <w:spacing w:after="0" w:line="147"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We are currently enrolling our company-sponsored, Phase 2 clinical trials to assess its overall safety and efficacy in patients with melanoma, cervical, head and neck and lung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 For example, our studies of our TIL therapy lifileucel in patients with metastatic cervical cancer and metastatic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lifileucel in patients with metastatic cervical cancer and metastatic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w:t>
      </w:r>
    </w:p>
    <w:p>
      <w:pPr>
        <w:sectPr>
          <w:pgSz w:w="11900" w:h="16838" w:orient="portrait"/>
          <w:cols w:equalWidth="0" w:num="1">
            <w:col w:w="9900"/>
          </w:cols>
          <w:pgMar w:left="980" w:top="665" w:right="1019"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25"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Furthermore, the timely completion of clinical trials in accordance with their protocols depends, among other things, on our ability to enroll a sufficient number of patients who remain in the study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69"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46"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46"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43"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38"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30" w:lineRule="exact"/>
        <w:rPr>
          <w:sz w:val="20"/>
          <w:szCs w:val="20"/>
          <w:color w:val="auto"/>
        </w:rPr>
      </w:pPr>
    </w:p>
    <w:p>
      <w:pPr>
        <w:ind w:right="40" w:firstLine="492"/>
        <w:spacing w:after="0" w:line="286"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w:t>
      </w:r>
    </w:p>
    <w:p>
      <w:pPr>
        <w:sectPr>
          <w:pgSz w:w="11900" w:h="16838" w:orient="portrait"/>
          <w:cols w:equalWidth="0" w:num="1">
            <w:col w:w="9920"/>
          </w:cols>
          <w:pgMar w:left="980" w:top="665"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3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5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37" w:lineRule="exact"/>
        <w:rPr>
          <w:sz w:val="20"/>
          <w:szCs w:val="20"/>
          <w:color w:val="auto"/>
        </w:rPr>
      </w:pPr>
    </w:p>
    <w:p>
      <w:pPr>
        <w:jc w:val="both"/>
        <w:ind w:right="20" w:firstLine="492"/>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47"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51"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25" w:lineRule="exact"/>
        <w:rPr>
          <w:sz w:val="20"/>
          <w:szCs w:val="20"/>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820" w:right="200" w:hanging="320"/>
        <w:spacing w:after="0" w:line="255"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2"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ind w:left="840" w:right="100" w:hanging="319"/>
        <w:spacing w:after="0" w:line="250" w:lineRule="auto"/>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20" w:right="20" w:hanging="320"/>
        <w:spacing w:after="0" w:line="253"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52"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55" w:lineRule="exact"/>
        <w:rPr>
          <w:sz w:val="20"/>
          <w:szCs w:val="20"/>
          <w:color w:val="auto"/>
        </w:rPr>
      </w:pPr>
    </w:p>
    <w:p>
      <w:pPr>
        <w:jc w:val="both"/>
        <w:ind w:right="160" w:firstLine="492"/>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43"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Results of our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5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38"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31"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13"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3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40"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FDA not agreeing with all of the details of our validation data or our potency assay or assays for Cohort 4 of our C-144-01 clinical trial. For example, on October 5, 2020, we announced that we and the FDA have not been able to agree on the required potency assays to fully define our TIL therapy, which is required as part of a BLA submission, and that as a result of these developments, our BLA submission is not expected by the end of 2020 and is anticipated instead to occur in 2021. Although we have recently submitted additional potency assay data to the FDA, the FDA may still not agree with such potency assays, or it may not be feasible to conduct additional potency assay testing on all clinical samples.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44"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Netherlands, and Moffitt. Should we continue to use CMOs, we may not succeed in maintaining our relationships with our current CMOs or establishing relationships with additional or alternative CMOs. Our product candidates may compete with other</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37"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43" w:lineRule="exact"/>
        <w:rPr>
          <w:sz w:val="20"/>
          <w:szCs w:val="20"/>
          <w:color w:val="auto"/>
        </w:rPr>
      </w:pPr>
    </w:p>
    <w:p>
      <w:pPr>
        <w:ind w:left="820" w:hanging="320"/>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pacing w:after="0" w:line="34" w:lineRule="exact"/>
        <w:rPr>
          <w:rFonts w:ascii="Arial" w:cs="Arial" w:eastAsia="Arial" w:hAnsi="Arial"/>
          <w:sz w:val="17"/>
          <w:szCs w:val="17"/>
          <w:color w:val="auto"/>
        </w:rPr>
      </w:pPr>
    </w:p>
    <w:p>
      <w:pPr>
        <w:ind w:left="820" w:right="62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820" w:hanging="320"/>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20" w:lineRule="exact"/>
        <w:rPr>
          <w:rFonts w:ascii="Arial" w:cs="Arial" w:eastAsia="Arial" w:hAnsi="Arial"/>
          <w:sz w:val="17"/>
          <w:szCs w:val="17"/>
          <w:color w:val="auto"/>
        </w:rPr>
      </w:pPr>
    </w:p>
    <w:p>
      <w:pPr>
        <w:ind w:left="820" w:right="380" w:hanging="320"/>
        <w:spacing w:after="0" w:line="281" w:lineRule="auto"/>
        <w:tabs>
          <w:tab w:leader="none" w:pos="81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 w:lineRule="exact"/>
        <w:rPr>
          <w:rFonts w:ascii="Arial" w:cs="Arial" w:eastAsia="Arial" w:hAnsi="Arial"/>
          <w:sz w:val="16"/>
          <w:szCs w:val="16"/>
          <w:color w:val="auto"/>
        </w:rPr>
      </w:pPr>
    </w:p>
    <w:p>
      <w:pPr>
        <w:ind w:left="820" w:right="140" w:hanging="320"/>
        <w:spacing w:after="0" w:line="26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4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May 2019 we entered into a lease agreement to build a commercial-scale manufacturing facility in Philadelphia, Pennsylvania for commercial and clinical production of autologous TIL products, including our product candidate lifileucel. We expect that development of our own manufacturing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4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61"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2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sectPr>
          <w:pgSz w:w="11900" w:h="16838" w:orient="portrait"/>
          <w:cols w:equalWidth="0" w:num="1">
            <w:col w:w="9840"/>
          </w:cols>
          <w:pgMar w:left="980" w:top="665" w:right="10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3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5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25" w:lineRule="exact"/>
        <w:rPr>
          <w:sz w:val="20"/>
          <w:szCs w:val="20"/>
          <w:color w:val="auto"/>
        </w:rPr>
      </w:pPr>
    </w:p>
    <w:p>
      <w:pPr>
        <w:ind w:right="100" w:firstLine="486"/>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9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5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3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85"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With the exception of lifileucel for metastatic melanoma and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60" w:lineRule="exact"/>
        <w:rPr>
          <w:sz w:val="20"/>
          <w:szCs w:val="20"/>
          <w:color w:val="auto"/>
        </w:rPr>
      </w:pPr>
    </w:p>
    <w:p>
      <w:pPr>
        <w:ind w:left="820" w:right="20" w:hanging="320"/>
        <w:spacing w:after="0" w:line="258"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4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8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70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right="2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19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19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5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25" w:lineRule="exact"/>
        <w:rPr>
          <w:sz w:val="20"/>
          <w:szCs w:val="20"/>
          <w:color w:val="auto"/>
        </w:rPr>
      </w:pPr>
    </w:p>
    <w:p>
      <w:pPr>
        <w:ind w:right="100" w:firstLine="486"/>
        <w:spacing w:after="0" w:line="268" w:lineRule="auto"/>
        <w:rPr>
          <w:sz w:val="20"/>
          <w:szCs w:val="20"/>
          <w:color w:val="auto"/>
        </w:rPr>
      </w:pPr>
      <w:r>
        <w:rPr>
          <w:rFonts w:ascii="Arial" w:cs="Arial" w:eastAsia="Arial" w:hAnsi="Arial"/>
          <w:sz w:val="17"/>
          <w:szCs w:val="17"/>
          <w:color w:val="auto"/>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Ohio State University, and CHUM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MDACC and CHUM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17" w:lineRule="exact"/>
        <w:rPr>
          <w:sz w:val="20"/>
          <w:szCs w:val="20"/>
          <w:color w:val="auto"/>
        </w:rPr>
      </w:pPr>
    </w:p>
    <w:p>
      <w:pPr>
        <w:ind w:right="40" w:firstLine="492"/>
        <w:spacing w:after="0" w:line="284" w:lineRule="auto"/>
        <w:rPr>
          <w:sz w:val="20"/>
          <w:szCs w:val="20"/>
          <w:color w:val="auto"/>
        </w:rPr>
      </w:pPr>
      <w:r>
        <w:rPr>
          <w:rFonts w:ascii="Arial" w:cs="Arial" w:eastAsia="Arial" w:hAnsi="Arial"/>
          <w:sz w:val="16"/>
          <w:szCs w:val="16"/>
          <w:color w:val="auto"/>
        </w:rPr>
        <w:t>Our operations have consumed substantial amounts of cash since inception. From our inception to March 31, 2021, we have an accumulated deficit of $905.6 million.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February</w:t>
      </w:r>
    </w:p>
    <w:p>
      <w:pPr>
        <w:spacing w:after="0" w:line="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2021 we entered into an open market sale agreement, or the Sales Agreement, with Jefferies LLC, which provides for the sale of up to $350.0 million of our common stock from time to time. For the three months ended March 31, 2021, we received approximately $42.9 million in net proceeds through the sale of 1,278,243 shares of our common stock. In addition to our continued spending for our product candidates, we expect to spend approximately $15 million over the next year for equipment and construction costs for our commercial-scale production facility in Philadelphia, Pennsylvania. As of March 31, 2021, we had approximately $604.2 million in cash, cash equivalents and investments ($131.9 million of cash and cash equivalents, $462.0 million in short-term investments, and $10.2 million of long-term investments).</w:t>
      </w:r>
    </w:p>
    <w:p>
      <w:pPr>
        <w:spacing w:after="0" w:line="16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Accordingly, we believe that our existing cash, cash equivalents and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25"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83" w:lineRule="exact"/>
        <w:rPr>
          <w:sz w:val="20"/>
          <w:szCs w:val="20"/>
          <w:color w:val="auto"/>
        </w:rPr>
      </w:pPr>
    </w:p>
    <w:p>
      <w:pPr>
        <w:ind w:left="820" w:right="100" w:hanging="320"/>
        <w:spacing w:after="0" w:line="258"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6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00" w:hanging="320"/>
        <w:spacing w:after="0" w:line="281" w:lineRule="auto"/>
        <w:tabs>
          <w:tab w:leader="none" w:pos="81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0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U.S.;</w:t>
      </w:r>
    </w:p>
    <w:p>
      <w:pPr>
        <w:spacing w:after="0" w:line="9" w:lineRule="exact"/>
        <w:rPr>
          <w:rFonts w:ascii="Arial" w:cs="Arial" w:eastAsia="Arial" w:hAnsi="Arial"/>
          <w:sz w:val="18"/>
          <w:szCs w:val="18"/>
          <w:color w:val="auto"/>
        </w:rPr>
      </w:pPr>
    </w:p>
    <w:p>
      <w:pPr>
        <w:ind w:left="820" w:right="68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260" w:hanging="320"/>
        <w:spacing w:after="0" w:line="26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3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8"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spacing w:after="0" w:line="10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June 2020, October 2018, and January 2018 public offerings, and the proceeds from sales pursuant to the Sales Agreement with Jefferies LLC, which provides for the sale of up to $350.0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9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2020, we had U.S. federal net operating loss carryforwards of approximately $662.4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3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Prior to December 31, 2020, we may have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30"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53"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In recent years, various tax legislations were signed into law. 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There are also potential state tax law provisions that may have an effect on our business. For example, on June 15, 2020, Assembly Bill 85 was passed in California which suspended the use of net operating losses and limited the use of credits for certain corporations. These changes to existing federal and state tax laws and newly enacted tax reform legislation in the U.S. could adversely impact our business, results of operations and financial position as the overall impact of such changes and reform is uncertain.</w:t>
      </w:r>
    </w:p>
    <w:p>
      <w:pPr>
        <w:spacing w:after="0" w:line="128"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In addition, U.S. federal, state and local tax laws are extremely complex and subject to various interpretations. Although we believe that our tax estimates and positions are reasonable, including our decision to build our commercial manufacturing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3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97"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3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w:t>
      </w:r>
    </w:p>
    <w:p>
      <w:pPr>
        <w:sectPr>
          <w:pgSz w:w="11900" w:h="16838" w:orient="portrait"/>
          <w:cols w:equalWidth="0" w:num="1">
            <w:col w:w="9900"/>
          </w:cols>
          <w:pgMar w:left="980" w:top="665"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potential products until we obtain FDA approval, and so any delay in obtaining, or inability to obtain, FDA approval would harm our business.</w:t>
      </w:r>
    </w:p>
    <w:p>
      <w:pPr>
        <w:spacing w:after="0" w:line="13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85"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3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4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51"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our license agreements with the NIH,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68"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43"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3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4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3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 party medical insurers.</w:t>
      </w:r>
    </w:p>
    <w:p>
      <w:pPr>
        <w:spacing w:after="0" w:line="14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43"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ectPr>
          <w:pgSz w:w="11900" w:h="16838" w:orient="portrait"/>
          <w:cols w:equalWidth="0" w:num="1">
            <w:col w:w="9900"/>
          </w:cols>
          <w:pgMar w:left="980" w:top="665"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30"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54" w:lineRule="exact"/>
        <w:rPr>
          <w:sz w:val="20"/>
          <w:szCs w:val="20"/>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6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0" w:lineRule="exact"/>
        <w:rPr>
          <w:sz w:val="20"/>
          <w:szCs w:val="20"/>
          <w:color w:val="auto"/>
        </w:rPr>
      </w:pPr>
    </w:p>
    <w:p>
      <w:pPr>
        <w:ind w:right="10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21" w:lineRule="exact"/>
        <w:rPr>
          <w:sz w:val="20"/>
          <w:szCs w:val="20"/>
          <w:color w:val="auto"/>
        </w:rPr>
      </w:pPr>
    </w:p>
    <w:p>
      <w:pPr>
        <w:ind w:right="6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21" w:lineRule="exact"/>
        <w:rPr>
          <w:sz w:val="20"/>
          <w:szCs w:val="20"/>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7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Checkmate Pharmaceuticals, Oncosec Medical, Instil Bio, Achilles Therapeutics, WindMIL Therapeutics, Seagen and others. We also may compete with therapies based on genetically engineered T cell receptors rendered reactive against tumor-associated antigens prior to their administration to patients, as well as TIL</w:t>
      </w:r>
    </w:p>
    <w:p>
      <w:pPr>
        <w:sectPr>
          <w:pgSz w:w="11900" w:h="16838" w:orient="portrait"/>
          <w:cols w:equalWidth="0" w:num="1">
            <w:col w:w="9880"/>
          </w:cols>
          <w:pgMar w:left="980" w:top="665" w:right="1039" w:bottom="1440" w:gutter="0" w:footer="0" w:header="0"/>
        </w:sect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therapies that are designed to be specific to neoantigens, including products developed by Adaptimmune, Ziopharm Therapeutics, Marker Therapeutics,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and Roche.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4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65"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38"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6" w:lineRule="exact"/>
        <w:rPr>
          <w:sz w:val="20"/>
          <w:szCs w:val="20"/>
          <w:color w:val="auto"/>
        </w:rPr>
      </w:pPr>
    </w:p>
    <w:p>
      <w:pPr>
        <w:ind w:right="50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97" w:lineRule="exact"/>
        <w:rPr>
          <w:sz w:val="20"/>
          <w:szCs w:val="20"/>
          <w:color w:val="auto"/>
        </w:rPr>
      </w:pPr>
    </w:p>
    <w:p>
      <w:pPr>
        <w:jc w:val="both"/>
        <w:ind w:right="8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Novartis, and CHUM.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w:t>
      </w:r>
    </w:p>
    <w:p>
      <w:pPr>
        <w:sectPr>
          <w:pgSz w:w="11900" w:h="16838" w:orient="portrait"/>
          <w:cols w:equalWidth="0" w:num="1">
            <w:col w:w="9900"/>
          </w:cols>
          <w:pgMar w:left="980" w:top="665" w:right="1019"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disagreements can be difficult to resolve if neither of the parties has final decision-making authority under the collaboration agreement.</w:t>
      </w:r>
    </w:p>
    <w:p>
      <w:pPr>
        <w:spacing w:after="0" w:line="208"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60"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hanging="320"/>
        <w:spacing w:after="0" w:line="265" w:lineRule="auto"/>
        <w:tabs>
          <w:tab w:leader="none" w:pos="8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49"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ectPr>
          <w:pgSz w:w="11900" w:h="16838" w:orient="portrait"/>
          <w:cols w:equalWidth="0" w:num="1">
            <w:col w:w="9860"/>
          </w:cols>
          <w:pgMar w:left="980" w:top="665" w:right="10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52"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60"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30"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We are currently developing lifileucel as part of a regimen which uses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31" w:lineRule="exact"/>
        <w:rPr>
          <w:sz w:val="20"/>
          <w:szCs w:val="20"/>
          <w:color w:val="auto"/>
        </w:rPr>
      </w:pPr>
    </w:p>
    <w:p>
      <w:pPr>
        <w:ind w:right="400" w:firstLine="492"/>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57"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We were granted Fast Track designation by the FDA for lifileucel in metastatic melanoma and metastatic cervical cancer.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38" w:lineRule="exact"/>
        <w:rPr>
          <w:sz w:val="20"/>
          <w:szCs w:val="20"/>
          <w:color w:val="auto"/>
        </w:rPr>
      </w:pPr>
    </w:p>
    <w:p>
      <w:pPr>
        <w:ind w:right="20" w:firstLine="492"/>
        <w:spacing w:after="0" w:line="286" w:lineRule="auto"/>
        <w:rPr>
          <w:sz w:val="20"/>
          <w:szCs w:val="20"/>
          <w:color w:val="auto"/>
        </w:rPr>
      </w:pPr>
      <w:r>
        <w:rPr>
          <w:rFonts w:ascii="Arial" w:cs="Arial" w:eastAsia="Arial" w:hAnsi="Arial"/>
          <w:sz w:val="17"/>
          <w:szCs w:val="17"/>
          <w:b w:val="1"/>
          <w:bCs w:val="1"/>
          <w:i w:val="1"/>
          <w:iCs w:val="1"/>
          <w:color w:val="auto"/>
        </w:rPr>
        <w:t>While lifileucel has received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2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firstLine="492"/>
        <w:spacing w:after="0" w:line="286" w:lineRule="auto"/>
        <w:rPr>
          <w:sz w:val="20"/>
          <w:szCs w:val="20"/>
          <w:color w:val="auto"/>
        </w:rPr>
      </w:pPr>
      <w:r>
        <w:rPr>
          <w:rFonts w:ascii="Arial" w:cs="Arial" w:eastAsia="Arial" w:hAnsi="Arial"/>
          <w:sz w:val="17"/>
          <w:szCs w:val="17"/>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spacing w:after="0" w:line="125"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61"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43"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41"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97"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38"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25" w:lineRule="exact"/>
        <w:rPr>
          <w:sz w:val="20"/>
          <w:szCs w:val="20"/>
          <w:color w:val="auto"/>
        </w:rPr>
      </w:pPr>
    </w:p>
    <w:p>
      <w:pPr>
        <w:ind w:left="820" w:right="340" w:hanging="320"/>
        <w:spacing w:after="0" w:line="291" w:lineRule="auto"/>
        <w:tabs>
          <w:tab w:leader="none" w:pos="8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2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23"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40" w:hanging="320"/>
        <w:spacing w:after="0" w:line="26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45"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43"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37"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6" w:lineRule="exact"/>
        <w:rPr>
          <w:sz w:val="20"/>
          <w:szCs w:val="20"/>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64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ectPr>
          <w:pgSz w:w="11900" w:h="16838" w:orient="portrait"/>
          <w:cols w:equalWidth="0" w:num="1">
            <w:col w:w="9900"/>
          </w:cols>
          <w:pgMar w:left="980" w:top="665" w:right="1019"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8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68"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2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3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3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3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98"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54"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137"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the COVID-19 Pandemic has spread to multiple countries, including the U.S. and several European countries. Our headquarters is located in the San Francisco Bay Area. The President of the U.S. declared the COVID-19 pandemic a national emergency. Similarly, the State of California declared a state of emergency related to the spread of the COVID-19 pandemic. In March 2020, the health officers of six San Francisco Bay Area counties, including San Mateo County where our headquarters in San Carlos are located, issued shelter-in-place orders. The shelter-in-place orders took effect on March 17, 2020 and will continue through the end of May 2020, unless further extended.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U.S.</w:t>
      </w:r>
    </w:p>
    <w:p>
      <w:pPr>
        <w:spacing w:after="0" w:line="133"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46" w:lineRule="exact"/>
        <w:rPr>
          <w:sz w:val="20"/>
          <w:szCs w:val="20"/>
          <w:color w:val="auto"/>
        </w:rPr>
      </w:pPr>
    </w:p>
    <w:p>
      <w:pPr>
        <w:ind w:right="180" w:firstLine="492"/>
        <w:spacing w:after="0" w:line="273" w:lineRule="auto"/>
        <w:rPr>
          <w:sz w:val="20"/>
          <w:szCs w:val="20"/>
          <w:color w:val="auto"/>
        </w:rPr>
      </w:pPr>
      <w:r>
        <w:rPr>
          <w:rFonts w:ascii="Arial" w:cs="Arial" w:eastAsia="Arial" w:hAnsi="Arial"/>
          <w:sz w:val="17"/>
          <w:szCs w:val="17"/>
          <w:color w:val="auto"/>
        </w:rPr>
        <w:t>We continue to monitor the impact, if any, of the COVID-19 pandemic on our current and future operations, including our regulatory filing timelines and strategy as well as our preparation for commercial launch. As the COVID-19 pandemic continues for an extended period of time, and with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 and conduct the pre-approval inspections necessary for ultimate approval of BLA.</w:t>
      </w:r>
    </w:p>
    <w:p>
      <w:pPr>
        <w:spacing w:after="0" w:line="151"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European Union, or EU, member states and other foreign jurisdictions, including Switzerland and the United Kingdom, have adopted data protection laws and regulations which impose significant compliance obligations on us. Moreover, the collection and use of personal health data in the EU, which was formerly governed by the provisions of the EU Data Protection Directive, was replaced</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44"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43"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CRPA, passed on November 3, 2020.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51"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33" w:lineRule="exact"/>
        <w:rPr>
          <w:sz w:val="20"/>
          <w:szCs w:val="20"/>
          <w:color w:val="auto"/>
        </w:rPr>
      </w:pPr>
    </w:p>
    <w:p>
      <w:pPr>
        <w:ind w:right="80" w:firstLine="492"/>
        <w:spacing w:after="0" w:line="290" w:lineRule="auto"/>
        <w:rPr>
          <w:sz w:val="20"/>
          <w:szCs w:val="20"/>
          <w:color w:val="auto"/>
        </w:rPr>
      </w:pPr>
      <w:r>
        <w:rPr>
          <w:rFonts w:ascii="Arial" w:cs="Arial" w:eastAsia="Arial" w:hAnsi="Arial"/>
          <w:sz w:val="16"/>
          <w:szCs w:val="16"/>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25" w:lineRule="exact"/>
        <w:rPr>
          <w:sz w:val="20"/>
          <w:szCs w:val="20"/>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40" w:hanging="320"/>
        <w:spacing w:after="0" w:line="265" w:lineRule="auto"/>
        <w:tabs>
          <w:tab w:leader="none" w:pos="814"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70" w:lineRule="exact"/>
        <w:rPr>
          <w:sz w:val="20"/>
          <w:szCs w:val="20"/>
          <w:color w:val="auto"/>
        </w:rPr>
      </w:pPr>
    </w:p>
    <w:p>
      <w:pPr>
        <w:ind w:right="2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38" w:lineRule="exact"/>
        <w:rPr>
          <w:sz w:val="20"/>
          <w:szCs w:val="20"/>
          <w:color w:val="auto"/>
        </w:rPr>
      </w:pPr>
    </w:p>
    <w:p>
      <w:pPr>
        <w:jc w:val="both"/>
        <w:ind w:right="360" w:firstLine="492"/>
        <w:spacing w:after="0" w:line="342"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52"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22" w:lineRule="exact"/>
        <w:rPr>
          <w:sz w:val="20"/>
          <w:szCs w:val="20"/>
          <w:color w:val="auto"/>
        </w:rPr>
      </w:pPr>
    </w:p>
    <w:p>
      <w:pPr>
        <w:ind w:right="92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06"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3" w:lineRule="exact"/>
        <w:rPr>
          <w:sz w:val="20"/>
          <w:szCs w:val="20"/>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4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6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40" w:hanging="320"/>
        <w:spacing w:after="0" w:line="26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38" w:lineRule="exact"/>
        <w:rPr>
          <w:sz w:val="20"/>
          <w:szCs w:val="20"/>
          <w:color w:val="auto"/>
        </w:rPr>
      </w:pPr>
    </w:p>
    <w:p>
      <w:pPr>
        <w:ind w:right="8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9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3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30"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lifileucel to at least 75 patients of the appropriate population to address the expected sample size in anticipation of a BLA submission in 2021. Additionally, the patient population is defined per the discussion with FDA as patients who have progressed following initial systemic therapy for recurrent or metastatic disease which include many of the more advanced patients enrolled to date. Our current beliefs regarding the registration pathway for the lifileucel product candidate in metastatic cervical cancer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47"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announced that we and the FDA have not been able to agree on the required potency assays to fully define our TIL therapy, which is required as part of a BLA submission, and that as a result of these developments, our BLA submission is not expected by the end of 2020 and is anticipated to occur in 2021. We recently submitted additional potency assay data to the FDA, while continuing to evaluate additional assays as backup options in support of our BLA, which could delay our anticipated BLA filing timeline. Accordingly, the regulatory approval pathway for our product candidates may be uncertain, complex, expensive and lengthy, and approval may not be obtained.</w:t>
      </w:r>
    </w:p>
    <w:p>
      <w:pPr>
        <w:spacing w:after="0" w:line="138"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30" w:lineRule="exact"/>
        <w:rPr>
          <w:sz w:val="20"/>
          <w:szCs w:val="20"/>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34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16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subject-by-subject basis for use in clinical trials; or</w:t>
      </w:r>
    </w:p>
    <w:p>
      <w:pPr>
        <w:ind w:left="820" w:right="100" w:hanging="320"/>
        <w:spacing w:after="0" w:line="26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45"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45" w:lineRule="exact"/>
        <w:rPr>
          <w:sz w:val="20"/>
          <w:szCs w:val="20"/>
          <w:color w:val="auto"/>
        </w:rPr>
      </w:pPr>
    </w:p>
    <w:p>
      <w:pPr>
        <w:ind w:right="26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06"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In order to market and sell our products outside the U.S.,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w:t>
      </w:r>
    </w:p>
    <w:p>
      <w:pPr>
        <w:spacing w:after="0" w:line="146"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1" w:lineRule="exact"/>
        <w:rPr>
          <w:sz w:val="20"/>
          <w:szCs w:val="20"/>
          <w:color w:val="auto"/>
        </w:rPr>
      </w:pPr>
    </w:p>
    <w:p>
      <w:pPr>
        <w:ind w:right="4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8"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ectPr>
          <w:pgSz w:w="11900" w:h="16838" w:orient="portrait"/>
          <w:cols w:equalWidth="0" w:num="1">
            <w:col w:w="9880"/>
          </w:cols>
          <w:pgMar w:left="980" w:top="665" w:right="1039" w:bottom="1440" w:gutter="0" w:footer="0" w:header="0"/>
        </w:sect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53" w:lineRule="auto"/>
        <w:rPr>
          <w:sz w:val="20"/>
          <w:szCs w:val="20"/>
          <w:color w:val="auto"/>
        </w:rPr>
      </w:pPr>
      <w:r>
        <w:rPr>
          <w:rFonts w:ascii="Arial" w:cs="Arial" w:eastAsia="Arial" w:hAnsi="Arial"/>
          <w:sz w:val="18"/>
          <w:szCs w:val="18"/>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56"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38" w:lineRule="exact"/>
        <w:rPr>
          <w:sz w:val="20"/>
          <w:szCs w:val="20"/>
          <w:color w:val="auto"/>
        </w:rPr>
      </w:pPr>
    </w:p>
    <w:p>
      <w:pPr>
        <w:ind w:left="820" w:right="280" w:hanging="320"/>
        <w:spacing w:after="0" w:line="258"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6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2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70"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83" w:lineRule="exact"/>
        <w:rPr>
          <w:sz w:val="20"/>
          <w:szCs w:val="20"/>
          <w:color w:val="auto"/>
        </w:rPr>
      </w:pPr>
    </w:p>
    <w:p>
      <w:pPr>
        <w:ind w:right="340" w:firstLine="492"/>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51" w:lineRule="exact"/>
        <w:rPr>
          <w:sz w:val="20"/>
          <w:szCs w:val="20"/>
          <w:color w:val="auto"/>
        </w:rPr>
      </w:pPr>
    </w:p>
    <w:p>
      <w:pPr>
        <w:jc w:val="both"/>
        <w:ind w:right="52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3"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applicable fraud and abuse laws, we may be subject to enforcement by both the federal government and the states in which we conduct our business.</w:t>
      </w:r>
    </w:p>
    <w:p>
      <w:pPr>
        <w:spacing w:after="0" w:line="130"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44" w:lineRule="exact"/>
        <w:rPr>
          <w:sz w:val="20"/>
          <w:szCs w:val="20"/>
          <w:color w:val="auto"/>
        </w:rPr>
      </w:pPr>
    </w:p>
    <w:p>
      <w:pPr>
        <w:ind w:right="160" w:firstLine="492"/>
        <w:spacing w:after="0" w:line="27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3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41"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37"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24"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w:t>
      </w:r>
    </w:p>
    <w:p>
      <w:pPr>
        <w:sectPr>
          <w:pgSz w:w="11900" w:h="16838" w:orient="portrait"/>
          <w:cols w:equalWidth="0" w:num="1">
            <w:col w:w="9900"/>
          </w:cols>
          <w:pgMar w:left="980" w:top="665" w:right="1019"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96" w:lineRule="auto"/>
        <w:rPr>
          <w:sz w:val="20"/>
          <w:szCs w:val="20"/>
          <w:color w:val="auto"/>
        </w:rPr>
      </w:pPr>
      <w:r>
        <w:rPr>
          <w:rFonts w:ascii="Arial" w:cs="Arial" w:eastAsia="Arial" w:hAnsi="Arial"/>
          <w:sz w:val="16"/>
          <w:szCs w:val="16"/>
          <w:color w:val="auto"/>
        </w:rPr>
        <w:t>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21" w:lineRule="exact"/>
        <w:rPr>
          <w:sz w:val="20"/>
          <w:szCs w:val="20"/>
          <w:color w:val="auto"/>
        </w:rPr>
      </w:pPr>
    </w:p>
    <w:p>
      <w:pPr>
        <w:ind w:right="16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44"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30"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17"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57"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40" w:lineRule="exact"/>
        <w:rPr>
          <w:sz w:val="20"/>
          <w:szCs w:val="20"/>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65"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31" w:lineRule="exact"/>
        <w:rPr>
          <w:sz w:val="20"/>
          <w:szCs w:val="20"/>
          <w:color w:val="auto"/>
        </w:rPr>
      </w:pPr>
    </w:p>
    <w:p>
      <w:pPr>
        <w:ind w:right="200" w:firstLine="492"/>
        <w:spacing w:after="0" w:line="311"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43" w:lineRule="exact"/>
        <w:rPr>
          <w:sz w:val="20"/>
          <w:szCs w:val="20"/>
          <w:color w:val="auto"/>
        </w:rPr>
      </w:pPr>
    </w:p>
    <w:p>
      <w:pPr>
        <w:ind w:right="80" w:firstLine="492"/>
        <w:spacing w:after="0" w:line="268"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59"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25"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0"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44" w:lineRule="exact"/>
        <w:rPr>
          <w:sz w:val="20"/>
          <w:szCs w:val="20"/>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70"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product candidates, hospitals might not receive enough reimbursement to cover their costs of treatment, which will have a negative effect on their adoption of our product candidates.</w:t>
      </w:r>
    </w:p>
    <w:p>
      <w:pPr>
        <w:spacing w:after="0" w:line="130"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9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52" w:lineRule="exact"/>
        <w:rPr>
          <w:sz w:val="20"/>
          <w:szCs w:val="20"/>
          <w:color w:val="auto"/>
        </w:rPr>
      </w:pPr>
    </w:p>
    <w:p>
      <w:pPr>
        <w:ind w:right="60" w:firstLine="486"/>
        <w:spacing w:after="0" w:line="284" w:lineRule="auto"/>
        <w:rPr>
          <w:sz w:val="20"/>
          <w:szCs w:val="20"/>
          <w:color w:val="auto"/>
        </w:rPr>
      </w:pPr>
      <w:r>
        <w:rPr>
          <w:rFonts w:ascii="Arial" w:cs="Arial" w:eastAsia="Arial" w:hAnsi="Arial"/>
          <w:sz w:val="16"/>
          <w:szCs w:val="16"/>
          <w:color w:val="auto"/>
        </w:rPr>
        <w:t xml:space="preserve">Since enactment of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U.S. District Court for the Northern District of Texas struck down the ACA, deeming it unconstitutional given that Congress repealed the individual mandate in 2017; on July 9, 2019, the U.S. Court of Appeals for the Fifth Circuit heard arguments on appeal in this matter. On December 18, 2019, the Fifth Circuit ruled that the ACA's individual mandate is unconstitutional given that the Tax Act eliminated the tax penalty associated with the individual mandate. In concluding that the individual mandate is unconstitutional, the question remains whether, or how much of, the rest of the ACA is severable from that constitutional defect. The Fifth Circuit further remanded the case to the U.S. District Court for the Northern District of Texas to further analyze whether the other provisions of the ACA are severable as they currently exist under the law. Following appeal of the Fifth Circuit’s decision, the Supreme Court heard oral arguments in </w:t>
      </w:r>
      <w:r>
        <w:rPr>
          <w:rFonts w:ascii="Arial" w:cs="Arial" w:eastAsia="Arial" w:hAnsi="Arial"/>
          <w:sz w:val="16"/>
          <w:szCs w:val="16"/>
          <w:i w:val="1"/>
          <w:iCs w:val="1"/>
          <w:color w:val="auto"/>
        </w:rPr>
        <w:t>California v. Texas</w:t>
      </w:r>
      <w:r>
        <w:rPr>
          <w:rFonts w:ascii="Arial" w:cs="Arial" w:eastAsia="Arial" w:hAnsi="Arial"/>
          <w:sz w:val="16"/>
          <w:szCs w:val="16"/>
          <w:color w:val="auto"/>
        </w:rPr>
        <w:t xml:space="preserve"> on November 2, 2020. The Court has yet to issue its opinion, and we cannot say for certain what the decision will be or what impact, if any, it may have on our business.</w:t>
      </w:r>
    </w:p>
    <w:p>
      <w:pPr>
        <w:spacing w:after="0" w:line="13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Trump Administration there were a number of actions taken relative to drug pricing.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w:t>
      </w:r>
    </w:p>
    <w:p>
      <w:pPr>
        <w:spacing w:after="0" w:line="140"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0"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Governments outside the U.S. tend to impose strict price controls, which may adversely affect our revenues, if any.</w:t>
      </w:r>
    </w:p>
    <w:p>
      <w:pPr>
        <w:spacing w:after="0" w:line="196"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39"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30"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30"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06"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2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70"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25"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19"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210"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2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65"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3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98"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3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4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4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54"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4"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43"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89" w:lineRule="exact"/>
        <w:rPr>
          <w:sz w:val="20"/>
          <w:szCs w:val="20"/>
          <w:color w:val="auto"/>
        </w:rPr>
      </w:pPr>
    </w:p>
    <w:p>
      <w:pPr>
        <w:ind w:right="82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43"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right="240"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20" w:hanging="319"/>
        <w:spacing w:after="0" w:line="250"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right="60" w:hanging="319"/>
        <w:spacing w:after="0" w:line="260"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 or our Annual Report on Form 10-K filed with the SEC on February 25, 2021.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43" w:lineRule="exact"/>
        <w:rPr>
          <w:sz w:val="20"/>
          <w:szCs w:val="20"/>
          <w:color w:val="auto"/>
        </w:rPr>
      </w:pPr>
    </w:p>
    <w:p>
      <w:pPr>
        <w:ind w:right="80" w:firstLine="492"/>
        <w:spacing w:after="0" w:line="272" w:lineRule="auto"/>
        <w:rPr>
          <w:sz w:val="20"/>
          <w:szCs w:val="20"/>
          <w:color w:val="auto"/>
        </w:rPr>
      </w:pPr>
      <w:r>
        <w:rPr>
          <w:rFonts w:ascii="Arial" w:cs="Arial" w:eastAsia="Arial" w:hAnsi="Arial"/>
          <w:sz w:val="17"/>
          <w:szCs w:val="17"/>
          <w:color w:val="auto"/>
        </w:rPr>
        <w:t>As of March 31, 2021, we had 149,315,299 shares of common stock outstanding. In addition, we had 18,414,347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on that date.</w:t>
      </w:r>
    </w:p>
    <w:p>
      <w:pPr>
        <w:spacing w:after="0" w:line="150" w:lineRule="exact"/>
        <w:rPr>
          <w:sz w:val="20"/>
          <w:szCs w:val="20"/>
          <w:color w:val="auto"/>
        </w:rPr>
      </w:pPr>
    </w:p>
    <w:p>
      <w:pPr>
        <w:ind w:right="140" w:firstLine="492"/>
        <w:spacing w:after="0" w:line="293" w:lineRule="auto"/>
        <w:rPr>
          <w:sz w:val="20"/>
          <w:szCs w:val="20"/>
          <w:color w:val="auto"/>
        </w:rPr>
      </w:pPr>
      <w:r>
        <w:rPr>
          <w:rFonts w:ascii="Arial" w:cs="Arial" w:eastAsia="Arial" w:hAnsi="Arial"/>
          <w:sz w:val="16"/>
          <w:szCs w:val="16"/>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Further,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64"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52"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25"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SEC has issued an administrative order against us that may make it more difficult for us to raise capital in the future.</w:t>
      </w:r>
    </w:p>
    <w:p>
      <w:pPr>
        <w:spacing w:after="0" w:line="20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The SEC’s investigation, in part, involved the conduct of our former Chief Executive Officer and director, Manish Singh, during the period between September 2013 and April 2014, and the failure by authors of certain articles about our company to disclose that they were compensated by one of our former investor relations firms. Some of the limitations placed on us as a result of the SEC administrative order relating to ineligibility for statutory safe harbors, including under the Private Securities Litigation Reform Act, and limitations on our communications and status as an ineligible issuer under Rule 405 of the Securities Act, have ended as of April 2020. The foregoing order may negatively impact our reputation with current and future investors, and will disqualify us from effecting private placement transactions in reliance upon any of the exemptions from Securities Act registration afforded by Regulation D. As a result, the SEC’s order may it more difficult for us to raise capital in future private offerings.</w:t>
      </w:r>
    </w:p>
    <w:p>
      <w:pPr>
        <w:spacing w:after="0" w:line="1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30"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08" w:lineRule="exact"/>
        <w:rPr>
          <w:sz w:val="20"/>
          <w:szCs w:val="20"/>
          <w:color w:val="auto"/>
        </w:rPr>
      </w:pPr>
    </w:p>
    <w:p>
      <w:pPr>
        <w:ind w:right="180" w:firstLine="492"/>
        <w:spacing w:after="0" w:line="296" w:lineRule="auto"/>
        <w:rPr>
          <w:sz w:val="20"/>
          <w:szCs w:val="20"/>
          <w:color w:val="auto"/>
        </w:rPr>
      </w:pPr>
      <w:r>
        <w:rPr>
          <w:rFonts w:ascii="Arial" w:cs="Arial" w:eastAsia="Arial" w:hAnsi="Arial"/>
          <w:sz w:val="16"/>
          <w:szCs w:val="16"/>
          <w:color w:val="auto"/>
        </w:rPr>
        <w:t>For example, on December 11, 2020, a purported stockholder derivative complaint was filed by plaintiff Leo Shumacher against us, as nominal defendant, and our current directors, as defendants, in the Court of Chancery in the State of Delaware. The complaint alleges breach of fiduciary duty and a claim for unjust enrichment in connection with alleged excessive compensation of certain of our non-executive directors and seeks unspecified damages on behalf of our company. While we intend to vigorously defend against the foregoing complaint, it is not possible to estimate the amount or range of possible loss that might result from these matters.</w:t>
      </w:r>
    </w:p>
    <w:p>
      <w:pPr>
        <w:spacing w:after="0" w:line="161"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43"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38"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57"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3" w:lineRule="exact"/>
        <w:rPr>
          <w:sz w:val="20"/>
          <w:szCs w:val="20"/>
          <w:color w:val="auto"/>
        </w:rPr>
      </w:pPr>
    </w:p>
    <w:p>
      <w:pPr>
        <w:ind w:right="140" w:firstLine="492"/>
        <w:spacing w:after="0" w:line="296" w:lineRule="auto"/>
        <w:rPr>
          <w:sz w:val="20"/>
          <w:szCs w:val="20"/>
          <w:color w:val="auto"/>
        </w:rPr>
      </w:pPr>
      <w:r>
        <w:rPr>
          <w:rFonts w:ascii="Arial" w:cs="Arial" w:eastAsia="Arial" w:hAnsi="Arial"/>
          <w:sz w:val="16"/>
          <w:szCs w:val="16"/>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result, the market price of our common stock and the voting and other rights of our stockholders may be adversely affected. An issuance of shares of preferred stock may result in the loss of voting control to other stockholders.</w:t>
      </w:r>
    </w:p>
    <w:p>
      <w:pPr>
        <w:spacing w:after="0" w:line="130"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5"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28" w:lineRule="exact"/>
        <w:rPr>
          <w:sz w:val="20"/>
          <w:szCs w:val="20"/>
          <w:color w:val="auto"/>
        </w:rPr>
      </w:pPr>
    </w:p>
    <w:p>
      <w:pPr>
        <w:jc w:val="both"/>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30"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30"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25" w:lineRule="exact"/>
        <w:rPr>
          <w:sz w:val="20"/>
          <w:szCs w:val="20"/>
          <w:color w:val="auto"/>
        </w:rPr>
      </w:pPr>
    </w:p>
    <w:p>
      <w:pPr>
        <w:ind w:right="100" w:firstLine="492"/>
        <w:spacing w:after="0" w:line="342"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83"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b w:val="1"/>
          <w:bCs w:val="1"/>
          <w:i w:val="1"/>
          <w:iCs w:val="1"/>
          <w:color w:val="auto"/>
        </w:rPr>
        <w:t>We may be subject to claims for rescission or damages in connection with certain sales of shares of our common stock in the open market.</w:t>
      </w:r>
    </w:p>
    <w:p>
      <w:pPr>
        <w:spacing w:after="0" w:line="170"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 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to us, as a result of the issuance of the 200,000 shares is uncertain. Accordingly, no accrual for a potential claim has been made in our financial statements.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665" w:right="11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15"/>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40" w:type="dxa"/>
            <w:vAlign w:val="bottom"/>
            <w:gridSpan w:val="12"/>
          </w:tcPr>
          <w:p>
            <w:pPr>
              <w:ind w:left="5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7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40" w:type="dxa"/>
            <w:vAlign w:val="bottom"/>
            <w:gridSpan w:val="12"/>
          </w:tcPr>
          <w:p>
            <w:pPr>
              <w:ind w:left="130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820" w:type="dxa"/>
            <w:vAlign w:val="bottom"/>
            <w:tcBorders>
              <w:top w:val="single" w:sz="8" w:color="auto"/>
              <w:bottom w:val="single" w:sz="8" w:color="0000EE"/>
            </w:tcBorders>
            <w:gridSpan w:val="13"/>
          </w:tcPr>
          <w:p>
            <w:pPr>
              <w:spacing w:after="0" w:line="169"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Lease Agreement dated as of February 8, 2021, by and between Iovance Biotherapeutics, Inc. and ARE-San Francisco No.</w:t>
              </w:r>
            </w:hyperlink>
          </w:p>
        </w:tc>
        <w:tc>
          <w:tcPr>
            <w:tcW w:w="180" w:type="dxa"/>
            <w:vAlign w:val="bottom"/>
            <w:tcBorders>
              <w:top w:val="single" w:sz="8" w:color="auto"/>
            </w:tcBorders>
            <w:gridSpan w:val="2"/>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20" w:type="dxa"/>
            <w:vAlign w:val="bottom"/>
            <w:gridSpan w:val="16"/>
          </w:tcPr>
          <w:p>
            <w:pPr>
              <w:spacing w:after="0" w:line="196" w:lineRule="exact"/>
              <w:rPr>
                <w:rFonts w:ascii="Arial" w:cs="Arial" w:eastAsia="Arial" w:hAnsi="Arial"/>
                <w:sz w:val="18"/>
                <w:szCs w:val="18"/>
                <w:color w:val="0000EE"/>
                <w:w w:val="96"/>
              </w:rPr>
            </w:pPr>
            <w:hyperlink r:id="rId99">
              <w:r>
                <w:rPr>
                  <w:rFonts w:ascii="Arial" w:cs="Arial" w:eastAsia="Arial" w:hAnsi="Arial"/>
                  <w:sz w:val="18"/>
                  <w:szCs w:val="18"/>
                  <w:color w:val="0000EE"/>
                  <w:w w:val="96"/>
                </w:rPr>
                <w:t>63, LLC (incorporated herein by reference to Exhibit 10.1 to the Registrant’s Current Report on Form 8-K filed with the</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Commission on February 9, 2021).</w:t>
              </w:r>
            </w:hyperlink>
          </w:p>
        </w:tc>
        <w:tc>
          <w:tcPr>
            <w:tcW w:w="6120" w:type="dxa"/>
            <w:vAlign w:val="bottom"/>
            <w:tcBorders>
              <w:top w:val="single" w:sz="8" w:color="0000EE"/>
            </w:tcBorders>
            <w:gridSpan w:val="9"/>
          </w:tcPr>
          <w:p>
            <w:pPr>
              <w:spacing w:after="0"/>
              <w:rPr>
                <w:sz w:val="17"/>
                <w:szCs w:val="17"/>
                <w:color w:val="auto"/>
              </w:rPr>
            </w:pPr>
          </w:p>
        </w:tc>
        <w:tc>
          <w:tcPr>
            <w:tcW w:w="380" w:type="dxa"/>
            <w:vAlign w:val="bottom"/>
            <w:gridSpan w:val="4"/>
          </w:tcPr>
          <w:p>
            <w:pPr>
              <w:spacing w:after="0"/>
              <w:rPr>
                <w:sz w:val="17"/>
                <w:szCs w:val="17"/>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84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Second Amendment dated as of February 8, 2021, by and between Iovance Biotherapeutics, Inc. and Hudson Skyway</w:t>
              </w:r>
            </w:hyperlink>
          </w:p>
        </w:tc>
        <w:tc>
          <w:tcPr>
            <w:tcW w:w="54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20" w:type="dxa"/>
            <w:vAlign w:val="bottom"/>
            <w:gridSpan w:val="16"/>
          </w:tcPr>
          <w:p>
            <w:pPr>
              <w:spacing w:after="0" w:line="19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Landing, LLC (incorporated herein by reference to Exhibit 10.2 to the Registrant’s Current Report on Form 8-K filed with</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the Commission on February 9, 2021).</w:t>
              </w:r>
            </w:hyperlink>
          </w:p>
        </w:tc>
        <w:tc>
          <w:tcPr>
            <w:tcW w:w="220" w:type="dxa"/>
            <w:vAlign w:val="bottom"/>
            <w:gridSpan w:val="3"/>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7"/>
                <w:szCs w:val="17"/>
                <w:color w:val="auto"/>
              </w:rPr>
            </w:pPr>
          </w:p>
        </w:tc>
        <w:tc>
          <w:tcPr>
            <w:tcW w:w="9020" w:type="dxa"/>
            <w:vAlign w:val="bottom"/>
            <w:gridSpan w:val="16"/>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First Amendment dated as of February 8, 2021, by and between Iovance Biotherapeutics, Inc. and Hudson Skyway Landing,</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LLC (incorporated herein by reference to Exhibit 10.3 to the Registrant’s Current Report on Form 8-K filed with the</w:t>
              </w:r>
            </w:hyperlink>
          </w:p>
        </w:tc>
        <w:tc>
          <w:tcPr>
            <w:tcW w:w="58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Commission on February 9, 2021).</w:t>
              </w:r>
            </w:hyperlink>
          </w:p>
        </w:tc>
        <w:tc>
          <w:tcPr>
            <w:tcW w:w="6500" w:type="dxa"/>
            <w:vAlign w:val="bottom"/>
            <w:gridSpan w:val="13"/>
          </w:tcPr>
          <w:p>
            <w:pPr>
              <w:spacing w:after="0"/>
              <w:rPr>
                <w:sz w:val="17"/>
                <w:szCs w:val="17"/>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w w:val="95"/>
              </w:rPr>
              <w:t>10.4#++*</w:t>
            </w:r>
          </w:p>
        </w:tc>
        <w:tc>
          <w:tcPr>
            <w:tcW w:w="180" w:type="dxa"/>
            <w:vAlign w:val="bottom"/>
          </w:tcPr>
          <w:p>
            <w:pPr>
              <w:spacing w:after="0"/>
              <w:rPr>
                <w:sz w:val="17"/>
                <w:szCs w:val="17"/>
                <w:color w:val="auto"/>
              </w:rPr>
            </w:pPr>
          </w:p>
        </w:tc>
        <w:tc>
          <w:tcPr>
            <w:tcW w:w="8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Executive Employment Agreement, effective as of March 15, 2021, by and between Igor Bilinsky, Ph.D. and Iovance</w:t>
              </w:r>
            </w:hyperlink>
          </w:p>
        </w:tc>
        <w:tc>
          <w:tcPr>
            <w:tcW w:w="56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Biotherapeutics, Inc.</w:t>
              </w:r>
            </w:hyperlink>
          </w:p>
        </w:tc>
        <w:tc>
          <w:tcPr>
            <w:tcW w:w="7520" w:type="dxa"/>
            <w:vAlign w:val="bottom"/>
            <w:gridSpan w:val="14"/>
          </w:tcPr>
          <w:p>
            <w:pPr>
              <w:spacing w:after="0"/>
              <w:rPr>
                <w:sz w:val="17"/>
                <w:szCs w:val="17"/>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Rule 13a-14(a)/15d-14(a) Certification of Chief Executive Officer.</w:t>
              </w:r>
            </w:hyperlink>
          </w:p>
        </w:tc>
        <w:tc>
          <w:tcPr>
            <w:tcW w:w="4220" w:type="dxa"/>
            <w:vAlign w:val="bottom"/>
            <w:gridSpan w:val="10"/>
          </w:tcPr>
          <w:p>
            <w:pPr>
              <w:spacing w:after="0"/>
              <w:rPr>
                <w:sz w:val="17"/>
                <w:szCs w:val="17"/>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9020" w:type="dxa"/>
            <w:vAlign w:val="bottom"/>
            <w:gridSpan w:val="1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Rule 13a-14(a)/15d-14(a) Certification of Chief Financial Officer.</w:t>
              </w:r>
            </w:hyperlink>
          </w:p>
        </w:tc>
      </w:tr>
      <w:tr>
        <w:trPr>
          <w:trHeight w:val="20"/>
        </w:trPr>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4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9020" w:type="dxa"/>
            <w:vAlign w:val="bottom"/>
            <w:gridSpan w:val="16"/>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Section 1350 Certification of Chief Executive Officer (furnished herewith).</w:t>
              </w:r>
            </w:hyperlink>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Section 1350 Certification of Chief Financial Officer (furnished herewith).</w:t>
              </w:r>
            </w:hyperlink>
          </w:p>
        </w:tc>
        <w:tc>
          <w:tcPr>
            <w:tcW w:w="40" w:type="dxa"/>
            <w:vAlign w:val="bottom"/>
            <w:tcBorders>
              <w:top w:val="single" w:sz="8" w:color="0000EE"/>
            </w:tcBorders>
          </w:tcPr>
          <w:p>
            <w:pPr>
              <w:spacing w:after="0"/>
              <w:rPr>
                <w:sz w:val="17"/>
                <w:szCs w:val="17"/>
                <w:color w:val="auto"/>
              </w:rPr>
            </w:pPr>
          </w:p>
        </w:tc>
        <w:tc>
          <w:tcPr>
            <w:tcW w:w="3600" w:type="dxa"/>
            <w:vAlign w:val="bottom"/>
            <w:gridSpan w:val="8"/>
          </w:tcPr>
          <w:p>
            <w:pPr>
              <w:spacing w:after="0"/>
              <w:rPr>
                <w:sz w:val="17"/>
                <w:szCs w:val="17"/>
                <w:color w:val="auto"/>
              </w:rPr>
            </w:pPr>
          </w:p>
        </w:tc>
      </w:tr>
    </w:tbl>
    <w:p>
      <w:pPr>
        <w:spacing w:after="0" w:line="13" w:lineRule="exact"/>
        <w:rPr>
          <w:sz w:val="20"/>
          <w:szCs w:val="20"/>
          <w:color w:val="auto"/>
        </w:rPr>
      </w:pPr>
    </w:p>
    <w:p>
      <w:pPr>
        <w:ind w:left="900" w:hanging="891"/>
        <w:spacing w:after="0" w:line="285"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Iovance Biotherapeutics, Inc. for the quarter ended March 31, 2021, formatted in iXBRL (Inline eXtensible Business Reporting Language): (1) Condensed Consolidated Balance Sheets as of March 31, 2021 and December 31, 2020; (2) Condensed Consolidated Statements of Operations for the three months ended March 31, 2021 and 2020; (3) Condensed Consolidated Statements of Comprehensive Loss for the three months ended March 31, 2021 and 2020; (4) Condensed Consolidated Statements of Stockholders’ Equity</w:t>
      </w:r>
    </w:p>
    <w:p>
      <w:pPr>
        <w:spacing w:after="0" w:line="2" w:lineRule="exact"/>
        <w:rPr>
          <w:sz w:val="20"/>
          <w:szCs w:val="20"/>
          <w:color w:val="auto"/>
        </w:rPr>
      </w:pPr>
    </w:p>
    <w:p>
      <w:pPr>
        <w:ind w:left="900" w:right="160"/>
        <w:spacing w:after="0" w:line="265" w:lineRule="auto"/>
        <w:rPr>
          <w:sz w:val="20"/>
          <w:szCs w:val="20"/>
          <w:color w:val="auto"/>
        </w:rPr>
      </w:pPr>
      <w:r>
        <w:rPr>
          <w:rFonts w:ascii="Arial" w:cs="Arial" w:eastAsia="Arial" w:hAnsi="Arial"/>
          <w:sz w:val="17"/>
          <w:szCs w:val="17"/>
          <w:color w:val="auto"/>
        </w:rPr>
        <w:t>as of March 31, 2021 and December 31, 2020; (5) Condensed Consolidated Statements of Cash Flows for the three months ended March 31, 2021 and 2020; and (6) Notes to Condensed Consolidated Financial Statements.</w:t>
      </w:r>
    </w:p>
    <w:p>
      <w:pPr>
        <w:ind w:left="900" w:right="20" w:hanging="891"/>
        <w:spacing w:after="0" w:line="260"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date file does not appear in the Interactive Date File because its XBRL tags are embedded within the Inline XBRL document.</w:t>
      </w:r>
    </w:p>
    <w:p>
      <w:pPr>
        <w:spacing w:after="0" w:line="212" w:lineRule="exact"/>
        <w:rPr>
          <w:rFonts w:ascii="Arial" w:cs="Arial" w:eastAsia="Arial" w:hAnsi="Arial"/>
          <w:sz w:val="18"/>
          <w:szCs w:val="18"/>
          <w:color w:val="auto"/>
        </w:rPr>
      </w:pPr>
    </w:p>
    <w:p>
      <w:pPr>
        <w:ind w:left="840" w:hanging="832"/>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840" w:hanging="832"/>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 (unless otherwise noted as being furnished herewith).</w:t>
      </w:r>
    </w:p>
    <w:p>
      <w:pPr>
        <w:spacing w:after="0" w:line="9" w:lineRule="exact"/>
        <w:rPr>
          <w:sz w:val="20"/>
          <w:szCs w:val="20"/>
          <w:color w:val="auto"/>
        </w:rPr>
      </w:pPr>
    </w:p>
    <w:p>
      <w:pPr>
        <w:ind w:left="840" w:hanging="832"/>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portions of the Exhibit have been redacted pursuant to Item 601(b)(10)(iv)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20"/>
        </w:trPr>
        <w:tc>
          <w:tcPr>
            <w:tcW w:w="496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4960" w:type="dxa"/>
            <w:vAlign w:val="bottom"/>
          </w:tcPr>
          <w:p>
            <w:pPr>
              <w:spacing w:after="0"/>
              <w:rPr>
                <w:sz w:val="20"/>
                <w:szCs w:val="20"/>
                <w:color w:val="auto"/>
              </w:rPr>
            </w:pPr>
            <w:r>
              <w:rPr>
                <w:rFonts w:ascii="Arial" w:cs="Arial" w:eastAsia="Arial" w:hAnsi="Arial"/>
                <w:sz w:val="18"/>
                <w:szCs w:val="18"/>
                <w:color w:val="auto"/>
              </w:rPr>
              <w:t>May 6, 2021</w:t>
            </w:r>
          </w:p>
        </w:tc>
        <w:tc>
          <w:tcPr>
            <w:tcW w:w="4960" w:type="dxa"/>
            <w:vAlign w:val="bottom"/>
            <w:gridSpan w:val="3"/>
          </w:tcPr>
          <w:p>
            <w:pPr>
              <w:spacing w:after="0"/>
              <w:rPr>
                <w:sz w:val="20"/>
                <w:szCs w:val="20"/>
                <w:color w:val="auto"/>
              </w:rPr>
            </w:pPr>
            <w:r>
              <w:rPr>
                <w:rFonts w:ascii="Arial" w:cs="Arial" w:eastAsia="Arial" w:hAnsi="Arial"/>
                <w:sz w:val="18"/>
                <w:szCs w:val="18"/>
                <w:color w:val="auto"/>
              </w:rPr>
              <w:t>By: /s/ Maria Fardis, Ph.D., M.B.A.</w:t>
            </w:r>
          </w:p>
        </w:tc>
      </w:tr>
      <w:tr>
        <w:trPr>
          <w:trHeight w:val="195"/>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Maria Fardis, Ph.D., M.B.A.</w:t>
            </w:r>
          </w:p>
        </w:tc>
      </w:tr>
      <w:tr>
        <w:trPr>
          <w:trHeight w:val="230"/>
        </w:trPr>
        <w:tc>
          <w:tcPr>
            <w:tcW w:w="4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May 6, 2021</w:t>
            </w:r>
          </w:p>
        </w:tc>
        <w:tc>
          <w:tcPr>
            <w:tcW w:w="4960" w:type="dxa"/>
            <w:vAlign w:val="bottom"/>
            <w:gridSpan w:val="3"/>
          </w:tcPr>
          <w:p>
            <w:pPr>
              <w:spacing w:after="0"/>
              <w:rPr>
                <w:sz w:val="20"/>
                <w:szCs w:val="20"/>
                <w:color w:val="auto"/>
              </w:rPr>
            </w:pPr>
            <w:r>
              <w:rPr>
                <w:rFonts w:ascii="Arial" w:cs="Arial" w:eastAsia="Arial" w:hAnsi="Arial"/>
                <w:sz w:val="18"/>
                <w:szCs w:val="18"/>
                <w:color w:val="auto"/>
              </w:rPr>
              <w:t>By: /s/ Jean-Marc Bellemin</w:t>
            </w:r>
          </w:p>
        </w:tc>
      </w:tr>
      <w:tr>
        <w:trPr>
          <w:trHeight w:val="211"/>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Jean-Marc Bellemin</w:t>
            </w:r>
          </w:p>
        </w:tc>
      </w:tr>
    </w:tbl>
    <w:p>
      <w:pPr>
        <w:ind w:left="5260"/>
        <w:spacing w:after="0"/>
        <w:rPr>
          <w:sz w:val="20"/>
          <w:szCs w:val="20"/>
          <w:color w:val="auto"/>
        </w:rPr>
      </w:pPr>
      <w:r>
        <w:rPr>
          <w:rFonts w:ascii="Arial" w:cs="Arial" w:eastAsia="Arial" w:hAnsi="Arial"/>
          <w:sz w:val="17"/>
          <w:szCs w:val="17"/>
          <w:color w:val="auto"/>
        </w:rPr>
        <w:t>Chief Financial Officer and Treasurer (Principal Financial and</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7" w:name="page88"/>
    <w:bookmarkEnd w:id="87"/>
    <w:p>
      <w:pPr>
        <w:jc w:val="right"/>
        <w:ind w:right="199"/>
        <w:spacing w:after="0"/>
        <w:rPr>
          <w:sz w:val="20"/>
          <w:szCs w:val="20"/>
          <w:color w:val="auto"/>
        </w:rPr>
      </w:pPr>
      <w:r>
        <w:rPr>
          <w:rFonts w:ascii="Arial" w:cs="Arial" w:eastAsia="Arial" w:hAnsi="Arial"/>
          <w:sz w:val="20"/>
          <w:szCs w:val="20"/>
          <w:b w:val="1"/>
          <w:bCs w:val="1"/>
          <w:u w:val="single" w:color="auto"/>
          <w:color w:val="auto"/>
        </w:rPr>
        <w:t>Exhibit 10.4</w:t>
      </w:r>
    </w:p>
    <w:p>
      <w:pPr>
        <w:spacing w:after="0" w:line="277" w:lineRule="exact"/>
        <w:rPr>
          <w:sz w:val="20"/>
          <w:szCs w:val="20"/>
          <w:color w:val="auto"/>
        </w:rPr>
      </w:pPr>
    </w:p>
    <w:p>
      <w:pPr>
        <w:jc w:val="center"/>
        <w:ind w:left="200" w:right="199"/>
        <w:spacing w:after="0" w:line="248" w:lineRule="auto"/>
        <w:rPr>
          <w:sz w:val="20"/>
          <w:szCs w:val="20"/>
          <w:color w:val="auto"/>
        </w:rPr>
      </w:pPr>
      <w:r>
        <w:rPr>
          <w:rFonts w:ascii="Arial" w:cs="Arial" w:eastAsia="Arial" w:hAnsi="Arial"/>
          <w:sz w:val="18"/>
          <w:szCs w:val="18"/>
          <w:i w:val="1"/>
          <w:iCs w:val="1"/>
          <w:color w:val="auto"/>
        </w:rPr>
        <w:t>Portions of this Exhibit have been redacted because they are both (i) not material and (ii) would be competitively harmful if publicly disclosed. Information that was omitted has been noted in this document with a placeholder identified by the mark “[***]”</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EXECUTIVE EMPLOYMENT AGREEMENT</w:t>
      </w:r>
    </w:p>
    <w:p>
      <w:pPr>
        <w:spacing w:after="0" w:line="200" w:lineRule="exact"/>
        <w:rPr>
          <w:sz w:val="20"/>
          <w:szCs w:val="20"/>
          <w:color w:val="auto"/>
        </w:rPr>
      </w:pPr>
    </w:p>
    <w:p>
      <w:pPr>
        <w:spacing w:after="0" w:line="340" w:lineRule="exact"/>
        <w:rPr>
          <w:sz w:val="20"/>
          <w:szCs w:val="20"/>
          <w:color w:val="auto"/>
        </w:rPr>
      </w:pPr>
    </w:p>
    <w:p>
      <w:pPr>
        <w:jc w:val="both"/>
        <w:ind w:left="200" w:right="199" w:firstLine="648"/>
        <w:spacing w:after="0" w:line="294" w:lineRule="auto"/>
        <w:rPr>
          <w:sz w:val="20"/>
          <w:szCs w:val="20"/>
          <w:color w:val="auto"/>
        </w:rPr>
      </w:pPr>
      <w:r>
        <w:rPr>
          <w:rFonts w:ascii="Arial" w:cs="Arial" w:eastAsia="Arial" w:hAnsi="Arial"/>
          <w:sz w:val="18"/>
          <w:szCs w:val="18"/>
          <w:color w:val="auto"/>
        </w:rPr>
        <w:t>THIS EXECUTIVE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February 18, 2021 by and between Iovance Biotherapeutics,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Igor Bilinsky (“</w:t>
      </w:r>
      <w:r>
        <w:rPr>
          <w:rFonts w:ascii="Arial" w:cs="Arial" w:eastAsia="Arial" w:hAnsi="Arial"/>
          <w:sz w:val="18"/>
          <w:szCs w:val="18"/>
          <w:b w:val="1"/>
          <w:bCs w:val="1"/>
          <w:color w:val="auto"/>
        </w:rPr>
        <w:t>Executive</w:t>
      </w:r>
      <w:r>
        <w:rPr>
          <w:rFonts w:ascii="Arial" w:cs="Arial" w:eastAsia="Arial" w:hAnsi="Arial"/>
          <w:sz w:val="18"/>
          <w:szCs w:val="18"/>
          <w:color w:val="auto"/>
        </w:rPr>
        <w:t>”) (either party individually, a “</w:t>
      </w:r>
      <w:r>
        <w:rPr>
          <w:rFonts w:ascii="Arial" w:cs="Arial" w:eastAsia="Arial" w:hAnsi="Arial"/>
          <w:sz w:val="18"/>
          <w:szCs w:val="18"/>
          <w:b w:val="1"/>
          <w:bCs w:val="1"/>
          <w:color w:val="auto"/>
        </w:rPr>
        <w:t>Party</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WHEREAS, the Company desires to employ Executive to serve as the Company’s Chief Operating</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Officer;</w:t>
      </w:r>
    </w:p>
    <w:p>
      <w:pPr>
        <w:spacing w:after="0" w:line="25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WHEREAS, the Parties desire to enter into this Agreement to set forth the terms and conditions of Executive’s employment by the Company and to address certain matters related to Executive’s employment with the Company;</w:t>
      </w:r>
    </w:p>
    <w:p>
      <w:pPr>
        <w:spacing w:after="0" w:line="240"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WHEREAS, both the Company and the Executive have read and understood the terms and provisions set forth in this Agreement, and Executive acknowledges Executive has been afforded a reasonable opportunity to review this Agreement with Executive’s legal counsel to the extent desired;</w:t>
      </w:r>
    </w:p>
    <w:p>
      <w:pPr>
        <w:spacing w:after="0" w:line="224"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NOW, THEREFORE, in consideration of the foregoing, the promises and obligations set forth below and for other good and valuable consideration, the receipt of which is hereby acknowledged by the Parties, the Company and Executive agree and intend to be legally bound, as follows:</w:t>
      </w:r>
    </w:p>
    <w:p>
      <w:pPr>
        <w:spacing w:after="0" w:line="218" w:lineRule="exact"/>
        <w:rPr>
          <w:sz w:val="20"/>
          <w:szCs w:val="20"/>
          <w:color w:val="auto"/>
        </w:rPr>
      </w:pPr>
    </w:p>
    <w:p>
      <w:pPr>
        <w:jc w:val="both"/>
        <w:ind w:left="200" w:right="219" w:firstLine="657"/>
        <w:spacing w:after="0" w:line="248" w:lineRule="auto"/>
        <w:tabs>
          <w:tab w:leader="none" w:pos="1496"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Effective March 15, 2021 (the “</w:t>
      </w:r>
      <w:r>
        <w:rPr>
          <w:rFonts w:ascii="Arial" w:cs="Arial" w:eastAsia="Arial" w:hAnsi="Arial"/>
          <w:sz w:val="20"/>
          <w:szCs w:val="20"/>
          <w:b w:val="1"/>
          <w:bCs w:val="1"/>
          <w:color w:val="auto"/>
        </w:rPr>
        <w:t>Effective Date</w:t>
      </w:r>
      <w:r>
        <w:rPr>
          <w:rFonts w:ascii="Arial" w:cs="Arial" w:eastAsia="Arial" w:hAnsi="Arial"/>
          <w:sz w:val="20"/>
          <w:szCs w:val="20"/>
          <w:color w:val="auto"/>
        </w:rPr>
        <w:t>”), the Company hereby employs Executive, and Executive hereby accepts such employment, upon the terms and conditions set forth herein. The Executive has the right to withdraw his acceptance of the Agreement at any time prior to the Effective Date by delivering written notice to the Company.</w:t>
      </w:r>
    </w:p>
    <w:p>
      <w:pPr>
        <w:spacing w:after="0" w:line="243" w:lineRule="exact"/>
        <w:rPr>
          <w:rFonts w:ascii="Arial" w:cs="Arial" w:eastAsia="Arial" w:hAnsi="Arial"/>
          <w:sz w:val="20"/>
          <w:szCs w:val="20"/>
          <w:color w:val="auto"/>
        </w:rPr>
      </w:pPr>
    </w:p>
    <w:p>
      <w:pPr>
        <w:ind w:left="1500" w:hanging="643"/>
        <w:spacing w:after="0"/>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Position and Duties</w:t>
      </w:r>
      <w:r>
        <w:rPr>
          <w:rFonts w:ascii="Arial" w:cs="Arial" w:eastAsia="Arial" w:hAnsi="Arial"/>
          <w:sz w:val="20"/>
          <w:szCs w:val="20"/>
          <w:color w:val="auto"/>
        </w:rPr>
        <w:t>.</w:t>
      </w:r>
    </w:p>
    <w:p>
      <w:pPr>
        <w:spacing w:after="0" w:line="270" w:lineRule="exact"/>
        <w:rPr>
          <w:sz w:val="20"/>
          <w:szCs w:val="20"/>
          <w:color w:val="auto"/>
        </w:rPr>
      </w:pPr>
    </w:p>
    <w:p>
      <w:pPr>
        <w:jc w:val="both"/>
        <w:ind w:left="200" w:right="219" w:firstLine="1296"/>
        <w:spacing w:after="0" w:line="27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The Company agrees to employ Executive in the position of Chief Operating Officer reporting to the Chief Executive Officer. The Executive shall have the duties and responsibilities consistent with the office of a Chief Operating Officer of a publicly traded corporation, and such other duties and responsibilities as determined from time to time by the Company, including but not limited to the Chief Executive Officer. Executive shall perform faithfully and diligently such duties as are reasonable and customary for Executive’s position, as well as such other duties as the Company and/or Chief Executive Officer shall reasonably assign from time to time. Executive shall perform his duties in the Company’s offices in San Carlos, California subject to customary travel as reasonably required.</w:t>
      </w:r>
    </w:p>
    <w:p>
      <w:pPr>
        <w:spacing w:after="0" w:line="22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Best Efforts/Full-Time</w:t>
      </w:r>
      <w:r>
        <w:rPr>
          <w:rFonts w:ascii="Arial" w:cs="Arial" w:eastAsia="Arial" w:hAnsi="Arial"/>
          <w:sz w:val="18"/>
          <w:szCs w:val="18"/>
          <w:color w:val="auto"/>
        </w:rPr>
        <w:t>.</w:t>
      </w:r>
    </w:p>
    <w:p>
      <w:pPr>
        <w:spacing w:after="0" w:line="270" w:lineRule="exact"/>
        <w:rPr>
          <w:sz w:val="20"/>
          <w:szCs w:val="20"/>
          <w:color w:val="auto"/>
        </w:rPr>
      </w:pPr>
    </w:p>
    <w:p>
      <w:pPr>
        <w:jc w:val="both"/>
        <w:ind w:left="200" w:right="219" w:firstLine="1296"/>
        <w:spacing w:after="0" w:line="242" w:lineRule="auto"/>
        <w:rPr>
          <w:sz w:val="20"/>
          <w:szCs w:val="20"/>
          <w:color w:val="auto"/>
        </w:rPr>
      </w:pPr>
      <w:r>
        <w:rPr>
          <w:rFonts w:ascii="Arial" w:cs="Arial" w:eastAsia="Arial" w:hAnsi="Arial"/>
          <w:sz w:val="18"/>
          <w:szCs w:val="18"/>
          <w:color w:val="auto"/>
        </w:rPr>
        <w:t>2.2(a) Executive understands and agrees that Executive will faithfully devote Executive’s best efforts and substantially all of his time during business hours to the faithful and loyal performance of his job duties to the Company (except for permitted vacation periods and reasonable periods of illness or other incapacity). Executive will abide by all policies duly adopted by the Company, as well as all applicable federal, state and local laws, regulations or ordinances. Executive will act in a manner that Executive reasonably believes to be in the best interest of the Company at all times. Executive further understands and agrees that Executive has a fiduciary</w:t>
      </w:r>
      <w:r>
        <w:rPr>
          <w:rFonts w:ascii="Arial" w:cs="Arial" w:eastAsia="Arial" w:hAnsi="Arial"/>
          <w:sz w:val="32"/>
          <w:szCs w:val="32"/>
          <w:color w:val="auto"/>
          <w:vertAlign w:val="superscript"/>
        </w:rPr>
        <w:t>1</w:t>
      </w:r>
      <w:r>
        <w:rPr>
          <w:rFonts w:ascii="Arial" w:cs="Arial" w:eastAsia="Arial" w:hAnsi="Arial"/>
          <w:sz w:val="18"/>
          <w:szCs w:val="18"/>
          <w:color w:val="auto"/>
        </w:rPr>
        <w:t>duty of loyalty to the Company to the extent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643255</wp:posOffset>
            </wp:positionV>
            <wp:extent cx="545211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8" w:name="page89"/>
    <w:bookmarkEnd w:id="88"/>
    <w:p>
      <w:pPr>
        <w:jc w:val="both"/>
        <w:ind w:left="200" w:right="239"/>
        <w:spacing w:after="0" w:line="261" w:lineRule="auto"/>
        <w:rPr>
          <w:sz w:val="20"/>
          <w:szCs w:val="20"/>
          <w:color w:val="auto"/>
        </w:rPr>
      </w:pPr>
      <w:r>
        <w:rPr>
          <w:rFonts w:ascii="Arial" w:cs="Arial" w:eastAsia="Arial" w:hAnsi="Arial"/>
          <w:sz w:val="20"/>
          <w:szCs w:val="20"/>
          <w:color w:val="auto"/>
        </w:rPr>
        <w:t>by applicable law and that Executive will take no action which materially harms the business, business interests, or reputation of the Company.</w:t>
      </w:r>
    </w:p>
    <w:p>
      <w:pPr>
        <w:spacing w:after="0" w:line="230" w:lineRule="exact"/>
        <w:rPr>
          <w:sz w:val="20"/>
          <w:szCs w:val="20"/>
          <w:color w:val="auto"/>
        </w:rPr>
      </w:pPr>
    </w:p>
    <w:p>
      <w:pPr>
        <w:jc w:val="both"/>
        <w:ind w:left="200" w:right="219" w:firstLine="1296"/>
        <w:spacing w:after="0" w:line="263" w:lineRule="auto"/>
        <w:rPr>
          <w:sz w:val="20"/>
          <w:szCs w:val="20"/>
          <w:color w:val="auto"/>
        </w:rPr>
      </w:pPr>
      <w:r>
        <w:rPr>
          <w:rFonts w:ascii="Arial" w:cs="Arial" w:eastAsia="Arial" w:hAnsi="Arial"/>
          <w:sz w:val="19"/>
          <w:szCs w:val="19"/>
          <w:color w:val="auto"/>
        </w:rPr>
        <w:t>2.2(b) Executive agrees that he shall not, directly or indirectly, (i) engage or participate in any outside activity that would, or may be perceived to, conflict with the best interests of the Company or Executive’s duties to the Company, or (ii) provide services to or invest in any corporation or entity that competes or intends to compete with the business of the Company.</w:t>
      </w:r>
    </w:p>
    <w:p>
      <w:pPr>
        <w:spacing w:after="0" w:line="230"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8"/>
          <w:szCs w:val="18"/>
          <w:color w:val="auto"/>
        </w:rPr>
        <w:t>2.2(c) Executive agrees that, during the term of this Agreement, Executive shall work exclusively for the Company. Consequently, Executive agrees to not accept employment, of any kind, from any person or entity other than the Company, and to not perform duties or render services to any person or entity other than the Company. Notwithstanding the foregoing, nothing herein shall prohibit Executive from</w:t>
      </w:r>
    </w:p>
    <w:p>
      <w:pPr>
        <w:spacing w:after="0" w:line="3" w:lineRule="exact"/>
        <w:rPr>
          <w:sz w:val="20"/>
          <w:szCs w:val="20"/>
          <w:color w:val="auto"/>
        </w:rPr>
      </w:pPr>
    </w:p>
    <w:p>
      <w:pPr>
        <w:jc w:val="both"/>
        <w:ind w:left="200" w:right="219" w:firstLine="9"/>
        <w:spacing w:after="0" w:line="271" w:lineRule="auto"/>
        <w:tabs>
          <w:tab w:leader="none" w:pos="4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serving as a member of the board of directors of an entity engaged solely in charitable activities or community affairs, provided that, such activity shall be limited by Executive so as not to interfere with the performance of Executive’s duties and responsibilities hereunder; (ii) owning, as a passive investment, less than 1% of capital stock of any corporation listed on the national securities exchange or a publicly traded over-the-counter market; or (iii) engaging in any other manner of employment, consulting or other business activity with the written consent of the Company, the Chief Executive Officer, or as approved by the Company’s Board of Directors or a committee thereof (collectively,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left="200" w:right="219" w:firstLine="657"/>
        <w:spacing w:after="0" w:line="260" w:lineRule="auto"/>
        <w:tabs>
          <w:tab w:leader="none" w:pos="1496"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Executive’s employment with the Company will be “at-will” and will not be for any specific period of time. As a result, Executive is free to resign at any time, for any or no reason, as Executive deems appropriate. The Company will have a similar right and may terminate Executive’s employment at any time, with or without cause. Executive’s and the Company’s respective rights and obligations at the time of termination are outlined below in Section 6 of this Agreement.</w:t>
      </w:r>
    </w:p>
    <w:p>
      <w:pPr>
        <w:spacing w:after="0" w:line="234" w:lineRule="exact"/>
        <w:rPr>
          <w:rFonts w:ascii="Arial" w:cs="Arial" w:eastAsia="Arial" w:hAnsi="Arial"/>
          <w:sz w:val="19"/>
          <w:szCs w:val="19"/>
          <w:color w:val="auto"/>
        </w:rPr>
      </w:pPr>
    </w:p>
    <w:p>
      <w:pPr>
        <w:ind w:left="1500" w:hanging="643"/>
        <w:spacing w:after="0"/>
        <w:tabs>
          <w:tab w:leader="none" w:pos="150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70" w:lineRule="exact"/>
        <w:rPr>
          <w:sz w:val="20"/>
          <w:szCs w:val="20"/>
          <w:color w:val="auto"/>
        </w:rPr>
      </w:pPr>
    </w:p>
    <w:p>
      <w:pPr>
        <w:jc w:val="both"/>
        <w:ind w:left="200" w:right="219" w:firstLine="1296"/>
        <w:spacing w:after="0" w:line="260"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Base Salary</w:t>
      </w:r>
      <w:r>
        <w:rPr>
          <w:rFonts w:ascii="Arial" w:cs="Arial" w:eastAsia="Arial" w:hAnsi="Arial"/>
          <w:sz w:val="19"/>
          <w:szCs w:val="19"/>
          <w:color w:val="auto"/>
        </w:rPr>
        <w:t>. As compensation for the performance of all duties to be performed by Executive hereunder, the Company shall pay to Executive a base salary of $450,000 per year, less applicable deductions for state and federal withholding tax, social security and all other employment taxes and authorized payroll deductions, payable on a prorated basis as it is earned, in accordance with the normal payroll practices of the Company (the “</w:t>
      </w:r>
      <w:r>
        <w:rPr>
          <w:rFonts w:ascii="Arial" w:cs="Arial" w:eastAsia="Arial" w:hAnsi="Arial"/>
          <w:sz w:val="19"/>
          <w:szCs w:val="19"/>
          <w:b w:val="1"/>
          <w:bCs w:val="1"/>
          <w:color w:val="auto"/>
        </w:rPr>
        <w:t>Base Salary</w:t>
      </w:r>
      <w:r>
        <w:rPr>
          <w:rFonts w:ascii="Arial" w:cs="Arial" w:eastAsia="Arial" w:hAnsi="Arial"/>
          <w:sz w:val="19"/>
          <w:szCs w:val="19"/>
          <w:color w:val="auto"/>
        </w:rPr>
        <w:t>”).</w:t>
      </w:r>
    </w:p>
    <w:p>
      <w:pPr>
        <w:spacing w:after="0" w:line="234" w:lineRule="exact"/>
        <w:rPr>
          <w:sz w:val="20"/>
          <w:szCs w:val="20"/>
          <w:color w:val="auto"/>
        </w:rPr>
      </w:pPr>
    </w:p>
    <w:p>
      <w:pPr>
        <w:jc w:val="both"/>
        <w:ind w:left="200" w:right="219" w:firstLine="1296"/>
        <w:spacing w:after="0" w:line="25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Signing Bonus</w:t>
      </w:r>
      <w:r>
        <w:rPr>
          <w:rFonts w:ascii="Arial" w:cs="Arial" w:eastAsia="Arial" w:hAnsi="Arial"/>
          <w:sz w:val="19"/>
          <w:szCs w:val="19"/>
          <w:color w:val="auto"/>
        </w:rPr>
        <w:t>. As a signing bonus, Executive shall receive a payment of $50,000 (subject to payroll taxes) (the “</w:t>
      </w:r>
      <w:r>
        <w:rPr>
          <w:rFonts w:ascii="Arial" w:cs="Arial" w:eastAsia="Arial" w:hAnsi="Arial"/>
          <w:sz w:val="19"/>
          <w:szCs w:val="19"/>
          <w:b w:val="1"/>
          <w:bCs w:val="1"/>
          <w:color w:val="auto"/>
        </w:rPr>
        <w:t>Signing Bonus Payment</w:t>
      </w:r>
      <w:r>
        <w:rPr>
          <w:rFonts w:ascii="Arial" w:cs="Arial" w:eastAsia="Arial" w:hAnsi="Arial"/>
          <w:sz w:val="19"/>
          <w:szCs w:val="19"/>
          <w:color w:val="auto"/>
        </w:rPr>
        <w:t>”). The payment of the Signing Bonus Payment will be paid on the Company’s first regular payroll date in March 2021. The Signing Bonus Payment shall be considered earned eighteen (18) months following the Effective Date or, if applicable, the date on which Executive’s employment is terminated by the Company without Cause (as defined herein), due to death or Disability (as defined herein), or by Executive for Good Reason (as defined herein) prior to eighteen (18) months from the Effective Date. If Executive’s employment is terminated by the Company for Cause or by Executive without Good Reason (including by Executive’s resignation) prior to or on the date that is eighteen (18) months from the Effective Date (the “</w:t>
      </w:r>
      <w:r>
        <w:rPr>
          <w:rFonts w:ascii="Arial" w:cs="Arial" w:eastAsia="Arial" w:hAnsi="Arial"/>
          <w:sz w:val="19"/>
          <w:szCs w:val="19"/>
          <w:b w:val="1"/>
          <w:bCs w:val="1"/>
          <w:color w:val="auto"/>
        </w:rPr>
        <w:t>Separation Date</w:t>
      </w:r>
      <w:r>
        <w:rPr>
          <w:rFonts w:ascii="Arial" w:cs="Arial" w:eastAsia="Arial" w:hAnsi="Arial"/>
          <w:sz w:val="19"/>
          <w:szCs w:val="19"/>
          <w:color w:val="auto"/>
        </w:rPr>
        <w:t>”), he shall, within ten (10) days after the Separation Date, repay to the Company a portion of the total value of the Signing Bonus Payment (before the deduction of any applicable taxes) in accordance with the table below based on his Separation Date.</w:t>
      </w:r>
    </w:p>
    <w:tbl>
      <w:tblPr>
        <w:tblLayout w:type="fixed"/>
        <w:tblInd w:w="230" w:type="dxa"/>
        <w:tblCellMar>
          <w:top w:w="0" w:type="dxa"/>
          <w:left w:w="0" w:type="dxa"/>
          <w:bottom w:w="0" w:type="dxa"/>
          <w:right w:w="0" w:type="dxa"/>
        </w:tblCellMar>
      </w:tblPr>
      <w:tr>
        <w:trPr>
          <w:trHeight w:val="174"/>
        </w:trPr>
        <w:tc>
          <w:tcPr>
            <w:tcW w:w="4000" w:type="dxa"/>
            <w:vAlign w:val="bottom"/>
            <w:tcBorders>
              <w:top w:val="single" w:sz="8" w:color="auto"/>
              <w:left w:val="single" w:sz="8" w:color="auto"/>
            </w:tcBorders>
          </w:tcPr>
          <w:p>
            <w:pPr>
              <w:jc w:val="center"/>
              <w:ind w:left="170"/>
              <w:spacing w:after="0" w:line="174" w:lineRule="exact"/>
              <w:rPr>
                <w:sz w:val="20"/>
                <w:szCs w:val="20"/>
                <w:color w:val="auto"/>
              </w:rPr>
            </w:pPr>
            <w:r>
              <w:rPr>
                <w:rFonts w:ascii="Arial" w:cs="Arial" w:eastAsia="Arial" w:hAnsi="Arial"/>
                <w:sz w:val="18"/>
                <w:szCs w:val="18"/>
                <w:b w:val="1"/>
                <w:bCs w:val="1"/>
                <w:color w:val="auto"/>
                <w:w w:val="91"/>
              </w:rPr>
              <w:t>Months from the Effective Date through the</w:t>
            </w:r>
          </w:p>
        </w:tc>
        <w:tc>
          <w:tcPr>
            <w:tcW w:w="280" w:type="dxa"/>
            <w:vAlign w:val="bottom"/>
            <w:tcBorders>
              <w:top w:val="single" w:sz="8" w:color="auto"/>
              <w:right w:val="single" w:sz="8" w:color="auto"/>
            </w:tcBorders>
          </w:tcPr>
          <w:p>
            <w:pPr>
              <w:spacing w:after="0"/>
              <w:rPr>
                <w:sz w:val="15"/>
                <w:szCs w:val="15"/>
                <w:color w:val="auto"/>
              </w:rPr>
            </w:pPr>
          </w:p>
        </w:tc>
        <w:tc>
          <w:tcPr>
            <w:tcW w:w="4280" w:type="dxa"/>
            <w:vAlign w:val="bottom"/>
            <w:tcBorders>
              <w:top w:val="single" w:sz="8" w:color="auto"/>
              <w:right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88"/>
              </w:rPr>
              <w:t>Portion of total value of Signing Bonus Payments</w:t>
            </w:r>
          </w:p>
        </w:tc>
        <w:tc>
          <w:tcPr>
            <w:tcW w:w="20" w:type="dxa"/>
            <w:vAlign w:val="bottom"/>
          </w:tcPr>
          <w:p>
            <w:pPr>
              <w:spacing w:after="0"/>
              <w:rPr>
                <w:sz w:val="15"/>
                <w:szCs w:val="15"/>
                <w:color w:val="auto"/>
              </w:rPr>
            </w:pPr>
          </w:p>
        </w:tc>
      </w:tr>
      <w:tr>
        <w:trPr>
          <w:trHeight w:val="221"/>
        </w:trPr>
        <w:tc>
          <w:tcPr>
            <w:tcW w:w="4000" w:type="dxa"/>
            <w:vAlign w:val="bottom"/>
            <w:tcBorders>
              <w:left w:val="single" w:sz="8" w:color="auto"/>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1"/>
              </w:rPr>
              <w:t>Separation Date</w:t>
            </w:r>
          </w:p>
        </w:tc>
        <w:tc>
          <w:tcPr>
            <w:tcW w:w="28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repayable by Executive to Company</w:t>
            </w:r>
          </w:p>
        </w:tc>
        <w:tc>
          <w:tcPr>
            <w:tcW w:w="20" w:type="dxa"/>
            <w:vAlign w:val="bottom"/>
          </w:tcPr>
          <w:p>
            <w:pPr>
              <w:spacing w:after="0"/>
              <w:rPr>
                <w:sz w:val="19"/>
                <w:szCs w:val="19"/>
                <w:color w:val="auto"/>
              </w:rPr>
            </w:pPr>
          </w:p>
        </w:tc>
      </w:tr>
      <w:tr>
        <w:trPr>
          <w:trHeight w:val="196"/>
        </w:trPr>
        <w:tc>
          <w:tcPr>
            <w:tcW w:w="4000" w:type="dxa"/>
            <w:vAlign w:val="bottom"/>
            <w:tcBorders>
              <w:left w:val="single" w:sz="8" w:color="auto"/>
              <w:bottom w:val="single" w:sz="8" w:color="auto"/>
            </w:tcBorders>
          </w:tcPr>
          <w:p>
            <w:pPr>
              <w:jc w:val="center"/>
              <w:ind w:left="170"/>
              <w:spacing w:after="0" w:line="196" w:lineRule="exact"/>
              <w:rPr>
                <w:sz w:val="20"/>
                <w:szCs w:val="20"/>
                <w:color w:val="auto"/>
              </w:rPr>
            </w:pPr>
            <w:r>
              <w:rPr>
                <w:rFonts w:ascii="Arial" w:cs="Arial" w:eastAsia="Arial" w:hAnsi="Arial"/>
                <w:sz w:val="18"/>
                <w:szCs w:val="18"/>
                <w:color w:val="auto"/>
                <w:w w:val="90"/>
              </w:rPr>
              <w:t>&lt; 12 months</w:t>
            </w:r>
          </w:p>
        </w:tc>
        <w:tc>
          <w:tcPr>
            <w:tcW w:w="280" w:type="dxa"/>
            <w:vAlign w:val="bottom"/>
            <w:tcBorders>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7"/>
                <w:szCs w:val="17"/>
                <w:color w:val="auto"/>
              </w:rPr>
            </w:pPr>
          </w:p>
        </w:tc>
      </w:tr>
      <w:tr>
        <w:trPr>
          <w:trHeight w:val="196"/>
        </w:trPr>
        <w:tc>
          <w:tcPr>
            <w:tcW w:w="4000" w:type="dxa"/>
            <w:vAlign w:val="bottom"/>
            <w:tcBorders>
              <w:left w:val="single" w:sz="8" w:color="auto"/>
              <w:bottom w:val="single" w:sz="8" w:color="auto"/>
            </w:tcBorders>
          </w:tcPr>
          <w:p>
            <w:pPr>
              <w:jc w:val="center"/>
              <w:ind w:left="170"/>
              <w:spacing w:after="0" w:line="196" w:lineRule="exact"/>
              <w:rPr>
                <w:sz w:val="20"/>
                <w:szCs w:val="20"/>
                <w:color w:val="auto"/>
              </w:rPr>
            </w:pPr>
            <w:r>
              <w:rPr>
                <w:rFonts w:ascii="Arial" w:cs="Arial" w:eastAsia="Arial" w:hAnsi="Arial"/>
                <w:sz w:val="18"/>
                <w:szCs w:val="18"/>
                <w:color w:val="auto"/>
                <w:w w:val="91"/>
              </w:rPr>
              <w:t>12 - 18 months</w:t>
            </w:r>
          </w:p>
        </w:tc>
        <w:tc>
          <w:tcPr>
            <w:tcW w:w="280" w:type="dxa"/>
            <w:vAlign w:val="bottom"/>
            <w:tcBorders>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75%</w:t>
            </w:r>
          </w:p>
        </w:tc>
        <w:tc>
          <w:tcPr>
            <w:tcW w:w="20" w:type="dxa"/>
            <w:vAlign w:val="bottom"/>
          </w:tcPr>
          <w:p>
            <w:pPr>
              <w:spacing w:after="0"/>
              <w:rPr>
                <w:sz w:val="17"/>
                <w:szCs w:val="17"/>
                <w:color w:val="auto"/>
              </w:rPr>
            </w:pPr>
          </w:p>
        </w:tc>
      </w:tr>
      <w:tr>
        <w:trPr>
          <w:trHeight w:val="196"/>
        </w:trPr>
        <w:tc>
          <w:tcPr>
            <w:tcW w:w="4000" w:type="dxa"/>
            <w:vAlign w:val="bottom"/>
            <w:tcBorders>
              <w:left w:val="single" w:sz="8" w:color="auto"/>
              <w:bottom w:val="single" w:sz="8" w:color="auto"/>
            </w:tcBorders>
          </w:tcPr>
          <w:p>
            <w:pPr>
              <w:jc w:val="center"/>
              <w:ind w:left="170"/>
              <w:spacing w:after="0" w:line="196" w:lineRule="exact"/>
              <w:rPr>
                <w:sz w:val="20"/>
                <w:szCs w:val="20"/>
                <w:color w:val="auto"/>
              </w:rPr>
            </w:pPr>
            <w:r>
              <w:rPr>
                <w:rFonts w:ascii="Arial" w:cs="Arial" w:eastAsia="Arial" w:hAnsi="Arial"/>
                <w:sz w:val="18"/>
                <w:szCs w:val="18"/>
                <w:color w:val="auto"/>
                <w:w w:val="90"/>
              </w:rPr>
              <w:t>&gt; 18 months</w:t>
            </w:r>
          </w:p>
        </w:tc>
        <w:tc>
          <w:tcPr>
            <w:tcW w:w="280" w:type="dxa"/>
            <w:vAlign w:val="bottom"/>
            <w:tcBorders>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17"/>
                <w:szCs w:val="17"/>
                <w:color w:val="auto"/>
              </w:rPr>
            </w:pPr>
          </w:p>
        </w:tc>
      </w:tr>
      <w:tr>
        <w:trPr>
          <w:trHeight w:val="574"/>
        </w:trPr>
        <w:tc>
          <w:tcPr>
            <w:tcW w:w="4000" w:type="dxa"/>
            <w:vAlign w:val="bottom"/>
          </w:tcPr>
          <w:p>
            <w:pPr>
              <w:spacing w:after="0"/>
              <w:rPr>
                <w:sz w:val="24"/>
                <w:szCs w:val="24"/>
                <w:color w:val="auto"/>
              </w:rPr>
            </w:pPr>
          </w:p>
        </w:tc>
        <w:tc>
          <w:tcPr>
            <w:tcW w:w="4560" w:type="dxa"/>
            <w:vAlign w:val="bottom"/>
            <w:gridSpan w:val="2"/>
          </w:tcPr>
          <w:p>
            <w:pPr>
              <w:jc w:val="right"/>
              <w:ind w:right="417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723"/>
        </w:trPr>
        <w:tc>
          <w:tcPr>
            <w:tcW w:w="4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9" w:name="page90"/>
    <w:bookmarkEnd w:id="89"/>
    <w:p>
      <w:pPr>
        <w:jc w:val="both"/>
        <w:ind w:left="200" w:right="219"/>
        <w:spacing w:after="0" w:line="261" w:lineRule="auto"/>
        <w:rPr>
          <w:sz w:val="20"/>
          <w:szCs w:val="20"/>
          <w:color w:val="auto"/>
        </w:rPr>
      </w:pPr>
      <w:r>
        <w:rPr>
          <w:rFonts w:ascii="Arial" w:cs="Arial" w:eastAsia="Arial" w:hAnsi="Arial"/>
          <w:sz w:val="20"/>
          <w:szCs w:val="20"/>
          <w:color w:val="auto"/>
        </w:rPr>
        <w:t>For avoidance of doubt, the Signing Bonus Payment is an advance only and shall not be deemed earned unless the foregoing requirements for the Signing Bonus Payment are satisfied.</w:t>
      </w:r>
    </w:p>
    <w:p>
      <w:pPr>
        <w:spacing w:after="0" w:line="230"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Stock Options</w:t>
      </w:r>
      <w:r>
        <w:rPr>
          <w:rFonts w:ascii="Arial" w:cs="Arial" w:eastAsia="Arial" w:hAnsi="Arial"/>
          <w:sz w:val="18"/>
          <w:szCs w:val="18"/>
          <w:color w:val="auto"/>
        </w:rPr>
        <w:t>. As of the Effective Date, Executive shall receive stock options to purchase an aggregate of 150,000 shares of the Company’s common stock. To the extent legally permitted, the stock options shall be incentive stock options. The stock options will have an exercise price equal to the closing trading price of the common stock on the Effective Date. Provided that Executive is still employed with the Company on the following dates, the foregoing stock options will vest in installments as follows:</w:t>
      </w:r>
    </w:p>
    <w:p>
      <w:pPr>
        <w:spacing w:after="0" w:line="4" w:lineRule="exact"/>
        <w:rPr>
          <w:sz w:val="20"/>
          <w:szCs w:val="20"/>
          <w:color w:val="auto"/>
        </w:rPr>
      </w:pPr>
    </w:p>
    <w:p>
      <w:pPr>
        <w:jc w:val="both"/>
        <w:ind w:left="200" w:right="219" w:firstLine="9"/>
        <w:spacing w:after="0" w:line="27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Options for the purchase of one-third of the 150,000 shares shall vest on one year anniversary of the Effective Date; and (ii) the remaining stock options shall vest as to one-twelfth of the 150,000 shares at the end of each quarter over the next two years, commencing with the first quarter following the first anniversary of the Effective Date. Upon the termination of Executive’s employment with the Company, except as provided herein, the unvested options will be forfeited and returned to the Company.</w:t>
      </w:r>
    </w:p>
    <w:p>
      <w:pPr>
        <w:spacing w:after="0" w:line="220"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Executive will be eligible to participate in the Company’s annual incentive compensation program (“</w:t>
      </w:r>
      <w:r>
        <w:rPr>
          <w:rFonts w:ascii="Arial" w:cs="Arial" w:eastAsia="Arial" w:hAnsi="Arial"/>
          <w:sz w:val="18"/>
          <w:szCs w:val="18"/>
          <w:b w:val="1"/>
          <w:bCs w:val="1"/>
          <w:color w:val="auto"/>
        </w:rPr>
        <w:t>Incentive Plan</w:t>
      </w:r>
      <w:r>
        <w:rPr>
          <w:rFonts w:ascii="Arial" w:cs="Arial" w:eastAsia="Arial" w:hAnsi="Arial"/>
          <w:sz w:val="18"/>
          <w:szCs w:val="18"/>
          <w:color w:val="auto"/>
        </w:rPr>
        <w:t xml:space="preserve">”) applicable to executive employees, as approved by the Board (the year in which the program is implemented, the </w:t>
      </w:r>
      <w:r>
        <w:rPr>
          <w:rFonts w:ascii="Arial" w:cs="Arial" w:eastAsia="Arial" w:hAnsi="Arial"/>
          <w:sz w:val="18"/>
          <w:szCs w:val="18"/>
          <w:b w:val="1"/>
          <w:bCs w:val="1"/>
          <w:color w:val="auto"/>
        </w:rPr>
        <w:t>“Plan Year</w:t>
      </w:r>
      <w:r>
        <w:rPr>
          <w:rFonts w:ascii="Arial" w:cs="Arial" w:eastAsia="Arial" w:hAnsi="Arial"/>
          <w:sz w:val="18"/>
          <w:szCs w:val="18"/>
          <w:color w:val="auto"/>
        </w:rPr>
        <w:t>”), such participation to begin on the Effective Date. The Incentive Compensation shall be paid in accordance with the terms and conditions outlined in the Incentive Plan and based upon the achievement of certain goals, objectives, and other metrics as decided by the Board. The maximum potential amount payable to Executive under the Incentive Plan, if earned, shall be 40% of Executive’s Base Salary earned during the applicable calendar year. Compensation under the Incentive Plan (“</w:t>
      </w:r>
      <w:r>
        <w:rPr>
          <w:rFonts w:ascii="Arial" w:cs="Arial" w:eastAsia="Arial" w:hAnsi="Arial"/>
          <w:sz w:val="18"/>
          <w:szCs w:val="18"/>
          <w:b w:val="1"/>
          <w:bCs w:val="1"/>
          <w:color w:val="auto"/>
        </w:rPr>
        <w:t>Incentive Compensation</w:t>
      </w:r>
      <w:r>
        <w:rPr>
          <w:rFonts w:ascii="Arial" w:cs="Arial" w:eastAsia="Arial" w:hAnsi="Arial"/>
          <w:sz w:val="18"/>
          <w:szCs w:val="18"/>
          <w:color w:val="auto"/>
        </w:rPr>
        <w:t>”) will be conditioned on the satisfaction of individual and Company objectives, as established in writing by the Company. No Incentive Compensation will be payable to Executive to the extent Executive is not employed on the Incentive Compensation payment date. The payment of any Incentive Compensation pursuant to this Section 4.3 is in the sole discretion of the Board, in accordance with the Incentive Plan, and shall be made in accordance with the normal payroll practices of the Company, less required deductions for state and federal withholding tax, social security and all other employment taxes and authorized payroll deductions.</w:t>
      </w:r>
    </w:p>
    <w:p>
      <w:pPr>
        <w:spacing w:after="0" w:line="235" w:lineRule="exact"/>
        <w:rPr>
          <w:sz w:val="20"/>
          <w:szCs w:val="20"/>
          <w:color w:val="auto"/>
        </w:rPr>
      </w:pPr>
    </w:p>
    <w:p>
      <w:pPr>
        <w:jc w:val="both"/>
        <w:ind w:left="200" w:right="279" w:firstLine="1296"/>
        <w:spacing w:after="0" w:line="246"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Performance Review</w:t>
      </w:r>
      <w:r>
        <w:rPr>
          <w:rFonts w:ascii="Arial" w:cs="Arial" w:eastAsia="Arial" w:hAnsi="Arial"/>
          <w:sz w:val="20"/>
          <w:szCs w:val="20"/>
          <w:color w:val="auto"/>
        </w:rPr>
        <w:t>. The Company will periodically review Executive’s performance on no less than an annual basis and may increase (but not decrease) Executive’s salary or other compensation, as it deems appropriate in its sole and absolute discretion and with any necessary Board approval requirements.</w:t>
      </w:r>
    </w:p>
    <w:p>
      <w:pPr>
        <w:spacing w:after="0" w:line="245" w:lineRule="exact"/>
        <w:rPr>
          <w:sz w:val="20"/>
          <w:szCs w:val="20"/>
          <w:color w:val="auto"/>
        </w:rPr>
      </w:pPr>
    </w:p>
    <w:p>
      <w:pPr>
        <w:jc w:val="both"/>
        <w:ind w:left="200" w:right="279" w:firstLine="1296"/>
        <w:spacing w:after="0" w:line="26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understands and agrees that certain employee benefits may be provided to the Executive by the Company incident to the Executive's employment. Executive will be eligible for all customary and usual fringe benefits generally available to executive employees and all other employees of the Company subject to the terms and conditions of the Company’s benefit plan documents. Executive understands and agrees that any employee benefits provided to the Executive by the Company incident to the Executive's employment (other than Base Salary, Incentive Compensation and any applicable Severance Payment) are provided solely at the discretion of the Company and may be modified, suspended or revoked at any time, without notice or the consent of the Executive, unless otherwise provided by law. Moreover, to the extent that these benefits are provided pursuant to policies or plan documents adopted by the Company, Executive acknowledges and agrees that these benefits shall be governed by the applicable employment policies or plan documents. The benefits to be provided to Executive shall include group health insurances and participation in a 401(k) plan. Executive will be eligible to receive paid time off benefits in the form of vacation, sick and holidays. The amount, eligibility and extent of these benefits shall be governed by the Company’s applicable policy in effect and as amended from time to time and in compliance with applicable law.</w:t>
      </w:r>
    </w:p>
    <w:p>
      <w:pPr>
        <w:spacing w:after="0" w:line="233" w:lineRule="exact"/>
        <w:rPr>
          <w:sz w:val="20"/>
          <w:szCs w:val="20"/>
          <w:color w:val="auto"/>
        </w:rPr>
      </w:pPr>
    </w:p>
    <w:p>
      <w:pPr>
        <w:ind w:left="200" w:right="239" w:firstLine="1296"/>
        <w:spacing w:after="0" w:line="316"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Business Expenses</w:t>
      </w:r>
      <w:r>
        <w:rPr>
          <w:rFonts w:ascii="Arial" w:cs="Arial" w:eastAsia="Arial" w:hAnsi="Arial"/>
          <w:sz w:val="18"/>
          <w:szCs w:val="18"/>
          <w:color w:val="auto"/>
        </w:rPr>
        <w:t>. Executive will be reimbursed for all reasonable and necessary out- of-pocket business expenses incurred in the performance of Executive’s duties on behalf of the</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443230</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0" w:name="page91"/>
    <w:bookmarkEnd w:id="90"/>
    <w:p>
      <w:pPr>
        <w:jc w:val="both"/>
        <w:ind w:left="200" w:right="219"/>
        <w:spacing w:after="0" w:line="256" w:lineRule="auto"/>
        <w:rPr>
          <w:sz w:val="20"/>
          <w:szCs w:val="20"/>
          <w:color w:val="auto"/>
        </w:rPr>
      </w:pPr>
      <w:r>
        <w:rPr>
          <w:rFonts w:ascii="Arial" w:cs="Arial" w:eastAsia="Arial" w:hAnsi="Arial"/>
          <w:sz w:val="19"/>
          <w:szCs w:val="19"/>
          <w:color w:val="auto"/>
        </w:rPr>
        <w:t>Company, including travel-related expenses. To obtain reimbursement, Executive shall provide the Company with reasonable documentation and receipts establishing the amount and nature of such expenses. Executive shall comply with such reasonable budget limitations and pre-approval, approval, and reporting requirements with respect to expenses as the Company may establish from time to time. Notwithstanding the foregoing, Executive shall be reimbursed for travel expenses for travel between his home and the Company’s headquarters incurred during a single 30-day period beginning on the date that he is given written notice by the Company that he is required to be on-site at the Company’s headquarters, but after the completion of such 30-day period, Executive shall not be reimbursed from travel expenses for travel between his home and the Company’s headquarters.</w:t>
      </w:r>
    </w:p>
    <w:p>
      <w:pPr>
        <w:spacing w:after="0" w:line="239"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Indemnification/D&amp;O Insurance</w:t>
      </w:r>
      <w:r>
        <w:rPr>
          <w:rFonts w:ascii="Arial" w:cs="Arial" w:eastAsia="Arial" w:hAnsi="Arial"/>
          <w:sz w:val="20"/>
          <w:szCs w:val="20"/>
          <w:color w:val="auto"/>
        </w:rPr>
        <w:t>. During his employment and for so long thereafter as Executive may reasonably be subject to any claim or liability arising from or relating to his employment with the Company or its affiliates, the Company shall (a) indemnify, defend and hold Executive harmless to the full extent provided in Article IX of the Company’s Bylaws and (b) maintain, at its sole expense, director and officer liability insurance covering Executive in Executive’s capacity as an officer or employee of the Company or its affiliates.</w:t>
      </w:r>
    </w:p>
    <w:p>
      <w:pPr>
        <w:spacing w:after="0" w:line="250" w:lineRule="exact"/>
        <w:rPr>
          <w:sz w:val="20"/>
          <w:szCs w:val="20"/>
          <w:color w:val="auto"/>
        </w:rPr>
      </w:pPr>
    </w:p>
    <w:p>
      <w:pPr>
        <w:jc w:val="both"/>
        <w:ind w:left="200" w:right="219" w:firstLine="657"/>
        <w:spacing w:after="0" w:line="250" w:lineRule="auto"/>
        <w:tabs>
          <w:tab w:leader="none" w:pos="1496"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Confidentiality and Proprietary Agreement</w:t>
      </w:r>
      <w:r>
        <w:rPr>
          <w:rFonts w:ascii="Arial" w:cs="Arial" w:eastAsia="Arial" w:hAnsi="Arial"/>
          <w:sz w:val="20"/>
          <w:szCs w:val="20"/>
          <w:color w:val="auto"/>
        </w:rPr>
        <w:t>. Executive agrees to abide by the Company’s Employee Proprietary Information and Inventions Agreement (the “</w:t>
      </w:r>
      <w:r>
        <w:rPr>
          <w:rFonts w:ascii="Arial" w:cs="Arial" w:eastAsia="Arial" w:hAnsi="Arial"/>
          <w:sz w:val="20"/>
          <w:szCs w:val="20"/>
          <w:b w:val="1"/>
          <w:bCs w:val="1"/>
          <w:color w:val="auto"/>
        </w:rPr>
        <w:t>EPIIA</w:t>
      </w:r>
      <w:r>
        <w:rPr>
          <w:rFonts w:ascii="Arial" w:cs="Arial" w:eastAsia="Arial" w:hAnsi="Arial"/>
          <w:sz w:val="20"/>
          <w:szCs w:val="20"/>
          <w:color w:val="auto"/>
        </w:rPr>
        <w:t>”), which Executive has signed and is incorporated herein by reference.</w:t>
      </w:r>
    </w:p>
    <w:p>
      <w:pPr>
        <w:spacing w:after="0" w:line="239" w:lineRule="exact"/>
        <w:rPr>
          <w:rFonts w:ascii="Arial" w:cs="Arial" w:eastAsia="Arial" w:hAnsi="Arial"/>
          <w:sz w:val="20"/>
          <w:szCs w:val="20"/>
          <w:color w:val="auto"/>
        </w:rPr>
      </w:pPr>
    </w:p>
    <w:p>
      <w:pPr>
        <w:ind w:left="1500" w:hanging="643"/>
        <w:spacing w:after="0"/>
        <w:tabs>
          <w:tab w:leader="none" w:pos="150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Termination of Executive’s Employment</w:t>
      </w:r>
      <w:r>
        <w:rPr>
          <w:rFonts w:ascii="Arial" w:cs="Arial" w:eastAsia="Arial" w:hAnsi="Arial"/>
          <w:sz w:val="20"/>
          <w:szCs w:val="20"/>
          <w:color w:val="auto"/>
        </w:rPr>
        <w:t>.</w:t>
      </w:r>
    </w:p>
    <w:p>
      <w:pPr>
        <w:spacing w:after="0" w:line="270" w:lineRule="exact"/>
        <w:rPr>
          <w:sz w:val="20"/>
          <w:szCs w:val="20"/>
          <w:color w:val="auto"/>
        </w:rPr>
      </w:pPr>
    </w:p>
    <w:p>
      <w:pPr>
        <w:jc w:val="both"/>
        <w:ind w:left="200" w:right="219" w:firstLine="1296"/>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Termination for Cause by the Company</w:t>
      </w:r>
      <w:r>
        <w:rPr>
          <w:rFonts w:ascii="Arial" w:cs="Arial" w:eastAsia="Arial" w:hAnsi="Arial"/>
          <w:sz w:val="18"/>
          <w:szCs w:val="18"/>
          <w:color w:val="auto"/>
        </w:rPr>
        <w:t>. The Company may terminate Executive’s employment immediately at any time and without notice for “Cause.”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shall mean (i) a material breach by Executive of this Agreement or the EPIIA; (ii) the death of Executive or his disability resulting in his inability to perform his reasonable duties assigned hereunder for a period of 180 days; (iii) Executive’s theft, dishonesty, or falsification of any Company documents or records; (iv) Executive’s improper use or disclosure of the Company’s confidential or proprietary information; (v) Executive’s conviction (including any plea of guilty or nolo contendere) of any criminal act which impairs Executive’s ability to perform his duties hereunder or which in the Board’s judgment may materially damage the business or reputation of the Company; (vi) failure or refusal to comply with reasonable and lawful Company policies and procedures; or (vii) Executive’s failure and/or inability to comply with or meet the requirements of any performance improvement plan reasonably provided to Executive by the Chief Executive Officer and/or the Board; provided, however, that prior to termination for cause arising under clause (i), Executive shall have a period of ten days after written notice from the Company to cure the event or grounds constituting such cause. Any notice of termination provided by Company to Executive under this Section 6.1 shall identify the events or conduct constituting the grounds for termination with sufficient specificity so as to enable Executive to take steps to cure, if curable, the same if such default is a material breach by Executive of this Agreement or the EPIIA. In the event Executive’s employment is terminated in accordance with this subsection 6.1, Executive shall be entitled to receive only the Base Salary, prorated to the date of termination. All other obligations of the Company to Executive pursuant to this Agreement will be automatically terminated and completely extinguished.</w:t>
      </w:r>
    </w:p>
    <w:p>
      <w:pPr>
        <w:spacing w:after="0" w:line="237"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u w:val="single" w:color="auto"/>
          <w:color w:val="auto"/>
        </w:rPr>
        <w:t>Termination Without Cause by The Company/Separation Package</w:t>
      </w:r>
      <w:r>
        <w:rPr>
          <w:rFonts w:ascii="Arial" w:cs="Arial" w:eastAsia="Arial" w:hAnsi="Arial"/>
          <w:sz w:val="18"/>
          <w:szCs w:val="18"/>
          <w:color w:val="auto"/>
        </w:rPr>
        <w:t>. The Company</w:t>
      </w:r>
    </w:p>
    <w:p>
      <w:pPr>
        <w:spacing w:after="0" w:line="16"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8"/>
          <w:szCs w:val="18"/>
          <w:color w:val="auto"/>
        </w:rPr>
        <w:t>may terminate Executive’s employment under this Agreement without Cause (as defined in Section 6.1 above) at any time on thirty (30) days’ advance written notice to Executive. In the event of such termination, Executive will receive Executive’s Base Salary through the date of termination. Upon such termination of employment without Cause, Executive will be eligible to receive a “</w:t>
      </w:r>
      <w:r>
        <w:rPr>
          <w:rFonts w:ascii="Arial" w:cs="Arial" w:eastAsia="Arial" w:hAnsi="Arial"/>
          <w:sz w:val="18"/>
          <w:szCs w:val="18"/>
          <w:b w:val="1"/>
          <w:bCs w:val="1"/>
          <w:color w:val="auto"/>
        </w:rPr>
        <w:t>Severance Payment</w:t>
      </w:r>
      <w:r>
        <w:rPr>
          <w:rFonts w:ascii="Arial" w:cs="Arial" w:eastAsia="Arial" w:hAnsi="Arial"/>
          <w:sz w:val="18"/>
          <w:szCs w:val="18"/>
          <w:color w:val="auto"/>
        </w:rPr>
        <w:t>” equivalent to six months of Executive’s then Base Salary, payable in full within thirty (30) days after termination, provided that Executive first satisfies the Severance Conditions. For purposes of this Agreement, the “</w:t>
      </w:r>
      <w:r>
        <w:rPr>
          <w:rFonts w:ascii="Arial" w:cs="Arial" w:eastAsia="Arial" w:hAnsi="Arial"/>
          <w:sz w:val="18"/>
          <w:szCs w:val="18"/>
          <w:b w:val="1"/>
          <w:bCs w:val="1"/>
          <w:color w:val="auto"/>
        </w:rPr>
        <w:t>Severance Conditions</w:t>
      </w:r>
      <w:r>
        <w:rPr>
          <w:rFonts w:ascii="Arial" w:cs="Arial" w:eastAsia="Arial" w:hAnsi="Arial"/>
          <w:sz w:val="18"/>
          <w:szCs w:val="18"/>
          <w:color w:val="auto"/>
        </w:rPr>
        <w:t>” are defined as (1) Executive’s execution and non- revocation of a</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3060" w:type="dxa"/>
            <w:vAlign w:val="bottom"/>
          </w:tcPr>
          <w:p>
            <w:pPr>
              <w:spacing w:after="0"/>
              <w:rPr>
                <w:sz w:val="20"/>
                <w:szCs w:val="20"/>
                <w:color w:val="auto"/>
              </w:rPr>
            </w:pPr>
            <w:r>
              <w:rPr>
                <w:rFonts w:ascii="Arial" w:cs="Arial" w:eastAsia="Arial" w:hAnsi="Arial"/>
                <w:sz w:val="20"/>
                <w:szCs w:val="20"/>
                <w:color w:val="auto"/>
              </w:rPr>
              <w:t>full general release, and</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74"/>
        </w:trPr>
        <w:tc>
          <w:tcPr>
            <w:tcW w:w="306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582930</wp:posOffset>
            </wp:positionV>
            <wp:extent cx="545211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1" w:name="page92"/>
    <w:bookmarkEnd w:id="91"/>
    <w:p>
      <w:pPr>
        <w:jc w:val="both"/>
        <w:ind w:left="200" w:right="219"/>
        <w:spacing w:after="0" w:line="257" w:lineRule="auto"/>
        <w:rPr>
          <w:sz w:val="20"/>
          <w:szCs w:val="20"/>
          <w:color w:val="auto"/>
        </w:rPr>
      </w:pPr>
      <w:r>
        <w:rPr>
          <w:rFonts w:ascii="Arial" w:cs="Arial" w:eastAsia="Arial" w:hAnsi="Arial"/>
          <w:sz w:val="19"/>
          <w:szCs w:val="19"/>
          <w:color w:val="auto"/>
        </w:rPr>
        <w:t>such release has become effective in accordance with its terms prior to the 30th day following the termination date; and (2) Executive’s reaffirmation of Executive’s commitment to comply, and actual compliance, with all surviving provisions of this Agreement, as well as any other agreements concerning his employment with and separation from employment, including without limitation, and confidentiality and proprietary information agreements. Following payment of the Severance Payment, Base Salary,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229" w:lineRule="exact"/>
        <w:rPr>
          <w:sz w:val="20"/>
          <w:szCs w:val="20"/>
          <w:color w:val="auto"/>
        </w:rPr>
      </w:pPr>
    </w:p>
    <w:p>
      <w:pPr>
        <w:jc w:val="both"/>
        <w:ind w:left="200" w:right="219" w:firstLine="129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Upon a Change of Control</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Change</w:t>
      </w:r>
      <w:r>
        <w:rPr>
          <w:rFonts w:ascii="Arial" w:cs="Arial" w:eastAsia="Arial" w:hAnsi="Arial"/>
          <w:sz w:val="18"/>
          <w:szCs w:val="18"/>
          <w:color w:val="auto"/>
        </w:rPr>
        <w:t xml:space="preserve"> </w:t>
      </w:r>
      <w:r>
        <w:rPr>
          <w:rFonts w:ascii="Arial" w:cs="Arial" w:eastAsia="Arial" w:hAnsi="Arial"/>
          <w:sz w:val="18"/>
          <w:szCs w:val="18"/>
          <w:b w:val="1"/>
          <w:bCs w:val="1"/>
          <w:color w:val="auto"/>
        </w:rPr>
        <w:t>of Control</w:t>
      </w:r>
      <w:r>
        <w:rPr>
          <w:rFonts w:ascii="Arial" w:cs="Arial" w:eastAsia="Arial" w:hAnsi="Arial"/>
          <w:sz w:val="18"/>
          <w:szCs w:val="18"/>
          <w:color w:val="auto"/>
        </w:rPr>
        <w:t>” shall mean: (1) a merger or consolidation or the sale or exchange by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capital stock of the Company, where the stockholders of the Company immediately before such transaction do not obtain or retain, directly or indirectly, at least a majority of the beneficial interest in the voting stock or other voting equity of the surviving or acquiring corporation or other surviving or acquiring entity, in substantially the same proportion as before such transaction; (2) any transaction or series of related transactions to which the Company is a party in which in excess of fifty percent (50%) of the Company’s voting power is transferred; or (3) the sale or exchange of all or substantially all of the Company’s assets (other than a sale or transfer to a subsidiary of the Company as defined in section 424(f)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where the stockholders of the Company immediately before such sale or exchange do not obtain or retain, directly or indirectly, at least a majority of the beneficial interest in the voting stock or other voting equity of the corporation or other entity acquiring the Company’s assets, in substantially the same proportion as before such transaction; provided, however, that a Change of Control shall not be deemed to have occurred pursuant to any transaction or series of transactions relating to a public or private financing or re-financing, the principal purpose of which is to raise money for the Company’s working capital or capital expenditures and which does not result in a change in a majority of the members of the Board. If, within six (6) months immediately preceding a Change of Control or within twelve (12) months immediately following a Change of Control, the Executive’s employment is terminated by the Company for any reason other than Cause, then the Executive shall be entitled to receive the following compensation, provided that Executive first satisfies the Severance Conditions: (i) the Severance Payment set forth in Section 6.2 and (ii) any then time-based unvested stock options granted to Executive by the Company to the extent then outstanding at the time of such termination will become fully vested on the last day of Executive’s employment with the Company, and Executive shall have three months from the date of termination within which to exercise his vested options. Following payment of the Severance Payment, Base Salary,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232"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Resignation</w:t>
      </w:r>
      <w:r>
        <w:rPr>
          <w:rFonts w:ascii="Arial" w:cs="Arial" w:eastAsia="Arial" w:hAnsi="Arial"/>
          <w:sz w:val="18"/>
          <w:szCs w:val="18"/>
          <w:color w:val="auto"/>
        </w:rPr>
        <w:t>. Executive shall have the right to terminate this Agreement at any time, for any reason, by providing the Company with thirty (30) days written notice, provided, however, that subsequent to Executive’s resignation, Executive shall be required to comply with all surviving provisions of this Agreement. Executive shall not be entitled to any Severance Pay. Executive will only be entitled to receive Executive’s Base Salary earned up to the date of termination. Notwithstanding the foregoing, Executive has the right upon thirty (30) days written notice to the Company to terminate Executive’s employment for “</w:t>
      </w:r>
      <w:r>
        <w:rPr>
          <w:rFonts w:ascii="Arial" w:cs="Arial" w:eastAsia="Arial" w:hAnsi="Arial"/>
          <w:sz w:val="18"/>
          <w:szCs w:val="18"/>
          <w:b w:val="1"/>
          <w:bCs w:val="1"/>
          <w:color w:val="auto"/>
        </w:rPr>
        <w:t>Good Reason</w:t>
      </w:r>
      <w:r>
        <w:rPr>
          <w:rFonts w:ascii="Arial" w:cs="Arial" w:eastAsia="Arial" w:hAnsi="Arial"/>
          <w:sz w:val="18"/>
          <w:szCs w:val="18"/>
          <w:color w:val="auto"/>
        </w:rPr>
        <w:t>” due to occurrence of any of the following: (i) a material adverse change in Executive’s title, duties or responsibilities; (ii) any failure by the Company to pay, or any reduction by Company of, the base salary or any failure by Company to pay any non-discretionary Incentive Compensation to which Executive is entitled pursuant to Section 4; (iii) the Company creates a work environment designed to constructively terminate Executive or to unlawfully harass or retaliate against Executive; or (iv) a Change of Control occurs in which the Company is not the surviving entity and the surviving entity fails to offer Executive an executive position at a compensation level at least equal to Executive’s then compensation level under this Agreement. In the event that Executive terminates his employment for Good Reason, then Executive shall be entitled to receive the Base Salary, and Severance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366395</wp:posOffset>
            </wp:positionV>
            <wp:extent cx="54521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2" w:name="page93"/>
    <w:bookmarkEnd w:id="92"/>
    <w:p>
      <w:pPr>
        <w:jc w:val="both"/>
        <w:ind w:left="200" w:right="239"/>
        <w:spacing w:after="0" w:line="261" w:lineRule="auto"/>
        <w:rPr>
          <w:sz w:val="20"/>
          <w:szCs w:val="20"/>
          <w:color w:val="auto"/>
        </w:rPr>
      </w:pPr>
      <w:r>
        <w:rPr>
          <w:rFonts w:ascii="Arial" w:cs="Arial" w:eastAsia="Arial" w:hAnsi="Arial"/>
          <w:sz w:val="20"/>
          <w:szCs w:val="20"/>
          <w:color w:val="auto"/>
        </w:rPr>
        <w:t>Payment as if Executive were terminated by the Company without Cause under Section 6.2, subject to Executive’s compliance with all of the Severance Conditions.</w:t>
      </w:r>
    </w:p>
    <w:p>
      <w:pPr>
        <w:spacing w:after="0" w:line="230"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270" w:lineRule="exact"/>
        <w:rPr>
          <w:sz w:val="20"/>
          <w:szCs w:val="20"/>
          <w:color w:val="auto"/>
        </w:rPr>
      </w:pPr>
    </w:p>
    <w:p>
      <w:pPr>
        <w:jc w:val="both"/>
        <w:ind w:left="200" w:right="219" w:firstLine="1296"/>
        <w:spacing w:after="0" w:line="244" w:lineRule="auto"/>
        <w:rPr>
          <w:sz w:val="20"/>
          <w:szCs w:val="20"/>
          <w:color w:val="auto"/>
        </w:rPr>
      </w:pPr>
      <w:r>
        <w:rPr>
          <w:rFonts w:ascii="Arial" w:cs="Arial" w:eastAsia="Arial" w:hAnsi="Arial"/>
          <w:sz w:val="20"/>
          <w:szCs w:val="20"/>
          <w:color w:val="auto"/>
        </w:rPr>
        <w:t>6.5(a) 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Arial" w:cs="Arial" w:eastAsia="Arial" w:hAnsi="Arial"/>
          <w:sz w:val="20"/>
          <w:szCs w:val="20"/>
          <w:b w:val="1"/>
          <w:bCs w:val="1"/>
          <w:color w:val="auto"/>
        </w:rPr>
        <w:t>Section 409A Regulations</w:t>
      </w:r>
      <w:r>
        <w:rPr>
          <w:rFonts w:ascii="Arial" w:cs="Arial" w:eastAsia="Arial" w:hAnsi="Arial"/>
          <w:sz w:val="20"/>
          <w:szCs w:val="20"/>
          <w:color w:val="auto"/>
        </w:rPr>
        <w:t>”) shall be paid unless and until Executive has incurred a “separation from service” within the meaning of the Section 409A Regulations.</w:t>
      </w:r>
    </w:p>
    <w:p>
      <w:pPr>
        <w:spacing w:after="0" w:line="248" w:lineRule="exact"/>
        <w:rPr>
          <w:sz w:val="20"/>
          <w:szCs w:val="20"/>
          <w:color w:val="auto"/>
        </w:rPr>
      </w:pPr>
    </w:p>
    <w:p>
      <w:pPr>
        <w:jc w:val="both"/>
        <w:ind w:left="200" w:right="219" w:firstLine="1296"/>
        <w:spacing w:after="0" w:line="242" w:lineRule="auto"/>
        <w:rPr>
          <w:sz w:val="20"/>
          <w:szCs w:val="20"/>
          <w:color w:val="auto"/>
        </w:rPr>
      </w:pPr>
      <w:r>
        <w:rPr>
          <w:rFonts w:ascii="Arial" w:cs="Arial" w:eastAsia="Arial" w:hAnsi="Arial"/>
          <w:sz w:val="20"/>
          <w:szCs w:val="20"/>
          <w:color w:val="auto"/>
        </w:rPr>
        <w:t>6.5(b)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However, Company does not guarantee any particular tax effect for income provided to Executive pursuant to this Agreement. In any event, except for Company’s responsibility to withhold applicable income and employment taxes from compensation paid or provided to Executive, Company shall not be responsible for the payment of any applicable taxes on compensation paid or provided to Executive pursuant to this Agreement.</w:t>
      </w:r>
    </w:p>
    <w:p>
      <w:pPr>
        <w:spacing w:after="0" w:line="251" w:lineRule="exact"/>
        <w:rPr>
          <w:sz w:val="20"/>
          <w:szCs w:val="20"/>
          <w:color w:val="auto"/>
        </w:rPr>
      </w:pPr>
    </w:p>
    <w:p>
      <w:pPr>
        <w:jc w:val="both"/>
        <w:ind w:left="200" w:right="219" w:firstLine="1296"/>
        <w:spacing w:after="0" w:line="274" w:lineRule="auto"/>
        <w:rPr>
          <w:sz w:val="20"/>
          <w:szCs w:val="20"/>
          <w:color w:val="auto"/>
        </w:rPr>
      </w:pPr>
      <w:r>
        <w:rPr>
          <w:rFonts w:ascii="Arial" w:cs="Arial" w:eastAsia="Arial" w:hAnsi="Arial"/>
          <w:sz w:val="18"/>
          <w:szCs w:val="18"/>
          <w:color w:val="auto"/>
        </w:rPr>
        <w:t>6.5(c) Furthermore, to the extent that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8"/>
          <w:szCs w:val="18"/>
          <w:b w:val="1"/>
          <w:bCs w:val="1"/>
          <w:color w:val="auto"/>
        </w:rPr>
        <w:t>Delayed Payment Date</w:t>
      </w:r>
      <w:r>
        <w:rPr>
          <w:rFonts w:ascii="Arial" w:cs="Arial" w:eastAsia="Arial" w:hAnsi="Arial"/>
          <w:sz w:val="18"/>
          <w:szCs w:val="18"/>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222" w:lineRule="exact"/>
        <w:rPr>
          <w:sz w:val="20"/>
          <w:szCs w:val="20"/>
          <w:color w:val="auto"/>
        </w:rPr>
      </w:pPr>
    </w:p>
    <w:p>
      <w:pPr>
        <w:jc w:val="both"/>
        <w:ind w:left="200" w:right="219" w:firstLine="1296"/>
        <w:spacing w:after="0" w:line="274" w:lineRule="auto"/>
        <w:rPr>
          <w:sz w:val="20"/>
          <w:szCs w:val="20"/>
          <w:color w:val="auto"/>
        </w:rPr>
      </w:pPr>
      <w:r>
        <w:rPr>
          <w:rFonts w:ascii="Arial" w:cs="Arial" w:eastAsia="Arial" w:hAnsi="Arial"/>
          <w:sz w:val="18"/>
          <w:szCs w:val="18"/>
          <w:color w:val="auto"/>
        </w:rPr>
        <w:t>6.5(d) Notwithstanding anything herein to the contrary, the reimbursement of expenses or in-kind benefits provided pursuant to this Agreement shall be subject to the following conditions: (i) the expenses eligible for reimbursement or in-kind benefits in one taxable year shall not affect the expenses eligible for reimbursement or in-kind benefits in any other taxable year; (ii) the reimbursement of eligible expenses or in-kind benefits shall be made promptly, subject to Company’s applicable policies, but in no event later than the end of the year after the year in which such expense was incurred; and (iii) the right to reimbursement or in-kind benefits shall not be subject to liquidation or exchange for another benefit.</w:t>
      </w:r>
    </w:p>
    <w:p>
      <w:pPr>
        <w:spacing w:after="0" w:line="222" w:lineRule="exact"/>
        <w:rPr>
          <w:sz w:val="20"/>
          <w:szCs w:val="20"/>
          <w:color w:val="auto"/>
        </w:rPr>
      </w:pPr>
    </w:p>
    <w:p>
      <w:pPr>
        <w:jc w:val="both"/>
        <w:ind w:left="200" w:right="239" w:firstLine="1296"/>
        <w:spacing w:after="0" w:line="287" w:lineRule="auto"/>
        <w:rPr>
          <w:sz w:val="20"/>
          <w:szCs w:val="20"/>
          <w:color w:val="auto"/>
        </w:rPr>
      </w:pPr>
      <w:r>
        <w:rPr>
          <w:rFonts w:ascii="Arial" w:cs="Arial" w:eastAsia="Arial" w:hAnsi="Arial"/>
          <w:sz w:val="19"/>
          <w:szCs w:val="19"/>
          <w:color w:val="auto"/>
        </w:rPr>
        <w:t>6.5(e) For purposes of Section 409A of the Code, the right to a series of installment payments under this Agreement shall be treated as a right to a series of separate payments.</w:t>
      </w:r>
    </w:p>
    <w:p>
      <w:pPr>
        <w:spacing w:after="0" w:line="206" w:lineRule="exact"/>
        <w:rPr>
          <w:sz w:val="20"/>
          <w:szCs w:val="20"/>
          <w:color w:val="auto"/>
        </w:rPr>
      </w:pPr>
    </w:p>
    <w:p>
      <w:pPr>
        <w:ind w:left="1500" w:hanging="643"/>
        <w:spacing w:after="0"/>
        <w:tabs>
          <w:tab w:leader="none" w:pos="15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Employment and Post-Employment Covenants</w:t>
      </w:r>
      <w:r>
        <w:rPr>
          <w:rFonts w:ascii="Arial" w:cs="Arial" w:eastAsia="Arial" w:hAnsi="Arial"/>
          <w:sz w:val="20"/>
          <w:szCs w:val="20"/>
          <w:color w:val="auto"/>
        </w:rPr>
        <w:t>.</w:t>
      </w:r>
    </w:p>
    <w:p>
      <w:pPr>
        <w:spacing w:after="0" w:line="270" w:lineRule="exact"/>
        <w:rPr>
          <w:sz w:val="20"/>
          <w:szCs w:val="20"/>
          <w:color w:val="auto"/>
        </w:rPr>
      </w:pPr>
    </w:p>
    <w:p>
      <w:pPr>
        <w:jc w:val="both"/>
        <w:ind w:left="200" w:right="219" w:firstLine="1296"/>
        <w:spacing w:after="0" w:line="242"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Non-Solicitation</w:t>
      </w:r>
      <w:r>
        <w:rPr>
          <w:rFonts w:ascii="Arial" w:cs="Arial" w:eastAsia="Arial" w:hAnsi="Arial"/>
          <w:sz w:val="20"/>
          <w:szCs w:val="20"/>
          <w:color w:val="auto"/>
        </w:rPr>
        <w:t>. Executive agrees that during a period of 12 months following the termination of the Executive’s employment (the “</w:t>
      </w:r>
      <w:r>
        <w:rPr>
          <w:rFonts w:ascii="Arial" w:cs="Arial" w:eastAsia="Arial" w:hAnsi="Arial"/>
          <w:sz w:val="20"/>
          <w:szCs w:val="20"/>
          <w:b w:val="1"/>
          <w:bCs w:val="1"/>
          <w:color w:val="auto"/>
        </w:rPr>
        <w:t>Restrictive Period</w:t>
      </w:r>
      <w:r>
        <w:rPr>
          <w:rFonts w:ascii="Arial" w:cs="Arial" w:eastAsia="Arial" w:hAnsi="Arial"/>
          <w:sz w:val="20"/>
          <w:szCs w:val="20"/>
          <w:color w:val="auto"/>
        </w:rPr>
        <w:t>”), Executive shall not (a) solicit or in any manner encourage, either directly or indirectly, any existing employee of the Company to leave the Company for any reason; nor will he interfere in any other manner with the employment or business relationships at the time existing between the Company and its current or prospective employees or consultants; or (b) induce or attempt to induce any customer, supplier, distributor, licensee or other business affiliate of the Company to cease doing business with the Company or in any way interfere with the existing business relationship between any customer, supplier, distributor, licensee or other business affiliate and the Company.</w:t>
      </w:r>
    </w:p>
    <w:p>
      <w:pPr>
        <w:spacing w:after="0" w:line="210"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at all times following the Effective Date,</w:t>
      </w:r>
    </w:p>
    <w:p>
      <w:pPr>
        <w:ind w:left="4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546100</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3" w:name="page94"/>
    <w:bookmarkEnd w:id="93"/>
    <w:p>
      <w:pPr>
        <w:jc w:val="both"/>
        <w:ind w:left="200" w:right="219"/>
        <w:spacing w:after="0" w:line="271" w:lineRule="auto"/>
        <w:rPr>
          <w:sz w:val="20"/>
          <w:szCs w:val="20"/>
          <w:color w:val="auto"/>
        </w:rPr>
      </w:pPr>
      <w:r>
        <w:rPr>
          <w:rFonts w:ascii="Arial" w:cs="Arial" w:eastAsia="Arial" w:hAnsi="Arial"/>
          <w:sz w:val="18"/>
          <w:szCs w:val="18"/>
          <w:color w:val="auto"/>
        </w:rPr>
        <w:t>not to, directly or indirectly, on his behalf or on behalf of any other person or entity, (a) take any action which is intended, or could reasonably be expected, to harm, disparage, defame, slander, or lead to unwanted or unfavorable publicity for the Company, its subsidiaries or any of their respective affiliates, or its or their respective equity holders, directors, officers, members, managers, partners, employees, representatives or agents, or otherwise take any action which could reasonably be expected to detrimentally affect the reputation, image, relationships or public view of any such person or entity or (b) attempt to do any of the foregoing, or assist, entice, induce or encourage any other person or entity to do or attempt to do any activity which, were it done by Executive, would violate any provision of this Section 7.2; provided, however, that Executive shall not be prohibited by this Section 7.2 from making truthful statements (i) when required by order of a court or other body of competent jurisdiction or as required by law or (ii) solely within the context of seeking judicial enforcement of legal or contractual rights against a person or entity.</w:t>
      </w:r>
    </w:p>
    <w:p>
      <w:pPr>
        <w:spacing w:after="0" w:line="225" w:lineRule="exact"/>
        <w:rPr>
          <w:sz w:val="20"/>
          <w:szCs w:val="20"/>
          <w:color w:val="auto"/>
        </w:rPr>
      </w:pPr>
    </w:p>
    <w:p>
      <w:pPr>
        <w:jc w:val="both"/>
        <w:ind w:left="200" w:right="219" w:firstLine="1296"/>
        <w:spacing w:after="0" w:line="242"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Remedies</w:t>
      </w:r>
      <w:r>
        <w:rPr>
          <w:rFonts w:ascii="Arial" w:cs="Arial" w:eastAsia="Arial" w:hAnsi="Arial"/>
          <w:sz w:val="20"/>
          <w:szCs w:val="20"/>
          <w:color w:val="auto"/>
        </w:rPr>
        <w:t>. Executive acknowledges that the duration of the Restrictive Period is fair is reasonably required for the protection of the Company's business interests, including its goodwill. The Executive (a) acknowledges that his failure to comply with any requirement of this Section 7 this Agreement will cause the Company irreparable harm and that a remedy at law for such a failure would be an inadequate remedy; and (b) consents to the Company's obtaining from a court having jurisdiction specific performance, an injunction, a restraining order or any other equitable relief in order to enforce any such provision. The right to obtain such equitable relief shall be in addition to, and not in lieu of, any other remedy to which the Company is entitled under applicable law (including, but not limited to, monetary damages).</w:t>
      </w:r>
    </w:p>
    <w:p>
      <w:pPr>
        <w:spacing w:after="0" w:line="248" w:lineRule="exact"/>
        <w:rPr>
          <w:sz w:val="20"/>
          <w:szCs w:val="20"/>
          <w:color w:val="auto"/>
        </w:rPr>
      </w:pPr>
    </w:p>
    <w:p>
      <w:pPr>
        <w:ind w:left="1500" w:hanging="643"/>
        <w:spacing w:after="0"/>
        <w:tabs>
          <w:tab w:leader="none" w:pos="150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w:t>
      </w:r>
    </w:p>
    <w:p>
      <w:pPr>
        <w:spacing w:after="0" w:line="270" w:lineRule="exact"/>
        <w:rPr>
          <w:sz w:val="20"/>
          <w:szCs w:val="20"/>
          <w:color w:val="auto"/>
        </w:rPr>
      </w:pPr>
    </w:p>
    <w:p>
      <w:pPr>
        <w:jc w:val="both"/>
        <w:ind w:left="200" w:right="219" w:firstLine="1296"/>
        <w:spacing w:after="0" w:line="246"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245" w:lineRule="exact"/>
        <w:rPr>
          <w:sz w:val="20"/>
          <w:szCs w:val="20"/>
          <w:color w:val="auto"/>
        </w:rPr>
      </w:pPr>
    </w:p>
    <w:p>
      <w:pPr>
        <w:jc w:val="both"/>
        <w:ind w:left="200" w:right="219" w:firstLine="1296"/>
        <w:spacing w:after="0" w:line="25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Waiver</w:t>
      </w:r>
      <w:r>
        <w:rPr>
          <w:rFonts w:ascii="Arial" w:cs="Arial" w:eastAsia="Arial" w:hAnsi="Arial"/>
          <w:sz w:val="20"/>
          <w:szCs w:val="20"/>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240" w:lineRule="exact"/>
        <w:rPr>
          <w:sz w:val="20"/>
          <w:szCs w:val="20"/>
          <w:color w:val="auto"/>
        </w:rPr>
      </w:pPr>
    </w:p>
    <w:p>
      <w:pPr>
        <w:jc w:val="both"/>
        <w:ind w:left="200" w:right="219" w:firstLine="1296"/>
        <w:spacing w:after="0" w:line="246"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of any dispute or claim relating to or arising out of Executive’s employment relationship with Company, this Agreement, or the termination of Executive’s employment with Company for any reason, the prevailing party in any such dispute or claim shall be entitled to recover its reasonable attorney’s fees and costs.</w:t>
      </w:r>
    </w:p>
    <w:p>
      <w:pPr>
        <w:spacing w:after="0" w:line="245"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247" w:lineRule="exact"/>
        <w:rPr>
          <w:sz w:val="20"/>
          <w:szCs w:val="20"/>
          <w:color w:val="auto"/>
        </w:rPr>
      </w:pPr>
    </w:p>
    <w:p>
      <w:pPr>
        <w:jc w:val="both"/>
        <w:ind w:left="200" w:right="219" w:firstLine="1296"/>
        <w:spacing w:after="0" w:line="259"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Interpretation; Construction</w:t>
      </w:r>
      <w:r>
        <w:rPr>
          <w:rFonts w:ascii="Arial" w:cs="Arial" w:eastAsia="Arial" w:hAnsi="Arial"/>
          <w:sz w:val="19"/>
          <w:szCs w:val="19"/>
          <w:color w:val="auto"/>
        </w:rPr>
        <w:t>. The headings set forth in this Agreement are for convenience only and shall not be used in interpreting this Agreement. Executive has participated in the negotiation of the terms of this Agreement.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jc w:val="both"/>
        <w:ind w:left="200" w:right="219" w:firstLine="1296"/>
        <w:spacing w:after="0" w:line="260"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and construed in accordance with the laws of the United States and the internal laws of the State of California.</w:t>
      </w:r>
    </w:p>
    <w:p>
      <w:pPr>
        <w:spacing w:after="0" w:line="231"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addresses set forth below each party’s signature, or such other address as either party may specify in writing.</w:t>
      </w:r>
    </w:p>
    <w:p>
      <w:pPr>
        <w:spacing w:after="0" w:line="247" w:lineRule="exact"/>
        <w:rPr>
          <w:sz w:val="20"/>
          <w:szCs w:val="20"/>
          <w:color w:val="auto"/>
        </w:rPr>
      </w:pPr>
    </w:p>
    <w:p>
      <w:pPr>
        <w:jc w:val="both"/>
        <w:ind w:left="200" w:right="219" w:firstLine="1296"/>
        <w:spacing w:after="0" w:line="260"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Company. No oral waiver, amendment or modification will be effective under any circumstances whatsoever.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Execution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661670</wp:posOffset>
            </wp:positionV>
            <wp:extent cx="545211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019"/>
          </w:cols>
          <w:pgMar w:left="1440" w:top="393" w:right="1440" w:bottom="1440" w:gutter="0" w:footer="0" w:header="0"/>
        </w:sectPr>
      </w:pPr>
    </w:p>
    <w:bookmarkStart w:id="95" w:name="page96"/>
    <w:bookmarkEnd w:id="95"/>
    <w:p>
      <w:pPr>
        <w:jc w:val="both"/>
        <w:ind w:left="120" w:right="239"/>
        <w:spacing w:after="0" w:line="264" w:lineRule="auto"/>
        <w:rPr>
          <w:sz w:val="20"/>
          <w:szCs w:val="20"/>
          <w:color w:val="auto"/>
        </w:rPr>
      </w:pPr>
      <w:r>
        <w:rPr>
          <w:rFonts w:ascii="Arial" w:cs="Arial" w:eastAsia="Arial" w:hAnsi="Arial"/>
          <w:sz w:val="20"/>
          <w:szCs w:val="20"/>
          <w:color w:val="auto"/>
        </w:rPr>
        <w:t>THE PARTIES TO THIS AGREEMENT HAVE READ THE FOREGOING AGREEMENT AND FULLY UNDERSTAND EACH AND EVERY PROVISION CONTAINED HEREIN. WHEREFORE, THE PARTIES HAVE EXECUTED THIS AGREEMENT AS SHOWN BELOW.</w:t>
      </w:r>
    </w:p>
    <w:p>
      <w:pPr>
        <w:spacing w:after="0" w:line="254"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EXECUTIVE:</w:t>
      </w:r>
    </w:p>
    <w:p>
      <w:pPr>
        <w:spacing w:after="0" w:line="270" w:lineRule="exact"/>
        <w:rPr>
          <w:sz w:val="20"/>
          <w:szCs w:val="20"/>
          <w:color w:val="auto"/>
        </w:rPr>
      </w:pPr>
    </w:p>
    <w:p>
      <w:pPr>
        <w:ind w:left="4560"/>
        <w:spacing w:after="0"/>
        <w:rPr>
          <w:sz w:val="20"/>
          <w:szCs w:val="20"/>
          <w:color w:val="auto"/>
        </w:rPr>
      </w:pPr>
      <w:r>
        <w:rPr>
          <w:rFonts w:ascii="Arial" w:cs="Arial" w:eastAsia="Arial" w:hAnsi="Arial"/>
          <w:sz w:val="20"/>
          <w:szCs w:val="20"/>
          <w:u w:val="single" w:color="auto"/>
          <w:color w:val="auto"/>
        </w:rPr>
        <w:t>/s/ Igor Bilinsky</w:t>
      </w:r>
    </w:p>
    <w:p>
      <w:pPr>
        <w:spacing w:after="0" w:line="27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Igor Bilinsky</w:t>
      </w:r>
    </w:p>
    <w:p>
      <w:pPr>
        <w:spacing w:after="0" w:line="27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Address:</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COMPANY:</w:t>
      </w:r>
    </w:p>
    <w:p>
      <w:pPr>
        <w:spacing w:after="0" w:line="27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Iovance Biotherapeutics, Inc.</w:t>
      </w:r>
    </w:p>
    <w:p>
      <w:pPr>
        <w:spacing w:after="0" w:line="27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20"/>
          <w:szCs w:val="20"/>
          <w:u w:val="single" w:color="auto"/>
          <w:color w:val="auto"/>
        </w:rPr>
        <w:t>/s/ Maria Fardis</w:t>
      </w:r>
    </w:p>
    <w:p>
      <w:pPr>
        <w:spacing w:after="0" w:line="254"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Maria Fardis</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President &amp; Chief Executive Officer</w:t>
      </w:r>
    </w:p>
    <w:p>
      <w:pPr>
        <w:ind w:left="4560"/>
        <w:spacing w:after="0"/>
        <w:rPr>
          <w:sz w:val="20"/>
          <w:szCs w:val="20"/>
          <w:color w:val="auto"/>
        </w:rPr>
      </w:pPr>
      <w:r>
        <w:rPr>
          <w:rFonts w:ascii="Arial" w:cs="Arial" w:eastAsia="Arial" w:hAnsi="Arial"/>
          <w:sz w:val="20"/>
          <w:szCs w:val="20"/>
          <w:color w:val="auto"/>
        </w:rPr>
        <w:t>999 Skyway Road, Suite 150</w:t>
      </w:r>
    </w:p>
    <w:p>
      <w:pPr>
        <w:ind w:left="4560"/>
        <w:spacing w:after="0"/>
        <w:rPr>
          <w:sz w:val="20"/>
          <w:szCs w:val="20"/>
          <w:color w:val="auto"/>
        </w:rPr>
      </w:pPr>
      <w:r>
        <w:rPr>
          <w:rFonts w:ascii="Arial" w:cs="Arial" w:eastAsia="Arial" w:hAnsi="Arial"/>
          <w:sz w:val="20"/>
          <w:szCs w:val="20"/>
          <w:color w:val="auto"/>
        </w:rPr>
        <w:t>San Carlos, CA 94070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488950</wp:posOffset>
            </wp:positionV>
            <wp:extent cx="547751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5477510" cy="17145"/>
                    </a:xfrm>
                    <a:prstGeom prst="rect">
                      <a:avLst/>
                    </a:prstGeom>
                    <a:noFill/>
                  </pic:spPr>
                </pic:pic>
              </a:graphicData>
            </a:graphic>
          </wp:anchor>
        </w:drawing>
      </w:r>
    </w:p>
    <w:p>
      <w:pPr>
        <w:sectPr>
          <w:pgSz w:w="11900" w:h="16838" w:orient="portrait"/>
          <w:cols w:equalWidth="0" w:num="1">
            <w:col w:w="9019"/>
          </w:cols>
          <w:pgMar w:left="1440" w:top="163"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Dated: May 6, 2021</w:t>
            </w:r>
          </w:p>
        </w:tc>
        <w:tc>
          <w:tcPr>
            <w:tcW w:w="6700" w:type="dxa"/>
            <w:vAlign w:val="bottom"/>
            <w:gridSpan w:val="2"/>
          </w:tcPr>
          <w:p>
            <w:pPr>
              <w:ind w:left="1760"/>
              <w:spacing w:after="0"/>
              <w:rPr>
                <w:sz w:val="20"/>
                <w:szCs w:val="20"/>
                <w:color w:val="auto"/>
              </w:rPr>
            </w:pPr>
            <w:r>
              <w:rPr>
                <w:rFonts w:ascii="Arial" w:cs="Arial" w:eastAsia="Arial" w:hAnsi="Arial"/>
                <w:sz w:val="18"/>
                <w:szCs w:val="18"/>
                <w:color w:val="auto"/>
              </w:rPr>
              <w:t>By: /s/ Maria Fardis, Ph.D., M.B.A.</w:t>
            </w:r>
          </w:p>
        </w:tc>
      </w:tr>
      <w:tr>
        <w:trPr>
          <w:trHeight w:val="195"/>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 Ph.D., M.B.A.</w:t>
            </w:r>
          </w:p>
        </w:tc>
      </w:tr>
      <w:tr>
        <w:trPr>
          <w:trHeight w:val="230"/>
        </w:trPr>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776"/>
        </w:trPr>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Jean-Marc Bellemin, Chief Financial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Dated: May 6, 2021</w:t>
            </w:r>
          </w:p>
        </w:tc>
        <w:tc>
          <w:tcPr>
            <w:tcW w:w="6700" w:type="dxa"/>
            <w:vAlign w:val="bottom"/>
            <w:gridSpan w:val="2"/>
          </w:tcPr>
          <w:p>
            <w:pPr>
              <w:ind w:left="1760"/>
              <w:spacing w:after="0"/>
              <w:rPr>
                <w:sz w:val="20"/>
                <w:szCs w:val="20"/>
                <w:color w:val="auto"/>
              </w:rPr>
            </w:pPr>
            <w:r>
              <w:rPr>
                <w:rFonts w:ascii="Arial" w:cs="Arial" w:eastAsia="Arial" w:hAnsi="Arial"/>
                <w:sz w:val="18"/>
                <w:szCs w:val="18"/>
                <w:color w:val="auto"/>
              </w:rPr>
              <w:t>By: /s/ Jean-Marc Bellemin</w:t>
            </w:r>
          </w:p>
        </w:tc>
      </w:tr>
      <w:tr>
        <w:trPr>
          <w:trHeight w:val="195"/>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Jean-Marc Bellemin</w:t>
            </w:r>
          </w:p>
        </w:tc>
      </w:tr>
      <w:tr>
        <w:trPr>
          <w:trHeight w:val="216"/>
        </w:trPr>
        <w:tc>
          <w:tcPr>
            <w:tcW w:w="3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Financial Officer &amp; Principal Accounting Officer)</w:t>
            </w:r>
          </w:p>
        </w:tc>
      </w:tr>
      <w:tr>
        <w:trPr>
          <w:trHeight w:val="776"/>
        </w:trPr>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March 31, 2021,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Dated: May 6, 2021</w:t>
            </w:r>
          </w:p>
        </w:tc>
        <w:tc>
          <w:tcPr>
            <w:tcW w:w="6720" w:type="dxa"/>
            <w:vAlign w:val="bottom"/>
            <w:gridSpan w:val="2"/>
          </w:tcPr>
          <w:p>
            <w:pPr>
              <w:ind w:left="1760"/>
              <w:spacing w:after="0"/>
              <w:rPr>
                <w:sz w:val="20"/>
                <w:szCs w:val="20"/>
                <w:color w:val="auto"/>
              </w:rPr>
            </w:pPr>
            <w:r>
              <w:rPr>
                <w:rFonts w:ascii="Arial" w:cs="Arial" w:eastAsia="Arial" w:hAnsi="Arial"/>
                <w:sz w:val="18"/>
                <w:szCs w:val="18"/>
                <w:color w:val="auto"/>
              </w:rPr>
              <w:t>By: /s/ Maria Fardis, Ph.D., M.B.A.</w:t>
            </w:r>
          </w:p>
        </w:tc>
      </w:tr>
      <w:tr>
        <w:trPr>
          <w:trHeight w:val="195"/>
        </w:trPr>
        <w:tc>
          <w:tcPr>
            <w:tcW w:w="3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 Ph.D., M.B.A.</w:t>
            </w:r>
          </w:p>
        </w:tc>
      </w:tr>
      <w:tr>
        <w:trPr>
          <w:trHeight w:val="230"/>
        </w:trPr>
        <w:tc>
          <w:tcPr>
            <w:tcW w:w="3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100" w:right="120" w:firstLine="648"/>
        <w:spacing w:after="0" w:line="311" w:lineRule="auto"/>
        <w:rPr>
          <w:sz w:val="20"/>
          <w:szCs w:val="20"/>
          <w:color w:val="auto"/>
        </w:rPr>
      </w:pPr>
      <w:r>
        <w:rPr>
          <w:rFonts w:ascii="Arial" w:cs="Arial" w:eastAsia="Arial" w:hAnsi="Arial"/>
          <w:sz w:val="16"/>
          <w:szCs w:val="16"/>
          <w:color w:val="auto"/>
        </w:rPr>
        <w:t>In connection with the Quarterly Report on Form 10-Q of Iovance Biotherapeutics, Inc. (the “Company”) for the quarter ended March 31, 2021 as filed with the Securities and Exchange Commission on the date hereof (the “Report”), Jean-Marc Bellemin, Chief Financial Officer, hereby certifies, pursuant to 18 U.S.C. §1350, as adopted pursuant to §906 of the Sarbanes-Oxley Act of 2002, that:</w:t>
      </w:r>
    </w:p>
    <w:p>
      <w:pPr>
        <w:spacing w:after="0" w:line="149" w:lineRule="exact"/>
        <w:rPr>
          <w:sz w:val="20"/>
          <w:szCs w:val="20"/>
          <w:color w:val="auto"/>
        </w:rPr>
      </w:pPr>
    </w:p>
    <w:p>
      <w:pPr>
        <w:ind w:left="360" w:hanging="2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 w:firstLine="8"/>
        <w:spacing w:after="0" w:line="277" w:lineRule="auto"/>
        <w:tabs>
          <w:tab w:leader="none" w:pos="3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5060" w:val="left"/>
          <w:tab w:leader="none" w:pos="5460" w:val="left"/>
        </w:tabs>
        <w:rPr>
          <w:sz w:val="20"/>
          <w:szCs w:val="20"/>
          <w:color w:val="auto"/>
        </w:rPr>
      </w:pPr>
      <w:r>
        <w:rPr>
          <w:rFonts w:ascii="Arial" w:cs="Arial" w:eastAsia="Arial" w:hAnsi="Arial"/>
          <w:sz w:val="18"/>
          <w:szCs w:val="18"/>
          <w:color w:val="auto"/>
        </w:rPr>
        <w:t>Dated: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Jean-Marc Bellemin</w:t>
      </w:r>
    </w:p>
    <w:p>
      <w:pPr>
        <w:spacing w:after="0" w:line="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-130175</wp:posOffset>
            </wp:positionV>
            <wp:extent cx="29489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38"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323215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10020"/>
      </w:cols>
      <w:pgMar w:left="8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lvl w:ilvl="1">
      <w:lvlJc w:val="left"/>
      <w:lvlText w:val="●"/>
      <w:numFmt w:val="bullet"/>
      <w:start w:val="1"/>
    </w:lvl>
  </w:abstractNum>
  <w:abstractNum w:abstractNumId="6">
    <w:nsid w:val="6763845E"/>
    <w:multiLevelType w:val="hybridMultilevel"/>
    <w:lvl w:ilvl="0">
      <w:lvlJc w:val="left"/>
      <w:lvlText w:val="●"/>
      <w:numFmt w:val="bullet"/>
      <w:start w:val="1"/>
    </w:lvl>
    <w:lvl w:ilvl="1">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lvl w:ilvl="1">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01"/>
    </w:lvl>
  </w:abstractNum>
  <w:abstractNum w:abstractNumId="27">
    <w:nsid w:val="614FD4A1"/>
    <w:multiLevelType w:val="hybridMultilevel"/>
    <w:lvl w:ilvl="0">
      <w:lvlJc w:val="left"/>
      <w:lvlText w:val="#"/>
      <w:numFmt w:val="bullet"/>
      <w:start w:val="1"/>
    </w:lvl>
    <w:lvl w:ilvl="1">
      <w:lvlJc w:val="left"/>
      <w:lvlText w:val="%2"/>
      <w:numFmt w:val="decimal"/>
      <w:start w:val="104"/>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Roman"/>
      <w:start w:val="1"/>
    </w:lvl>
    <w:lvl w:ilvl="1">
      <w:lvlJc w:val="left"/>
      <w:lvlText w:val="%2."/>
      <w:numFmt w:val="decimal"/>
      <w:start w:val="3"/>
    </w:lvl>
  </w:abstractNum>
  <w:abstractNum w:abstractNumId="32">
    <w:nsid w:val="3804823E"/>
    <w:multiLevelType w:val="hybridMultilevel"/>
    <w:lvl w:ilvl="0">
      <w:lvlJc w:val="left"/>
      <w:lvlText w:val="(%1)"/>
      <w:numFmt w:val="lowerRoman"/>
      <w:start w:val="1"/>
    </w:lvl>
  </w:abstractNum>
  <w:abstractNum w:abstractNumId="33">
    <w:nsid w:val="77465F01"/>
    <w:multiLevelType w:val="hybridMultilevel"/>
    <w:lvl w:ilvl="0">
      <w:lvlJc w:val="left"/>
      <w:lvlText w:val="%1."/>
      <w:numFmt w:val="decimal"/>
      <w:start w:val="5"/>
    </w:lvl>
  </w:abstractNum>
  <w:abstractNum w:abstractNumId="34">
    <w:nsid w:val="7724C67E"/>
    <w:multiLevelType w:val="hybridMultilevel"/>
    <w:lvl w:ilvl="0">
      <w:lvlJc w:val="left"/>
      <w:lvlText w:val="%1."/>
      <w:numFmt w:val="decimal"/>
      <w:start w:val="7"/>
    </w:lvl>
  </w:abstractNum>
  <w:abstractNum w:abstractNumId="35">
    <w:nsid w:val="5C482A97"/>
    <w:multiLevelType w:val="hybridMultilevel"/>
    <w:lvl w:ilvl="0">
      <w:lvlJc w:val="left"/>
      <w:lvlText w:val="%1."/>
      <w:numFmt w:val="decimal"/>
      <w:start w:val="8"/>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52" Type="http://schemas.openxmlformats.org/officeDocument/2006/relationships/hyperlink" Target="https://www.sec.gov/ix?doc=/Archives/edgar/data/1425205/000155837021001858/iova-20201231x10k.htm" TargetMode="External"/><Relationship Id="rId99" Type="http://schemas.openxmlformats.org/officeDocument/2006/relationships/hyperlink" Target="https://www.sec.gov/Archives/edgar/data/0001425205/000110465921016221/tm215703d2_ex10-1.htm" TargetMode="External"/><Relationship Id="rId100" Type="http://schemas.openxmlformats.org/officeDocument/2006/relationships/hyperlink" Target="https://www.sec.gov/Archives/edgar/data/1425205/000110465921016221/tm215703d2_ex10-2.htm" TargetMode="External"/><Relationship Id="rId101" Type="http://schemas.openxmlformats.org/officeDocument/2006/relationships/hyperlink" Target="https://www.sec.gov/Archives/edgar/data/1425205/000110465921016221/tm215703d2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2021-05-06T16:45:28Z</dcterms:created>
  <dcterms:modified xsi:type="dcterms:W3CDTF">2021-05-06T16:45:28Z</dcterms:modified>
</cp:coreProperties>
</file>