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426720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21"/>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ind w:right="-21"/>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ind w:right="-21"/>
        <w:spacing w:after="0"/>
        <w:rPr>
          <w:sz w:val="20"/>
          <w:szCs w:val="20"/>
          <w:color w:val="auto"/>
        </w:rPr>
      </w:pPr>
      <w:r>
        <w:rPr>
          <w:rFonts w:ascii="Arial" w:cs="Arial" w:eastAsia="Arial" w:hAnsi="Arial"/>
          <w:sz w:val="18"/>
          <w:szCs w:val="18"/>
          <w:b w:val="1"/>
          <w:bCs w:val="1"/>
          <w:color w:val="auto"/>
        </w:rPr>
        <w:t>FORM 10-Q</w:t>
      </w:r>
    </w:p>
    <w:p>
      <w:pPr>
        <w:spacing w:after="0" w:line="162" w:lineRule="exact"/>
        <w:rPr>
          <w:sz w:val="24"/>
          <w:szCs w:val="24"/>
          <w:color w:val="auto"/>
        </w:rPr>
      </w:pPr>
    </w:p>
    <w:p>
      <w:pPr>
        <w:ind w:left="3562" w:right="1060" w:hanging="3562"/>
        <w:spacing w:after="0" w:line="277" w:lineRule="auto"/>
        <w:tabs>
          <w:tab w:leader="none" w:pos="6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2019</w:t>
      </w:r>
    </w:p>
    <w:p>
      <w:pPr>
        <w:spacing w:after="0" w:line="103" w:lineRule="exact"/>
        <w:rPr>
          <w:sz w:val="24"/>
          <w:szCs w:val="24"/>
          <w:color w:val="auto"/>
        </w:rPr>
      </w:pPr>
    </w:p>
    <w:p>
      <w:pPr>
        <w:ind w:left="3962" w:right="1040" w:hanging="3962"/>
        <w:spacing w:after="0" w:line="277" w:lineRule="auto"/>
        <w:tabs>
          <w:tab w:leader="none" w:pos="6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to .</w:t>
      </w:r>
    </w:p>
    <w:p>
      <w:pPr>
        <w:spacing w:after="0" w:line="103"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Commission File Number 001-36860</w:t>
      </w:r>
    </w:p>
    <w:p>
      <w:pPr>
        <w:spacing w:after="0" w:line="149" w:lineRule="exact"/>
        <w:rPr>
          <w:sz w:val="24"/>
          <w:szCs w:val="24"/>
          <w:color w:val="auto"/>
        </w:rPr>
      </w:pPr>
    </w:p>
    <w:p>
      <w:pPr>
        <w:jc w:val="center"/>
        <w:ind w:right="-21"/>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(Exact name of issuer as specified in its charter)</w:t>
      </w:r>
    </w:p>
    <w:p>
      <w:pPr>
        <w:spacing w:after="0" w:line="155" w:lineRule="exact"/>
        <w:rPr>
          <w:sz w:val="24"/>
          <w:szCs w:val="24"/>
          <w:color w:val="auto"/>
        </w:rPr>
      </w:pPr>
    </w:p>
    <w:tbl>
      <w:tblPr>
        <w:tblLayout w:type="fixed"/>
        <w:tblInd w:w="1522" w:type="dxa"/>
        <w:tblCellMar>
          <w:top w:w="0" w:type="dxa"/>
          <w:left w:w="0" w:type="dxa"/>
          <w:bottom w:w="0" w:type="dxa"/>
          <w:right w:w="0" w:type="dxa"/>
        </w:tblCellMar>
      </w:tblPr>
      <w:tr>
        <w:trPr>
          <w:trHeight w:val="216"/>
        </w:trPr>
        <w:tc>
          <w:tcPr>
            <w:tcW w:w="3820" w:type="dxa"/>
            <w:vAlign w:val="bottom"/>
          </w:tcPr>
          <w:p>
            <w:pPr>
              <w:jc w:val="center"/>
              <w:ind w:right="1570"/>
              <w:spacing w:after="0"/>
              <w:rPr>
                <w:sz w:val="20"/>
                <w:szCs w:val="20"/>
                <w:color w:val="auto"/>
              </w:rPr>
            </w:pPr>
            <w:r>
              <w:rPr>
                <w:rFonts w:ascii="Arial" w:cs="Arial" w:eastAsia="Arial" w:hAnsi="Arial"/>
                <w:sz w:val="18"/>
                <w:szCs w:val="18"/>
                <w:color w:val="auto"/>
                <w:w w:val="89"/>
              </w:rPr>
              <w:t>Delaware</w:t>
            </w:r>
          </w:p>
        </w:tc>
        <w:tc>
          <w:tcPr>
            <w:tcW w:w="3260" w:type="dxa"/>
            <w:vAlign w:val="bottom"/>
          </w:tcPr>
          <w:p>
            <w:pPr>
              <w:jc w:val="center"/>
              <w:ind w:left="1550"/>
              <w:spacing w:after="0"/>
              <w:rPr>
                <w:sz w:val="20"/>
                <w:szCs w:val="20"/>
                <w:color w:val="auto"/>
              </w:rPr>
            </w:pPr>
            <w:r>
              <w:rPr>
                <w:rFonts w:ascii="Arial" w:cs="Arial" w:eastAsia="Arial" w:hAnsi="Arial"/>
                <w:sz w:val="18"/>
                <w:szCs w:val="18"/>
                <w:color w:val="auto"/>
                <w:w w:val="89"/>
              </w:rPr>
              <w:t>75-3254381</w:t>
            </w:r>
          </w:p>
        </w:tc>
      </w:tr>
      <w:tr>
        <w:trPr>
          <w:trHeight w:val="216"/>
        </w:trPr>
        <w:tc>
          <w:tcPr>
            <w:tcW w:w="3820" w:type="dxa"/>
            <w:vAlign w:val="bottom"/>
          </w:tcPr>
          <w:p>
            <w:pPr>
              <w:jc w:val="center"/>
              <w:ind w:right="1570"/>
              <w:spacing w:after="0"/>
              <w:rPr>
                <w:sz w:val="20"/>
                <w:szCs w:val="20"/>
                <w:color w:val="auto"/>
              </w:rPr>
            </w:pPr>
            <w:r>
              <w:rPr>
                <w:rFonts w:ascii="Arial" w:cs="Arial" w:eastAsia="Arial" w:hAnsi="Arial"/>
                <w:sz w:val="18"/>
                <w:szCs w:val="18"/>
                <w:color w:val="auto"/>
                <w:w w:val="92"/>
              </w:rPr>
              <w:t>(State or other jurisdiction of</w:t>
            </w:r>
          </w:p>
        </w:tc>
        <w:tc>
          <w:tcPr>
            <w:tcW w:w="3260" w:type="dxa"/>
            <w:vAlign w:val="bottom"/>
          </w:tcPr>
          <w:p>
            <w:pPr>
              <w:jc w:val="center"/>
              <w:ind w:left="1570"/>
              <w:spacing w:after="0"/>
              <w:rPr>
                <w:sz w:val="20"/>
                <w:szCs w:val="20"/>
                <w:color w:val="auto"/>
              </w:rPr>
            </w:pPr>
            <w:r>
              <w:rPr>
                <w:rFonts w:ascii="Arial" w:cs="Arial" w:eastAsia="Arial" w:hAnsi="Arial"/>
                <w:sz w:val="18"/>
                <w:szCs w:val="18"/>
                <w:color w:val="auto"/>
                <w:w w:val="92"/>
              </w:rPr>
              <w:t>(I.R.S. employer</w:t>
            </w:r>
          </w:p>
        </w:tc>
      </w:tr>
      <w:tr>
        <w:trPr>
          <w:trHeight w:val="230"/>
        </w:trPr>
        <w:tc>
          <w:tcPr>
            <w:tcW w:w="3820" w:type="dxa"/>
            <w:vAlign w:val="bottom"/>
          </w:tcPr>
          <w:p>
            <w:pPr>
              <w:jc w:val="center"/>
              <w:ind w:right="1570"/>
              <w:spacing w:after="0"/>
              <w:rPr>
                <w:sz w:val="20"/>
                <w:szCs w:val="20"/>
                <w:color w:val="auto"/>
              </w:rPr>
            </w:pPr>
            <w:r>
              <w:rPr>
                <w:rFonts w:ascii="Arial" w:cs="Arial" w:eastAsia="Arial" w:hAnsi="Arial"/>
                <w:sz w:val="18"/>
                <w:szCs w:val="18"/>
                <w:color w:val="auto"/>
                <w:w w:val="92"/>
              </w:rPr>
              <w:t>incorporation or organization)</w:t>
            </w:r>
          </w:p>
        </w:tc>
        <w:tc>
          <w:tcPr>
            <w:tcW w:w="3260" w:type="dxa"/>
            <w:vAlign w:val="bottom"/>
          </w:tcPr>
          <w:p>
            <w:pPr>
              <w:jc w:val="center"/>
              <w:ind w:left="1550"/>
              <w:spacing w:after="0"/>
              <w:rPr>
                <w:sz w:val="20"/>
                <w:szCs w:val="20"/>
                <w:color w:val="auto"/>
              </w:rPr>
            </w:pPr>
            <w:r>
              <w:rPr>
                <w:rFonts w:ascii="Arial" w:cs="Arial" w:eastAsia="Arial" w:hAnsi="Arial"/>
                <w:sz w:val="18"/>
                <w:szCs w:val="18"/>
                <w:color w:val="auto"/>
                <w:w w:val="94"/>
              </w:rPr>
              <w:t>identification number)</w:t>
            </w:r>
          </w:p>
        </w:tc>
      </w:tr>
    </w:tbl>
    <w:p>
      <w:pPr>
        <w:spacing w:after="0" w:line="134" w:lineRule="exact"/>
        <w:rPr>
          <w:sz w:val="24"/>
          <w:szCs w:val="24"/>
          <w:color w:val="auto"/>
        </w:rPr>
      </w:pPr>
    </w:p>
    <w:p>
      <w:pPr>
        <w:ind w:left="3302"/>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282"/>
        <w:spacing w:after="0"/>
        <w:rPr>
          <w:sz w:val="20"/>
          <w:szCs w:val="20"/>
          <w:color w:val="auto"/>
        </w:rPr>
      </w:pPr>
      <w:r>
        <w:rPr>
          <w:rFonts w:ascii="Arial" w:cs="Arial" w:eastAsia="Arial" w:hAnsi="Arial"/>
          <w:sz w:val="18"/>
          <w:szCs w:val="18"/>
          <w:color w:val="auto"/>
        </w:rPr>
        <w:t>(Address of principal executive offices and zip code)</w:t>
      </w:r>
    </w:p>
    <w:p>
      <w:pPr>
        <w:spacing w:after="0" w:line="143" w:lineRule="exact"/>
        <w:rPr>
          <w:sz w:val="24"/>
          <w:szCs w:val="24"/>
          <w:color w:val="auto"/>
        </w:rPr>
      </w:pPr>
    </w:p>
    <w:p>
      <w:pPr>
        <w:jc w:val="center"/>
        <w:ind w:right="-21"/>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ind w:left="2" w:right="42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ind w:left="2" w:right="2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left="2" w:right="4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2"/>
          </w:cols>
          <w:pgMar w:left="758" w:top="665" w:right="759" w:bottom="1440" w:gutter="0" w:footer="0" w:header="0"/>
        </w:sectPr>
      </w:pPr>
    </w:p>
    <w:p>
      <w:pPr>
        <w:spacing w:after="0" w:line="114" w:lineRule="exact"/>
        <w:rPr>
          <w:sz w:val="24"/>
          <w:szCs w:val="24"/>
          <w:color w:val="auto"/>
        </w:rPr>
      </w:pPr>
    </w:p>
    <w:p>
      <w:pPr>
        <w:ind w:left="162"/>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5" w:lineRule="exact"/>
        <w:rPr>
          <w:sz w:val="24"/>
          <w:szCs w:val="24"/>
          <w:color w:val="auto"/>
        </w:rPr>
      </w:pPr>
    </w:p>
    <w:p>
      <w:pPr>
        <w:sectPr>
          <w:pgSz w:w="11900" w:h="16838" w:orient="portrait"/>
          <w:cols w:equalWidth="0" w:num="3">
            <w:col w:w="1782" w:space="40"/>
            <w:col w:w="3700" w:space="720"/>
            <w:col w:w="4140"/>
          </w:cols>
          <w:pgMar w:left="758" w:top="665" w:right="759" w:bottom="1440" w:gutter="0" w:footer="0" w:header="0"/>
          <w:type w:val="continuous"/>
        </w:sectPr>
      </w:pPr>
    </w:p>
    <w:p>
      <w:pPr>
        <w:ind w:left="2" w:right="5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2" w:lineRule="exact"/>
        <w:rPr>
          <w:sz w:val="24"/>
          <w:szCs w:val="24"/>
          <w:color w:val="auto"/>
        </w:rPr>
      </w:pPr>
    </w:p>
    <w:p>
      <w:pPr>
        <w:ind w:left="642"/>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left="642"/>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2" w:type="dxa"/>
        <w:tblCellMar>
          <w:top w:w="0" w:type="dxa"/>
          <w:left w:w="0" w:type="dxa"/>
          <w:bottom w:w="0" w:type="dxa"/>
          <w:right w:w="0" w:type="dxa"/>
        </w:tblCellMar>
      </w:tblPr>
      <w:tr>
        <w:trPr>
          <w:trHeight w:val="234"/>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Trading Symbol(s)</w:t>
            </w:r>
          </w:p>
        </w:tc>
        <w:tc>
          <w:tcPr>
            <w:tcW w:w="3560" w:type="dxa"/>
            <w:vAlign w:val="bottom"/>
          </w:tcPr>
          <w:p>
            <w:pPr>
              <w:spacing w:after="0"/>
              <w:rPr>
                <w:sz w:val="20"/>
                <w:szCs w:val="20"/>
                <w:color w:val="auto"/>
              </w:rPr>
            </w:pPr>
            <w:r>
              <w:rPr>
                <w:rFonts w:ascii="Arial" w:cs="Arial" w:eastAsia="Arial" w:hAnsi="Arial"/>
                <w:sz w:val="18"/>
                <w:szCs w:val="18"/>
                <w:b w:val="1"/>
                <w:bCs w:val="1"/>
                <w:color w:val="auto"/>
                <w:w w:val="93"/>
              </w:rPr>
              <w:t>Name of each exchange on which registered</w:t>
            </w:r>
          </w:p>
        </w:tc>
      </w:tr>
      <w:tr>
        <w:trPr>
          <w:trHeight w:val="224"/>
        </w:trPr>
        <w:tc>
          <w:tcPr>
            <w:tcW w:w="20" w:type="dxa"/>
            <w:vAlign w:val="bottom"/>
          </w:tcPr>
          <w:p>
            <w:pPr>
              <w:spacing w:after="0"/>
              <w:rPr>
                <w:sz w:val="19"/>
                <w:szCs w:val="19"/>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Common stock, par value $0.000041666 per value</w:t>
            </w:r>
          </w:p>
        </w:tc>
        <w:tc>
          <w:tcPr>
            <w:tcW w:w="160" w:type="dxa"/>
            <w:vAlign w:val="bottom"/>
          </w:tcPr>
          <w:p>
            <w:pPr>
              <w:spacing w:after="0"/>
              <w:rPr>
                <w:sz w:val="19"/>
                <w:szCs w:val="19"/>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IOVA</w:t>
            </w:r>
          </w:p>
        </w:tc>
        <w:tc>
          <w:tcPr>
            <w:tcW w:w="140" w:type="dxa"/>
            <w:vAlign w:val="bottom"/>
          </w:tcPr>
          <w:p>
            <w:pPr>
              <w:spacing w:after="0"/>
              <w:rPr>
                <w:sz w:val="19"/>
                <w:szCs w:val="19"/>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120" w:lineRule="exact"/>
        <w:rPr>
          <w:sz w:val="24"/>
          <w:szCs w:val="24"/>
          <w:color w:val="auto"/>
        </w:rPr>
      </w:pPr>
    </w:p>
    <w:p>
      <w:pPr>
        <w:ind w:left="642"/>
        <w:spacing w:after="0"/>
        <w:rPr>
          <w:sz w:val="20"/>
          <w:szCs w:val="20"/>
          <w:color w:val="auto"/>
        </w:rPr>
      </w:pPr>
      <w:r>
        <w:rPr>
          <w:rFonts w:ascii="Arial" w:cs="Arial" w:eastAsia="Arial" w:hAnsi="Arial"/>
          <w:sz w:val="18"/>
          <w:szCs w:val="18"/>
          <w:color w:val="auto"/>
        </w:rPr>
        <w:t>At July 25, 2019, the issuer had 123,830,506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1078230</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109220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2"/>
          </w:cols>
          <w:pgMar w:left="758" w:top="665"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40" w:type="dxa"/>
            <w:vAlign w:val="bottom"/>
            <w:gridSpan w:val="17"/>
            <w:shd w:val="clear" w:color="auto" w:fill="CCEEFF"/>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72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2.</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1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7720" w:type="dxa"/>
            <w:vAlign w:val="bottom"/>
            <w:gridSpan w:val="14"/>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4.</w:t>
              </w:r>
            </w:hyperlink>
          </w:p>
        </w:tc>
        <w:tc>
          <w:tcPr>
            <w:tcW w:w="320" w:type="dxa"/>
            <w:vAlign w:val="bottom"/>
            <w:gridSpan w:val="2"/>
            <w:shd w:val="clear" w:color="auto" w:fill="CCEEFF"/>
          </w:tcPr>
          <w:p>
            <w:pPr>
              <w:spacing w:after="0"/>
              <w:rPr>
                <w:sz w:val="15"/>
                <w:szCs w:val="15"/>
                <w:color w:val="auto"/>
              </w:rPr>
            </w:pPr>
          </w:p>
        </w:tc>
        <w:tc>
          <w:tcPr>
            <w:tcW w:w="7720" w:type="dxa"/>
            <w:vAlign w:val="bottom"/>
            <w:gridSpan w:val="14"/>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540" w:type="dxa"/>
            <w:vAlign w:val="bottom"/>
            <w:gridSpan w:val="17"/>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1.</w:t>
              </w:r>
            </w:hyperlink>
          </w:p>
        </w:tc>
        <w:tc>
          <w:tcPr>
            <w:tcW w:w="320" w:type="dxa"/>
            <w:vAlign w:val="bottom"/>
            <w:gridSpan w:val="2"/>
            <w:shd w:val="clear" w:color="auto" w:fill="CCEEFF"/>
          </w:tcPr>
          <w:p>
            <w:pPr>
              <w:spacing w:after="0"/>
              <w:rPr>
                <w:sz w:val="15"/>
                <w:szCs w:val="15"/>
                <w:color w:val="auto"/>
              </w:rPr>
            </w:pPr>
          </w:p>
        </w:tc>
        <w:tc>
          <w:tcPr>
            <w:tcW w:w="7720" w:type="dxa"/>
            <w:vAlign w:val="bottom"/>
            <w:gridSpan w:val="1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7720" w:type="dxa"/>
            <w:vAlign w:val="bottom"/>
            <w:gridSpan w:val="14"/>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Item 2.</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38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Unregistered Sales of Securities and Use of Proceeds</w:t>
              </w:r>
            </w:hyperlink>
          </w:p>
        </w:tc>
        <w:tc>
          <w:tcPr>
            <w:tcW w:w="3900" w:type="dxa"/>
            <w:vAlign w:val="bottom"/>
            <w:tcBorders>
              <w:bottom w:val="single" w:sz="8" w:color="CCEEFF"/>
            </w:tcBorders>
            <w:gridSpan w:val="4"/>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3.</w:t>
              </w:r>
            </w:hyperlink>
          </w:p>
        </w:tc>
        <w:tc>
          <w:tcPr>
            <w:tcW w:w="7720" w:type="dxa"/>
            <w:vAlign w:val="bottom"/>
            <w:gridSpan w:val="14"/>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Defaults Upon Senior Securities</w:t>
              </w:r>
            </w:hyperlink>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Item 4.</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Mine Safety Disclosure</w:t>
              </w:r>
            </w:hyperlink>
          </w:p>
        </w:tc>
        <w:tc>
          <w:tcPr>
            <w:tcW w:w="6020" w:type="dxa"/>
            <w:vAlign w:val="bottom"/>
            <w:tcBorders>
              <w:bottom w:val="single" w:sz="8" w:color="CCEEFF"/>
            </w:tcBorders>
            <w:gridSpan w:val="8"/>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5.</w:t>
              </w:r>
            </w:hyperlink>
          </w:p>
        </w:tc>
        <w:tc>
          <w:tcPr>
            <w:tcW w:w="7720" w:type="dxa"/>
            <w:vAlign w:val="bottom"/>
            <w:gridSpan w:val="14"/>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Item 6.</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Exhibits</w:t>
              </w:r>
            </w:hyperlink>
          </w:p>
        </w:tc>
        <w:tc>
          <w:tcPr>
            <w:tcW w:w="7120" w:type="dxa"/>
            <w:vAlign w:val="bottom"/>
            <w:tcBorders>
              <w:bottom w:val="single" w:sz="8" w:color="CCEEFF"/>
            </w:tcBorders>
            <w:gridSpan w:val="12"/>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40" w:type="dxa"/>
            <w:vAlign w:val="bottom"/>
            <w:gridSpan w:val="17"/>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ind w:left="298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560" w:type="dxa"/>
            <w:vAlign w:val="bottom"/>
          </w:tcPr>
          <w:p>
            <w:pPr>
              <w:ind w:left="2980"/>
              <w:spacing w:after="0"/>
              <w:rPr>
                <w:sz w:val="20"/>
                <w:szCs w:val="20"/>
                <w:color w:val="auto"/>
              </w:rPr>
            </w:pPr>
            <w:r>
              <w:rPr>
                <w:rFonts w:ascii="Arial" w:cs="Arial" w:eastAsia="Arial" w:hAnsi="Arial"/>
                <w:sz w:val="18"/>
                <w:szCs w:val="18"/>
                <w:b w:val="1"/>
                <w:bCs w:val="1"/>
                <w:color w:val="auto"/>
              </w:rPr>
              <w:t>IOVANCE BIOTHERAPEUTICS, INC.</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960"/>
              <w:spacing w:after="0"/>
              <w:rPr>
                <w:sz w:val="20"/>
                <w:szCs w:val="20"/>
                <w:color w:val="auto"/>
              </w:rPr>
            </w:pPr>
            <w:r>
              <w:rPr>
                <w:rFonts w:ascii="Arial" w:cs="Arial" w:eastAsia="Arial" w:hAnsi="Arial"/>
                <w:sz w:val="18"/>
                <w:szCs w:val="18"/>
                <w:b w:val="1"/>
                <w:bCs w:val="1"/>
                <w:color w:val="auto"/>
              </w:rPr>
              <w:t>Condensed Consolidated Balance Sheets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2960"/>
              <w:spacing w:after="0"/>
              <w:rPr>
                <w:sz w:val="20"/>
                <w:szCs w:val="20"/>
                <w:color w:val="auto"/>
              </w:rPr>
            </w:pPr>
            <w:r>
              <w:rPr>
                <w:rFonts w:ascii="Arial" w:cs="Arial" w:eastAsia="Arial" w:hAnsi="Arial"/>
                <w:sz w:val="18"/>
                <w:szCs w:val="18"/>
                <w:b w:val="1"/>
                <w:bCs w:val="1"/>
                <w:color w:val="auto"/>
              </w:rPr>
              <w:t>(in thousands, except share information)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76,912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Long-term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435,924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12,782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100"/>
              <w:spacing w:after="0" w:line="201" w:lineRule="exact"/>
              <w:rPr>
                <w:sz w:val="20"/>
                <w:szCs w:val="20"/>
                <w:color w:val="auto"/>
              </w:rPr>
            </w:pPr>
            <w:r>
              <w:rPr>
                <w:rFonts w:ascii="Arial" w:cs="Arial" w:eastAsia="Arial" w:hAnsi="Arial"/>
                <w:sz w:val="18"/>
                <w:szCs w:val="18"/>
                <w:color w:val="auto"/>
                <w:w w:val="93"/>
              </w:rPr>
              <w:t>Series A Convertible Preferred Stock, $0.001 par value; 17,000 shares authorized, 194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w w:val="92"/>
              </w:rPr>
              <w:t>shares issued and outstanding as of June 30, 2019 and December 31, 2018 (aggregate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liquidation value of $194)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Series B Convertible Preferred Stock, $0.001 par value; 50,000,000 shares authorized;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5,854,845 shares issued and outstanding as of June 30, 2019 and December 31, 2018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(aggregate liquidation value of $27,811)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100"/>
              <w:spacing w:after="0" w:line="201" w:lineRule="exact"/>
              <w:rPr>
                <w:sz w:val="20"/>
                <w:szCs w:val="20"/>
                <w:color w:val="auto"/>
              </w:rPr>
            </w:pPr>
            <w:r>
              <w:rPr>
                <w:rFonts w:ascii="Arial" w:cs="Arial" w:eastAsia="Arial" w:hAnsi="Arial"/>
                <w:sz w:val="18"/>
                <w:szCs w:val="18"/>
                <w:color w:val="auto"/>
              </w:rPr>
              <w:t>Common stock, $0.000041666 par value; 300,000,000 and 150,000,000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w w:val="91"/>
              </w:rPr>
              <w:t>authorized, 123,820,508 and 123,415,576 shares issued and outstanding as of June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2019 and December 31, 2018,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(457,557)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435,924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39,298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70,203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(50,165)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(31,378)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(90,151)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(47,551)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(30,660)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(84,501)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(57,175)</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4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gridSpan w:val="2"/>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38)</w:t>
            </w:r>
          </w:p>
        </w:tc>
        <w:tc>
          <w:tcPr>
            <w:tcW w:w="2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34)</w:t>
            </w:r>
          </w:p>
        </w:tc>
        <w:tc>
          <w:tcPr>
            <w:tcW w:w="2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68)</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4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Weighted Average Common Shares Outstanding, Basic and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123,567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90,236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123,491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87,310</w:t>
            </w:r>
          </w:p>
        </w:tc>
        <w:tc>
          <w:tcPr>
            <w:tcW w:w="0" w:type="dxa"/>
            <w:vAlign w:val="bottom"/>
          </w:tcPr>
          <w:p>
            <w:pPr>
              <w:spacing w:after="0"/>
              <w:rPr>
                <w:sz w:val="1"/>
                <w:szCs w:val="1"/>
                <w:color w:val="auto"/>
              </w:rPr>
            </w:pPr>
          </w:p>
        </w:tc>
      </w:tr>
      <w:tr>
        <w:trPr>
          <w:trHeight w:val="221"/>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2200"/>
        <w:spacing w:after="0" w:line="266" w:lineRule="auto"/>
        <w:rPr>
          <w:sz w:val="20"/>
          <w:szCs w:val="20"/>
          <w:color w:val="auto"/>
        </w:rPr>
      </w:pPr>
      <w:r>
        <w:rPr>
          <w:rFonts w:ascii="Arial" w:cs="Arial" w:eastAsia="Arial" w:hAnsi="Arial"/>
          <w:sz w:val="18"/>
          <w:szCs w:val="18"/>
          <w:b w:val="1"/>
          <w:bCs w:val="1"/>
          <w:color w:val="auto"/>
        </w:rPr>
        <w:t>IOVANCE BIOTHERAPEUTICS, INC. Condensed Consolidated Statements of Comprehensive Loss (unaudited;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18"/>
                <w:szCs w:val="18"/>
                <w:color w:val="auto"/>
              </w:rPr>
            </w:pPr>
          </w:p>
        </w:tc>
        <w:tc>
          <w:tcPr>
            <w:tcW w:w="174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74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(47,551)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(30,660)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(84,501)</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 (loss) on short-term investments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8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(47,317)</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(30,663)</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(84,087)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Series A Convertible</w:t>
            </w:r>
          </w:p>
        </w:tc>
        <w:tc>
          <w:tcPr>
            <w:tcW w:w="8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Series B Convertible</w:t>
            </w:r>
          </w:p>
        </w:tc>
        <w:tc>
          <w:tcPr>
            <w:tcW w:w="12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Accumulated other</w:t>
            </w:r>
          </w:p>
        </w:tc>
        <w:tc>
          <w:tcPr>
            <w:tcW w:w="11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Preferred Sock</w:t>
            </w:r>
          </w:p>
        </w:tc>
        <w:tc>
          <w:tcPr>
            <w:tcW w:w="80" w:type="dxa"/>
            <w:vAlign w:val="bottom"/>
          </w:tcPr>
          <w:p>
            <w:pPr>
              <w:spacing w:after="0"/>
              <w:rPr>
                <w:sz w:val="14"/>
                <w:szCs w:val="14"/>
                <w:color w:val="auto"/>
              </w:rPr>
            </w:pPr>
          </w:p>
        </w:tc>
        <w:tc>
          <w:tcPr>
            <w:tcW w:w="116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4"/>
            <w:vMerge w:val="continue"/>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5"/>
              </w:rPr>
              <w:t>December 31, 2018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5,854,845</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123,415,576</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$ 838,984</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(372,760)</w:t>
            </w:r>
          </w:p>
        </w:tc>
        <w:tc>
          <w:tcPr>
            <w:tcW w:w="1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Adoption of ASU</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Arial" w:cs="Arial" w:eastAsia="Arial" w:hAnsi="Arial"/>
                <w:sz w:val="14"/>
                <w:szCs w:val="14"/>
                <w:color w:val="auto"/>
              </w:rPr>
              <w:t>2018-07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12,272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w w:val="96"/>
              </w:rPr>
              <w:t>Vesting of restricted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shares issued for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14,532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related to shares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withheld for vested</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issued upon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exercise of stock</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422,900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3,474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Cancellation 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from settlement of</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Arial" w:cs="Arial" w:eastAsia="Arial" w:hAnsi="Arial"/>
                <w:sz w:val="14"/>
                <w:szCs w:val="14"/>
                <w:color w:val="auto"/>
              </w:rPr>
              <w:t>dispute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(32,500)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(84,501)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(84,501)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20" w:type="dxa"/>
            <w:vAlign w:val="bottom"/>
          </w:tcPr>
          <w:p>
            <w:pPr>
              <w:ind w:left="80"/>
              <w:spacing w:after="0" w:line="106" w:lineRule="exact"/>
              <w:rPr>
                <w:sz w:val="20"/>
                <w:szCs w:val="20"/>
                <w:color w:val="auto"/>
              </w:rPr>
            </w:pPr>
            <w:r>
              <w:rPr>
                <w:rFonts w:ascii="Arial" w:cs="Arial" w:eastAsia="Arial" w:hAnsi="Arial"/>
                <w:sz w:val="12"/>
                <w:szCs w:val="12"/>
                <w:b w:val="1"/>
                <w:bCs w:val="1"/>
                <w:color w:val="auto"/>
              </w:rPr>
              <w:t>Balance -</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194</w:t>
            </w: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5,854,845</w:t>
            </w:r>
          </w:p>
        </w:tc>
        <w:tc>
          <w:tcPr>
            <w:tcW w:w="50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123,820,508</w:t>
            </w: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$ 854,596</w:t>
            </w:r>
          </w:p>
        </w:tc>
        <w:tc>
          <w:tcPr>
            <w:tcW w:w="80" w:type="dxa"/>
            <w:vAlign w:val="bottom"/>
          </w:tcPr>
          <w:p>
            <w:pPr>
              <w:spacing w:after="0"/>
              <w:rPr>
                <w:sz w:val="9"/>
                <w:szCs w:val="9"/>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372</w:t>
            </w:r>
          </w:p>
        </w:tc>
        <w:tc>
          <w:tcPr>
            <w:tcW w:w="28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(457,557)</w:t>
            </w:r>
          </w:p>
        </w:tc>
        <w:tc>
          <w:tcPr>
            <w:tcW w:w="140" w:type="dxa"/>
            <w:vAlign w:val="bottom"/>
          </w:tcPr>
          <w:p>
            <w:pPr>
              <w:spacing w:after="0"/>
              <w:rPr>
                <w:sz w:val="9"/>
                <w:szCs w:val="9"/>
                <w:color w:val="auto"/>
              </w:rPr>
            </w:pPr>
          </w:p>
        </w:tc>
        <w:tc>
          <w:tcPr>
            <w:tcW w:w="1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397,422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2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June 30, 2019</w:t>
            </w:r>
          </w:p>
        </w:tc>
        <w:tc>
          <w:tcPr>
            <w:tcW w:w="58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220" w:type="dxa"/>
            <w:vAlign w:val="bottom"/>
          </w:tcPr>
          <w:p>
            <w:pPr>
              <w:spacing w:after="0" w:line="126" w:lineRule="exact"/>
              <w:rPr>
                <w:sz w:val="20"/>
                <w:szCs w:val="20"/>
                <w:color w:val="auto"/>
              </w:rPr>
            </w:pPr>
            <w:r>
              <w:rPr>
                <w:rFonts w:ascii="Arial" w:cs="Arial" w:eastAsia="Arial" w:hAnsi="Arial"/>
                <w:sz w:val="14"/>
                <w:szCs w:val="14"/>
                <w:b w:val="1"/>
                <w:bCs w:val="1"/>
                <w:color w:val="auto"/>
              </w:rPr>
              <w:t>Balance -</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 2017</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1,694</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7,378,241</w:t>
            </w: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73,164,914</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$ 394,651</w:t>
            </w:r>
          </w:p>
        </w:tc>
        <w:tc>
          <w:tcPr>
            <w:tcW w:w="8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(249,180)</w:t>
            </w:r>
          </w:p>
        </w:tc>
        <w:tc>
          <w:tcPr>
            <w:tcW w:w="140" w:type="dxa"/>
            <w:vAlign w:val="bottom"/>
          </w:tcPr>
          <w:p>
            <w:pPr>
              <w:spacing w:after="0"/>
              <w:rPr>
                <w:sz w:val="14"/>
                <w:szCs w:val="14"/>
                <w:color w:val="auto"/>
              </w:rPr>
            </w:pP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145,481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9,326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w w:val="96"/>
              </w:rPr>
              <w:t>Vesting of restricted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shares issued for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14,546</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related to shares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withheld for vested</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awards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issued upon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Arial" w:cs="Arial" w:eastAsia="Arial" w:hAnsi="Arial"/>
                <w:sz w:val="14"/>
                <w:szCs w:val="14"/>
                <w:color w:val="auto"/>
                <w:w w:val="97"/>
              </w:rPr>
              <w:t>exercise of warrants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1,656,510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4,141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upon</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905,153</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6,828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w w:val="97"/>
              </w:rPr>
              <w:t>Common stock sold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in public offering,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Arial" w:cs="Arial" w:eastAsia="Arial" w:hAnsi="Arial"/>
                <w:sz w:val="14"/>
                <w:szCs w:val="14"/>
                <w:color w:val="auto"/>
                <w:w w:val="99"/>
              </w:rPr>
              <w:t>net of offering costs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15,000,000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162,093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162,093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into</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(1,250,548)</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2,000,549</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Unrealized loss 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short-term</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(57,175)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20" w:type="dxa"/>
            <w:vAlign w:val="bottom"/>
          </w:tcPr>
          <w:p>
            <w:pPr>
              <w:ind w:left="80"/>
              <w:spacing w:after="0" w:line="106" w:lineRule="exact"/>
              <w:rPr>
                <w:sz w:val="20"/>
                <w:szCs w:val="20"/>
                <w:color w:val="auto"/>
              </w:rPr>
            </w:pPr>
            <w:r>
              <w:rPr>
                <w:rFonts w:ascii="Arial" w:cs="Arial" w:eastAsia="Arial" w:hAnsi="Arial"/>
                <w:sz w:val="12"/>
                <w:szCs w:val="12"/>
                <w:b w:val="1"/>
                <w:bCs w:val="1"/>
                <w:color w:val="auto"/>
              </w:rPr>
              <w:t>Balance -</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194</w:t>
            </w: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6,127,692</w:t>
            </w:r>
          </w:p>
        </w:tc>
        <w:tc>
          <w:tcPr>
            <w:tcW w:w="50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92,741,672</w:t>
            </w: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$ 576,917</w:t>
            </w:r>
          </w:p>
        </w:tc>
        <w:tc>
          <w:tcPr>
            <w:tcW w:w="80" w:type="dxa"/>
            <w:vAlign w:val="bottom"/>
          </w:tcPr>
          <w:p>
            <w:pPr>
              <w:spacing w:after="0"/>
              <w:rPr>
                <w:sz w:val="9"/>
                <w:szCs w:val="9"/>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8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(306,355)</w:t>
            </w:r>
          </w:p>
        </w:tc>
        <w:tc>
          <w:tcPr>
            <w:tcW w:w="140" w:type="dxa"/>
            <w:vAlign w:val="bottom"/>
          </w:tcPr>
          <w:p>
            <w:pPr>
              <w:spacing w:after="0"/>
              <w:rPr>
                <w:sz w:val="9"/>
                <w:szCs w:val="9"/>
                <w:color w:val="auto"/>
              </w:rPr>
            </w:pPr>
          </w:p>
        </w:tc>
        <w:tc>
          <w:tcPr>
            <w:tcW w:w="1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270,569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June 30, 2018</w:t>
            </w:r>
          </w:p>
        </w:tc>
        <w:tc>
          <w:tcPr>
            <w:tcW w:w="58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700"/>
          </w:cols>
          <w:pgMar w:left="1160" w:top="51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365125</wp:posOffset>
            </wp:positionV>
            <wp:extent cx="608012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700"/>
          </w:cols>
          <w:pgMar w:left="1160" w:top="517" w:right="10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80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w w:val="92"/>
              </w:rPr>
              <w:t>Series A Convertible Series B Convertible</w:t>
            </w:r>
          </w:p>
        </w:tc>
        <w:tc>
          <w:tcPr>
            <w:tcW w:w="12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Accumulated other</w:t>
            </w:r>
          </w:p>
        </w:tc>
        <w:tc>
          <w:tcPr>
            <w:tcW w:w="9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300" w:type="dxa"/>
            <w:vAlign w:val="bottom"/>
            <w:gridSpan w:val="5"/>
          </w:tcPr>
          <w:p>
            <w:pPr>
              <w:ind w:left="120"/>
              <w:spacing w:after="0"/>
              <w:rPr>
                <w:sz w:val="20"/>
                <w:szCs w:val="20"/>
                <w:color w:val="auto"/>
              </w:rPr>
            </w:pPr>
            <w:r>
              <w:rPr>
                <w:rFonts w:ascii="Arial" w:cs="Arial" w:eastAsia="Arial" w:hAnsi="Arial"/>
                <w:sz w:val="14"/>
                <w:szCs w:val="14"/>
                <w:b w:val="1"/>
                <w:bCs w:val="1"/>
                <w:color w:val="auto"/>
              </w:rPr>
              <w:t>Preferred Sock</w:t>
            </w: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960" w:type="dxa"/>
            <w:vAlign w:val="bottom"/>
            <w:gridSpan w:val="4"/>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06"/>
        </w:trPr>
        <w:tc>
          <w:tcPr>
            <w:tcW w:w="12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 March</w:t>
            </w:r>
          </w:p>
        </w:tc>
        <w:tc>
          <w:tcPr>
            <w:tcW w:w="4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31, 2019</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5,854,845</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123,395,113</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$ 844,789</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(410,006)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compensation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Arial" w:cs="Arial" w:eastAsia="Arial" w:hAnsi="Arial"/>
                <w:sz w:val="14"/>
                <w:szCs w:val="14"/>
                <w:color w:val="auto"/>
              </w:rPr>
              <w:t>expense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6,426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shares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7,495</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Arial" w:cs="Arial" w:eastAsia="Arial" w:hAnsi="Arial"/>
                <w:sz w:val="14"/>
                <w:szCs w:val="14"/>
                <w:color w:val="auto"/>
              </w:rPr>
              <w:t>Tax payments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related to shares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withheld for vested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Arial" w:cs="Arial" w:eastAsia="Arial" w:hAnsi="Arial"/>
                <w:sz w:val="14"/>
                <w:szCs w:val="14"/>
                <w:color w:val="auto"/>
              </w:rPr>
              <w:t>units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upon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417,900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Arial" w:cs="Arial" w:eastAsia="Arial" w:hAnsi="Arial"/>
                <w:sz w:val="14"/>
                <w:szCs w:val="14"/>
                <w:color w:val="auto"/>
              </w:rPr>
              <w:t>Unrealized gain on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Arial" w:cs="Arial" w:eastAsia="Arial" w:hAnsi="Arial"/>
                <w:sz w:val="14"/>
                <w:szCs w:val="14"/>
                <w:color w:val="auto"/>
              </w:rPr>
              <w:t>investments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(47,551)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280" w:type="dxa"/>
            <w:vAlign w:val="bottom"/>
          </w:tcPr>
          <w:p>
            <w:pPr>
              <w:ind w:left="120"/>
              <w:spacing w:after="0" w:line="106" w:lineRule="exact"/>
              <w:rPr>
                <w:sz w:val="20"/>
                <w:szCs w:val="20"/>
                <w:color w:val="auto"/>
              </w:rPr>
            </w:pPr>
            <w:r>
              <w:rPr>
                <w:rFonts w:ascii="Arial" w:cs="Arial" w:eastAsia="Arial" w:hAnsi="Arial"/>
                <w:sz w:val="12"/>
                <w:szCs w:val="12"/>
                <w:b w:val="1"/>
                <w:bCs w:val="1"/>
                <w:color w:val="auto"/>
              </w:rPr>
              <w:t>Balance – June</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16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5,854,845</w:t>
            </w:r>
          </w:p>
        </w:tc>
        <w:tc>
          <w:tcPr>
            <w:tcW w:w="140" w:type="dxa"/>
            <w:vAlign w:val="bottom"/>
          </w:tcPr>
          <w:p>
            <w:pPr>
              <w:spacing w:after="0"/>
              <w:rPr>
                <w:sz w:val="9"/>
                <w:szCs w:val="9"/>
                <w:color w:val="auto"/>
              </w:rPr>
            </w:pPr>
          </w:p>
        </w:tc>
        <w:tc>
          <w:tcPr>
            <w:tcW w:w="340" w:type="dxa"/>
            <w:vAlign w:val="bottom"/>
            <w:vMerge w:val="restart"/>
          </w:tcPr>
          <w:p>
            <w:pP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123,820,508</w:t>
            </w:r>
          </w:p>
        </w:tc>
        <w:tc>
          <w:tcPr>
            <w:tcW w:w="140" w:type="dxa"/>
            <w:vAlign w:val="bottom"/>
          </w:tcPr>
          <w:p>
            <w:pPr>
              <w:spacing w:after="0"/>
              <w:rPr>
                <w:sz w:val="9"/>
                <w:szCs w:val="9"/>
                <w:color w:val="auto"/>
              </w:rPr>
            </w:pPr>
          </w:p>
        </w:tc>
        <w:tc>
          <w:tcPr>
            <w:tcW w:w="30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$ 854,596</w:t>
            </w:r>
          </w:p>
        </w:tc>
        <w:tc>
          <w:tcPr>
            <w:tcW w:w="80" w:type="dxa"/>
            <w:vAlign w:val="bottom"/>
          </w:tcPr>
          <w:p>
            <w:pPr>
              <w:spacing w:after="0"/>
              <w:rPr>
                <w:sz w:val="9"/>
                <w:szCs w:val="9"/>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9"/>
                <w:szCs w:val="9"/>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(457,557)</w:t>
            </w:r>
          </w:p>
        </w:tc>
        <w:tc>
          <w:tcPr>
            <w:tcW w:w="20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397,422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28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30, 2019</w:t>
            </w:r>
          </w:p>
        </w:tc>
        <w:tc>
          <w:tcPr>
            <w:tcW w:w="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2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line="126" w:lineRule="exact"/>
              <w:rPr>
                <w:sz w:val="20"/>
                <w:szCs w:val="20"/>
                <w:color w:val="auto"/>
              </w:rPr>
            </w:pPr>
            <w:r>
              <w:rPr>
                <w:rFonts w:ascii="Arial" w:cs="Arial" w:eastAsia="Arial" w:hAnsi="Arial"/>
                <w:sz w:val="14"/>
                <w:szCs w:val="14"/>
                <w:b w:val="1"/>
                <w:bCs w:val="1"/>
                <w:color w:val="auto"/>
              </w:rPr>
              <w:t>Balance – March</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31, 2018</w:t>
            </w:r>
          </w:p>
        </w:tc>
        <w:tc>
          <w:tcPr>
            <w:tcW w:w="460" w:type="dxa"/>
            <w:vAlign w:val="bottom"/>
          </w:tcPr>
          <w:p>
            <w:pPr>
              <w:jc w:val="right"/>
              <w:spacing w:after="0"/>
              <w:rPr>
                <w:sz w:val="20"/>
                <w:szCs w:val="20"/>
                <w:color w:val="auto"/>
              </w:rPr>
            </w:pPr>
            <w:r>
              <w:rPr>
                <w:rFonts w:ascii="Arial" w:cs="Arial" w:eastAsia="Arial" w:hAnsi="Arial"/>
                <w:sz w:val="14"/>
                <w:szCs w:val="14"/>
                <w:color w:val="auto"/>
              </w:rPr>
              <w:t>1,694</w:t>
            </w:r>
          </w:p>
        </w:tc>
        <w:tc>
          <w:tcPr>
            <w:tcW w:w="1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7,378,241</w:t>
            </w:r>
          </w:p>
        </w:tc>
        <w:tc>
          <w:tcPr>
            <w:tcW w:w="1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89,605,417</w:t>
            </w:r>
          </w:p>
        </w:tc>
        <w:tc>
          <w:tcPr>
            <w:tcW w:w="1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$ 568,243</w:t>
            </w:r>
          </w:p>
        </w:tc>
        <w:tc>
          <w:tcPr>
            <w:tcW w:w="8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(275,695)</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292,558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Arial" w:cs="Arial" w:eastAsia="Arial" w:hAnsi="Arial"/>
                <w:sz w:val="14"/>
                <w:szCs w:val="14"/>
                <w:color w:val="auto"/>
              </w:rPr>
              <w:t>Vesting of</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restricted shares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Arial" w:cs="Arial" w:eastAsia="Arial" w:hAnsi="Arial"/>
                <w:sz w:val="14"/>
                <w:szCs w:val="14"/>
                <w:color w:val="auto"/>
              </w:rPr>
              <w:t>issued for services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7,495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related to shares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withheld for vested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awards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Arial" w:cs="Arial" w:eastAsia="Arial" w:hAnsi="Arial"/>
                <w:sz w:val="14"/>
                <w:szCs w:val="14"/>
                <w:color w:val="auto"/>
              </w:rPr>
              <w:t>Common stock</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issued upon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Arial" w:cs="Arial" w:eastAsia="Arial" w:hAnsi="Arial"/>
                <w:sz w:val="14"/>
                <w:szCs w:val="14"/>
                <w:color w:val="auto"/>
              </w:rPr>
              <w:t>warrants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926,129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2,315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upon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202,082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convertible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preferred stock into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Arial" w:cs="Arial" w:eastAsia="Arial" w:hAnsi="Arial"/>
                <w:sz w:val="14"/>
                <w:szCs w:val="14"/>
                <w:color w:val="auto"/>
              </w:rPr>
              <w:t>common stock</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(1,500)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2"/>
              </w:rPr>
              <w:t>(1,250,549)</w:t>
            </w:r>
          </w:p>
        </w:tc>
        <w:tc>
          <w:tcPr>
            <w:tcW w:w="34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w:t>
            </w:r>
          </w:p>
        </w:tc>
        <w:tc>
          <w:tcPr>
            <w:tcW w:w="780" w:type="dxa"/>
            <w:vAlign w:val="bottom"/>
          </w:tcPr>
          <w:p>
            <w:pPr>
              <w:jc w:val="right"/>
              <w:spacing w:after="0"/>
              <w:rPr>
                <w:sz w:val="20"/>
                <w:szCs w:val="20"/>
                <w:color w:val="auto"/>
              </w:rPr>
            </w:pPr>
            <w:r>
              <w:rPr>
                <w:rFonts w:ascii="Arial" w:cs="Arial" w:eastAsia="Arial" w:hAnsi="Arial"/>
                <w:sz w:val="14"/>
                <w:szCs w:val="14"/>
                <w:color w:val="auto"/>
              </w:rPr>
              <w:t>2,000,549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(30,660)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(30,660)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280" w:type="dxa"/>
            <w:vAlign w:val="bottom"/>
            <w:shd w:val="clear" w:color="auto" w:fill="CCEEFF"/>
          </w:tcPr>
          <w:p>
            <w:pPr>
              <w:ind w:left="120"/>
              <w:spacing w:after="0" w:line="106" w:lineRule="exact"/>
              <w:rPr>
                <w:sz w:val="20"/>
                <w:szCs w:val="20"/>
                <w:color w:val="auto"/>
              </w:rPr>
            </w:pPr>
            <w:r>
              <w:rPr>
                <w:rFonts w:ascii="Arial" w:cs="Arial" w:eastAsia="Arial" w:hAnsi="Arial"/>
                <w:sz w:val="12"/>
                <w:szCs w:val="12"/>
                <w:b w:val="1"/>
                <w:bCs w:val="1"/>
                <w:color w:val="auto"/>
              </w:rPr>
              <w:t>Balance – June</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6,127,692</w:t>
            </w:r>
          </w:p>
        </w:tc>
        <w:tc>
          <w:tcPr>
            <w:tcW w:w="14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92,741,672</w:t>
            </w:r>
          </w:p>
        </w:tc>
        <w:tc>
          <w:tcPr>
            <w:tcW w:w="14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$ 576,917</w:t>
            </w:r>
          </w:p>
        </w:tc>
        <w:tc>
          <w:tcPr>
            <w:tcW w:w="8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(306,355)</w:t>
            </w: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270,569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120"/>
              <w:spacing w:after="0" w:line="158" w:lineRule="exact"/>
              <w:rPr>
                <w:sz w:val="20"/>
                <w:szCs w:val="20"/>
                <w:color w:val="auto"/>
              </w:rPr>
            </w:pPr>
            <w:r>
              <w:rPr>
                <w:rFonts w:ascii="Arial" w:cs="Arial" w:eastAsia="Arial" w:hAnsi="Arial"/>
                <w:sz w:val="14"/>
                <w:szCs w:val="14"/>
                <w:b w:val="1"/>
                <w:bCs w:val="1"/>
                <w:color w:val="auto"/>
              </w:rPr>
              <w:t>30, 2018</w:t>
            </w:r>
          </w:p>
        </w:tc>
        <w:tc>
          <w:tcPr>
            <w:tcW w:w="4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8012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600"/>
          </w:cols>
          <w:pgMar w:left="1160" w:top="517" w:right="11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(84,501)</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lease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Loss on disposal of assets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settlement of dispute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Accretion of discounts on investments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Operating lease liabilities (Right-of-use assets)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Maturities of short-term investments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263,102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short-term investments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172,940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145,373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246,017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Supplemental disclosure of non-cash investing and financing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Unrealized gain (loss) on short-term investments</w:t>
            </w:r>
          </w:p>
        </w:tc>
        <w:tc>
          <w:tcPr>
            <w:tcW w:w="9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414</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189" w:lineRule="exact"/>
        <w:rPr>
          <w:sz w:val="20"/>
          <w:szCs w:val="20"/>
          <w:color w:val="auto"/>
        </w:rPr>
      </w:pPr>
    </w:p>
    <w:p>
      <w:pPr>
        <w:ind w:right="80" w:firstLine="492"/>
        <w:spacing w:after="0" w:line="268"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novel cancer immunotherapy products designed to harness the power of a patient’s own immune system to eradicate cancer cells. Tumor infiltrating lymphocyte (TIL) therapy is a platform technology that has been licensed from National Cancer Institute (NCI) primarily based on data in metastatic melanoma and advanced cervical cancer. The Company has developed its own proprietary and scalable manufacturing method which is being further investigated in multiple indications. The Company’s lead product candidates include, lifileucel for metastatic melanoma, and LN-145 for advanced cervical cancer. Both product candidates are autologous adoptive cell therapy utilizing TIL, which are T cells derived from patients’ tumors. In addition to metastatic melanoma and advanced cervical cancer, the Company is investigating the effectiveness and safety of TIL therapy for the treatment of squamous cell carcinoma of the head and neck and metastatic non-small cell lung cancer through company sponsored trials, as well as other oncology indications through collaborations. The Company is currently conducting the pivotal cohort of its C-144-01 clinical trial of lifileucel in patients with metastatic melanoma. The Company is also conducting a pivotal trial of LN-145, C-145-04, in patients with advanced cervical cancer. On June 1, 2017, the Company reincorporated to become a company governed by Delaware corporation laws.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9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unaudited condensed consolidated financial statements of the Company for the three and six months ended June 30, 2019 and 2018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2018 was derived from the audited financial statements included in the Company's financial statements as of and for the year ended December 31, 2018 included in the Company’s Annual Report on Form 10-K filed with the Securities and Exchange Commission (the “SEC”) on February 28, 2019. These financial statements should be read in conjunction with that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The Company is currently engaged in the development of therapeutics to treat cancer, specifically solid tumors. The Company currently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$84.5 million for the six months ended June 30, 2019 and used $62.9 million of cash in its operating activities during the six months ended June 30, 2019. In January 2018, the Company closed an underwritten public offering of 15,000,000 shares of the Company’s common stock at a public offering price of $11.50 per share, before underwriting discounts. The net proceeds from the offering, after deducting the underwriting discounts and commissions and other offering expenses payable by the Company, were $162.0 million. In October 2018, the Company completed an underwritten public offering of 25,300,000 shares of the Company’s common stock at a public offering price of $9.97 per share, before underwriting discounts. The net proceeds from the offering, after deducting the underwriting discounts and commissions and other offering expenses payable by the Company, were $236.7 million. As of June 30, 2019, the Company had $404.1 in cash, cash equivalents and short-term investments ($76.9 million of cash and cash equivalents and $327.2 million in short-term investments).</w:t>
      </w:r>
    </w:p>
    <w:p>
      <w:pPr>
        <w:spacing w:after="0" w:line="148"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The Company expects to further increase its research and development activities, which will increase the amount of cash used during 2019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increased research and development activities and initiation of pre-commercial activities. However, the extent and the timing of these expenditures are under the control of the Company. Based on the funds the Company has available as of the date these financial statements are</w:t>
      </w:r>
    </w:p>
    <w:p>
      <w:pPr>
        <w:sectPr>
          <w:pgSz w:w="11900" w:h="16838" w:orient="portrait"/>
          <w:cols w:equalWidth="0" w:num="1">
            <w:col w:w="9040"/>
          </w:cols>
          <w:pgMar w:left="1420" w:top="517" w:right="14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19"/>
        <w:spacing w:after="0" w:line="277" w:lineRule="auto"/>
        <w:rPr>
          <w:sz w:val="20"/>
          <w:szCs w:val="20"/>
          <w:color w:val="auto"/>
        </w:rPr>
      </w:pPr>
      <w:r>
        <w:rPr>
          <w:rFonts w:ascii="Arial" w:cs="Arial" w:eastAsia="Arial" w:hAnsi="Arial"/>
          <w:sz w:val="18"/>
          <w:szCs w:val="18"/>
          <w:color w:val="auto"/>
        </w:rPr>
        <w:t>issued, the Company believes that it has sufficient capital to fund its anticipated operating expenses for at least next twelve months from the date these financial statements are issued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right="59" w:firstLine="492"/>
        <w:spacing w:after="0" w:line="273" w:lineRule="auto"/>
        <w:rPr>
          <w:sz w:val="20"/>
          <w:szCs w:val="20"/>
          <w:color w:val="auto"/>
        </w:rPr>
      </w:pPr>
      <w:r>
        <w:rPr>
          <w:rFonts w:ascii="Arial" w:cs="Arial" w:eastAsia="Arial" w:hAnsi="Arial"/>
          <w:sz w:val="17"/>
          <w:szCs w:val="17"/>
          <w:color w:val="auto"/>
        </w:rPr>
        <w:t>The Company is subject to credit risk from our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liquidity of investments sufficient to meet cash flow requirements; and a competitive after-tax rate of return.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Short-term Investments</w:t>
      </w:r>
    </w:p>
    <w:p>
      <w:pPr>
        <w:spacing w:after="0" w:line="185" w:lineRule="exact"/>
        <w:rPr>
          <w:sz w:val="20"/>
          <w:szCs w:val="20"/>
          <w:color w:val="auto"/>
        </w:rPr>
      </w:pPr>
    </w:p>
    <w:p>
      <w:pPr>
        <w:ind w:right="59" w:firstLine="492"/>
        <w:spacing w:after="0" w:line="269" w:lineRule="auto"/>
        <w:rPr>
          <w:sz w:val="20"/>
          <w:szCs w:val="20"/>
          <w:color w:val="auto"/>
        </w:rPr>
      </w:pPr>
      <w:r>
        <w:rPr>
          <w:rFonts w:ascii="Arial" w:cs="Arial" w:eastAsia="Arial" w:hAnsi="Arial"/>
          <w:sz w:val="17"/>
          <w:szCs w:val="17"/>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loss. The cost of debt securities is adjusted for the amortization of premiums and accretion of discounts to maturity. Such amortization and accretion are included in net interest income in the consolidated statements operations. Gains and losses on securities sold are recorded based on the specific identification method and are included in net interest income in the consolidated statement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142" w:lineRule="exact"/>
        <w:rPr>
          <w:sz w:val="20"/>
          <w:szCs w:val="20"/>
          <w:color w:val="auto"/>
        </w:rPr>
      </w:pPr>
    </w:p>
    <w:p>
      <w:pPr>
        <w:ind w:right="199" w:firstLine="492"/>
        <w:spacing w:after="0" w:line="270" w:lineRule="auto"/>
        <w:rPr>
          <w:sz w:val="20"/>
          <w:szCs w:val="20"/>
          <w:color w:val="auto"/>
        </w:rPr>
      </w:pPr>
      <w:r>
        <w:rPr>
          <w:rFonts w:ascii="Arial" w:cs="Arial" w:eastAsia="Arial" w:hAnsi="Arial"/>
          <w:sz w:val="17"/>
          <w:szCs w:val="17"/>
          <w:color w:val="auto"/>
        </w:rPr>
        <w:t>The Company maintains a certain minimum balance, currently $5.5 million in a segregated bank account in connection with a letter of credit for the benefit of the landlord for its commercial manufacturing facility used as a security deposit for the lease (See Note 9 - Leases). This amount is classified as Restricted Cash on the Balance Sheet. The letter of credit will expire on May 28, 2020, however, it will be automatically extended, without written agreement, for one-year periods to May 28 in each succeeding calendar year, through at least 60 days after the lease expiration rate. Further, on the expiration of the seventh year of the lease, and each anniversary date thereafter, the letter of credit may be decreased by $1,000,000, with a minimum security deposit of $1,450,000 maintained through the end of the lease term. As of June 30, 2019, restricted cash consisted of $5.5 million and this amount has been classified as non-current asset on the Company’s consolidated balance sheets.</w:t>
      </w:r>
    </w:p>
    <w:p>
      <w:pPr>
        <w:spacing w:after="0" w:line="155" w:lineRule="exact"/>
        <w:rPr>
          <w:sz w:val="20"/>
          <w:szCs w:val="20"/>
          <w:color w:val="auto"/>
        </w:rPr>
      </w:pPr>
    </w:p>
    <w:p>
      <w:pPr>
        <w:ind w:right="139" w:firstLine="492"/>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 of cash flows: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5160" w:type="dxa"/>
            <w:vAlign w:val="bottom"/>
          </w:tcPr>
          <w:p>
            <w:pPr>
              <w:spacing w:after="0"/>
              <w:rPr>
                <w:sz w:val="20"/>
                <w:szCs w:val="20"/>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2018</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$ 76,912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$ 246,017</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Restricted cash (included in non-current assets on the consolidated</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balance sheets)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5,450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$ 82,362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$ 246,017</w:t>
            </w:r>
          </w:p>
        </w:tc>
      </w:tr>
      <w:tr>
        <w:trPr>
          <w:trHeight w:val="20"/>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ind w:right="439"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common shares outstanding during the period.</w:t>
      </w:r>
    </w:p>
    <w:p>
      <w:pPr>
        <w:spacing w:after="0" w:line="130" w:lineRule="exact"/>
        <w:rPr>
          <w:sz w:val="20"/>
          <w:szCs w:val="20"/>
          <w:color w:val="auto"/>
        </w:rPr>
      </w:pPr>
    </w:p>
    <w:p>
      <w:pPr>
        <w:ind w:right="179" w:firstLine="492"/>
        <w:spacing w:after="0" w:line="302"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 (ii) vesting of restricted stock units and restricted stock</w:t>
      </w:r>
    </w:p>
    <w:p>
      <w:pPr>
        <w:sectPr>
          <w:pgSz w:w="11900" w:h="16838" w:orient="portrait"/>
          <w:cols w:equalWidth="0" w:num="1">
            <w:col w:w="9039"/>
          </w:cols>
          <w:pgMar w:left="1420" w:top="517" w:right="1440" w:bottom="1440" w:gutter="0" w:footer="0" w:header="0"/>
        </w:sect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awards, and (iii) conversion of preferred stock, are only included in the calculation of diluted net loss per share when their effect is dilutive.</w:t>
      </w:r>
    </w:p>
    <w:p>
      <w:pPr>
        <w:spacing w:after="0" w:line="143" w:lineRule="exact"/>
        <w:rPr>
          <w:sz w:val="20"/>
          <w:szCs w:val="20"/>
          <w:color w:val="auto"/>
        </w:rPr>
      </w:pPr>
    </w:p>
    <w:p>
      <w:pPr>
        <w:ind w:right="600" w:firstLine="492"/>
        <w:spacing w:after="0" w:line="277" w:lineRule="auto"/>
        <w:rPr>
          <w:sz w:val="20"/>
          <w:szCs w:val="20"/>
          <w:color w:val="auto"/>
        </w:rPr>
      </w:pPr>
      <w:r>
        <w:rPr>
          <w:rFonts w:ascii="Arial" w:cs="Arial" w:eastAsia="Arial" w:hAnsi="Arial"/>
          <w:sz w:val="18"/>
          <w:szCs w:val="18"/>
          <w:color w:val="auto"/>
        </w:rPr>
        <w:t>At June 30, 2019 and 2018,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420" w:type="dxa"/>
            <w:vAlign w:val="bottom"/>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r>
      <w:tr>
        <w:trPr>
          <w:trHeight w:val="210"/>
        </w:trPr>
        <w:tc>
          <w:tcPr>
            <w:tcW w:w="4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9,205,672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6,837,817</w:t>
            </w:r>
          </w:p>
        </w:tc>
      </w:tr>
      <w:tr>
        <w:trPr>
          <w:trHeight w:val="216"/>
        </w:trPr>
        <w:tc>
          <w:tcPr>
            <w:tcW w:w="4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4,644,706</w:t>
            </w:r>
          </w:p>
        </w:tc>
      </w:tr>
      <w:tr>
        <w:trPr>
          <w:trHeight w:val="216"/>
        </w:trPr>
        <w:tc>
          <w:tcPr>
            <w:tcW w:w="4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4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Series B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5,854,845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6,127,692</w:t>
            </w:r>
          </w:p>
        </w:tc>
      </w:tr>
      <w:tr>
        <w:trPr>
          <w:trHeight w:val="256"/>
        </w:trPr>
        <w:tc>
          <w:tcPr>
            <w:tcW w:w="420" w:type="dxa"/>
            <w:vAlign w:val="bottom"/>
          </w:tcPr>
          <w:p>
            <w:pPr>
              <w:spacing w:after="0"/>
              <w:rPr>
                <w:sz w:val="22"/>
                <w:szCs w:val="22"/>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45,828</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91,665</w:t>
            </w:r>
          </w:p>
        </w:tc>
      </w:tr>
      <w:tr>
        <w:trPr>
          <w:trHeight w:val="197"/>
        </w:trPr>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15,203,345</w:t>
            </w:r>
          </w:p>
        </w:tc>
        <w:tc>
          <w:tcPr>
            <w:tcW w:w="2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17,798,880</w:t>
            </w:r>
          </w:p>
        </w:tc>
      </w:tr>
      <w:tr>
        <w:trPr>
          <w:trHeight w:val="20"/>
        </w:trPr>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42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185" w:lineRule="exact"/>
        <w:rPr>
          <w:sz w:val="20"/>
          <w:szCs w:val="20"/>
          <w:color w:val="auto"/>
        </w:rPr>
      </w:pPr>
    </w:p>
    <w:p>
      <w:pPr>
        <w:ind w:right="540" w:firstLine="492"/>
        <w:spacing w:after="0" w:line="286" w:lineRule="auto"/>
        <w:rPr>
          <w:sz w:val="20"/>
          <w:szCs w:val="20"/>
          <w:color w:val="auto"/>
        </w:rPr>
      </w:pPr>
      <w:r>
        <w:rPr>
          <w:rFonts w:ascii="Arial" w:cs="Arial" w:eastAsia="Arial" w:hAnsi="Arial"/>
          <w:sz w:val="17"/>
          <w:szCs w:val="17"/>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8" w:lineRule="exact"/>
        <w:rPr>
          <w:sz w:val="20"/>
          <w:szCs w:val="20"/>
          <w:color w:val="auto"/>
        </w:rPr>
      </w:pPr>
    </w:p>
    <w:p>
      <w:pPr>
        <w:ind w:right="20" w:firstLine="492"/>
        <w:spacing w:after="0" w:line="276" w:lineRule="auto"/>
        <w:rPr>
          <w:sz w:val="20"/>
          <w:szCs w:val="20"/>
          <w:color w:val="auto"/>
        </w:rPr>
      </w:pPr>
      <w:r>
        <w:rPr>
          <w:rFonts w:ascii="Arial" w:cs="Arial" w:eastAsia="Arial" w:hAnsi="Arial"/>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32"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25" w:lineRule="exact"/>
        <w:rPr>
          <w:sz w:val="20"/>
          <w:szCs w:val="20"/>
          <w:color w:val="auto"/>
        </w:rPr>
      </w:pPr>
    </w:p>
    <w:p>
      <w:pPr>
        <w:ind w:right="160" w:firstLine="492"/>
        <w:spacing w:after="0" w:line="264"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54" w:lineRule="exact"/>
        <w:rPr>
          <w:sz w:val="20"/>
          <w:szCs w:val="20"/>
          <w:color w:val="auto"/>
        </w:rPr>
      </w:pPr>
    </w:p>
    <w:p>
      <w:pPr>
        <w:ind w:right="140" w:firstLine="492"/>
        <w:spacing w:after="0" w:line="264"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41"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The fair valued assets the Company holds that are generally assessed under Level 2 are corporate bonds and commercial paper. The Company utilizes third party pricing services in developing fair value measurements where fair value is based on valuation methodologies such as models using observable market inputs, including benchmark yields, reported trades, broker/dealer quotes, bids, offers and other reference data. The Company uses quotes from external pricing service providers and other on-line quotation systems to verify the fair value of investments provided by its third-party pricing service providers. The Company reviews independent service auditor’s reports from its third-party pricing service providers particularly regarding the controls over pricing and valuation of financial instruments and ensure that its internal controls address certain control deficiencies, if any, and complementary user entity controls are in place.</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have fair valued assets classified under Level 2 as of June 30, 2019 and December 31, 2018.</w:t>
      </w:r>
    </w:p>
    <w:p>
      <w:pPr>
        <w:spacing w:after="0" w:line="221"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20" w:firstLine="492"/>
        <w:spacing w:after="0" w:line="308" w:lineRule="auto"/>
        <w:rPr>
          <w:sz w:val="20"/>
          <w:szCs w:val="20"/>
          <w:color w:val="auto"/>
        </w:rPr>
      </w:pPr>
      <w:r>
        <w:rPr>
          <w:rFonts w:ascii="Arial" w:cs="Arial" w:eastAsia="Arial" w:hAnsi="Arial"/>
          <w:sz w:val="17"/>
          <w:szCs w:val="17"/>
          <w:color w:val="auto"/>
        </w:rPr>
        <w:t>The Company’s financial instruments consist of cash and cash equivalents, short-term investments, and accounts payable, all of which are reported at their respective fair value on its consolidated balance sheets.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have fair valued assets classified under Level 3 as of June 30, 2019 and December 31, 2018.</w:t>
      </w:r>
    </w:p>
    <w:p>
      <w:pPr>
        <w:spacing w:after="0" w:line="208" w:lineRule="exact"/>
        <w:rPr>
          <w:sz w:val="20"/>
          <w:szCs w:val="20"/>
          <w:color w:val="auto"/>
        </w:rPr>
      </w:pPr>
    </w:p>
    <w:p>
      <w:pPr>
        <w:ind w:right="780" w:firstLine="492"/>
        <w:spacing w:after="0" w:line="342" w:lineRule="auto"/>
        <w:rPr>
          <w:sz w:val="20"/>
          <w:szCs w:val="20"/>
          <w:color w:val="auto"/>
        </w:rPr>
      </w:pPr>
      <w:r>
        <w:rPr>
          <w:rFonts w:ascii="Arial" w:cs="Arial" w:eastAsia="Arial" w:hAnsi="Arial"/>
          <w:sz w:val="16"/>
          <w:szCs w:val="16"/>
          <w:color w:val="auto"/>
        </w:rPr>
        <w:t>As of June 30, 2019 and December 31, 2018, financial assets measured at fair value on a recurring basis are categorized in the table below based upon the lowest level of significant input to the valuations (in thousands):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0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8"/>
                <w:szCs w:val="18"/>
                <w:b w:val="1"/>
                <w:bCs w:val="1"/>
                <w:color w:val="auto"/>
                <w:w w:val="95"/>
              </w:rPr>
              <w:t>Assets at Fair Value as of June 30, 2019</w:t>
            </w:r>
          </w:p>
        </w:tc>
      </w:tr>
      <w:tr>
        <w:trPr>
          <w:trHeight w:val="210"/>
        </w:trPr>
        <w:tc>
          <w:tcPr>
            <w:tcW w:w="3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Level 2</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Level 3</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$ 187,695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$ 187,695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139,546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139,546</w:t>
            </w:r>
          </w:p>
        </w:tc>
      </w:tr>
      <w:tr>
        <w:trPr>
          <w:trHeight w:val="210"/>
        </w:trPr>
        <w:tc>
          <w:tcPr>
            <w:tcW w:w="31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$ 327,241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$ 327,241</w:t>
            </w:r>
          </w:p>
        </w:tc>
      </w:tr>
      <w:tr>
        <w:trPr>
          <w:trHeight w:val="20"/>
        </w:trPr>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20" w:type="dxa"/>
            <w:vAlign w:val="bottom"/>
            <w:tcBorders>
              <w:bottom w:val="single" w:sz="8" w:color="auto"/>
            </w:tcBorders>
            <w:gridSpan w:val="10"/>
          </w:tcPr>
          <w:p>
            <w:pPr>
              <w:jc w:val="right"/>
              <w:ind w:right="70"/>
              <w:spacing w:after="0"/>
              <w:rPr>
                <w:sz w:val="20"/>
                <w:szCs w:val="20"/>
                <w:color w:val="auto"/>
              </w:rPr>
            </w:pPr>
            <w:r>
              <w:rPr>
                <w:rFonts w:ascii="Arial" w:cs="Arial" w:eastAsia="Arial" w:hAnsi="Arial"/>
                <w:sz w:val="18"/>
                <w:szCs w:val="18"/>
                <w:b w:val="1"/>
                <w:bCs w:val="1"/>
                <w:color w:val="auto"/>
                <w:w w:val="91"/>
              </w:rPr>
              <w:t>Assets at Fair Value as of December 31, 2018</w:t>
            </w:r>
          </w:p>
        </w:tc>
      </w:tr>
      <w:tr>
        <w:trPr>
          <w:trHeight w:val="210"/>
        </w:trPr>
        <w:tc>
          <w:tcPr>
            <w:tcW w:w="30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$ 265,393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265,393</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120,978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120,978</w:t>
            </w:r>
          </w:p>
        </w:tc>
      </w:tr>
      <w:tr>
        <w:trPr>
          <w:trHeight w:val="210"/>
        </w:trPr>
        <w:tc>
          <w:tcPr>
            <w:tcW w:w="3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$ 386,371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386,371</w:t>
            </w:r>
          </w:p>
        </w:tc>
      </w:tr>
      <w:tr>
        <w:trPr>
          <w:trHeight w:val="20"/>
        </w:trPr>
        <w:tc>
          <w:tcPr>
            <w:tcW w:w="3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accounting for potential liabilities, the valuation allowance associated with the Company’s deferred tax assets, the assumptions made in valuing stock instruments issued for services and used in measuring operating lease right-of-use assets and operating lease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firstLine="492"/>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Iovance Biotherapeutics, Inc. and its wholly-owned subsidiary, Iovance Biotherapeutics GmbH. All intercompany accounts and transactions have been eliminated. The U.S. dollar is the functional currency for all the Company's consolidated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right="80" w:firstLine="492"/>
        <w:spacing w:after="0" w:line="287"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its condensed consolidated balance sheet as Operating lease right-of-use assets and Operating lease liabilities as of June 30, 2019. Operating lease right-of-use assets represent our right to use an underlying asset for the lease term and operating lease liabilities represent our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28"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492"/>
        <w:spacing w:after="0" w:line="264" w:lineRule="auto"/>
        <w:rPr>
          <w:sz w:val="20"/>
          <w:szCs w:val="20"/>
          <w:color w:val="auto"/>
        </w:rPr>
      </w:pPr>
      <w:r>
        <w:rPr>
          <w:rFonts w:ascii="Arial" w:cs="Arial" w:eastAsia="Arial" w:hAnsi="Arial"/>
          <w:sz w:val="18"/>
          <w:szCs w:val="18"/>
          <w:color w:val="auto"/>
        </w:rPr>
        <w:t>Prior period amounts continue to be reported in accordance with our historic accounting under previous lease guidance, Topic 840. See “Recently Adopted Accounting Pronouncements - Leases” below, for more information about the impact of the adoption on Topic 842.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periodically grants stock options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the similar manner as stock option grants to employees, therefore no longer requiring a remeasurement at the then-current fair values at each reporting date until the share options have vested. The nonemployee awards that contain a performance condition that affects the quantity or other terms of the award are measured based on the outcome that is probable.</w:t>
      </w:r>
    </w:p>
    <w:p>
      <w:pPr>
        <w:spacing w:after="0" w:line="138"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For non-employee stock option awards, an option term is used in the Black-Scholes option pricing model in lieu of expected life of the common stock options.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51" w:lineRule="exact"/>
        <w:rPr>
          <w:sz w:val="20"/>
          <w:szCs w:val="20"/>
          <w:color w:val="auto"/>
        </w:rPr>
      </w:pPr>
    </w:p>
    <w:p>
      <w:pPr>
        <w:ind w:right="80" w:firstLine="492"/>
        <w:spacing w:after="0" w:line="302" w:lineRule="auto"/>
        <w:rPr>
          <w:sz w:val="20"/>
          <w:szCs w:val="20"/>
          <w:color w:val="auto"/>
        </w:rPr>
      </w:pPr>
      <w:r>
        <w:rPr>
          <w:rFonts w:ascii="Arial" w:cs="Arial" w:eastAsia="Arial" w:hAnsi="Arial"/>
          <w:sz w:val="16"/>
          <w:szCs w:val="16"/>
          <w:color w:val="auto"/>
        </w:rPr>
        <w:t>The Company has in the past issued restricted stock units (RSU) and restricted stock awards (RSA) as part of its share-based compensation programs. The Company measures the compensation cost with respect to RSU and RSA issued to employees based upon the estimated fair value of the equity instruments at the date of the grant, which is recognized as an expense over the period during which an employee is required to provide services in exchange for the award.</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restricted stock units is based on the closing price of the Company’s common stock on the grant date.</w:t>
      </w:r>
    </w:p>
    <w:p>
      <w:pPr>
        <w:spacing w:after="0" w:line="208"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statements of operations as follows (in thousands):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70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3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$ 4,381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4,945</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$ 9,326</w:t>
            </w: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492"/>
        <w:spacing w:after="0" w:line="277" w:lineRule="auto"/>
        <w:rPr>
          <w:sz w:val="20"/>
          <w:szCs w:val="20"/>
          <w:color w:val="auto"/>
        </w:rPr>
      </w:pPr>
      <w:r>
        <w:rPr>
          <w:rFonts w:ascii="Arial" w:cs="Arial" w:eastAsia="Arial" w:hAnsi="Arial"/>
          <w:sz w:val="18"/>
          <w:szCs w:val="18"/>
          <w:color w:val="auto"/>
        </w:rPr>
        <w:t>Total stock-based compensation expenses broken down based on each individual instrument were as follows (in thousands):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70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3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5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 expenses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$ 12,138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$ 9,192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Restricted stock award expenses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Total stock-based compensation expenses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$ 12,272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$ 9,326</w:t>
            </w: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right="260" w:firstLine="492"/>
        <w:spacing w:after="0" w:line="302" w:lineRule="auto"/>
        <w:rPr>
          <w:sz w:val="20"/>
          <w:szCs w:val="20"/>
          <w:color w:val="auto"/>
        </w:rPr>
      </w:pPr>
      <w:r>
        <w:rPr>
          <w:rFonts w:ascii="Arial" w:cs="Arial" w:eastAsia="Arial" w:hAnsi="Arial"/>
          <w:sz w:val="16"/>
          <w:szCs w:val="16"/>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occurrence of uncertain events not solely within the Company’s control) are classified as temporary equity. At all other times, preferred shares are classified as stockholders’ equity.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185" w:lineRule="exact"/>
        <w:rPr>
          <w:sz w:val="20"/>
          <w:szCs w:val="20"/>
          <w:color w:val="auto"/>
        </w:rPr>
      </w:pPr>
    </w:p>
    <w:p>
      <w:pPr>
        <w:ind w:right="100" w:firstLine="492"/>
        <w:spacing w:after="0" w:line="288" w:lineRule="auto"/>
        <w:rPr>
          <w:sz w:val="20"/>
          <w:szCs w:val="20"/>
          <w:color w:val="auto"/>
        </w:rPr>
      </w:pPr>
      <w:r>
        <w:rPr>
          <w:rFonts w:ascii="Arial" w:cs="Arial" w:eastAsia="Arial" w:hAnsi="Arial"/>
          <w:sz w:val="16"/>
          <w:szCs w:val="16"/>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29" w:lineRule="exact"/>
        <w:rPr>
          <w:sz w:val="20"/>
          <w:szCs w:val="20"/>
          <w:color w:val="auto"/>
        </w:rPr>
      </w:pPr>
    </w:p>
    <w:p>
      <w:pPr>
        <w:jc w:val="both"/>
        <w:ind w:right="240" w:firstLine="492"/>
        <w:spacing w:after="0" w:line="264" w:lineRule="auto"/>
        <w:rPr>
          <w:sz w:val="20"/>
          <w:szCs w:val="20"/>
          <w:color w:val="auto"/>
        </w:rPr>
      </w:pPr>
      <w:r>
        <w:rPr>
          <w:rFonts w:ascii="Arial" w:cs="Arial" w:eastAsia="Arial" w:hAnsi="Arial"/>
          <w:sz w:val="18"/>
          <w:szCs w:val="18"/>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54" w:lineRule="exact"/>
        <w:rPr>
          <w:sz w:val="20"/>
          <w:szCs w:val="20"/>
          <w:color w:val="auto"/>
        </w:rPr>
      </w:pPr>
    </w:p>
    <w:p>
      <w:pPr>
        <w:jc w:val="both"/>
        <w:ind w:right="560" w:firstLine="492"/>
        <w:spacing w:after="0" w:line="312" w:lineRule="auto"/>
        <w:rPr>
          <w:sz w:val="20"/>
          <w:szCs w:val="20"/>
          <w:color w:val="auto"/>
        </w:rPr>
      </w:pPr>
      <w:r>
        <w:rPr>
          <w:rFonts w:ascii="Arial" w:cs="Arial" w:eastAsia="Arial" w:hAnsi="Arial"/>
          <w:sz w:val="16"/>
          <w:szCs w:val="16"/>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98" w:lineRule="exact"/>
        <w:rPr>
          <w:sz w:val="20"/>
          <w:szCs w:val="20"/>
          <w:color w:val="auto"/>
        </w:rPr>
      </w:pPr>
    </w:p>
    <w:p>
      <w:pPr>
        <w:ind w:right="140" w:firstLine="492"/>
        <w:spacing w:after="0" w:line="289" w:lineRule="auto"/>
        <w:rPr>
          <w:sz w:val="20"/>
          <w:szCs w:val="20"/>
          <w:color w:val="auto"/>
        </w:rPr>
      </w:pPr>
      <w:r>
        <w:rPr>
          <w:rFonts w:ascii="Arial" w:cs="Arial" w:eastAsia="Arial" w:hAnsi="Arial"/>
          <w:sz w:val="16"/>
          <w:szCs w:val="16"/>
          <w:color w:val="auto"/>
        </w:rPr>
        <w:t>On January 1, 2019, the Company adopted Topic 842, which establishes a new lease accounting method for lessees. The updated guidance requires an entity to recognize assets and liabilities arising from a lease for both financing and operating leases, along with additional qualitative and quantitative disclosures. The Company elected the package of practical expedients requiring no reassessment of whether any expired or existing contracts are or contain leases, the lease classification of any expired or existing leases, or initial direct costs for any existing leases. The standard had a material impact on its consolidated balance sheets by recognizing Operating lease right-of-use assets and Operating lease liabilities for operating leases but did not have an impact on our consolidated statement of operations or cash flows. The adoption of the Topic 842 resulted in recognition of Operating lease right-of-use assets of $10.4 million, $4.9 million of Operating lease liabilities – current, and $5.8 million of Operating lease liabilities – noncurrent as of January 1, 2019, the date of adoption.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Nonemployee Share-Based Payment Accounting</w:t>
      </w:r>
    </w:p>
    <w:p>
      <w:pPr>
        <w:spacing w:after="0" w:line="185" w:lineRule="exact"/>
        <w:rPr>
          <w:sz w:val="20"/>
          <w:szCs w:val="20"/>
          <w:color w:val="auto"/>
        </w:rPr>
      </w:pPr>
    </w:p>
    <w:p>
      <w:pPr>
        <w:ind w:right="120" w:firstLine="492"/>
        <w:spacing w:after="0" w:line="289" w:lineRule="auto"/>
        <w:rPr>
          <w:sz w:val="20"/>
          <w:szCs w:val="20"/>
          <w:color w:val="auto"/>
        </w:rPr>
      </w:pPr>
      <w:r>
        <w:rPr>
          <w:rFonts w:ascii="Arial" w:cs="Arial" w:eastAsia="Arial" w:hAnsi="Arial"/>
          <w:sz w:val="16"/>
          <w:szCs w:val="16"/>
          <w:color w:val="auto"/>
        </w:rPr>
        <w:t>On January 1, 2019, the Company adopted Topic 718, which eliminates the separate accounting method for nonemployee share-based payment awards and generally requires companies to account for share-based payment transactions with nonemployees in the same manner as share-based payment transactions with employees. Under the new guidance, nonemployee share-based payment transactions are measured at the grant-date fair value and are no longer remeasured at the then-current fair values at each reporting date until the share options have vested. The guidance requires a modified-retrospective approach in transition. The Company compared the cumulative amounts that were recorded for its nonemployee share-based payments through December 31, 2018 immediately preceding the date of adoption to the cumulative amounts that should be recognized at the adoption date and recognized a cumulative effect of the transition adjustment of $0.3 million to retained earnings as of the date of adoption, January 1,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Stockholders’ Equity</w:t>
      </w:r>
    </w:p>
    <w:p>
      <w:pPr>
        <w:spacing w:after="0" w:line="185" w:lineRule="exact"/>
        <w:rPr>
          <w:sz w:val="20"/>
          <w:szCs w:val="20"/>
          <w:color w:val="auto"/>
        </w:rPr>
      </w:pPr>
    </w:p>
    <w:p>
      <w:pPr>
        <w:ind w:right="180" w:firstLine="492"/>
        <w:spacing w:after="0" w:line="297" w:lineRule="auto"/>
        <w:rPr>
          <w:sz w:val="20"/>
          <w:szCs w:val="20"/>
          <w:color w:val="auto"/>
        </w:rPr>
      </w:pPr>
      <w:r>
        <w:rPr>
          <w:rFonts w:ascii="Arial" w:cs="Arial" w:eastAsia="Arial" w:hAnsi="Arial"/>
          <w:sz w:val="16"/>
          <w:szCs w:val="16"/>
          <w:color w:val="auto"/>
        </w:rPr>
        <w:t>In August 2018, the Security Exchange Commission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Company has included its presentation of changes in stockholders’ equity in this Quarterly Report on Form 10-Q for the three and six months ended June 30, 2019 and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Disclosure</w:t>
      </w:r>
    </w:p>
    <w:p>
      <w:pPr>
        <w:spacing w:after="0" w:line="185" w:lineRule="exact"/>
        <w:rPr>
          <w:sz w:val="20"/>
          <w:szCs w:val="20"/>
          <w:color w:val="auto"/>
        </w:rPr>
      </w:pPr>
    </w:p>
    <w:p>
      <w:pPr>
        <w:ind w:right="120" w:firstLine="492"/>
        <w:spacing w:after="0" w:line="293"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which eliminates disclosure requirement regarding transfers between level 1 and level 2 of the fair value of hierarchy, however, adds disclosure requirements on the range and weighted average used to develop significant unobservable inputs for level 3 fair value measurements. The Company adopted the guidance on January 1, 2019, however, there was no adjustment required to its disclosures as it did not have fair value assets classified under level 2 or 3 as of June 30, 2019 and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98"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In June 2016, the FASB issued ASU 2016-13, Financial Instruments - Credit Losses, and also issued subsequent amendments to the initial guidance, ASU 2018-19, ASU 2019-04, and ASU 2019-05 (collectively, Topic 326), to introduce a new impairment model for recognizing credit losses on financial instruments based on an estimate of current expected credit losses (CECL). Under Topic 326, an entity is required to estimate CECL on available-for-sale (AFS) debt securities only when the fair value is below the amortized cost of the asset and is no longer based on an impairment being “other-than-temporary”. Topic 326 also requires the impairment calculation on an individual security level and requires an entity use present value of cash flows when estimating the CECL. The credit-related losses are required to be recognized through earnings and non-credit related losses are reported in other comprehensive income. In April 2019, the FASB further clarified the scope of Topic 326 and addressed issues related to accrued interest receivable balances, recoveries, variable interest rates and prepayment. Topic 326 will be effective for public entities in fiscal years beginning after December 15, 2019, including interim periods within those fiscal years. The new guidance will require modified retrospective application to all outstanding instruments, with a cumulative effect adjustment recorded to opening retained earnings as of the beginning of the first period in which the guidance becomes effective. The Company does not believe the adoption of this new guidance will have any material impact on its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85" w:lineRule="exact"/>
        <w:rPr>
          <w:sz w:val="20"/>
          <w:szCs w:val="20"/>
          <w:color w:val="auto"/>
        </w:rPr>
      </w:pPr>
    </w:p>
    <w:p>
      <w:pPr>
        <w:ind w:firstLine="537"/>
        <w:spacing w:after="0" w:line="288"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(ASU 2018-15), to help entities evaluate the accounting for fees paid by a customer in a cloud computing arrangement (hosting arrangement) by providing guidance for determining when the arrangement includes a software license. The guidance provided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ASU 2018-15 is effective for fiscal years beginning subsequent to December 15, 2019. The Company is currently assessing the potential impact of adopting ASU 2018-15 on its consolidated financial statements and related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right="240" w:firstLine="492"/>
        <w:spacing w:after="0" w:line="264" w:lineRule="auto"/>
        <w:rPr>
          <w:sz w:val="20"/>
          <w:szCs w:val="20"/>
          <w:color w:val="auto"/>
        </w:rPr>
      </w:pPr>
      <w:r>
        <w:rPr>
          <w:rFonts w:ascii="Arial" w:cs="Arial" w:eastAsia="Arial" w:hAnsi="Arial"/>
          <w:sz w:val="18"/>
          <w:szCs w:val="18"/>
          <w:color w:val="auto"/>
        </w:rPr>
        <w:t>Certain amounts within the balance sheets for the prior period have been reclassified to conform with the current period presentation. These reclassifications had no impact on the Company's previously reported financial position or cash flows for any of the periods presented.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NOTE 3. CASH EQUIVALENTS AND SHORT-TERM INVESTMENTS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26"/>
        </w:trPr>
        <w:tc>
          <w:tcPr>
            <w:tcW w:w="6980" w:type="dxa"/>
            <w:vAlign w:val="bottom"/>
            <w:gridSpan w:val="5"/>
          </w:tcPr>
          <w:p>
            <w:pPr>
              <w:jc w:val="right"/>
              <w:ind w:right="290"/>
              <w:spacing w:after="0"/>
              <w:rPr>
                <w:sz w:val="20"/>
                <w:szCs w:val="20"/>
                <w:color w:val="auto"/>
              </w:rPr>
            </w:pPr>
            <w:r>
              <w:rPr>
                <w:rFonts w:ascii="Arial" w:cs="Arial" w:eastAsia="Arial" w:hAnsi="Arial"/>
                <w:sz w:val="18"/>
                <w:szCs w:val="18"/>
                <w:color w:val="auto"/>
                <w:w w:val="98"/>
              </w:rPr>
              <w:t>Cash equivalents and short-term investments consist of the following (in thousands):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7"/>
        </w:trPr>
        <w:tc>
          <w:tcPr>
            <w:tcW w:w="8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00" w:type="dxa"/>
            <w:vAlign w:val="bottom"/>
          </w:tcPr>
          <w:p>
            <w:pPr>
              <w:spacing w:after="0"/>
              <w:rPr>
                <w:sz w:val="20"/>
                <w:szCs w:val="20"/>
                <w:color w:val="auto"/>
              </w:rPr>
            </w:pPr>
          </w:p>
        </w:tc>
        <w:tc>
          <w:tcPr>
            <w:tcW w:w="48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0"/>
        </w:trPr>
        <w:tc>
          <w:tcPr>
            <w:tcW w:w="8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25,968</w:t>
            </w:r>
          </w:p>
        </w:tc>
      </w:tr>
      <w:tr>
        <w:trPr>
          <w:trHeight w:val="216"/>
        </w:trPr>
        <w:tc>
          <w:tcPr>
            <w:tcW w:w="800" w:type="dxa"/>
            <w:vAlign w:val="bottom"/>
          </w:tcPr>
          <w:p>
            <w:pPr>
              <w:spacing w:after="0"/>
              <w:rPr>
                <w:sz w:val="18"/>
                <w:szCs w:val="18"/>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equivalents - U.S government securities</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0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equivalents total</w:t>
            </w: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25,968</w:t>
            </w:r>
          </w:p>
        </w:tc>
      </w:tr>
      <w:tr>
        <w:trPr>
          <w:trHeight w:val="20"/>
        </w:trPr>
        <w:tc>
          <w:tcPr>
            <w:tcW w:w="8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Cash equivalents in the tables above exclude cash demand deposits of $33.7 million and $56.2 million as of June 30, 2019 and December 31, 2018, respectively.</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1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$ 187,695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265,393</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139,546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120,978</w:t>
            </w:r>
          </w:p>
        </w:tc>
      </w:tr>
      <w:tr>
        <w:trPr>
          <w:trHeight w:val="210"/>
        </w:trPr>
        <w:tc>
          <w:tcPr>
            <w:tcW w:w="38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investments total</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$ 327,241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386,371</w:t>
            </w:r>
          </w:p>
        </w:tc>
      </w:tr>
      <w:tr>
        <w:trPr>
          <w:trHeight w:val="20"/>
        </w:trPr>
        <w:tc>
          <w:tcPr>
            <w:tcW w:w="3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The cost and fair value of cash equivalents and short-term investments at June 30, 2019 and December 31, 2018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Gross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Accretion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Gains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186,540</w:t>
            </w:r>
          </w:p>
        </w:tc>
        <w:tc>
          <w:tcPr>
            <w:tcW w:w="4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187,695</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138,499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139,546</w:t>
            </w: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325,039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327,241</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Gross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Accretion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Gains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264,619</w:t>
            </w:r>
          </w:p>
        </w:tc>
        <w:tc>
          <w:tcPr>
            <w:tcW w:w="4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265,393</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120,653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120,978</w:t>
            </w: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385,272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386,371</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92"/>
        <w:spacing w:after="0" w:line="308" w:lineRule="auto"/>
        <w:rPr>
          <w:sz w:val="20"/>
          <w:szCs w:val="20"/>
          <w:color w:val="auto"/>
        </w:rPr>
      </w:pPr>
      <w:r>
        <w:rPr>
          <w:rFonts w:ascii="Arial" w:cs="Arial" w:eastAsia="Arial" w:hAnsi="Arial"/>
          <w:sz w:val="17"/>
          <w:szCs w:val="17"/>
          <w:color w:val="auto"/>
        </w:rPr>
        <w:t>Unrealized gains and losses are included in accumulated other comprehensive loss. All short-term investments held by the Company as of June 30, 2019 and December 31, 2018 have a maturity of less than one year.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Arial" w:cs="Arial" w:eastAsia="Arial" w:hAnsi="Arial"/>
                <w:sz w:val="18"/>
                <w:szCs w:val="18"/>
                <w:color w:val="auto"/>
              </w:rPr>
              <w:t>Accrued expenses consist of the following (in thousands):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0"/>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Legal and related services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Manufacturing related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rent - current</w:t>
            </w: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 and Common Stock</w:t>
      </w:r>
    </w:p>
    <w:p>
      <w:pPr>
        <w:spacing w:after="0" w:line="18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In September 2017, the Company closed an underwritten public offering of 8,846,154 shares of the Company’s common stock at a public offering price of $6.50 per share, before underwriting discounts, which included 1,153,846 shares issued upon the exercise in full by the underwriters of their option to purchase additional shares at the public offering price less the underwriting discounts. The gross proceeds from the offering, before deducting the underwriting discounts and commissions and other offering expenses payable by the Company, were $57.5 million, with net proceeds to the Company of $53.7 million.</w:t>
      </w:r>
    </w:p>
    <w:p>
      <w:pPr>
        <w:spacing w:after="0" w:line="153"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66"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pacing w:after="0" w:line="153"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On June 10, 2019, the certificate of incorporation of the Company was amended to increase the number of authorized shares of the Company’s common stock, par value $0.000041666, from 150,000,000 shares to 300,000,000 shares (the “Certificate of Amendment”). The Certificate of Amendment was approved by the Company’s stockholders at the Company’s 2019 Annual Meeting of Stockholders held on June 10,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98" w:lineRule="exact"/>
        <w:rPr>
          <w:sz w:val="20"/>
          <w:szCs w:val="20"/>
          <w:color w:val="auto"/>
        </w:rPr>
      </w:pPr>
    </w:p>
    <w:p>
      <w:pPr>
        <w:ind w:right="320" w:firstLine="492"/>
        <w:spacing w:after="0" w:line="259"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At June 30, 2019, 17,000 shares were designated as Series A Convertible Preferred Stock (“Series A Convertible Preferred Stock”) and 11,500,000 shares were designated as Series B Convertible Preferred Stock (“Series B Convertible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185" w:lineRule="exact"/>
        <w:rPr>
          <w:sz w:val="20"/>
          <w:szCs w:val="20"/>
          <w:color w:val="auto"/>
        </w:rPr>
      </w:pPr>
    </w:p>
    <w:p>
      <w:pPr>
        <w:ind w:right="420" w:firstLine="492"/>
        <w:spacing w:after="0" w:line="259" w:lineRule="auto"/>
        <w:rPr>
          <w:sz w:val="20"/>
          <w:szCs w:val="20"/>
          <w:color w:val="auto"/>
        </w:rPr>
      </w:pPr>
      <w:r>
        <w:rPr>
          <w:rFonts w:ascii="Arial" w:cs="Arial" w:eastAsia="Arial" w:hAnsi="Arial"/>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w:t>
      </w:r>
    </w:p>
    <w:p>
      <w:pPr>
        <w:spacing w:after="0" w:line="160"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The common shares issued were determined on a formula basis of 500 common shares for each share of Series A Convertible Preferred Stock converted.</w:t>
      </w:r>
    </w:p>
    <w:p>
      <w:pPr>
        <w:spacing w:after="0" w:line="141"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No Shares of Series A Convertible Preferred Stock were converted during the six months ended June 30, 2019. 1,500 shares of Series A Convertible Preferred Stock were converted into 750,000 shares of common stock during the six months ended June 30, 2018. At June 30, 2019 and 2018, 194 shares of Series A Convertible Preferred Stock (that are convertible into 97,000 shares of common stock) remained outstanding.</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198" w:lineRule="exact"/>
        <w:rPr>
          <w:sz w:val="20"/>
          <w:szCs w:val="20"/>
          <w:color w:val="auto"/>
        </w:rPr>
      </w:pPr>
    </w:p>
    <w:p>
      <w:pPr>
        <w:ind w:right="19" w:firstLine="492"/>
        <w:spacing w:after="0" w:line="259" w:lineRule="auto"/>
        <w:rPr>
          <w:sz w:val="20"/>
          <w:szCs w:val="20"/>
          <w:color w:val="auto"/>
        </w:rPr>
      </w:pPr>
      <w:r>
        <w:rPr>
          <w:rFonts w:ascii="Arial" w:cs="Arial" w:eastAsia="Arial" w:hAnsi="Arial"/>
          <w:sz w:val="18"/>
          <w:szCs w:val="18"/>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w:t>
      </w:r>
    </w:p>
    <w:p>
      <w:pPr>
        <w:spacing w:after="0" w:line="146" w:lineRule="exact"/>
        <w:rPr>
          <w:sz w:val="20"/>
          <w:szCs w:val="20"/>
          <w:color w:val="auto"/>
        </w:rPr>
      </w:pPr>
    </w:p>
    <w:p>
      <w:pPr>
        <w:ind w:right="39" w:firstLine="492"/>
        <w:spacing w:after="0" w:line="257" w:lineRule="auto"/>
        <w:rPr>
          <w:sz w:val="20"/>
          <w:szCs w:val="20"/>
          <w:color w:val="auto"/>
        </w:rPr>
      </w:pPr>
      <w:r>
        <w:rPr>
          <w:rFonts w:ascii="Arial" w:cs="Arial" w:eastAsia="Arial" w:hAnsi="Arial"/>
          <w:sz w:val="18"/>
          <w:szCs w:val="18"/>
          <w:color w:val="auto"/>
        </w:rPr>
        <w:t>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48" w:lineRule="exact"/>
        <w:rPr>
          <w:sz w:val="20"/>
          <w:szCs w:val="20"/>
          <w:color w:val="auto"/>
        </w:rPr>
      </w:pPr>
    </w:p>
    <w:p>
      <w:pPr>
        <w:ind w:right="99" w:firstLine="492"/>
        <w:spacing w:after="0" w:line="302" w:lineRule="auto"/>
        <w:rPr>
          <w:sz w:val="20"/>
          <w:szCs w:val="20"/>
          <w:color w:val="auto"/>
        </w:rPr>
      </w:pPr>
      <w:r>
        <w:rPr>
          <w:rFonts w:ascii="Arial" w:cs="Arial" w:eastAsia="Arial" w:hAnsi="Arial"/>
          <w:sz w:val="16"/>
          <w:szCs w:val="16"/>
          <w:color w:val="auto"/>
        </w:rPr>
        <w:t>No shares of Series B Convertible Preferred Stock were converted during the six months ended June 30, 2019. 1,250,549 shares of Series B Convertible Preferred Stock were converted into 1,250,549 shares of common stock during the six months ended June 30, 2018. At June 30, 2019 and 2018, 5,854,845 and 6,127,692 shares of Series B Preferred Stock (that are convertible into 5,854,845 and 6,127,692 shares of common stock) remained outstanding,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Cancellation of Common Shares</w:t>
      </w:r>
    </w:p>
    <w:p>
      <w:pPr>
        <w:spacing w:after="0" w:line="185" w:lineRule="exact"/>
        <w:rPr>
          <w:sz w:val="20"/>
          <w:szCs w:val="20"/>
          <w:color w:val="auto"/>
        </w:rPr>
      </w:pPr>
    </w:p>
    <w:p>
      <w:pPr>
        <w:ind w:right="59" w:firstLine="492"/>
        <w:spacing w:after="0" w:line="273" w:lineRule="auto"/>
        <w:rPr>
          <w:sz w:val="20"/>
          <w:szCs w:val="20"/>
          <w:color w:val="auto"/>
        </w:rPr>
      </w:pPr>
      <w:r>
        <w:rPr>
          <w:rFonts w:ascii="Arial" w:cs="Arial" w:eastAsia="Arial" w:hAnsi="Arial"/>
          <w:sz w:val="17"/>
          <w:szCs w:val="17"/>
          <w:color w:val="auto"/>
        </w:rPr>
        <w:t>On September 30, 2013, the Company and a third party entered into an agreement under which the Company issued 50,000 shares of unregistered stock in the Company to the third party. On January 16, 2019, the two parties entered into a confidential settlement agreement in connection with a dispute related to their prior relationship and activities. As part of the settlement, the third party returned 32,500 shares of common stock to the Company for cancellation and retained the remaining 17,500 shares. The Company included a gain of $335,000 on cancellation of 32,500 shares in Other income in its condensed consolidated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right="79" w:firstLine="492"/>
        <w:spacing w:after="0" w:line="286" w:lineRule="auto"/>
        <w:rPr>
          <w:sz w:val="20"/>
          <w:szCs w:val="20"/>
          <w:color w:val="auto"/>
        </w:rPr>
      </w:pPr>
      <w:r>
        <w:rPr>
          <w:rFonts w:ascii="Arial" w:cs="Arial" w:eastAsia="Arial" w:hAnsi="Arial"/>
          <w:sz w:val="16"/>
          <w:szCs w:val="16"/>
          <w:color w:val="auto"/>
        </w:rPr>
        <w:t>On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the 2011 plan, but non-qualified options, common stock and grant appreciation rights can still be granted. In August 2013, the Company’s Board of Directors and a majority of the Company’s stockholders approved an amendment to increase the number of shares available under the 2011 Plan from 180,000 shares to 1,700,000 shares, and an amendment to increase the number of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As of June 30, 2019, 151,240 shares were available for future grant under the 2011 Plan.</w:t>
      </w:r>
    </w:p>
    <w:p>
      <w:pPr>
        <w:spacing w:after="0" w:line="134" w:lineRule="exact"/>
        <w:rPr>
          <w:sz w:val="20"/>
          <w:szCs w:val="20"/>
          <w:color w:val="auto"/>
        </w:rPr>
      </w:pPr>
    </w:p>
    <w:p>
      <w:pPr>
        <w:ind w:right="59" w:firstLine="492"/>
        <w:spacing w:after="0" w:line="291" w:lineRule="auto"/>
        <w:rPr>
          <w:sz w:val="20"/>
          <w:szCs w:val="20"/>
          <w:color w:val="auto"/>
        </w:rPr>
      </w:pPr>
      <w:r>
        <w:rPr>
          <w:rFonts w:ascii="Arial" w:cs="Arial" w:eastAsia="Arial" w:hAnsi="Arial"/>
          <w:sz w:val="16"/>
          <w:szCs w:val="16"/>
          <w:color w:val="auto"/>
        </w:rPr>
        <w:t>On September 19, 2014, the Company’s Board of Directors adopted the Iovance Biotherapeutics, Inc. 2014 Equity Incentive Plan (the “2014 Plan”). The 2014 Plan was approved by the Company’s stockholders at the Company’s 2014 Annual Meeting of Stockholders held in November 2014. The 2014 Plan, as approved by the stockholders, authorized the issuance up to an aggregate of 2,350,000 shares of the Company’s common stock. On April 10, 2015, the Board of Directors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40" w:lineRule="exact"/>
        <w:rPr>
          <w:sz w:val="20"/>
          <w:szCs w:val="20"/>
          <w:color w:val="auto"/>
        </w:rPr>
      </w:pPr>
    </w:p>
    <w:p>
      <w:pPr>
        <w:ind w:right="219" w:firstLine="492"/>
        <w:spacing w:after="0" w:line="264"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As of June 30, 2019, 36,024 shares were available for grant under the Company’s 2014 Plan.</w:t>
      </w:r>
    </w:p>
    <w:p>
      <w:pPr>
        <w:spacing w:after="0" w:line="141" w:lineRule="exact"/>
        <w:rPr>
          <w:sz w:val="20"/>
          <w:szCs w:val="20"/>
          <w:color w:val="auto"/>
        </w:rPr>
      </w:pPr>
    </w:p>
    <w:p>
      <w:pPr>
        <w:ind w:right="139" w:firstLine="492"/>
        <w:spacing w:after="0" w:line="342" w:lineRule="auto"/>
        <w:rPr>
          <w:sz w:val="20"/>
          <w:szCs w:val="20"/>
          <w:color w:val="auto"/>
        </w:rPr>
      </w:pPr>
      <w:r>
        <w:rPr>
          <w:rFonts w:ascii="Arial" w:cs="Arial" w:eastAsia="Arial" w:hAnsi="Arial"/>
          <w:sz w:val="16"/>
          <w:szCs w:val="16"/>
          <w:color w:val="auto"/>
        </w:rPr>
        <w:t>On April 22, 2018, the Board of Directors adopted the Iovance Biotherapeutics, Inc. 2018 Equity Incentive Plan (the “2018 Plan”). The 2018 Plan was approved by the Company’s stockholders at the Annual Meeting of Stockholders</w:t>
      </w:r>
    </w:p>
    <w:p>
      <w:pPr>
        <w:sectPr>
          <w:pgSz w:w="11900" w:h="16838" w:orient="portrait"/>
          <w:cols w:equalWidth="0" w:num="1">
            <w:col w:w="9039"/>
          </w:cols>
          <w:pgMar w:left="1420" w:top="517" w:right="1440" w:bottom="144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As of June 30, 2019, 4,029,500 shares were available for grant under the 2018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160" w:firstLine="492"/>
        <w:spacing w:after="0" w:line="270" w:lineRule="auto"/>
        <w:rPr>
          <w:sz w:val="20"/>
          <w:szCs w:val="20"/>
          <w:color w:val="auto"/>
        </w:rPr>
      </w:pPr>
      <w:r>
        <w:rPr>
          <w:rFonts w:ascii="Arial" w:cs="Arial" w:eastAsia="Arial" w:hAnsi="Arial"/>
          <w:sz w:val="17"/>
          <w:szCs w:val="17"/>
          <w:color w:val="auto"/>
        </w:rPr>
        <w:t>On June 1, 2016, the Company entered into a restricted stock unit agreement with the Company’s new Chief Executive Officer, Maria Fardis, Ph.D., pursuant to which the Company granted Dr. Fardis 550,000 non-transferrable restricted stock units at fair market value of $5.87 per share as an inducement for employment pursuant to Nasdaq Listing Rule 5635(c)(4). The 550,000 restricted stock units vest in installments as follows: (i) 137,500 restricted stock units vested upon the first anniversary of the effective date of Dr. Fardis’ employment agreement; (ii) 275,000 restricted stock units vest upon the satisfaction of certain clinical trial milestones; and (iii) 137,500 restricted stock units vest in equal monthly installments over the 36-month period following the first anniversary of the effective date of Dr. Fardis’ employment, provided that Dr. Fardis has been continuously employed with the Company as of such vesting dates. As of June 30, 2019, 45,828 restricted stock units remained unvested.</w:t>
      </w:r>
    </w:p>
    <w:p>
      <w:pPr>
        <w:spacing w:after="0" w:line="141"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Stock-based compensation expense for restricted stock units are measured based on the closing fair market value of the Company’s common stock on the date of grant. The stock-based compensation expenses relating to restricted stock units were $0.1 million and $0.1 million for the three months ended June 30, 2019 and 2018, respectively, and $0.1 million and $0.1 million for the six months ended June 30, 2019 and 2018, respectively, recorded as part of general and administrative expenses.</w:t>
      </w:r>
    </w:p>
    <w:p>
      <w:pPr>
        <w:spacing w:after="0" w:line="161"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As of June 30, 2019, $0.3 million of total unrecognized compensation costs related to non-vested restricted stock units to be recognized over a weighted average period of 0.92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color w:val="auto"/>
        </w:rPr>
        <w:t>A summary of the status of stock options at June 30, 2019, and the changes during the six months then ended, is presented in the following table:</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8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3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 Life</w:t>
            </w:r>
          </w:p>
        </w:tc>
        <w:tc>
          <w:tcPr>
            <w:tcW w:w="20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thousands)</w:t>
            </w: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6,889,287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3,066,300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Expired/Forfeited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3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June 30, 2019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9,205,672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126,117</w:t>
            </w:r>
          </w:p>
        </w:tc>
      </w:tr>
      <w:tr>
        <w:trPr>
          <w:trHeight w:val="20"/>
        </w:trPr>
        <w:tc>
          <w:tcPr>
            <w:tcW w:w="3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3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exercisable at June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3,965,687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The Company recorded stock-based compensation expenses related to options of $6.4 million and $5.2 million for the three months ended June 30, 2019 and 2018, respectively, and $12.1 million and $9.2 million for the six months ended June 30, 2019 and 2018, respectively. As of June 30, 2019, there was $43.8 million of total unrecognized compensation expense related to the options to be recognized over a weighted average period of 2.09 years.</w:t>
      </w:r>
    </w:p>
    <w:p>
      <w:pPr>
        <w:spacing w:after="0" w:line="144" w:lineRule="exact"/>
        <w:rPr>
          <w:sz w:val="20"/>
          <w:szCs w:val="20"/>
          <w:color w:val="auto"/>
        </w:rPr>
      </w:pPr>
    </w:p>
    <w:p>
      <w:pPr>
        <w:ind w:right="380" w:firstLine="492"/>
        <w:spacing w:after="0" w:line="308" w:lineRule="auto"/>
        <w:rPr>
          <w:sz w:val="20"/>
          <w:szCs w:val="20"/>
          <w:color w:val="auto"/>
        </w:rPr>
      </w:pPr>
      <w:r>
        <w:rPr>
          <w:rFonts w:ascii="Arial" w:cs="Arial" w:eastAsia="Arial" w:hAnsi="Arial"/>
          <w:sz w:val="17"/>
          <w:szCs w:val="17"/>
          <w:color w:val="auto"/>
        </w:rPr>
        <w:t>The weighted average grant date fair value for employee options granted under the Company’s stock option plans during the six months ended June 30, 2019 and 2018 was $7.98 and $15.26 per option respectively.</w:t>
      </w:r>
    </w:p>
    <w:p>
      <w:pPr>
        <w:spacing w:after="0" w:line="106"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quarter ended June 30, 2019 and the exercise price of the options, multiplied by the number of in-the-money stock options) that would have been received by the option holders had all option holders exercised their options on June 30, 2019. The intrinsic value of the Company’s stock options changes based on the closing price of the Company’s common stock.</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20" w:firstLine="492"/>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six months ended June 30, 2019 and 2018:</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38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4"/>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Assumptions: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6.50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70.78%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0"/>
              </w:rPr>
              <w:t>167.54%</w:t>
            </w:r>
          </w:p>
        </w:tc>
        <w:tc>
          <w:tcPr>
            <w:tcW w:w="840" w:type="dxa"/>
            <w:vAlign w:val="bottom"/>
          </w:tcPr>
          <w:p>
            <w:pPr>
              <w:ind w:left="40"/>
              <w:spacing w:after="0"/>
              <w:rPr>
                <w:sz w:val="20"/>
                <w:szCs w:val="20"/>
                <w:color w:val="auto"/>
              </w:rPr>
            </w:pPr>
            <w:r>
              <w:rPr>
                <w:rFonts w:ascii="Arial" w:cs="Arial" w:eastAsia="Arial" w:hAnsi="Arial"/>
                <w:sz w:val="18"/>
                <w:szCs w:val="18"/>
                <w:color w:val="auto"/>
                <w:w w:val="90"/>
              </w:rPr>
              <w:t>– 200.28%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2.97%</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0" w:type="dxa"/>
            <w:vAlign w:val="bottom"/>
          </w:tcPr>
          <w:p>
            <w:pPr>
              <w:spacing w:after="0"/>
              <w:rPr>
                <w:sz w:val="20"/>
                <w:szCs w:val="20"/>
                <w:color w:val="auto"/>
              </w:rPr>
            </w:pPr>
          </w:p>
        </w:tc>
        <w:tc>
          <w:tcPr>
            <w:tcW w:w="1520" w:type="dxa"/>
            <w:vAlign w:val="bottom"/>
            <w:gridSpan w:val="2"/>
          </w:tcPr>
          <w:p>
            <w:pPr>
              <w:jc w:val="right"/>
              <w:ind w:right="55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500" w:firstLine="492"/>
        <w:spacing w:after="0" w:line="277" w:lineRule="auto"/>
        <w:rPr>
          <w:sz w:val="20"/>
          <w:szCs w:val="20"/>
          <w:color w:val="auto"/>
        </w:rPr>
      </w:pPr>
      <w:r>
        <w:rPr>
          <w:rFonts w:ascii="Arial" w:cs="Arial" w:eastAsia="Arial" w:hAnsi="Arial"/>
          <w:sz w:val="18"/>
          <w:szCs w:val="18"/>
          <w:color w:val="auto"/>
        </w:rPr>
        <w:t>Expected Dividend Yield —The Company has never paid dividends and does not expect to pay dividends in the foreseeable future.</w:t>
      </w:r>
    </w:p>
    <w:p>
      <w:pPr>
        <w:spacing w:after="0" w:line="143"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130" w:lineRule="exact"/>
        <w:rPr>
          <w:sz w:val="20"/>
          <w:szCs w:val="20"/>
          <w:color w:val="auto"/>
        </w:rPr>
      </w:pPr>
    </w:p>
    <w:p>
      <w:pPr>
        <w:ind w:right="780" w:firstLine="492"/>
        <w:spacing w:after="0" w:line="277" w:lineRule="auto"/>
        <w:rPr>
          <w:sz w:val="20"/>
          <w:szCs w:val="20"/>
          <w:color w:val="auto"/>
        </w:rPr>
      </w:pPr>
      <w:r>
        <w:rPr>
          <w:rFonts w:ascii="Arial" w:cs="Arial" w:eastAsia="Arial" w:hAnsi="Arial"/>
          <w:sz w:val="18"/>
          <w:szCs w:val="18"/>
          <w:color w:val="auto"/>
        </w:rPr>
        <w:t>Expected Term —The expected term of the stock option grants was calculated based on historical exercises, cancellations, and forfeitures of stock options and outstanding option shares.</w:t>
      </w:r>
    </w:p>
    <w:p>
      <w:pPr>
        <w:spacing w:after="0" w:line="130"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color w:val="auto"/>
        </w:rPr>
        <w:t>Expected Volatility —The expected volatility is based on the historical volatility for the Company’s stock over a period equal to the expected terms of the options.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Forfeiture Rate —The Company recognizes forfeitures as they occur.</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185" w:lineRule="exact"/>
        <w:rPr>
          <w:sz w:val="20"/>
          <w:szCs w:val="20"/>
          <w:color w:val="auto"/>
        </w:rPr>
      </w:pPr>
    </w:p>
    <w:p>
      <w:pPr>
        <w:ind w:right="320" w:firstLine="492"/>
        <w:spacing w:after="0" w:line="264" w:lineRule="auto"/>
        <w:rPr>
          <w:sz w:val="20"/>
          <w:szCs w:val="20"/>
          <w:color w:val="auto"/>
        </w:rPr>
      </w:pPr>
      <w:r>
        <w:rPr>
          <w:rFonts w:ascii="Arial" w:cs="Arial" w:eastAsia="Arial" w:hAnsi="Arial"/>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54" w:lineRule="exact"/>
        <w:rPr>
          <w:sz w:val="20"/>
          <w:szCs w:val="20"/>
          <w:color w:val="auto"/>
        </w:rPr>
      </w:pPr>
    </w:p>
    <w:p>
      <w:pPr>
        <w:jc w:val="both"/>
        <w:ind w:right="120" w:firstLine="492"/>
        <w:spacing w:after="0" w:line="286" w:lineRule="auto"/>
        <w:rPr>
          <w:sz w:val="20"/>
          <w:szCs w:val="20"/>
          <w:color w:val="auto"/>
        </w:rPr>
      </w:pPr>
      <w:r>
        <w:rPr>
          <w:rFonts w:ascii="Arial" w:cs="Arial" w:eastAsia="Arial" w:hAnsi="Arial"/>
          <w:sz w:val="17"/>
          <w:szCs w:val="17"/>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25" w:lineRule="exact"/>
        <w:rPr>
          <w:sz w:val="20"/>
          <w:szCs w:val="20"/>
          <w:color w:val="auto"/>
        </w:rPr>
      </w:pPr>
    </w:p>
    <w:p>
      <w:pPr>
        <w:ind w:right="80" w:firstLine="492"/>
        <w:spacing w:after="0" w:line="291" w:lineRule="auto"/>
        <w:rPr>
          <w:sz w:val="20"/>
          <w:szCs w:val="20"/>
          <w:color w:val="auto"/>
        </w:rPr>
      </w:pPr>
      <w:r>
        <w:rPr>
          <w:rFonts w:ascii="Arial" w:cs="Arial" w:eastAsia="Arial" w:hAnsi="Arial"/>
          <w:sz w:val="16"/>
          <w:szCs w:val="16"/>
          <w:color w:val="auto"/>
        </w:rPr>
        <w:t>In August 2016, the NCI and the Company entered into a second amendment to the CRADA. The principal changes effected by the second amendment included (i) extending the term of the CRADA by another five years to August 2021, and</w:t>
      </w:r>
    </w:p>
    <w:p>
      <w:pPr>
        <w:ind w:firstLine="9"/>
        <w:spacing w:after="0" w:line="254"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modifying the focus on the development of unmodified TIL as a stand-alone therapy or in combination with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49"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Pursuant to the terms of the CRADA, the Company is currently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June 30, 2019 and 2018, and $1.0 million for the six months ended June 30, 2019 and 2018 as research and development expenses.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98"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Effective October 5, 2011, the Company entered into an Exclusive Patent License Agreement (the “Patent License Agreement”) with the NIH, an agency of the United States Public Health Service within the Department of Health and Human Services,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right="40" w:firstLine="492"/>
        <w:spacing w:after="0" w:line="276"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Under the Exclusive Patent License Agreement, the Company agreed to pay customary royalties based on</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research and development costs of $0.2 million and $1.0 million for the three months ended June 30, 2019 and 2018, respectively, and $0.5 million and $1.6 million for the six months ended June 30, 2019 and 2018, respectively, in connection with the research collaboration and clinical grant agreements with Moffitt.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85" w:lineRule="exact"/>
        <w:rPr>
          <w:sz w:val="20"/>
          <w:szCs w:val="20"/>
          <w:color w:val="auto"/>
        </w:rPr>
      </w:pPr>
    </w:p>
    <w:p>
      <w:pPr>
        <w:ind w:right="140" w:firstLine="492"/>
        <w:spacing w:after="0" w:line="257" w:lineRule="auto"/>
        <w:rPr>
          <w:sz w:val="20"/>
          <w:szCs w:val="20"/>
          <w:color w:val="auto"/>
        </w:rPr>
      </w:pPr>
      <w:r>
        <w:rPr>
          <w:rFonts w:ascii="Arial" w:cs="Arial" w:eastAsia="Arial" w:hAnsi="Arial"/>
          <w:sz w:val="18"/>
          <w:szCs w:val="18"/>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61"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w:t>
      </w:r>
    </w:p>
    <w:p>
      <w:pPr>
        <w:sectPr>
          <w:pgSz w:w="11900" w:h="16838" w:orient="portrait"/>
          <w:cols w:equalWidth="0" w:num="1">
            <w:col w:w="9040"/>
          </w:cols>
          <w:pgMar w:left="1420" w:top="517" w:right="14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preparation, filing, maintenance and prosecution of the patent applications and patents covered by the First Moffitt License related to the treatment of any cancers in the United States, Europe and Japan and in other countries designated by the Company in agreement with Moffitt. No expenses were recorded for the First Moffitt License for the three and six months ended June 30, 2019 and 2018.</w:t>
      </w:r>
    </w:p>
    <w:p>
      <w:pPr>
        <w:spacing w:after="0" w:line="160"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 The Company continues to develop TIL therapies using 4-1BB agonists in manufacturing in conjunction with M.D. Anderson Cancer Center.</w:t>
      </w:r>
    </w:p>
    <w:p>
      <w:pPr>
        <w:spacing w:after="0" w:line="131"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Pursuant to the Second Moffitt License, the Company paid an upfront licensing fee in the amount of $0.1 million in 2018. An annual license maintenance fee will be also payable commencing on the first anniversary of the effective date. In addition, the Company agreed to pay an annual commercial use payment for each indication for which a first sale has occurred, which in the aggregate amounts to up to $0.4 million a year. The Company recorded $0.1 million for the three and six months ended June 30, 2019 and 2018 as research and development expenses in connection with the Second Moffitt License.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PolyBioCept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PolyBioCept Exclusive and Co-Exclusive License Agreement</w:t>
      </w:r>
    </w:p>
    <w:p>
      <w:pPr>
        <w:spacing w:after="0" w:line="185" w:lineRule="exact"/>
        <w:rPr>
          <w:sz w:val="20"/>
          <w:szCs w:val="20"/>
          <w:color w:val="auto"/>
        </w:rPr>
      </w:pPr>
    </w:p>
    <w:p>
      <w:pPr>
        <w:ind w:right="180" w:firstLine="492"/>
        <w:spacing w:after="0" w:line="290" w:lineRule="auto"/>
        <w:rPr>
          <w:sz w:val="20"/>
          <w:szCs w:val="20"/>
          <w:color w:val="auto"/>
        </w:rPr>
      </w:pPr>
      <w:r>
        <w:rPr>
          <w:rFonts w:ascii="Arial" w:cs="Arial" w:eastAsia="Arial" w:hAnsi="Arial"/>
          <w:sz w:val="16"/>
          <w:szCs w:val="16"/>
          <w:color w:val="auto"/>
        </w:rPr>
        <w:t>On September 14, 2016, the Company entered into an exclusive and co-exclusive license agreement (the “PolyBioCept Agreement”) with PolyBioCept AB, a corporation organized under the laws of Sweden (“PolyBioCept”). Under the PolyBioCept Agreement, the Company received the exclusive right and license to PolyBioCept’s intellectual property to develop, manufacture, market and genetically engineer TIL produced by expansion, selection and enrichment using a proprietary cytokine cocktail. The Company also received a co-exclusive license (with PolyBioCept) to develop, manufacture and market genetically engineered TIL under the same intellectual property. The licenses were for use in all cancers and were worldwide in scope, with the exception that the uses in melanoma were not included for certain countries of the former Soviet Union. On June 13, 2019, the Company terminated the PolyBioCept Agreement.</w:t>
      </w:r>
    </w:p>
    <w:p>
      <w:pPr>
        <w:spacing w:after="0" w:line="126" w:lineRule="exact"/>
        <w:rPr>
          <w:sz w:val="20"/>
          <w:szCs w:val="20"/>
          <w:color w:val="auto"/>
        </w:rPr>
      </w:pPr>
    </w:p>
    <w:p>
      <w:pPr>
        <w:ind w:right="340" w:firstLine="492"/>
        <w:spacing w:after="0" w:line="264" w:lineRule="auto"/>
        <w:rPr>
          <w:sz w:val="20"/>
          <w:szCs w:val="20"/>
          <w:color w:val="auto"/>
        </w:rPr>
      </w:pPr>
      <w:r>
        <w:rPr>
          <w:rFonts w:ascii="Arial" w:cs="Arial" w:eastAsia="Arial" w:hAnsi="Arial"/>
          <w:sz w:val="18"/>
          <w:szCs w:val="18"/>
          <w:color w:val="auto"/>
        </w:rPr>
        <w:t>The Company paid PolyBioCept a total of $2.5 million as an up-front exclusive license payment. No expense was recorded for the three and six months ended June 30, 2019 and 2018 in connection with this agreement. The Company believes it does not owe additional amounts to PolyBioCept.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In May 2017, the Company made a prepayment of $1.4 million under this agreement. The Company recorded $0.4 million and $0.1 million associated with the MDACC SAA for the three months ended June 30, 2019 and 2018, respectively, and $1.6 and $0.1 million for the six months ended June 30, 2019 and 2018, respectively, as research and development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MedImmune</w:t>
      </w:r>
    </w:p>
    <w:p>
      <w:pPr>
        <w:spacing w:after="0" w:line="189" w:lineRule="exact"/>
        <w:rPr>
          <w:sz w:val="20"/>
          <w:szCs w:val="20"/>
          <w:color w:val="auto"/>
        </w:rPr>
      </w:pPr>
    </w:p>
    <w:p>
      <w:pPr>
        <w:ind w:right="220" w:firstLine="492"/>
        <w:spacing w:after="0" w:line="276" w:lineRule="auto"/>
        <w:rPr>
          <w:sz w:val="20"/>
          <w:szCs w:val="20"/>
          <w:color w:val="auto"/>
        </w:rPr>
      </w:pPr>
      <w:r>
        <w:rPr>
          <w:rFonts w:ascii="Arial" w:cs="Arial" w:eastAsia="Arial" w:hAnsi="Arial"/>
          <w:sz w:val="17"/>
          <w:szCs w:val="17"/>
          <w:color w:val="auto"/>
        </w:rPr>
        <w:t>In December 2015, the Company entered into a collaboration agreement (the “MedImmune Agreement”) with MedImmune, the global biologics research and development arm of AstraZeneca (“MedImmune”), to conduct clinical and preclinical research immuno-oncology. Under the MedImmune Agreement, the Company funded and sought to conduct at least one clinical trial combining MedImmune’s PD-L1 inhibitor, durvalumab, with TIL for the treatment of patients. MedImmune supplied durvalumab for the clinical trials. On April 3, 2019, the Company and MedImmune</w:t>
      </w:r>
    </w:p>
    <w:p>
      <w:pPr>
        <w:sectPr>
          <w:pgSz w:w="11900" w:h="16838" w:orient="portrait"/>
          <w:cols w:equalWidth="0" w:num="1">
            <w:col w:w="9040"/>
          </w:cols>
          <w:pgMar w:left="1420" w:top="517" w:right="14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announced that the study was closed because of a changing treatment landscape and a lack of enrollment, and the collaboration agreement was terminated as of April 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Apptech, Inc. (“WuXi”)</w:t>
      </w:r>
    </w:p>
    <w:p>
      <w:pPr>
        <w:spacing w:after="0" w:line="189"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AppTech, Inc. (“Wuxi”) pursuant to which WuXi agreed to provide manufacturing and other services. Under the agreement, the Company entered into two statements of work for two cGMP manufacturing suites to be established and operated by WuXi for the Company, one of the suites is expected to be capable of being used for the commercial manufacture of our products. The statements of work for each facility include a fixed component to reserve a dedicated suite and a variable component, mainly labor and materials used during the manufacturing process. The fee payable under the first statement of work for the use of one of the manufacturing suites during the first year of the agreement, including the fees for the necessary personnel, was $2.5 million. The second statement of work, under which WuXi agreed to establish and operate a second, dedicated suite for a late stage/commercial manufacturing cGMP suite requires the Company to pay approximately $5.9 million during the first year of the agreement. The Company and WuXi have extended the term of the related statements of work until May 2020. The Company recorded costs associated with agreements with WuXi of $6.8 million and $3.3 million for three months ended June 30, 2019 and 2018 respectively, and $10.7 million and $6.0 million for the six months ended June 30, 2019 and 2018, respectively, as research and development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02"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the Company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The Company’s settlement with the SEC is consistent with its previous disclosures (including in our Annual Report on Form 10-K that the Company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DeSilvio v. Lion Biotechnologies, Inc., et al., </w:t>
      </w:r>
      <w:r>
        <w:rPr>
          <w:rFonts w:ascii="Arial" w:cs="Arial" w:eastAsia="Arial" w:hAnsi="Arial"/>
          <w:sz w:val="16"/>
          <w:szCs w:val="16"/>
          <w:color w:val="auto"/>
        </w:rPr>
        <w:t>case no. 3:17cv2086) against the Company and three of its former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On April 19, 2017, a second class 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the former CEO, and the former investor relations firm that were the subject of the </w:t>
      </w:r>
      <w:r>
        <w:rPr>
          <w:rFonts w:ascii="Arial" w:cs="Arial" w:eastAsia="Arial" w:hAnsi="Arial"/>
          <w:sz w:val="16"/>
          <w:szCs w:val="16"/>
          <w:i w:val="1"/>
          <w:iCs w:val="1"/>
          <w:color w:val="auto"/>
        </w:rPr>
        <w:t>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Matter of Certain 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dismiss that case. The court entered an 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3:17-cv-2086) seeking class action status that alleges, among other things,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defendants violated federal securities laws by making materially false and misleading statements, or by failing to make certain disclosures, regarding the actions taken by Manish Singh and its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the Company’s insurance carrier and would result in no loss to the Company.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the Company’s insurance carrier to a settlement fund, awarded attorney’s fees and costs to be paid to plaintiff’s counsel from the settlement fund, approved the plan of allocation for settlement class members, and ordered that the claims against the Company should be dismissed with prejudice. The Company does not expect to incur any costs or expenses in connection with this settlement.</w:t>
      </w:r>
    </w:p>
    <w:p>
      <w:pPr>
        <w:spacing w:after="0" w:line="351" w:lineRule="exact"/>
        <w:rPr>
          <w:sz w:val="20"/>
          <w:szCs w:val="20"/>
          <w:color w:val="auto"/>
        </w:rPr>
      </w:pPr>
    </w:p>
    <w:p>
      <w:pPr>
        <w:ind w:right="160" w:firstLine="492"/>
        <w:spacing w:after="0" w:line="290" w:lineRule="auto"/>
        <w:rPr>
          <w:sz w:val="20"/>
          <w:szCs w:val="20"/>
          <w:color w:val="auto"/>
        </w:rPr>
      </w:pPr>
      <w:r>
        <w:rPr>
          <w:rFonts w:ascii="Arial" w:cs="Arial" w:eastAsia="Arial" w:hAnsi="Arial"/>
          <w:sz w:val="16"/>
          <w:szCs w:val="16"/>
          <w:u w:val="single" w:color="auto"/>
          <w:color w:val="auto"/>
        </w:rPr>
        <w:t>Derivative Lawsuits.</w:t>
      </w:r>
      <w:r>
        <w:rPr>
          <w:rFonts w:ascii="Arial" w:cs="Arial" w:eastAsia="Arial" w:hAnsi="Arial"/>
          <w:sz w:val="16"/>
          <w:szCs w:val="16"/>
          <w:color w:val="auto"/>
        </w:rPr>
        <w:t xml:space="preserve"> On December 15, 2017, a purported stockholder derivative complaint was filed by plaintiff Kevin Fong against the Company, as nominal defendant, and certain of the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the Company and injunctive relief. On March 28, 2018, a purported stockholder derivative complaint was filed by plaintiff Nazeer Khaleeluddin on behalf of the Company, against the Company, as nominal defendant, and certain of the</w:t>
      </w:r>
    </w:p>
    <w:p>
      <w:pPr>
        <w:sectPr>
          <w:pgSz w:w="11900" w:h="16838" w:orient="portrait"/>
          <w:cols w:equalWidth="0" w:num="1">
            <w:col w:w="9040"/>
          </w:cols>
          <w:pgMar w:left="1420" w:top="517" w:right="14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8"/>
          <w:szCs w:val="18"/>
          <w:i w:val="1"/>
          <w:iCs w:val="1"/>
          <w:color w:val="auto"/>
        </w:rPr>
        <w:t>In the Matter of Certain Stock Promotions</w:t>
      </w:r>
      <w:r>
        <w:rPr>
          <w:rFonts w:ascii="Arial" w:cs="Arial" w:eastAsia="Arial" w:hAnsi="Arial"/>
          <w:sz w:val="18"/>
          <w:szCs w:val="18"/>
          <w:color w:val="auto"/>
        </w:rPr>
        <w:t xml:space="preserve"> investigation and the Company’s April 10, 2017 settlement thereof, and seeks unspecified damages on behalf of the Company and injunctive relief. On May 1, 2018, the court consolidated this case with the aforementioned purported stockholder derivative case filed by plaintiff Kevin Fong. The Company intends to vigorously defend against the foregoing complaints. Based on the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w:t>
      </w:r>
      <w:r>
        <w:rPr>
          <w:rFonts w:ascii="Arial" w:cs="Arial" w:eastAsia="Arial" w:hAnsi="Arial"/>
          <w:sz w:val="16"/>
          <w:szCs w:val="16"/>
          <w:i w:val="1"/>
          <w:iCs w:val="1"/>
          <w:color w:val="auto"/>
        </w:rPr>
        <w:t>Solomon Capital, LLC, Solomon Capital 401(K) Trust,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against the Company in the Supreme Court of the State of New York, County of New York (index no. 651881/2016). The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our common stock in the restructuring that was affected in May 2013. Based on the foregoing, the plaintiffs allege causes for breach of contract and unjust enrichment and demand judgment against the Company in an unspecified amount exceeding $1.5 million, plus interest and attorneys’ fees. On June 3, 2016, the Company filed an answer and counterclaims in the lawsuit. In its counterclaims, the Company alleges that the plaintiffs misrepresented their qualifications to assist the Company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 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the Company’s amended counterclaims and affirmative defense for fraudulent inducement. On August 15, 2018, the court entered an order granting the plaintiffs’ motion and dismissed the Company’s amended counterclaims and eleventh affirmative defense for fraudulent inducement without leave to amend. On September 14, 2018, the Company filed a notice of appeal related to this order, and on November 5, 2018, the Company filed its memorandum of law in support of its appeal of the order dismissing the Company’s amended counterclaims and affirmative defense for fraudulent inducement. On January 2, 2019, plaintiffs filed their memorandum of law in opposition to the appeal. On January 18, 2019, the Company filed its reply brief in support of its appeal of the order dismissing its amended counterclaims and affirmative defense for fraudulent inducement. On April 4, 2019, the appellate court ordered that the Company’s amended counterclaims and its affirmative defense for fraudulent inducement be reinstated.</w:t>
      </w: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185" w:lineRule="exact"/>
        <w:rPr>
          <w:sz w:val="20"/>
          <w:szCs w:val="20"/>
          <w:color w:val="auto"/>
        </w:rPr>
      </w:pPr>
    </w:p>
    <w:p>
      <w:pPr>
        <w:ind w:right="40" w:firstLine="492"/>
        <w:spacing w:after="0" w:line="268"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w:t>
      </w:r>
      <w:r>
        <w:rPr>
          <w:rFonts w:ascii="Arial" w:cs="Arial" w:eastAsia="Arial" w:hAnsi="Arial"/>
          <w:sz w:val="17"/>
          <w:szCs w:val="17"/>
          <w:color w:val="auto"/>
        </w:rPr>
        <w:t xml:space="preserve"> </w:t>
      </w:r>
      <w:r>
        <w:rPr>
          <w:rFonts w:ascii="Arial" w:cs="Arial" w:eastAsia="Arial" w:hAnsi="Arial"/>
          <w:sz w:val="17"/>
          <w:szCs w:val="17"/>
          <w:i w:val="1"/>
          <w:iCs w:val="1"/>
          <w:color w:val="auto"/>
        </w:rPr>
        <w:t>Biotechnologies, Inc. and Maria Fardis</w:t>
      </w:r>
      <w:r>
        <w:rPr>
          <w:rFonts w:ascii="Arial" w:cs="Arial" w:eastAsia="Arial" w:hAnsi="Arial"/>
          <w:sz w:val="17"/>
          <w:szCs w:val="17"/>
          <w:color w:val="auto"/>
        </w:rPr>
        <w:t>, Dr. Steven Fischkoff, its former Vice President and Chief Medical Officer,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lawsuit against the 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the Company’s materials, prohibiting him from disclosing or using its materials, and granting expedited discovery. On June 25, 2018, pursuant to a stipulation between the parties, the court entered a permanent injunction prohibiting Dr. Fischkoff from disclosing,</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w:t>
      </w:r>
    </w:p>
    <w:p>
      <w:pPr>
        <w:spacing w:after="0" w:line="160"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The Company intends to vigorously defend against Dr. Fischkoff’s lawsuit and pursue the Company’s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46"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xml:space="preserve"> During the second quarter of 2016, warrants representing 128,500 shares were exercised. The 128,500 shares of common stock had previously been registered for re-sale. However, the Company believes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26"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2011 Plan. Before the Company filed the required post-effective amendment, options to purchase 200,000 shares were exercised under the 2011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financial statements.</w:t>
      </w:r>
    </w:p>
    <w:p>
      <w:pPr>
        <w:spacing w:after="0" w:line="139"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LEASES</w:t>
      </w:r>
    </w:p>
    <w:p>
      <w:pPr>
        <w:spacing w:after="0" w:line="189" w:lineRule="exact"/>
        <w:rPr>
          <w:sz w:val="20"/>
          <w:szCs w:val="20"/>
          <w:color w:val="auto"/>
        </w:rPr>
      </w:pPr>
    </w:p>
    <w:p>
      <w:pPr>
        <w:ind w:right="40" w:firstLine="492"/>
        <w:spacing w:after="0" w:line="264" w:lineRule="auto"/>
        <w:rPr>
          <w:sz w:val="20"/>
          <w:szCs w:val="20"/>
          <w:color w:val="auto"/>
        </w:rPr>
      </w:pPr>
      <w:r>
        <w:rPr>
          <w:rFonts w:ascii="Arial" w:cs="Arial" w:eastAsia="Arial" w:hAnsi="Arial"/>
          <w:sz w:val="18"/>
          <w:szCs w:val="18"/>
          <w:color w:val="auto"/>
        </w:rPr>
        <w:t>As described further in “Note 2. Summary of Significant Accounting Policies”, the Company adopted Topic 842 as of January 1, 2019. Prior period amounts have not been adjusted and continue to be reported in accordance with its historic accounting under ASU Topic 840- Leases (Topic 840).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189" w:lineRule="exact"/>
        <w:rPr>
          <w:sz w:val="20"/>
          <w:szCs w:val="20"/>
          <w:color w:val="auto"/>
        </w:rPr>
      </w:pPr>
    </w:p>
    <w:p>
      <w:pPr>
        <w:ind w:right="100" w:firstLine="492"/>
        <w:spacing w:after="0" w:line="270" w:lineRule="auto"/>
        <w:rPr>
          <w:sz w:val="20"/>
          <w:szCs w:val="20"/>
          <w:color w:val="auto"/>
        </w:rPr>
      </w:pPr>
      <w:r>
        <w:rPr>
          <w:rFonts w:ascii="Arial" w:cs="Arial" w:eastAsia="Arial" w:hAnsi="Arial"/>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98" w:lineRule="exact"/>
        <w:rPr>
          <w:sz w:val="20"/>
          <w:szCs w:val="20"/>
          <w:color w:val="auto"/>
        </w:rPr>
      </w:pPr>
    </w:p>
    <w:p>
      <w:pPr>
        <w:ind w:firstLine="492"/>
        <w:spacing w:after="0" w:line="308" w:lineRule="auto"/>
        <w:rPr>
          <w:sz w:val="20"/>
          <w:szCs w:val="20"/>
          <w:color w:val="auto"/>
        </w:rPr>
      </w:pPr>
      <w:r>
        <w:rPr>
          <w:rFonts w:ascii="Arial" w:cs="Arial" w:eastAsia="Arial" w:hAnsi="Arial"/>
          <w:sz w:val="17"/>
          <w:szCs w:val="17"/>
          <w:color w:val="auto"/>
        </w:rPr>
        <w:t>In December 2014, the Company commenced a five-year non-cancellable operating lease with the University of South Florida Research Foundation for a 5,115 square foot facility located in Tampa, Florida. The facility is part of the</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20" w:lineRule="exact"/>
        <w:rPr>
          <w:sz w:val="20"/>
          <w:szCs w:val="20"/>
          <w:color w:val="auto"/>
        </w:rPr>
      </w:pPr>
    </w:p>
    <w:p>
      <w:pPr>
        <w:jc w:val="both"/>
        <w:ind w:right="40" w:firstLine="492"/>
        <w:spacing w:after="0" w:line="302" w:lineRule="auto"/>
        <w:rPr>
          <w:sz w:val="20"/>
          <w:szCs w:val="20"/>
          <w:color w:val="auto"/>
        </w:rPr>
      </w:pPr>
      <w:r>
        <w:rPr>
          <w:rFonts w:ascii="Arial" w:cs="Arial" w:eastAsia="Arial" w:hAnsi="Arial"/>
          <w:sz w:val="16"/>
          <w:szCs w:val="16"/>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The lease expires in December 2019. The Company has notified the landlord of its intent to renew the lease under the existing terms.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185" w:lineRule="exact"/>
        <w:rPr>
          <w:sz w:val="20"/>
          <w:szCs w:val="20"/>
          <w:color w:val="auto"/>
        </w:rPr>
      </w:pPr>
    </w:p>
    <w:p>
      <w:pPr>
        <w:jc w:val="both"/>
        <w:ind w:right="60" w:firstLine="492"/>
        <w:spacing w:after="0" w:line="264"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54" w:lineRule="exact"/>
        <w:rPr>
          <w:sz w:val="20"/>
          <w:szCs w:val="20"/>
          <w:color w:val="auto"/>
        </w:rPr>
      </w:pPr>
    </w:p>
    <w:p>
      <w:pPr>
        <w:ind w:right="60" w:firstLine="492"/>
        <w:spacing w:after="0" w:line="302" w:lineRule="auto"/>
        <w:rPr>
          <w:sz w:val="20"/>
          <w:szCs w:val="20"/>
          <w:color w:val="auto"/>
        </w:rPr>
      </w:pPr>
      <w:r>
        <w:rPr>
          <w:rFonts w:ascii="Arial" w:cs="Arial" w:eastAsia="Arial" w:hAnsi="Arial"/>
          <w:sz w:val="16"/>
          <w:szCs w:val="16"/>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14"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48"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On June 19, 2019, the Company entered into a first amendment (the “Amended Lease”) to its previously disclosed lease agreement with Hudson Skyway Landing, LLC (the “Lease”) for additional space at its corporate headquarters in San Carlos, California. Under the Amended Lease, the Company will lease an additional 8,110 square feet (the “Expansion Space”), for a total of approximately 20,432 square feet of space on the first floor of the building located at 999 Skyway Road, San Carlos, California, commonly known as Skyway Landing II. The term of the Amended Lease remains the same as that of the Lease and expires on April 30, 2021, unless earlier terminated in accordance with the Amended Lease. The Company’s monthly base rent for the Expansion Space under the Amended Lease will be approximately $39,000 for the first year, and $40,000 for the second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leased office space in New York for a monthly rental of approximately $18,000 a month from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2017 through July 2017. On June 5, 2017, the Company entered into an agreement whereby the Company will 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 space from August 1, 2017 to July 31, 2018, for approximately $9,000 a month. On April 20, 2018,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entered into an agreement to extend the lease term to January 31, 2019 for approximately $7,000 a month. On November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the Company entered into an agreement to extend the lease term to July 31, 2019 for approximately $4,000 a 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May 1, 2019, the Company entered into an agreement to extend the lease term to January 31, 2020 for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$4,000 a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98" w:lineRule="exact"/>
        <w:rPr>
          <w:sz w:val="20"/>
          <w:szCs w:val="20"/>
          <w:color w:val="auto"/>
        </w:rPr>
      </w:pPr>
    </w:p>
    <w:p>
      <w:pPr>
        <w:ind w:firstLine="492"/>
        <w:spacing w:after="0" w:line="312" w:lineRule="auto"/>
        <w:rPr>
          <w:sz w:val="20"/>
          <w:szCs w:val="20"/>
          <w:color w:val="auto"/>
        </w:rPr>
      </w:pPr>
      <w:r>
        <w:rPr>
          <w:rFonts w:ascii="Arial" w:cs="Arial" w:eastAsia="Arial" w:hAnsi="Arial"/>
          <w:sz w:val="16"/>
          <w:szCs w:val="16"/>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85" w:lineRule="exact"/>
        <w:rPr>
          <w:sz w:val="20"/>
          <w:szCs w:val="20"/>
          <w:color w:val="auto"/>
        </w:rPr>
      </w:pPr>
    </w:p>
    <w:p>
      <w:pPr>
        <w:ind w:right="260" w:firstLine="492"/>
        <w:spacing w:after="0" w:line="286" w:lineRule="auto"/>
        <w:rPr>
          <w:sz w:val="20"/>
          <w:szCs w:val="20"/>
          <w:color w:val="auto"/>
        </w:rPr>
      </w:pPr>
      <w:r>
        <w:rPr>
          <w:rFonts w:ascii="Arial" w:cs="Arial" w:eastAsia="Arial" w:hAnsi="Arial"/>
          <w:sz w:val="17"/>
          <w:szCs w:val="17"/>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will</w:t>
      </w:r>
    </w:p>
    <w:p>
      <w:pPr>
        <w:sectPr>
          <w:pgSz w:w="11900" w:h="16838" w:orient="portrait"/>
          <w:cols w:equalWidth="0" w:num="1">
            <w:col w:w="9040"/>
          </w:cols>
          <w:pgMar w:left="1420" w:top="517" w:right="14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lease approximately 136,000 rentable square feet of space in a building to be located at 300 Rouse Boulevard, Philadelphia, Pennsylvania (the “Premises”). The commercial manufacturing facility is expected to be constructed in two phases: Phase I-A, the construction of the commercial manufacturing facility, with approximately 66,000 rentable square feet of space; and Phase I-B, the construction of offices and laboratories, with approximately 70,000 rentable square feet of space. The Commercial Manufacturing Facility Lease is for a term of 242 months, commencing on the earlier of (i) the date on which the Company occupies any portion of the Premises for the normal operation of its business or (ii) the date that is the later of</w:t>
      </w:r>
    </w:p>
    <w:p>
      <w:pPr>
        <w:spacing w:after="0" w:line="5" w:lineRule="exact"/>
        <w:rPr>
          <w:sz w:val="20"/>
          <w:szCs w:val="20"/>
          <w:color w:val="auto"/>
        </w:rPr>
      </w:pPr>
    </w:p>
    <w:p>
      <w:pPr>
        <w:ind w:left="300" w:hanging="291"/>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one hundred sixty (160) days after the Phase I-A substantial completion date, currently anticipated to be July 16, 2020, or</w:t>
      </w:r>
    </w:p>
    <w:p>
      <w:pPr>
        <w:spacing w:after="0" w:line="32" w:lineRule="exact"/>
        <w:rPr>
          <w:rFonts w:ascii="Arial" w:cs="Arial" w:eastAsia="Arial" w:hAnsi="Arial"/>
          <w:sz w:val="16"/>
          <w:szCs w:val="16"/>
          <w:color w:val="auto"/>
        </w:rPr>
      </w:pPr>
    </w:p>
    <w:p>
      <w:pPr>
        <w:ind w:right="20" w:firstLine="9"/>
        <w:spacing w:after="0" w:line="292" w:lineRule="auto"/>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Phase I-B Substantial Completion Date (the “Commencement Date”). The Commencement Date shall be extended by one day for each day of landlord delay, net of any tenant delay, as defined in the Lease.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w:t>
      </w:r>
    </w:p>
    <w:p>
      <w:pPr>
        <w:spacing w:after="0" w:line="136" w:lineRule="exact"/>
        <w:rPr>
          <w:sz w:val="20"/>
          <w:szCs w:val="20"/>
          <w:color w:val="auto"/>
        </w:rPr>
      </w:pPr>
    </w:p>
    <w:p>
      <w:pPr>
        <w:ind w:right="220" w:firstLine="537"/>
        <w:spacing w:after="0" w:line="279" w:lineRule="auto"/>
        <w:rPr>
          <w:sz w:val="20"/>
          <w:szCs w:val="20"/>
          <w:color w:val="auto"/>
        </w:rPr>
      </w:pPr>
      <w:r>
        <w:rPr>
          <w:rFonts w:ascii="Arial" w:cs="Arial" w:eastAsia="Arial" w:hAnsi="Arial"/>
          <w:sz w:val="17"/>
          <w:szCs w:val="17"/>
          <w:color w:val="auto"/>
        </w:rPr>
        <w:t>Beginning on the Commencement Date, the Company’s monthly base rent under the Lease will be approximately $320,000, subject to an annual increase of 2% for the first ten years, and an annual increase of the greater of 2% or 75% of the average ten-year consumer price index. Beginning in 2020, the Company will be responsible for paying operating expenses, which are expected to be approximately $53,000 per month in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right="80" w:firstLine="492"/>
        <w:spacing w:after="0" w:line="285"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the current lease guidance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48"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26"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sheet classification of the Company’s right-of-use asset and lease liabilities was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48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w:t>
            </w:r>
          </w:p>
        </w:tc>
        <w:tc>
          <w:tcPr>
            <w:tcW w:w="1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portion included in current liabilities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long-term portion included in non-current liabilities</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lease liabilities</w:t>
            </w:r>
          </w:p>
        </w:tc>
        <w:tc>
          <w:tcPr>
            <w:tcW w:w="1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59" w:firstLine="492"/>
        <w:spacing w:after="0" w:line="277" w:lineRule="auto"/>
        <w:rPr>
          <w:sz w:val="20"/>
          <w:szCs w:val="20"/>
          <w:color w:val="auto"/>
        </w:rPr>
      </w:pPr>
      <w:r>
        <w:rPr>
          <w:rFonts w:ascii="Arial" w:cs="Arial" w:eastAsia="Arial" w:hAnsi="Arial"/>
          <w:sz w:val="18"/>
          <w:szCs w:val="18"/>
          <w:color w:val="auto"/>
        </w:rPr>
        <w:t>The components of lease expenses, which were included in Total expenses in the Company’s consolidated statement of operations, were as follows: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For the Three Months</w:t>
            </w:r>
          </w:p>
        </w:tc>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 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June 30, 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3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Variable lease cost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Total lease cost</w:t>
            </w:r>
          </w:p>
        </w:tc>
        <w:tc>
          <w:tcPr>
            <w:tcW w:w="112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59"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130" w:lineRule="exact"/>
        <w:rPr>
          <w:sz w:val="20"/>
          <w:szCs w:val="20"/>
          <w:color w:val="auto"/>
        </w:rPr>
      </w:pPr>
    </w:p>
    <w:p>
      <w:pPr>
        <w:ind w:right="59"/>
        <w:spacing w:after="0" w:line="255" w:lineRule="auto"/>
        <w:rPr>
          <w:sz w:val="20"/>
          <w:szCs w:val="20"/>
          <w:color w:val="auto"/>
        </w:rPr>
      </w:pPr>
      <w:r>
        <w:rPr>
          <w:rFonts w:ascii="Arial" w:cs="Arial" w:eastAsia="Arial" w:hAnsi="Arial"/>
          <w:sz w:val="18"/>
          <w:szCs w:val="18"/>
          <w:color w:val="auto"/>
        </w:rPr>
        <w:t>Cash paid for amounts included in the measurement of lease liabilities for the three and six months ended June 30, 2019 was $2.0 million and $3.4 million, respectively, and were included in Net cash used by operating activities in its consolidated statement of cash flows. Upon the adoption of Topic 842 on January 1, 2019, the Company increased noncash balances of operating lease right-of-use assets and operating lease liabilities by $10.4 million and $10.7 million, respectively. The Company additionally increased noncash balance of operating lease right-of-use assets and operating lease liability by $3.3 million for the three months ended June 30, 2019 and $4.3 million as a result of lease modifications and additional lease agreements entered by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maturities of the Company’s operating lease liabilities were as follows (in thousands):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CMO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Facility</w:t>
            </w:r>
          </w:p>
        </w:tc>
        <w:tc>
          <w:tcPr>
            <w:tcW w:w="980" w:type="dxa"/>
            <w:vAlign w:val="bottom"/>
            <w:gridSpan w:val="3"/>
          </w:tcPr>
          <w:p>
            <w:pPr>
              <w:ind w:left="180"/>
              <w:spacing w:after="0"/>
              <w:rPr>
                <w:sz w:val="20"/>
                <w:szCs w:val="20"/>
                <w:color w:val="auto"/>
              </w:rPr>
            </w:pPr>
            <w:r>
              <w:rPr>
                <w:rFonts w:ascii="Arial" w:cs="Arial" w:eastAsia="Arial" w:hAnsi="Arial"/>
                <w:sz w:val="18"/>
                <w:szCs w:val="18"/>
                <w:b w:val="1"/>
                <w:bCs w:val="1"/>
                <w:color w:val="auto"/>
                <w:w w:val="86"/>
              </w:rPr>
              <w:t>embedded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47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0"/>
              </w:rPr>
              <w:t>leases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3"/>
              </w:rPr>
              <w:t>leases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6,514</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12,948</w:t>
            </w: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adjustment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r>
      <w:tr>
        <w:trPr>
          <w:trHeight w:val="210"/>
        </w:trPr>
        <w:tc>
          <w:tcPr>
            <w:tcW w:w="4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2,888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12,097</w:t>
            </w: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9" w:firstLine="492"/>
        <w:spacing w:after="0" w:line="293"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modifications. As of June 30, 2019, the weighted average remaining lease term is 1.71 years and the weighted average discount rate used to determine the operating lease liabilities was 8.2%. As of June 30, 2019, we have a finance lease for the commercial manufacturing facility that has not yet commenced. This finance lease will commence in 2020 with a lease term of 20 years.</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related to periods prior to adoption of Topic 842</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required, the following disclosure is provided for periods prior to adoption. Minimum lease commitments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that have initial or remaining lease terms in excess of one year are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CMO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3"/>
              </w:rPr>
              <w:t>Facility</w:t>
            </w:r>
          </w:p>
        </w:tc>
        <w:tc>
          <w:tcPr>
            <w:tcW w:w="980" w:type="dxa"/>
            <w:vAlign w:val="bottom"/>
            <w:gridSpan w:val="3"/>
          </w:tcPr>
          <w:p>
            <w:pPr>
              <w:ind w:left="180"/>
              <w:spacing w:after="0"/>
              <w:rPr>
                <w:sz w:val="20"/>
                <w:szCs w:val="20"/>
                <w:color w:val="auto"/>
              </w:rPr>
            </w:pPr>
            <w:r>
              <w:rPr>
                <w:rFonts w:ascii="Arial" w:cs="Arial" w:eastAsia="Arial" w:hAnsi="Arial"/>
                <w:sz w:val="18"/>
                <w:szCs w:val="18"/>
                <w:b w:val="1"/>
                <w:bCs w:val="1"/>
                <w:color w:val="auto"/>
                <w:w w:val="86"/>
              </w:rPr>
              <w:t>embedded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316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leases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3"/>
              </w:rPr>
              <w:t>leases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2020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4,589</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2022</w:t>
            </w: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5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$ 3,014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12,606</w:t>
            </w:r>
          </w:p>
        </w:tc>
      </w:tr>
      <w:tr>
        <w:trPr>
          <w:trHeight w:val="20"/>
        </w:trPr>
        <w:tc>
          <w:tcPr>
            <w:tcW w:w="3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189" w:lineRule="exact"/>
        <w:rPr>
          <w:sz w:val="20"/>
          <w:szCs w:val="20"/>
          <w:color w:val="auto"/>
        </w:rPr>
      </w:pPr>
    </w:p>
    <w:p>
      <w:pPr>
        <w:ind w:right="199" w:firstLine="492"/>
        <w:spacing w:after="0" w:line="257" w:lineRule="auto"/>
        <w:rPr>
          <w:sz w:val="20"/>
          <w:szCs w:val="20"/>
          <w:color w:val="auto"/>
        </w:rPr>
      </w:pPr>
      <w:r>
        <w:rPr>
          <w:rFonts w:ascii="Arial" w:cs="Arial" w:eastAsia="Arial" w:hAnsi="Arial"/>
          <w:sz w:val="18"/>
          <w:szCs w:val="18"/>
          <w:color w:val="auto"/>
        </w:rPr>
        <w:t>A former member of the Company’s Board of Directors was an attorney at a law firm, TroyGould PC, that rendered legal services to the Company during the period of his directorship until June 6, 2018, but did not provide legal services to the Company himself during that period. The Company paid TroyGould PC $0.1 million and $0.2 million for the three months ended June 30, 2019 and 2018, respectively, and $0.2 million and $0.3 million for the six months ended June 30, 2019 and 2018, respectively.</w:t>
      </w:r>
    </w:p>
    <w:p>
      <w:pPr>
        <w:spacing w:after="0" w:line="148" w:lineRule="exact"/>
        <w:rPr>
          <w:sz w:val="20"/>
          <w:szCs w:val="20"/>
          <w:color w:val="auto"/>
        </w:rPr>
      </w:pPr>
    </w:p>
    <w:p>
      <w:pPr>
        <w:ind w:right="59" w:firstLine="492"/>
        <w:spacing w:after="0" w:line="268" w:lineRule="auto"/>
        <w:rPr>
          <w:sz w:val="20"/>
          <w:szCs w:val="20"/>
          <w:color w:val="auto"/>
        </w:rPr>
      </w:pPr>
      <w:r>
        <w:rPr>
          <w:rFonts w:ascii="Arial" w:cs="Arial" w:eastAsia="Arial" w:hAnsi="Arial"/>
          <w:sz w:val="17"/>
          <w:szCs w:val="17"/>
          <w:color w:val="auto"/>
        </w:rPr>
        <w:t>On September 14, 2017, the Company entered into a three-year consulting agreement with Iain Dukes, D. Phil, the Chairman of the Board of Directors.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$0.1 million and $0.2 million in stock-based compensation expense related to this consulting agreement during the three months ended June 30, 2019 and 2018, respectively and $0.2 million and $0.6 million for the six months ended June 30, 2019 and 2018, respectively. In addition, in connection with the adoption of ASC 2018-07, the Company recognized $0.3 million to retained earnings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i w:val="1"/>
          <w:iCs w:val="1"/>
          <w:color w:val="auto"/>
        </w:rPr>
        <w:t>The management’s discussion and analysis of financial condition as of June 30, 2019 and results of operations for the three and six months ended June 30, 2019, should be read in conjunction with management’s discussion and analysis of financial condition and results of operations included in our Annual Report on Form 10-K for the year ended December 31, 2018, which was filed with the Securities and Exchange Commission, or SEC, on February 28, 2019.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and other reports we file with the SEC.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492"/>
        <w:spacing w:after="0" w:line="287"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 platform technology that has been licensed from National Cancer Institute (NCI) primarily based on data in metastatic melanoma, metastatic and advanced cervical cancer. Iovance further has optimized the manufacturing process for TIL to a shorter process with a cryopreserved product called Gen-2. The Company has developed its own proprietary and scalable manufacturing method, which is being further investigated in multiple indications. Our lead product candidates include lifileucel for metastatic melanoma and LN-145 for advanced cervical cancer. Both product candidates are autologous adoptive cell therapies utilizing TIL, which are T cells derived from patients’ tumors. In addition to metastatic melanoma and advanced cervical cancer, we are investigating the effectiveness and safety of TIL therapy for the treatment of squamous cell carcinoma of the head and neck and metastatic non-small cell lung cancer through our sponsored trials, as well as other oncology indications through collaborations.</w:t>
      </w:r>
    </w:p>
    <w:p>
      <w:pPr>
        <w:spacing w:after="0" w:line="17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are conducting an on-going Phase 2 clinical trial, C-144-01, of our lead product candidate, lifileucel, for the treatment of metastatic melanoma. This multicenter pivotal trial is enrolling patients with melanoma whose disease has progressed following treatment with at least one systemic therapy, including a PD-1 inhibitor and if BRAF mutated, a BRAF inhibitor, or a combination of BRAF and MEK inhibitors (National Clinical Trial identification number NCT02360579). Cohort 4 of the C-144-01 clinical trial is a single-arm cohort intended to be used for the registration of lifileucel. The C-144-01 trial uses our proprietary Generation 2, or Gen 2, manufacturing process. We completed and closed enrollment of patients into Cohort 2 of the C-144-01 trial in 2018. We announced that the first patient was dosed in Cohort 4 of this trial in March 2019. Cohort 4 is being enrolled with a prospective definition of objective response rate, or ORR, read out by a Blinded Independent Review Committee, or BIRC, as the primary endpoint based on our interpretation of discussions with the U.S. Food and Drug Administration, or FDA. FDA also acknowledged the potential acceptability of single-arm data from Cohort 4 for registration. In October 2018, we announced that lifileucel had received a Regenerative Medicine Advanced Therapy, or RMAT, designation from the FDA. Updated results from Cohort 2 of the C-144-01 clinical trial were reported at the American Society of Clinical Oncology, or ASCO, annual meeting on June 1, 2019. In 66 patients with metastatic melanoma, treatment with lifileucel resulted in an ORR of 38%, with 2 complete responses and 23 partial responses. The disease control rate, or DCR, was 80%. Patients were heavily pretreated and had a mean of 3.3 prior therapies. The median duration of response, or DOR, had not been reached. The median follow-up was 8.8 months. The adverse event profile was generally consistent with the underlying advanced disease and the profile of the lymphodepletion and IL-2 regimens.</w:t>
      </w:r>
    </w:p>
    <w:p>
      <w:pPr>
        <w:spacing w:after="0" w:line="17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addition to our ongoing trial in metastatic melanoma, we are conducting clinical trials of LN-145, TIL therapy in cervical, head and neck cancers, and other cancers. C-145-04 is an ongoing Phase 2, multicenter trial that will assess the safety and efficacy of LN-145 for the treatment of patients with recurrent, metastatic or persistent cervical cancer (NCT03108495). In February 2019, LN-145 received Fast Track designation from the FDA for development in the treatment of cervical cancer with disease progression on or after chemotherapy. In March 2019, the protocol for this trial was amended to increase the sample size to 59 and to modify the primary endpoint of ORR to be determined by BIRC.</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2019, LN-145 received Breakthrough Therapy designation, or BTD, from the FDA for the development in the treatment of cervical cancer. Updated results from the C-145-04 clinical trial were reported at the ASCO annual meeting on June 1, 2019. In 27 patients with advanced cervical cancer, treatment with LN-145 resulted in an ORR of 44%. In the study there were 3 complete responses and 9 partial responses. The DCR was 85%. Patients were heavily pretreated and had a mean of 2.4 prior therapies. The DOR had not been reached. The median follow-up was 7.4 months. The adverse event profile was generally consistent with the underlying advanced disease and the profile of the lymphodepletion and IL-2 regimens. Based on an End of Phase 2 meeting held with the FDA in June 2019, the FDA has acknowledged that results from the C-145-04 clinical trial may be sufficient to support registration in the treatment of patients with advanced cervical cancer. In accordance with the FDA’s recommendations, a new version of the protocol will further define the patient population. We plan to include in the biologics license application, or BLA, patients who have progressed following initial systemic therapy for recurrent or metastatic disease, which constitutes almost all of the more advanced patients enrolled to date. We also plan to expand the sample size of the C-145-04 clinical trial to include at least 75 of the appropriate patient population.</w:t>
      </w:r>
    </w:p>
    <w:p>
      <w:pPr>
        <w:spacing w:after="0" w:line="16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C-145-03 is an ongoing Phase 2, multicenter trial that we are conducting to assess the safety and efficacy of LN-145 for the treatment of patients with recurrent metastatic squamous cell carcinoma of the head and neck (NCT03083873). In October 2018, we reported that, to date, preliminary data for 13 patients in the C-145-03 clinical trial yielded an ORR of 31% with a DOR ranging from 2.8 to 7.6 months. The adverse event profile remained consistent with previous reports. We continue to enroll patients in this study.</w:t>
      </w:r>
    </w:p>
    <w:p>
      <w:pPr>
        <w:spacing w:after="0" w:line="188" w:lineRule="exact"/>
        <w:rPr>
          <w:sz w:val="20"/>
          <w:szCs w:val="20"/>
          <w:color w:val="auto"/>
        </w:rPr>
      </w:pPr>
    </w:p>
    <w:p>
      <w:pPr>
        <w:ind w:right="140" w:firstLine="486"/>
        <w:spacing w:after="0" w:line="287" w:lineRule="auto"/>
        <w:rPr>
          <w:sz w:val="20"/>
          <w:szCs w:val="20"/>
          <w:color w:val="auto"/>
        </w:rPr>
      </w:pPr>
      <w:r>
        <w:rPr>
          <w:rFonts w:ascii="Arial" w:cs="Arial" w:eastAsia="Arial" w:hAnsi="Arial"/>
          <w:sz w:val="16"/>
          <w:szCs w:val="16"/>
          <w:color w:val="auto"/>
        </w:rPr>
        <w:t>We are also investigating the potential of our TIL therapies in earlier lines of treatment and in combination with pembrolizumab. IOV-COM-202 is a Phase 2, multicenter trial that is composed of four cohorts to enroll up to a total of 48 patients (NCT03645928). In Cohort 1A, we intend to enroll advanced unresectable or metastatic melanoma patients who have not received prior immunotherapy, including checkpoint inhibitors such as anti-PD-1/anti-PD-L1 therapy. The patients will receive lifileucel in combination with pembrolizumab. In Cohort 2A, we intend to enroll advanced head and neck squamous cell carcinoma patients who are also naïve to prior immunotherapy including anti-PD-1/anti-PD-L1 therapy. The patients will receive LN-145 in combination with pembrolizumab. We recently opened Cohort 3A to enroll non-small cell lung cancer patients who are also naïve to prior immunotherapy including anti-PD-1/anti-PD-L1 therapy. The patients in Cohort 3A will receive LN-145 in combination with pembrolizumab. In Cohort 3B, we are enrolling non-small cell lung cancer patients who have previously received systemic therapy which could include checkpoint inhibitors. The patients will receive LN-145. In May 2019, we reported that the first patient was dosed in Cohort 1A, which represents the first instance of a patient naïve to checkpoint inhibitor treatment receiving our TIL therapy in combination with pembrolizumab.</w:t>
      </w:r>
    </w:p>
    <w:p>
      <w:pPr>
        <w:spacing w:after="0" w:line="169"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We closed the IOV-LUN-201 clinical trial, investigating TIL therapy in non-small cell lung cancer, or NSCLC, in combination with anti-PD-L1 therapy, in April 2019, and instead opened Cohort 4 of the IOV-COM-202 trial as described above, to adapt our clinical development plans to reflect advances in the treatment landscape for non-small cell lung cancer.</w:t>
      </w:r>
    </w:p>
    <w:p>
      <w:pPr>
        <w:spacing w:after="0" w:line="147"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As part of our collaboration program with the MD Anderson Cancer Center, or MDACC, two Phase 2 trials were initiated in 2018. Both trials are sponsored by MDACC. The first trial, 2017-0672 (NCT03449108), is intended to allow for investigation of LN-145 manufactured by us using our manufacturing process to treat patients with soft tissue sarcoma, osteosarcoma and platinum resistant ovarian cancer. A second trial under the collaboration with MDACC is active as well (NCT03610490). This trial uses TIL manufactured by MDACC using urelumab, a 4-1BB agonistic antibody, as part of the manufacturing process. The data obtained using this manufacturing process may not be representative of our data using our Gen 2 manufacturing process. We are also collaborating with Roswell Park Cancer Institute on a clinical trial using our LN-145 product for the treatment of patients with bladder cancer in combination with the anti-PD1 antibody pembrolizumab. This trial is now open for enrollment.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Our current product candidate pipeline and selected investigator-sponsored proof-of-concept studies are summarized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117475</wp:posOffset>
            </wp:positionV>
            <wp:extent cx="5548630" cy="2392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4863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plan to file an investigational new drug application, or IND, later in 2019 for our peripheral blood lymphocyte therapy IOV-2001 for the treatment of patients with chronic lymphocytic leukemia. IOV-2001 is a non-genetically modified, polyclonal T cell product that is manufactured using a nine-day process from 50 mL of patient's blood. We have also entered into a collaboration with a Canadian institution, Centre hospitalier de l'Université de Montreal, or CHUM, under which CHUM agreed to conduct a clinical study using a PD-1 positive selected TIL product manufactured by a CHUM collaborator using a process developed by CHUM. We are also developing our own TIL selection processes for future clinical testing.</w:t>
      </w:r>
    </w:p>
    <w:p>
      <w:pPr>
        <w:spacing w:after="0" w:line="16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currently own seven recently granted or allowed U.S. patents for compositions and methods of treatment in a broad range of cancers relating to our Gen 2 manufacturing process, including U.S. Patent Nos. 10,166,257, 10,130,659, and 10,272,113. Our owned and licensed intellectual property portfolio also includes patent applications relating to TIL, marrow infiltrating, and peripheral blood lymphocyte therapies, methods of manufacturing, the use of costimulatory molecules in TIL therapy and manufacturing, stable and transient genetically-modified TIL therapies, and methods of treating patient subpopulations.</w:t>
      </w:r>
    </w:p>
    <w:p>
      <w:pPr>
        <w:spacing w:after="0" w:line="19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May 2019, we announced that we had entered into a lease agreement to build an approximately 136,000 square foot production facility in Philadelphia, Pennsylvania for future commercial and clinical production of autologous TIL products, including lifileucel and LN-145. The facility will allow production according to FDA guidelines and is designed to provide scalability using modular processes. The facility will be designed and built for an ultimate maximum capacity to manufacture TIL products for several thousands of patients annually. Iovance expects to invest approximately $75 million over three years for equipment and construction of the manufacturing suites. The facility is expected to be completed in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We have not yet generated any revenues since our formation. We currently do not anticipate that we will generate any revenues during 2019 from the sale or licensing of our products. Our ability to generate revenues in the future will depend on our ability to complete the development of our product candidates and to obtain regulatory approval for them.</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3"/>
          </w:tcPr>
          <w:p>
            <w:pPr>
              <w:spacing w:after="0"/>
              <w:rPr>
                <w:sz w:val="20"/>
                <w:szCs w:val="20"/>
                <w:color w:val="auto"/>
              </w:rPr>
            </w:pPr>
            <w:r>
              <w:rPr>
                <w:rFonts w:ascii="Arial" w:cs="Arial" w:eastAsia="Arial" w:hAnsi="Arial"/>
                <w:sz w:val="18"/>
                <w:szCs w:val="18"/>
                <w:i w:val="1"/>
                <w:iCs w:val="1"/>
                <w:color w:val="auto"/>
              </w:rPr>
              <w:t>Costs and expenses</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400" w:type="dxa"/>
            <w:vAlign w:val="bottom"/>
            <w:gridSpan w:val="2"/>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3480" w:type="dxa"/>
            <w:vAlign w:val="bottom"/>
            <w:gridSpan w:val="6"/>
          </w:tcPr>
          <w:p>
            <w:pPr>
              <w:spacing w:after="0"/>
              <w:rPr>
                <w:sz w:val="20"/>
                <w:szCs w:val="20"/>
                <w:color w:val="auto"/>
              </w:rPr>
            </w:pPr>
            <w:r>
              <w:rPr>
                <w:rFonts w:ascii="Arial" w:cs="Arial" w:eastAsia="Arial" w:hAnsi="Arial"/>
                <w:sz w:val="18"/>
                <w:szCs w:val="18"/>
                <w:i w:val="1"/>
                <w:iCs w:val="1"/>
                <w:color w:val="auto"/>
              </w:rPr>
              <w:t>Research and Development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gridSpan w:val="3"/>
          </w:tcPr>
          <w:p>
            <w:pPr>
              <w:ind w:left="240"/>
              <w:spacing w:after="0"/>
              <w:rPr>
                <w:sz w:val="20"/>
                <w:szCs w:val="20"/>
                <w:color w:val="auto"/>
              </w:rPr>
            </w:pPr>
            <w:r>
              <w:rPr>
                <w:rFonts w:ascii="Arial" w:cs="Arial" w:eastAsia="Arial" w:hAnsi="Arial"/>
                <w:sz w:val="18"/>
                <w:szCs w:val="18"/>
                <w:b w:val="1"/>
                <w:bCs w:val="1"/>
                <w:color w:val="auto"/>
                <w:w w:val="87"/>
              </w:rPr>
              <w:t>Increase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9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Increase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(Decrease)</w:t>
            </w:r>
          </w:p>
        </w:tc>
        <w:tc>
          <w:tcPr>
            <w:tcW w:w="17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6"/>
              </w:rPr>
              <w:t>(Decrease)</w:t>
            </w:r>
          </w:p>
        </w:tc>
      </w:tr>
      <w:tr>
        <w:trPr>
          <w:trHeight w:val="210"/>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6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39,298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24,551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$ 70,203</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$ 44,463</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20" w:type="dxa"/>
            <w:vAlign w:val="bottom"/>
          </w:tcPr>
          <w:p>
            <w:pPr>
              <w:spacing w:after="0"/>
              <w:rPr>
                <w:sz w:val="17"/>
                <w:szCs w:val="17"/>
                <w:color w:val="auto"/>
              </w:rPr>
            </w:pPr>
          </w:p>
        </w:tc>
        <w:tc>
          <w:tcPr>
            <w:tcW w:w="252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w w:val="93"/>
              </w:rPr>
              <w:t>expense included in research and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development expense</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2,720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2,381</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14 %</w:t>
            </w:r>
          </w:p>
        </w:tc>
        <w:tc>
          <w:tcPr>
            <w:tcW w:w="700" w:type="dxa"/>
            <w:vAlign w:val="bottom"/>
          </w:tcPr>
          <w:p>
            <w:pPr>
              <w:jc w:val="right"/>
              <w:spacing w:after="0"/>
              <w:rPr>
                <w:sz w:val="20"/>
                <w:szCs w:val="20"/>
                <w:color w:val="auto"/>
              </w:rPr>
            </w:pPr>
            <w:r>
              <w:rPr>
                <w:rFonts w:ascii="Arial" w:cs="Arial" w:eastAsia="Arial" w:hAnsi="Arial"/>
                <w:sz w:val="18"/>
                <w:szCs w:val="18"/>
                <w:color w:val="auto"/>
              </w:rPr>
              <w:t>5,421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4,381</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92"/>
              </w:rPr>
              <w:t>24 %</w:t>
            </w:r>
          </w:p>
        </w:tc>
      </w:tr>
    </w:tbl>
    <w:p>
      <w:pPr>
        <w:spacing w:after="0" w:line="202"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Research and development expense for the three months ended June 30, 2019 increased by $14.7 million, or 60%, compared to the same period in 2018. The increase in research and development expenses was primarily attributable to (i) the initial costs to transfer the manufacturing process to a CMO for additional manufacturing capacity, (ii) an increase in total patients in our clinical studies which in turn results in higher study costs, and (iii) an increase in research and development headcount.</w:t>
      </w:r>
    </w:p>
    <w:p>
      <w:pPr>
        <w:spacing w:after="0" w:line="188" w:lineRule="exact"/>
        <w:rPr>
          <w:sz w:val="20"/>
          <w:szCs w:val="20"/>
          <w:color w:val="auto"/>
        </w:rPr>
      </w:pPr>
    </w:p>
    <w:p>
      <w:pPr>
        <w:ind w:right="140" w:firstLine="492"/>
        <w:spacing w:after="0" w:line="297" w:lineRule="auto"/>
        <w:rPr>
          <w:sz w:val="20"/>
          <w:szCs w:val="20"/>
          <w:color w:val="auto"/>
        </w:rPr>
      </w:pPr>
      <w:r>
        <w:rPr>
          <w:rFonts w:ascii="Arial" w:cs="Arial" w:eastAsia="Arial" w:hAnsi="Arial"/>
          <w:sz w:val="16"/>
          <w:szCs w:val="16"/>
          <w:color w:val="auto"/>
        </w:rPr>
        <w:t>Research and development expense for the six months ended June 30, 2019 increased by $25.7 million, or 58%, compared to the same period in 2018. The increase in research and development expenses was primarily attributable to (i) initial costs to transfer the manufacturing process to a CMO costs for additional manufacturing capacity (ii) higher costs for the purchase of drugs used in the clinical studies, specifically IL-2, (iii) an increase in total patients in our clinical studies which in turn results in higher study costs, and (iv) an increase in research and development headcount.</w:t>
      </w:r>
    </w:p>
    <w:p>
      <w:pPr>
        <w:spacing w:after="0" w:line="15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expect our research and development expenses to increase over the next several years as we continue to conduct our clinical trials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87"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3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Increase</w:t>
            </w:r>
          </w:p>
        </w:tc>
        <w:tc>
          <w:tcPr>
            <w:tcW w:w="17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1220" w:type="dxa"/>
            <w:vAlign w:val="bottom"/>
            <w:gridSpan w:val="4"/>
          </w:tcPr>
          <w:p>
            <w:pPr>
              <w:ind w:left="18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3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(Decrease)</w:t>
            </w:r>
          </w:p>
        </w:tc>
        <w:tc>
          <w:tcPr>
            <w:tcW w:w="17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4"/>
          </w:tcPr>
          <w:p>
            <w:pPr>
              <w:ind w:left="12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58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10,867</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6,827</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$ 19,948</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$ 13,792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6,156</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2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w w:val="90"/>
              </w:rPr>
              <w:t>Stock-based compensation expense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included in general and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2,841</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700" w:type="dxa"/>
            <w:vAlign w:val="bottom"/>
          </w:tcPr>
          <w:p>
            <w:pPr>
              <w:jc w:val="right"/>
              <w:spacing w:after="0"/>
              <w:rPr>
                <w:sz w:val="20"/>
                <w:szCs w:val="20"/>
                <w:color w:val="auto"/>
              </w:rPr>
            </w:pPr>
            <w:r>
              <w:rPr>
                <w:rFonts w:ascii="Arial" w:cs="Arial" w:eastAsia="Arial" w:hAnsi="Arial"/>
                <w:sz w:val="18"/>
                <w:szCs w:val="18"/>
                <w:color w:val="auto"/>
              </w:rPr>
              <w:t>6,851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4,945</w:t>
            </w:r>
          </w:p>
        </w:tc>
        <w:tc>
          <w:tcPr>
            <w:tcW w:w="20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w w:val="97"/>
              </w:rPr>
              <w:t>1,906</w:t>
            </w:r>
          </w:p>
        </w:tc>
        <w:tc>
          <w:tcPr>
            <w:tcW w:w="18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w w:val="92"/>
              </w:rPr>
              <w:t>39 %</w:t>
            </w:r>
          </w:p>
        </w:tc>
      </w:tr>
    </w:tbl>
    <w:p>
      <w:pPr>
        <w:spacing w:after="0" w:line="200" w:lineRule="exact"/>
        <w:rPr>
          <w:sz w:val="20"/>
          <w:szCs w:val="20"/>
          <w:color w:val="auto"/>
        </w:rPr>
      </w:pPr>
    </w:p>
    <w:p>
      <w:pPr>
        <w:spacing w:after="0" w:line="21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General and administrative expense for the three months ended June 30, 2019 increased by $4.0 million, or 59%, compared to the same period in 2018. The increase was primarily attributable to increases in (i) general and administrative headcount and higher stock-based compensation, (ii) legal expenses related to intellectual property, and (iii) market research costs as we prepare for commercialization.</w:t>
      </w:r>
    </w:p>
    <w:p>
      <w:pPr>
        <w:spacing w:after="0" w:line="18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General and administrative expense for the six months ended June 30, 2019 increased by $6.2 million, or 45%, compared to the same period in 2018. The increase was primarily attributable to increases in (i) general and administrative headcount and higher stock-based compensation, (ii) legal expenses related to intellectual property, and (iii) market research costs.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General and administrative expenses include personnel costs for our employees engaged in general and administrative activities, legal fees, audit and tax fees, consultants and professional services, commercialization and market preparation and general corporate expenses. We anticipate general and administrative expenses will increase as we continue to support our expanded research and development efforts and prepare for commercialization.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gridSpan w:val="3"/>
          </w:tcPr>
          <w:p>
            <w:pPr>
              <w:ind w:left="320"/>
              <w:spacing w:after="0"/>
              <w:rPr>
                <w:sz w:val="20"/>
                <w:szCs w:val="20"/>
                <w:color w:val="auto"/>
              </w:rPr>
            </w:pPr>
            <w:r>
              <w:rPr>
                <w:rFonts w:ascii="Arial" w:cs="Arial" w:eastAsia="Arial" w:hAnsi="Arial"/>
                <w:sz w:val="18"/>
                <w:szCs w:val="18"/>
                <w:b w:val="1"/>
                <w:bCs w:val="1"/>
                <w:color w:val="auto"/>
                <w:w w:val="84"/>
              </w:rPr>
              <w:t>Increase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ind w:left="20"/>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gridSpan w:val="3"/>
          </w:tcPr>
          <w:p>
            <w:pPr>
              <w:ind w:left="340"/>
              <w:spacing w:after="0"/>
              <w:rPr>
                <w:sz w:val="20"/>
                <w:szCs w:val="20"/>
                <w:color w:val="auto"/>
              </w:rPr>
            </w:pPr>
            <w:r>
              <w:rPr>
                <w:rFonts w:ascii="Arial" w:cs="Arial" w:eastAsia="Arial" w:hAnsi="Arial"/>
                <w:sz w:val="18"/>
                <w:szCs w:val="18"/>
                <w:b w:val="1"/>
                <w:bCs w:val="1"/>
                <w:color w:val="auto"/>
                <w:w w:val="84"/>
              </w:rPr>
              <w:t>Increase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gridSpan w:val="5"/>
          </w:tcPr>
          <w:p>
            <w:pPr>
              <w:ind w:left="540"/>
              <w:spacing w:after="0"/>
              <w:rPr>
                <w:sz w:val="20"/>
                <w:szCs w:val="20"/>
                <w:color w:val="auto"/>
              </w:rPr>
            </w:pPr>
            <w:r>
              <w:rPr>
                <w:rFonts w:ascii="Arial" w:cs="Arial" w:eastAsia="Arial" w:hAnsi="Arial"/>
                <w:sz w:val="18"/>
                <w:szCs w:val="18"/>
                <w:b w:val="1"/>
                <w:bCs w:val="1"/>
                <w:color w:val="auto"/>
              </w:rPr>
              <w:t>June 30,</w:t>
            </w:r>
          </w:p>
        </w:tc>
        <w:tc>
          <w:tcPr>
            <w:tcW w:w="150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(Decrease)</w:t>
            </w:r>
          </w:p>
        </w:tc>
        <w:tc>
          <w:tcPr>
            <w:tcW w:w="1700" w:type="dxa"/>
            <w:vAlign w:val="bottom"/>
            <w:gridSpan w:val="4"/>
          </w:tcPr>
          <w:p>
            <w:pPr>
              <w:ind w:left="420"/>
              <w:spacing w:after="0"/>
              <w:rPr>
                <w:sz w:val="20"/>
                <w:szCs w:val="20"/>
                <w:color w:val="auto"/>
              </w:rPr>
            </w:pPr>
            <w:r>
              <w:rPr>
                <w:rFonts w:ascii="Arial" w:cs="Arial" w:eastAsia="Arial" w:hAnsi="Arial"/>
                <w:sz w:val="18"/>
                <w:szCs w:val="18"/>
                <w:b w:val="1"/>
                <w:bCs w:val="1"/>
                <w:color w:val="auto"/>
              </w:rPr>
              <w:t>June 30,</w:t>
            </w:r>
          </w:p>
        </w:tc>
        <w:tc>
          <w:tcPr>
            <w:tcW w:w="1540" w:type="dxa"/>
            <w:vAlign w:val="bottom"/>
            <w:gridSpan w:val="5"/>
          </w:tcPr>
          <w:p>
            <w:pPr>
              <w:ind w:left="28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180" w:type="dxa"/>
            <w:vAlign w:val="bottom"/>
          </w:tcPr>
          <w:p>
            <w:pPr>
              <w:spacing w:after="0"/>
              <w:rPr>
                <w:sz w:val="18"/>
                <w:szCs w:val="18"/>
                <w:color w:val="auto"/>
              </w:rPr>
            </w:pPr>
          </w:p>
        </w:tc>
        <w:tc>
          <w:tcPr>
            <w:tcW w:w="6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6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2,614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$ 5,650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1,080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3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Interest income results from our interest-bearing cash and short term investment balances. Net interest income increased by $1.9 million and $4.6 million for the three and six months ended June 30, 2019 compared to the same periods in 2018, respectively, due to the higher average cash and short-term investment balances as a result of the proceeds received from our equity financings in January 2018 and October 2018.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i w:val="1"/>
                <w:iCs w:val="1"/>
                <w:color w:val="auto"/>
              </w:rPr>
              <w:t>Net Loss</w:t>
            </w: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80"/>
        </w:trPr>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gridSpan w:val="3"/>
          </w:tcPr>
          <w:p>
            <w:pPr>
              <w:ind w:left="320"/>
              <w:spacing w:after="0"/>
              <w:rPr>
                <w:sz w:val="20"/>
                <w:szCs w:val="20"/>
                <w:color w:val="auto"/>
              </w:rPr>
            </w:pPr>
            <w:r>
              <w:rPr>
                <w:rFonts w:ascii="Arial" w:cs="Arial" w:eastAsia="Arial" w:hAnsi="Arial"/>
                <w:sz w:val="18"/>
                <w:szCs w:val="18"/>
                <w:b w:val="1"/>
                <w:bCs w:val="1"/>
                <w:color w:val="auto"/>
                <w:w w:val="90"/>
              </w:rPr>
              <w:t>Increase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960" w:type="dxa"/>
            <w:vAlign w:val="bottom"/>
            <w:gridSpan w:val="3"/>
          </w:tcPr>
          <w:p>
            <w:pPr>
              <w:ind w:left="300"/>
              <w:spacing w:after="0"/>
              <w:rPr>
                <w:sz w:val="20"/>
                <w:szCs w:val="20"/>
                <w:color w:val="auto"/>
              </w:rPr>
            </w:pPr>
            <w:r>
              <w:rPr>
                <w:rFonts w:ascii="Arial" w:cs="Arial" w:eastAsia="Arial" w:hAnsi="Arial"/>
                <w:sz w:val="18"/>
                <w:szCs w:val="18"/>
                <w:b w:val="1"/>
                <w:bCs w:val="1"/>
                <w:color w:val="auto"/>
                <w:w w:val="87"/>
              </w:rPr>
              <w:t>Increase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gridSpan w:val="4"/>
          </w:tcPr>
          <w:p>
            <w:pPr>
              <w:ind w:left="54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4"/>
          </w:tcPr>
          <w:p>
            <w:pPr>
              <w:ind w:left="260"/>
              <w:spacing w:after="0"/>
              <w:rPr>
                <w:sz w:val="20"/>
                <w:szCs w:val="20"/>
                <w:color w:val="auto"/>
              </w:rPr>
            </w:pPr>
            <w:r>
              <w:rPr>
                <w:rFonts w:ascii="Arial" w:cs="Arial" w:eastAsia="Arial" w:hAnsi="Arial"/>
                <w:sz w:val="18"/>
                <w:szCs w:val="18"/>
                <w:b w:val="1"/>
                <w:bCs w:val="1"/>
                <w:color w:val="auto"/>
                <w:w w:val="89"/>
              </w:rPr>
              <w:t>(Decrease)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480" w:type="dxa"/>
            <w:vAlign w:val="bottom"/>
            <w:gridSpan w:val="5"/>
          </w:tcPr>
          <w:p>
            <w:pPr>
              <w:ind w:left="24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64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47,551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30,660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$ 84,501</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$ 57,175</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3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Net loss for the three and six months ended June 30, 2019 increased by $16.9 million or 55%, and 27.3 million or 48%, compared to the same periods in 2018, respectively.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 building our own manufacturing facility and certain pre-commercial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jc w:val="both"/>
        <w:ind w:right="60" w:firstLine="486"/>
        <w:spacing w:after="0" w:line="279" w:lineRule="auto"/>
        <w:rPr>
          <w:sz w:val="20"/>
          <w:szCs w:val="20"/>
          <w:color w:val="auto"/>
        </w:rPr>
      </w:pPr>
      <w:r>
        <w:rPr>
          <w:rFonts w:ascii="Arial" w:cs="Arial" w:eastAsia="Arial" w:hAnsi="Arial"/>
          <w:sz w:val="17"/>
          <w:szCs w:val="17"/>
          <w:color w:val="auto"/>
        </w:rPr>
        <w:t>We have incurred losses and generated negative cash flows from operations since inception. We expect to continue to incur significant losses in 2019 and may incur significant losses and negative cash flows from operations for the foreseeable future. We have funded our operations from various public and private offerings of our equity securities (both common stock and preferred stock), from option and warrant exercises, and from interest income.</w:t>
      </w:r>
    </w:p>
    <w:p>
      <w:pPr>
        <w:spacing w:after="0" w:line="104"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As of June 30, 2019, we had outstanding 123,820,508 shares of our $0.000041666 par value common stock, 194 shares of our $0.001 par value Series A Convertible Preferred Stock, and 5,854,845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5,854,845 shares of our common stock. The shares of Series A Convertible Preferred Stock and Series B Convertible Preferred Stock do not have voting rights or accrue dividends.</w:t>
      </w:r>
    </w:p>
    <w:p>
      <w:pPr>
        <w:spacing w:after="0" w:line="11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00"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1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the future, we may periodically offer one or more of these securities in amounts, prices and terms to be announced when and if the securities are offered. If any of the securities covered by the 2018 Shelf Registration Statement are offered for sale, a prospectus supplement will be prepared and filed with the SEC containing specific information about the terms of such offering at that time.</w:t>
      </w:r>
    </w:p>
    <w:p>
      <w:pPr>
        <w:spacing w:after="0" w:line="11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2019 from the sale or licensing of any products. We have incurred a net loss of $84.5 million for the six months ended June 30, 2019 and used $62.9 million of cash in our operating activities the same period ended June 30, 2019. As of June 30, 2019, we had $76.9 million of cash and cash equivalents, $327.2 million of short-term investments, $397.4 million of stockholders’ equity and had working capital of $377.1 million.</w:t>
      </w:r>
    </w:p>
    <w:p>
      <w:pPr>
        <w:spacing w:after="0" w:line="17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expect to further increase our research and development activities, which will increase the amount of cash we will use during 2019 and beyond. Specifically, we expect increased spending on clinical trials, research and development activities, higher payroll expenses as we increase our professional and scientific staff and continue our expansion of manufacturing activities. Based on the funds we have available as of the date of filing of this Quarterly Report on Form 10-Q, we believe that we have sufficient capital to fund our anticipated operating expenses for at least 12 months from the date of filing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2019, we had no obligations that would require disclosure as off-balance sheet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22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and changing prices have had no effect on our continuing operations over our two most recent fiscal years.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There have been no material changes in our market risk during the six months ended June 30, 2019 compared to the disclosures in Part II, Item 7A of our Annual Report on Form 10-K for the year ended December 31, 2018.</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ind w:right="40" w:firstLine="492"/>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June 30, 2019 that have materially affected, or are reasonably likely to materially affect, our internal control over financial reporting.</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On April 10, 2017, the SEC announced settlements with us and with other public companies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Our settlement with the SEC is consistent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our previous disclosures (including in our Annual Report on Form 10-K that we filed with the SEC on March 9,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April 14, 2017, a purported shareholder filed a complaint seeking class action status in the United States District Court,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Northern District of California for violations of the federal securities laws (</w:t>
      </w:r>
      <w:r>
        <w:rPr>
          <w:rFonts w:ascii="Arial" w:cs="Arial" w:eastAsia="Arial" w:hAnsi="Arial"/>
          <w:sz w:val="16"/>
          <w:szCs w:val="16"/>
          <w:i w:val="1"/>
          <w:iCs w:val="1"/>
          <w:color w:val="auto"/>
        </w:rPr>
        <w:t>Leonard DeSilvio v. Lion Biotechnologies, Inc., 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al., </w:t>
      </w:r>
      <w:r>
        <w:rPr>
          <w:rFonts w:ascii="Arial" w:cs="Arial" w:eastAsia="Arial" w:hAnsi="Arial"/>
          <w:sz w:val="16"/>
          <w:szCs w:val="16"/>
          <w:color w:val="auto"/>
        </w:rPr>
        <w:t>case no. 3:17cv2086) against our company and three of our former officers and directors. On April 19, 2017, a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class 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complaints allege, among other things, that the defendants violated the federal securities laws by making materially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false and misleading statements, or by failing to make certain disclosures, regarding the actions taken by Manish Singh,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former CEO, and our former investor relations firm that were the subject of the </w:t>
      </w:r>
      <w:r>
        <w:rPr>
          <w:rFonts w:ascii="Arial" w:cs="Arial" w:eastAsia="Arial" w:hAnsi="Arial"/>
          <w:sz w:val="18"/>
          <w:szCs w:val="18"/>
          <w:i w:val="1"/>
          <w:iCs w:val="1"/>
          <w:color w:val="auto"/>
        </w:rPr>
        <w:t>In the Matter of Certain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court entered an 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lead plaintiff. On September 8, 2017, the lead plaintiff filed an amended complaint (</w:t>
      </w:r>
      <w:r>
        <w:rPr>
          <w:rFonts w:ascii="Arial" w:cs="Arial" w:eastAsia="Arial" w:hAnsi="Arial"/>
          <w:sz w:val="16"/>
          <w:szCs w:val="16"/>
          <w:i w:val="1"/>
          <w:iCs w:val="1"/>
          <w:color w:val="auto"/>
        </w:rPr>
        <w:t>Jay Rabkin v. Lion Biotechnologies,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et al., </w:t>
      </w:r>
      <w:r>
        <w:rPr>
          <w:rFonts w:ascii="Arial" w:cs="Arial" w:eastAsia="Arial" w:hAnsi="Arial"/>
          <w:sz w:val="16"/>
          <w:szCs w:val="16"/>
          <w:color w:val="auto"/>
        </w:rPr>
        <w:t>case no. 3:17-cv-2086) seeking class action status that alleges, among other things, that the defendants violated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by making materially false and misleading statements, or by failing to make certain disclosures, regarding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actions taken by Manish Singh and our former investor relations firm that were the subject of the </w:t>
      </w:r>
      <w:r>
        <w:rPr>
          <w:rFonts w:ascii="Arial" w:cs="Arial" w:eastAsia="Arial" w:hAnsi="Arial"/>
          <w:sz w:val="17"/>
          <w:szCs w:val="17"/>
          <w:i w:val="1"/>
          <w:iCs w:val="1"/>
          <w:color w:val="auto"/>
        </w:rPr>
        <w:t>In the Matter of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Stock Promotions </w:t>
      </w:r>
      <w:r>
        <w:rPr>
          <w:rFonts w:ascii="Arial" w:cs="Arial" w:eastAsia="Arial" w:hAnsi="Arial"/>
          <w:sz w:val="16"/>
          <w:szCs w:val="16"/>
          <w:color w:val="auto"/>
        </w:rPr>
        <w:t>SEC investigation. On February 5, 2018, the court entered an order dismissing two of plaintiff’s six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result of mediation, on September 28, 2018, lead plaintiff filed an unopposed motion for settlement, the cost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expected to be borne by our insurance carrier and would result in no loss to us. The court gave preliminary approval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proposed settlement on November 30, 2018. A final hearing was held on April 12, 2019 to determine whether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proposed settlement was fair, reasonable, and adequate, and whether the claims should be dismissed. On April 17, 2019,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approved the final settlement, involving a payment of $3,250,000 by our insurance carrier to a settlement fund,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awarded attorney’s fees and costs to be paid to plaintiff’s counsel from the settlement fund, approved the plan of allocation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settlement class members, and ordered that the claims against us should be dismissed with prejudice. We do not expect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incur any costs or expenses in connection with this settlement.</w:t>
      </w:r>
    </w:p>
    <w:p>
      <w:pPr>
        <w:spacing w:after="0" w:line="211"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u w:val="single" w:color="auto"/>
          <w:color w:val="auto"/>
        </w:rPr>
        <w:t>Derivative Lawsuits.</w:t>
      </w:r>
      <w:r>
        <w:rPr>
          <w:rFonts w:ascii="Arial" w:cs="Arial" w:eastAsia="Arial" w:hAnsi="Arial"/>
          <w:sz w:val="16"/>
          <w:szCs w:val="16"/>
          <w:color w:val="auto"/>
        </w:rPr>
        <w:t xml:space="preserve"> 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Matter of Certain Stock Promotions </w:t>
      </w:r>
      <w:r>
        <w:rPr>
          <w:rFonts w:ascii="Arial" w:cs="Arial" w:eastAsia="Arial" w:hAnsi="Arial"/>
          <w:sz w:val="16"/>
          <w:szCs w:val="16"/>
          <w:color w:val="auto"/>
        </w:rPr>
        <w:t>investigation and our April 10, 2017 settlement thereof and seeks unspecified damages</w:t>
      </w:r>
      <w:r>
        <w:rPr>
          <w:rFonts w:ascii="Arial" w:cs="Arial" w:eastAsia="Arial" w:hAnsi="Arial"/>
          <w:sz w:val="16"/>
          <w:szCs w:val="16"/>
          <w:i w:val="1"/>
          <w:iCs w:val="1"/>
          <w:color w:val="auto"/>
        </w:rPr>
        <w:t xml:space="preserve"> </w:t>
      </w:r>
      <w:r>
        <w:rPr>
          <w:rFonts w:ascii="Arial" w:cs="Arial" w:eastAsia="Arial" w:hAnsi="Arial"/>
          <w:sz w:val="16"/>
          <w:szCs w:val="16"/>
          <w:color w:val="auto"/>
        </w:rPr>
        <w:t>on behalf of our company and injunctive relief. On May 1, 2018, the court consolidated this case with the aforementioned purported stockholder derivative case filed by plaintiff Kevin Fong. We intend to vigorously defend against the foregoing complaints. Based on the early stage of the litigation, it is not possible to estimate the amount or range of possible loss that might result from an adverse judgment or a settlement of these matters.</w:t>
      </w:r>
    </w:p>
    <w:p>
      <w:pPr>
        <w:spacing w:after="0" w:line="178"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w:t>
      </w:r>
      <w:r>
        <w:rPr>
          <w:rFonts w:ascii="Arial" w:cs="Arial" w:eastAsia="Arial" w:hAnsi="Arial"/>
          <w:sz w:val="17"/>
          <w:szCs w:val="17"/>
          <w:i w:val="1"/>
          <w:iCs w:val="1"/>
          <w:color w:val="auto"/>
        </w:rPr>
        <w:t>Solomon Capital, LLC, Solomon Capital 401(K) Trust,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Solomon Sharbat and Shelhav Raff v. Lion Biotechnologies, Inc. </w:t>
      </w:r>
      <w:r>
        <w:rPr>
          <w:rFonts w:ascii="Arial" w:cs="Arial" w:eastAsia="Arial" w:hAnsi="Arial"/>
          <w:sz w:val="17"/>
          <w:szCs w:val="17"/>
          <w:color w:val="auto"/>
        </w:rPr>
        <w:t>was filed by Solomon Capital, LLC, Solomon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401(k) Trust, Solomon Sharbat and Shelhav Raff against us in the Supreme Court of the State of New York, County of New York (index no. 651881/2016). The plaintiffs allege that, between June and November 2012 they provided to us $0.1 million and that they advanced and paid on our behalf an additional $0.2 million. The complaint further alleges that we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w:t>
      </w:r>
    </w:p>
    <w:p>
      <w:pPr>
        <w:sectPr>
          <w:pgSz w:w="11900" w:h="16838" w:orient="portrait"/>
          <w:cols w:equalWidth="0" w:num="1">
            <w:col w:w="9040"/>
          </w:cols>
          <w:pgMar w:left="1420" w:top="517" w:right="14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should have been able to convert their advances and payments into shares of our common stock in the restructuring that was affected in May 2013. Based on the foregoing, the plaintiffs allege causes for breach of contract and unjust enrichment and demand judgment against us in an unspecified amount exceeding $1.5 million, plus interest and attorneys’ fees. On June 3, 2016, we filed an answer and counterclaims in the lawsuit. In its counterclaims, we allege that the plaintiffs misrepresented their qualifications to assist us in fundraising and that they failed to disclose that they were under investigation for securities laws violations. We are seeking damages in an amount exceeding $0.5 million and an order rescinding any and all agreements that the plaintiffs contend entitled them to obtain stock in our company. 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our amended counterclaims and affirmative defense for fraudulent inducement. On August 15, 2018, the court entered an order granting the plaintiff’s motion and dismissed the Company’s amended counterclaims and eleventh affirmative defense for fraudulent inducement without leave to amend. On September 14, 2018, we filed a notice of appeal related to this order, and on November 5, 2018, we filed our memorandum of law in support of our appeal of the order dismissing our amended counterclaims and affirmative defense for fraudulent inducement. On January 2, 2019, plaintiffs filed their memorandum of law in opposition to the appeal. On January 18, 2019, we filed our reply brief in support of our appeal of the order dismissing our amended counterclaims and affirmative defense for fraudulent inducement. On April 4, 2019, the appellate court ordered that our amended counterclaims and our affirmative defense for fraudulent inducement be reinstated.</w:t>
      </w:r>
    </w:p>
    <w:p>
      <w:pPr>
        <w:spacing w:after="0" w:line="38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intend to vigorously defend the complaint and pursue our counterclaims. At the current stage of the litigation, it is not possible to estimate the amount or range of possible loss that might result from an adverse judgment or a settlement of these matters.</w:t>
      </w:r>
    </w:p>
    <w:p>
      <w:pPr>
        <w:spacing w:after="0" w:line="181" w:lineRule="exact"/>
        <w:rPr>
          <w:sz w:val="20"/>
          <w:szCs w:val="20"/>
          <w:color w:val="auto"/>
        </w:rPr>
      </w:pPr>
    </w:p>
    <w:p>
      <w:pPr>
        <w:ind w:right="60" w:firstLine="486"/>
        <w:spacing w:after="0" w:line="267"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w:t>
      </w:r>
      <w:r>
        <w:rPr>
          <w:rFonts w:ascii="Arial" w:cs="Arial" w:eastAsia="Arial" w:hAnsi="Arial"/>
          <w:sz w:val="17"/>
          <w:szCs w:val="17"/>
          <w:color w:val="auto"/>
        </w:rPr>
        <w:t xml:space="preserve"> </w:t>
      </w:r>
      <w:r>
        <w:rPr>
          <w:rFonts w:ascii="Arial" w:cs="Arial" w:eastAsia="Arial" w:hAnsi="Arial"/>
          <w:sz w:val="17"/>
          <w:szCs w:val="17"/>
          <w:i w:val="1"/>
          <w:iCs w:val="1"/>
          <w:color w:val="auto"/>
        </w:rPr>
        <w:t>Biotechnologies, Inc. and Maria Fardis</w:t>
      </w:r>
      <w:r>
        <w:rPr>
          <w:rFonts w:ascii="Arial" w:cs="Arial" w:eastAsia="Arial" w:hAnsi="Arial"/>
          <w:sz w:val="17"/>
          <w:szCs w:val="17"/>
          <w:color w:val="auto"/>
        </w:rPr>
        <w:t>, Dr. Steven Fischkoff, our former Vice President and Chief Medical Officer,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lawsuit against us in the Supreme Court of the State of New York, County of New York. Dr. Fischkoff was dismissed by us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company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us and Dr. Fardis. On October 18, 2018, Dr. Fischkoff amended his complaint to assert a new claim for defamation arising from SEC filings in which we provided the information about this litigation.</w:t>
      </w:r>
    </w:p>
    <w:p>
      <w:pPr>
        <w:spacing w:after="0" w:line="19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intend to vigorously defend against Dr. Fischkoff’s lawsuit and pursue our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7"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We believe that any claims brought against it would not result</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 material impact to our financial position or results of operations. We have not accrued a loss for a potential claim associated with this matter as we are unable to estimate any at this time.</w:t>
      </w:r>
    </w:p>
    <w:p>
      <w:pPr>
        <w:spacing w:after="0" w:line="1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connection with our reincorporation from Nevada to Delaware in 2017, we (as a Delaware corporation) untimely filed a post-effective amendment to adopt a Form S-8 registration statement that the Company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as a result of the issuance of the 200,000 shares is uncertain. Accordingly, we have not made any accrual for a potential claim in our consolidated financial statements.</w:t>
      </w:r>
    </w:p>
    <w:p>
      <w:pPr>
        <w:spacing w:after="0" w:line="17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may be involved, from time to time, in legal proceedings and claims arising in the ordinary course of our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73"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w:t>
      </w:r>
      <w:hyperlink r:id="rId51">
        <w:r>
          <w:rPr>
            <w:rFonts w:ascii="Arial" w:cs="Arial" w:eastAsia="Arial" w:hAnsi="Arial"/>
            <w:sz w:val="17"/>
            <w:szCs w:val="17"/>
            <w:i w:val="1"/>
            <w:iCs w:val="1"/>
            <w:color w:val="auto"/>
          </w:rPr>
          <w:t xml:space="preserve">other information contained or incorporated by reference in our </w:t>
        </w:r>
        <w:r>
          <w:rPr>
            <w:rFonts w:ascii="Arial" w:cs="Arial" w:eastAsia="Arial" w:hAnsi="Arial"/>
            <w:sz w:val="17"/>
            <w:szCs w:val="17"/>
            <w:i w:val="1"/>
            <w:iCs w:val="1"/>
            <w:u w:val="single" w:color="auto"/>
            <w:color w:val="0000EE"/>
          </w:rPr>
          <w:t>Annual Report on Form 10-K for the year ended December</w:t>
        </w:r>
      </w:hyperlink>
      <w:r>
        <w:rPr>
          <w:rFonts w:ascii="Arial" w:cs="Arial" w:eastAsia="Arial" w:hAnsi="Arial"/>
          <w:sz w:val="17"/>
          <w:szCs w:val="17"/>
          <w:i w:val="1"/>
          <w:iCs w:val="1"/>
          <w:color w:val="auto"/>
        </w:rPr>
        <w:t xml:space="preserve"> </w:t>
      </w:r>
      <w:hyperlink r:id="rId51">
        <w:r>
          <w:rPr>
            <w:rFonts w:ascii="Arial" w:cs="Arial" w:eastAsia="Arial" w:hAnsi="Arial"/>
            <w:sz w:val="17"/>
            <w:szCs w:val="17"/>
            <w:i w:val="1"/>
            <w:iCs w:val="1"/>
            <w:u w:val="single" w:color="auto"/>
            <w:color w:val="0000EE"/>
          </w:rPr>
          <w:t>31, 2018 filed on February 28, 2019</w:t>
        </w:r>
        <w:r>
          <w:rPr>
            <w:rFonts w:ascii="Arial" w:cs="Arial" w:eastAsia="Arial" w:hAnsi="Arial"/>
            <w:sz w:val="17"/>
            <w:szCs w:val="17"/>
            <w:i w:val="1"/>
            <w:iCs w:val="1"/>
            <w:color w:val="000000"/>
          </w:rPr>
          <w:t>, including our financial statements and related notes, and our other filings from time to</w:t>
        </w:r>
      </w:hyperlink>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time with the Securities and Exchange Commission or SEC.</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 xml:space="preserve">We have a history of operating losses; we expect to continue to incur losses and we may never be profitable. </w:t>
      </w:r>
      <w:r>
        <w:rPr>
          <w:rFonts w:ascii="Arial" w:cs="Arial" w:eastAsia="Arial" w:hAnsi="Arial"/>
          <w:sz w:val="24"/>
          <w:szCs w:val="24"/>
          <w:b w:val="1"/>
          <w:bCs w:val="1"/>
          <w:i w:val="1"/>
          <w:iCs w:val="1"/>
          <w:color w:val="auto"/>
          <w:vertAlign w:val="superscript"/>
        </w:rPr>
        <w:t>*</w:t>
      </w:r>
    </w:p>
    <w:p>
      <w:pPr>
        <w:spacing w:after="0" w:line="15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June 30, 2019, we had an accumulated deficit of $457.6 million. In addition, during the six months ended June 30, 2019, we incurred a net loss of $84.5 million. Since our inception we have not generated any revenues from operations.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92"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4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We have limited experience in operating our current business, which makes it difficult to evaluate our business plan and our prospects.</w:t>
      </w:r>
    </w:p>
    <w:p>
      <w:pPr>
        <w:spacing w:after="0" w:line="170"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58"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97" w:lineRule="exact"/>
        <w:rPr>
          <w:sz w:val="20"/>
          <w:szCs w:val="20"/>
          <w:color w:val="auto"/>
        </w:rPr>
      </w:pPr>
    </w:p>
    <w:p>
      <w:pPr>
        <w:ind w:right="160" w:firstLine="486"/>
        <w:spacing w:after="0" w:line="365" w:lineRule="auto"/>
        <w:rPr>
          <w:sz w:val="20"/>
          <w:szCs w:val="20"/>
          <w:color w:val="auto"/>
        </w:rPr>
      </w:pPr>
      <w:r>
        <w:rPr>
          <w:rFonts w:ascii="Arial" w:cs="Arial" w:eastAsia="Arial" w:hAnsi="Arial"/>
          <w:sz w:val="15"/>
          <w:szCs w:val="15"/>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r>
        <w:rPr>
          <w:rFonts w:ascii="Arial" w:cs="Arial" w:eastAsia="Arial" w:hAnsi="Arial"/>
          <w:sz w:val="22"/>
          <w:szCs w:val="22"/>
          <w:b w:val="1"/>
          <w:bCs w:val="1"/>
          <w:i w:val="1"/>
          <w:iCs w:val="1"/>
          <w:color w:val="auto"/>
          <w:vertAlign w:val="superscript"/>
        </w:rPr>
        <w:t>*</w:t>
      </w:r>
    </w:p>
    <w:p>
      <w:pPr>
        <w:spacing w:after="0" w:line="1"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5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w:t>
      </w:r>
    </w:p>
    <w:p>
      <w:pPr>
        <w:spacing w:after="0" w:line="171"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67" w:lineRule="exact"/>
        <w:rPr>
          <w:sz w:val="20"/>
          <w:szCs w:val="20"/>
          <w:color w:val="auto"/>
        </w:rPr>
      </w:pPr>
    </w:p>
    <w:p>
      <w:pPr>
        <w:ind w:right="340" w:firstLine="486"/>
        <w:spacing w:after="0" w:line="286" w:lineRule="auto"/>
        <w:rPr>
          <w:sz w:val="20"/>
          <w:szCs w:val="20"/>
          <w:color w:val="auto"/>
        </w:rPr>
      </w:pPr>
      <w:r>
        <w:rPr>
          <w:rFonts w:ascii="Arial" w:cs="Arial" w:eastAsia="Arial" w:hAnsi="Arial"/>
          <w:sz w:val="17"/>
          <w:szCs w:val="17"/>
          <w:color w:val="auto"/>
        </w:rPr>
        <w:t>We have not previously submitted a biologics license application, or BLA, to the FDA, or similar marketing application to comparable foreign authorities, for any product candidate, and we cannot be certain that our current or any future product candidates will be successful in clinical trials or receive regulatory approval.</w:t>
      </w:r>
    </w:p>
    <w:p>
      <w:pPr>
        <w:spacing w:after="0" w:line="166"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6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70" w:lineRule="exact"/>
        <w:rPr>
          <w:sz w:val="20"/>
          <w:szCs w:val="20"/>
          <w:color w:val="auto"/>
        </w:rPr>
      </w:pPr>
    </w:p>
    <w:p>
      <w:pPr>
        <w:ind w:left="820" w:right="260" w:hanging="319"/>
        <w:spacing w:after="0" w:line="258"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1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220" w:hanging="319"/>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hanging="31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9" w:lineRule="exact"/>
        <w:rPr>
          <w:rFonts w:ascii="Arial" w:cs="Arial" w:eastAsia="Arial" w:hAnsi="Arial"/>
          <w:sz w:val="18"/>
          <w:szCs w:val="18"/>
          <w:color w:val="auto"/>
        </w:rPr>
      </w:pPr>
    </w:p>
    <w:p>
      <w:pPr>
        <w:ind w:left="820" w:right="440" w:hanging="319"/>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train, and deploy a commercial team including a sales force to commercialize product candidates in the United States and abroad;</w:t>
      </w:r>
    </w:p>
    <w:p>
      <w:pPr>
        <w:ind w:left="820" w:right="20" w:hanging="319"/>
        <w:spacing w:after="0" w:line="265" w:lineRule="auto"/>
        <w:tabs>
          <w:tab w:leader="none" w:pos="814"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manufacture product candidates through CMOs or in our own manufacturing facility in sufficient quantities and at acceptable quality and manufacturing cost to meet commercial demand at launch and thereafter;</w:t>
      </w:r>
    </w:p>
    <w:p>
      <w:pPr>
        <w:ind w:left="820" w:right="20" w:hanging="319"/>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1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achieve market acceptance of our product candidates by patients, the medical community, and third-party payors;</w:t>
      </w:r>
    </w:p>
    <w:p>
      <w:pPr>
        <w:spacing w:after="0" w:line="32" w:lineRule="exact"/>
        <w:rPr>
          <w:rFonts w:ascii="Arial" w:cs="Arial" w:eastAsia="Arial" w:hAnsi="Arial"/>
          <w:sz w:val="16"/>
          <w:szCs w:val="16"/>
          <w:color w:val="auto"/>
        </w:rPr>
      </w:pPr>
    </w:p>
    <w:p>
      <w:pPr>
        <w:ind w:left="820" w:hanging="31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160" w:hanging="319"/>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clinical sites;</w:t>
      </w:r>
    </w:p>
    <w:p>
      <w:pPr>
        <w:ind w:left="820" w:hanging="31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b w:val="1"/>
          <w:bCs w:val="1"/>
          <w:i w:val="1"/>
          <w:iCs w:val="1"/>
          <w:color w:val="auto"/>
        </w:rPr>
        <w:t>We have limited experience as a company conducting clinical trials and face risks due to the need to rely on third parties.</w:t>
      </w:r>
      <w:r>
        <w:rPr>
          <w:rFonts w:ascii="Arial" w:cs="Arial" w:eastAsia="Arial" w:hAnsi="Arial"/>
          <w:sz w:val="27"/>
          <w:szCs w:val="27"/>
          <w:b w:val="1"/>
          <w:bCs w:val="1"/>
          <w:i w:val="1"/>
          <w:iCs w:val="1"/>
          <w:color w:val="auto"/>
          <w:vertAlign w:val="superscript"/>
        </w:rPr>
        <w:t>*</w:t>
      </w:r>
    </w:p>
    <w:p>
      <w:pPr>
        <w:spacing w:after="0" w:line="4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have limited experience conducting pre-clinical and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We have limited experience in designing clinical trials and may be unable to design and execute a clinical trial to support marketing approval.</w:t>
      </w:r>
    </w:p>
    <w:p>
      <w:pPr>
        <w:spacing w:after="0" w:line="166"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Prior to 2015, all the preclinical and clinical trials relating to TIL had been conducted by the NCI. We have recruited a team that has experience with clinical trials; however, we as a company have limited experience in conducting clinical trials. In part because of this lack of experience, we cannot be certain that our ongoing clinical trials will be completed on time, if at all, will progress according to our plans or expectations, or that our planned clinical trials will be initiated, progress according to our plans or expectations, or be completed on time, if they are completed at all.</w:t>
      </w:r>
    </w:p>
    <w:p>
      <w:pPr>
        <w:spacing w:after="0" w:line="17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66"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69"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8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can result in enforcement actions and adverse publicity.</w:t>
      </w:r>
    </w:p>
    <w:p>
      <w:pPr>
        <w:spacing w:after="0" w:line="17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7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7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87" w:lineRule="exact"/>
        <w:rPr>
          <w:sz w:val="20"/>
          <w:szCs w:val="20"/>
          <w:color w:val="auto"/>
        </w:rPr>
      </w:pPr>
    </w:p>
    <w:p>
      <w:pPr>
        <w:jc w:val="both"/>
        <w:ind w:right="80" w:firstLine="486"/>
        <w:spacing w:after="0" w:line="269"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r>
        <w:rPr>
          <w:rFonts w:ascii="Arial" w:cs="Arial" w:eastAsia="Arial" w:hAnsi="Arial"/>
          <w:sz w:val="27"/>
          <w:szCs w:val="27"/>
          <w:b w:val="1"/>
          <w:bCs w:val="1"/>
          <w:i w:val="1"/>
          <w:iCs w:val="1"/>
          <w:color w:val="auto"/>
          <w:vertAlign w:val="superscript"/>
        </w:rPr>
        <w:t>*</w:t>
      </w:r>
    </w:p>
    <w:p>
      <w:pPr>
        <w:spacing w:after="0" w:line="52"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plan to initiate trials in new indications, and new cohorts in existing trials. Even as these trials progress, issues may arise that could require us to suspend or terminate such clinical trials or could cause the results of one cohort to differ from a prior cohort.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66" w:lineRule="exact"/>
        <w:rPr>
          <w:sz w:val="20"/>
          <w:szCs w:val="20"/>
          <w:color w:val="auto"/>
        </w:rPr>
      </w:pPr>
    </w:p>
    <w:p>
      <w:pPr>
        <w:ind w:left="820" w:hanging="31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3" w:lineRule="exact"/>
        <w:rPr>
          <w:rFonts w:ascii="Arial" w:cs="Arial" w:eastAsia="Arial" w:hAnsi="Arial"/>
          <w:sz w:val="18"/>
          <w:szCs w:val="18"/>
          <w:color w:val="auto"/>
        </w:rPr>
      </w:pPr>
    </w:p>
    <w:p>
      <w:pPr>
        <w:ind w:left="820" w:right="60" w:hanging="319"/>
        <w:spacing w:after="0" w:line="255"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hanging="319"/>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delays in reaching a consensus or inability to obtain agreement with regulatory agencies on study design;</w:t>
      </w:r>
    </w:p>
    <w:p>
      <w:pPr>
        <w:spacing w:after="0" w:line="34" w:lineRule="exact"/>
        <w:rPr>
          <w:rFonts w:ascii="Arial" w:cs="Arial" w:eastAsia="Arial" w:hAnsi="Arial"/>
          <w:sz w:val="17"/>
          <w:szCs w:val="17"/>
          <w:color w:val="auto"/>
        </w:rPr>
      </w:pPr>
    </w:p>
    <w:p>
      <w:pPr>
        <w:ind w:left="820" w:right="1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11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5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8"/>
          <w:szCs w:val="18"/>
          <w:color w:val="auto"/>
        </w:rPr>
      </w:pPr>
    </w:p>
    <w:p>
      <w:pPr>
        <w:ind w:left="820" w:hanging="31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3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8"/>
          <w:szCs w:val="18"/>
          <w:color w:val="auto"/>
        </w:rPr>
      </w:pPr>
    </w:p>
    <w:p>
      <w:pPr>
        <w:ind w:left="820" w:hanging="31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820" w:right="17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interim results for the C-145-04 trial and the final patient population and results, including differences in patient population, or from different interpretations of the results using a BIRC;</w:t>
      </w:r>
    </w:p>
    <w:p>
      <w:pPr>
        <w:spacing w:after="0" w:line="1" w:lineRule="exact"/>
        <w:rPr>
          <w:rFonts w:ascii="Arial" w:cs="Arial" w:eastAsia="Arial" w:hAnsi="Arial"/>
          <w:sz w:val="18"/>
          <w:szCs w:val="18"/>
          <w:color w:val="auto"/>
        </w:rPr>
      </w:pPr>
    </w:p>
    <w:p>
      <w:pPr>
        <w:ind w:left="820" w:right="87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right="11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perform in accordance with the FDA’s cGCP requirements, or applicable regulatory guidelines in other countries;</w:t>
      </w:r>
    </w:p>
    <w:p>
      <w:pPr>
        <w:ind w:left="820" w:right="25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w:t>
      </w:r>
    </w:p>
    <w:p>
      <w:pPr>
        <w:ind w:left="820" w:right="59" w:hanging="319"/>
        <w:spacing w:after="0" w:line="265" w:lineRule="auto"/>
        <w:tabs>
          <w:tab w:leader="none" w:pos="814" w:val="left"/>
        </w:tabs>
        <w:numPr>
          <w:ilvl w:val="0"/>
          <w:numId w:val="7"/>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ind w:left="820" w:hanging="31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right="45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ind w:left="820" w:right="23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8"/>
          <w:szCs w:val="18"/>
          <w:color w:val="auto"/>
        </w:rPr>
      </w:pPr>
    </w:p>
    <w:p>
      <w:pPr>
        <w:ind w:left="820" w:right="73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right="499" w:hanging="319"/>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ind w:left="820" w:right="39" w:hanging="319"/>
        <w:spacing w:after="0" w:line="281" w:lineRule="auto"/>
        <w:tabs>
          <w:tab w:leader="none" w:pos="81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 of clinical studies of our product candidates being greater than we anticipate, or we may have insufficient funds for a clinical trial or to pay the substantial user fees required by the FDA upon the filing of a BLA;</w:t>
      </w:r>
    </w:p>
    <w:p>
      <w:pPr>
        <w:spacing w:after="0" w:line="1" w:lineRule="exact"/>
        <w:rPr>
          <w:rFonts w:ascii="Arial" w:cs="Arial" w:eastAsia="Arial" w:hAnsi="Arial"/>
          <w:sz w:val="16"/>
          <w:szCs w:val="16"/>
          <w:color w:val="auto"/>
        </w:rPr>
      </w:pPr>
    </w:p>
    <w:p>
      <w:pPr>
        <w:jc w:val="both"/>
        <w:ind w:left="820" w:right="19" w:hanging="319"/>
        <w:spacing w:after="0" w:line="265" w:lineRule="auto"/>
        <w:tabs>
          <w:tab w:leader="none" w:pos="814" w:val="left"/>
        </w:tabs>
        <w:numPr>
          <w:ilvl w:val="0"/>
          <w:numId w:val="7"/>
        </w:numPr>
        <w:rPr>
          <w:rFonts w:ascii="Arial" w:cs="Arial" w:eastAsia="Arial" w:hAnsi="Arial"/>
          <w:sz w:val="17"/>
          <w:szCs w:val="17"/>
          <w:color w:val="auto"/>
        </w:rPr>
      </w:pPr>
      <w:r>
        <w:rPr>
          <w:rFonts w:ascii="Arial" w:cs="Arial" w:eastAsia="Arial" w:hAnsi="Arial"/>
          <w:sz w:val="17"/>
          <w:szCs w:val="17"/>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ind w:left="820" w:right="19" w:hanging="319"/>
        <w:spacing w:after="0" w:line="253"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right="120" w:hanging="319"/>
        <w:spacing w:after="0" w:line="258"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 w:lineRule="exact"/>
        <w:rPr>
          <w:rFonts w:ascii="Arial" w:cs="Arial" w:eastAsia="Arial" w:hAnsi="Arial"/>
          <w:sz w:val="18"/>
          <w:szCs w:val="18"/>
          <w:color w:val="auto"/>
        </w:rPr>
      </w:pPr>
    </w:p>
    <w:p>
      <w:pPr>
        <w:ind w:left="820" w:right="340" w:hanging="319"/>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20" w:right="420" w:hanging="319"/>
        <w:spacing w:after="0" w:line="265" w:lineRule="auto"/>
        <w:tabs>
          <w:tab w:leader="none" w:pos="81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ind w:left="820" w:right="520" w:hanging="319"/>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right="40" w:hanging="319"/>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transfer of our manufacturing processes to our contract manufacturers or other larger-scale facilities operated by a CMO and delays or failure by our CMOs or us to make any necessary changes to such manufacturing process;</w:t>
      </w:r>
    </w:p>
    <w:p>
      <w:pPr>
        <w:spacing w:after="0" w:line="1" w:lineRule="exact"/>
        <w:rPr>
          <w:rFonts w:ascii="Arial" w:cs="Arial" w:eastAsia="Arial" w:hAnsi="Arial"/>
          <w:sz w:val="16"/>
          <w:szCs w:val="16"/>
          <w:color w:val="auto"/>
        </w:rPr>
      </w:pPr>
    </w:p>
    <w:p>
      <w:pPr>
        <w:ind w:left="820" w:right="220" w:hanging="319"/>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jc w:val="both"/>
        <w:ind w:left="820" w:right="240" w:hanging="319"/>
        <w:spacing w:after="0" w:line="255"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9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78"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For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refusal to file or non-approval of a BLA.</w:t>
      </w:r>
    </w:p>
    <w:p>
      <w:pPr>
        <w:spacing w:after="0" w:line="16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83"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r>
        <w:rPr>
          <w:rFonts w:ascii="Arial" w:cs="Arial" w:eastAsia="Arial" w:hAnsi="Arial"/>
          <w:sz w:val="27"/>
          <w:szCs w:val="27"/>
          <w:b w:val="1"/>
          <w:bCs w:val="1"/>
          <w:i w:val="1"/>
          <w:iCs w:val="1"/>
          <w:color w:val="auto"/>
          <w:vertAlign w:val="superscript"/>
        </w:rPr>
        <w:t>*</w:t>
      </w:r>
    </w:p>
    <w:p>
      <w:pPr>
        <w:spacing w:after="0" w:line="40"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budgeting and planning purposes, we have projected the date for the commencement of future trials, and continuation and completion of our ongoing clinical trials. However, a number of factors, including scheduling conflicts</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81"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We have opened enrollment of our company-sponsored, Phase 2 clinical trials to establish the feasibility of our product, and to assess its overall safety in patients with metastatic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Furthermore,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9"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5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18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88"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7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9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develop our product candidates for use with other oncology products, the design, implementation, and interpretation of the clinical trials necessary for marketing approval may be more complex than if we were developing our product candidates alone.</w:t>
      </w:r>
    </w:p>
    <w:p>
      <w:pPr>
        <w:spacing w:after="0" w:line="192"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73"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in our clinical trials for a variety of reasons, including:</w:t>
      </w:r>
    </w:p>
    <w:p>
      <w:pPr>
        <w:spacing w:after="0" w:line="181" w:lineRule="exact"/>
        <w:rPr>
          <w:sz w:val="20"/>
          <w:szCs w:val="20"/>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cell-based immunotherapy;</w:t>
      </w:r>
    </w:p>
    <w:p>
      <w:pPr>
        <w:spacing w:after="0" w:line="32" w:lineRule="exact"/>
        <w:rPr>
          <w:rFonts w:ascii="Arial" w:cs="Arial" w:eastAsia="Arial" w:hAnsi="Arial"/>
          <w:sz w:val="16"/>
          <w:szCs w:val="16"/>
          <w:color w:val="auto"/>
        </w:rPr>
      </w:pPr>
    </w:p>
    <w:p>
      <w:pPr>
        <w:ind w:left="820" w:right="60" w:hanging="319"/>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Arial" w:cs="Arial" w:eastAsia="Arial" w:hAnsi="Arial"/>
          <w:sz w:val="18"/>
          <w:szCs w:val="18"/>
          <w:color w:val="auto"/>
        </w:rPr>
      </w:pPr>
    </w:p>
    <w:p>
      <w:pPr>
        <w:ind w:left="820" w:right="620" w:hanging="319"/>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right="20" w:hanging="319"/>
        <w:spacing w:after="0" w:line="273" w:lineRule="auto"/>
        <w:tabs>
          <w:tab w:leader="none" w:pos="81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80" w:lineRule="exact"/>
        <w:rPr>
          <w:sz w:val="20"/>
          <w:szCs w:val="20"/>
          <w:color w:val="auto"/>
        </w:rPr>
      </w:pPr>
    </w:p>
    <w:p>
      <w:pPr>
        <w:jc w:val="both"/>
        <w:ind w:right="80" w:firstLine="492"/>
        <w:spacing w:after="0" w:line="312" w:lineRule="auto"/>
        <w:rPr>
          <w:sz w:val="20"/>
          <w:szCs w:val="20"/>
          <w:color w:val="auto"/>
        </w:rPr>
      </w:pPr>
      <w:r>
        <w:rPr>
          <w:rFonts w:ascii="Arial" w:cs="Arial" w:eastAsia="Arial" w:hAnsi="Arial"/>
          <w:sz w:val="16"/>
          <w:szCs w:val="16"/>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47" w:lineRule="exact"/>
        <w:rPr>
          <w:sz w:val="20"/>
          <w:szCs w:val="20"/>
          <w:color w:val="auto"/>
        </w:rPr>
      </w:pPr>
    </w:p>
    <w:p>
      <w:pPr>
        <w:ind w:right="260" w:firstLine="486"/>
        <w:spacing w:after="0" w:line="269"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r>
        <w:rPr>
          <w:rFonts w:ascii="Arial" w:cs="Arial" w:eastAsia="Arial" w:hAnsi="Arial"/>
          <w:sz w:val="27"/>
          <w:szCs w:val="27"/>
          <w:b w:val="1"/>
          <w:bCs w:val="1"/>
          <w:i w:val="1"/>
          <w:iCs w:val="1"/>
          <w:color w:val="auto"/>
          <w:vertAlign w:val="superscript"/>
        </w:rPr>
        <w:t>*</w:t>
      </w:r>
    </w:p>
    <w:p>
      <w:pPr>
        <w:spacing w:after="0" w:line="52" w:lineRule="exact"/>
        <w:rPr>
          <w:sz w:val="20"/>
          <w:szCs w:val="20"/>
          <w:color w:val="auto"/>
        </w:rPr>
      </w:pPr>
    </w:p>
    <w:p>
      <w:pPr>
        <w:ind w:right="360" w:firstLine="486"/>
        <w:spacing w:after="0" w:line="302"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 Even</w:t>
      </w:r>
    </w:p>
    <w:p>
      <w:pPr>
        <w:sectPr>
          <w:pgSz w:w="11900" w:h="16838" w:orient="portrait"/>
          <w:cols w:equalWidth="0" w:num="1">
            <w:col w:w="9040"/>
          </w:cols>
          <w:pgMar w:left="1420" w:top="517" w:right="14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7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8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79" w:lineRule="exact"/>
        <w:rPr>
          <w:sz w:val="20"/>
          <w:szCs w:val="20"/>
          <w:color w:val="auto"/>
        </w:rPr>
      </w:pPr>
    </w:p>
    <w:p>
      <w:pPr>
        <w:ind w:right="40" w:firstLine="486"/>
        <w:spacing w:after="0" w:line="277" w:lineRule="auto"/>
        <w:rPr>
          <w:sz w:val="20"/>
          <w:szCs w:val="20"/>
          <w:color w:val="auto"/>
        </w:rPr>
      </w:pPr>
      <w:r>
        <w:rPr>
          <w:rFonts w:ascii="Arial" w:cs="Arial" w:eastAsia="Arial" w:hAnsi="Arial"/>
          <w:sz w:val="17"/>
          <w:szCs w:val="17"/>
          <w:b w:val="1"/>
          <w:bCs w:val="1"/>
          <w:i w:val="1"/>
          <w:iCs w:val="1"/>
          <w:color w:val="auto"/>
        </w:rPr>
        <w:t xml:space="preserve">The manufacture of our product candidates is complex, and we may encounter difficulties in production, particularly with respect to process development, quality control,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 </w:t>
      </w:r>
      <w:r>
        <w:rPr>
          <w:rFonts w:ascii="Arial" w:cs="Arial" w:eastAsia="Arial" w:hAnsi="Arial"/>
          <w:sz w:val="26"/>
          <w:szCs w:val="26"/>
          <w:b w:val="1"/>
          <w:bCs w:val="1"/>
          <w:i w:val="1"/>
          <w:iCs w:val="1"/>
          <w:color w:val="auto"/>
          <w:vertAlign w:val="superscript"/>
        </w:rPr>
        <w:t>*</w:t>
      </w:r>
    </w:p>
    <w:p>
      <w:pPr>
        <w:spacing w:after="0" w:line="49"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highly-regulated and subject to multiple risks. The manufacture of our product candidates involves complex processes, including harvesting tumor fragments from patients,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7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8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This includes potential risks associated with FDA not agreeing with all of the details of our validation data or our potency assay for Cohort 4 of our C-144-01 clinical trial. Furthermore, some of our CMOs may not be able to establish comparability of their products with TIL product used in Cohort 2 or may not be fully validated prior to starting Cohort 4.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current manufacturing strategy involves the use of CMOs. Currently our product candidates are manufactured by WuXi, Lonza Netherlands, MasTHerCell,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7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70" w:lineRule="exact"/>
        <w:rPr>
          <w:sz w:val="20"/>
          <w:szCs w:val="20"/>
          <w:color w:val="auto"/>
        </w:rPr>
      </w:pPr>
    </w:p>
    <w:p>
      <w:pPr>
        <w:ind w:left="820" w:hanging="319"/>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inability to negotiate manufacturing agreements with third parties under commercially reasonable terms;</w:t>
      </w:r>
    </w:p>
    <w:p>
      <w:pPr>
        <w:spacing w:after="0" w:line="34" w:lineRule="exact"/>
        <w:rPr>
          <w:rFonts w:ascii="Arial" w:cs="Arial" w:eastAsia="Arial" w:hAnsi="Arial"/>
          <w:sz w:val="17"/>
          <w:szCs w:val="17"/>
          <w:color w:val="auto"/>
        </w:rPr>
      </w:pPr>
    </w:p>
    <w:p>
      <w:pPr>
        <w:ind w:left="820" w:right="200" w:hanging="319"/>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right="460" w:hanging="319"/>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control over the protection of our trade secrets and know-how from misappropriation or inadvertent disclosure;</w:t>
      </w:r>
    </w:p>
    <w:p>
      <w:pPr>
        <w:ind w:left="820" w:right="200" w:hanging="319"/>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8"/>
          <w:szCs w:val="18"/>
          <w:color w:val="auto"/>
        </w:rPr>
      </w:pPr>
    </w:p>
    <w:p>
      <w:pPr>
        <w:ind w:left="820" w:right="200" w:hanging="319"/>
        <w:spacing w:after="0" w:line="261"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84"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In the future, we plan to establish our own manufacturing capabilities and infrastructure, including a manufacturing facility.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firstLine="486"/>
        <w:spacing w:after="0" w:line="297" w:lineRule="auto"/>
        <w:rPr>
          <w:sz w:val="20"/>
          <w:szCs w:val="20"/>
          <w:color w:val="auto"/>
        </w:rPr>
      </w:pPr>
      <w:r>
        <w:rPr>
          <w:rFonts w:ascii="Arial" w:cs="Arial" w:eastAsia="Arial" w:hAnsi="Arial"/>
          <w:sz w:val="16"/>
          <w:szCs w:val="16"/>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5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8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we submit our marketing applications to the agency.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19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8"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suspension,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8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82"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6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comparability studies and to collect additional data from patients prior to undertaking more advanced clinical trials.</w:t>
      </w:r>
    </w:p>
    <w:p>
      <w:pPr>
        <w:spacing w:after="0" w:line="17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TIL based therapy is based on the adoptive cell therapy technology that we licensed from the NIH and that is presently in use as a physician-sponsored investigational therapy for the treatment of Stage IV metastatic melanoma in the United States at the NCI, MDACC Cancer Center, and Moffit. These current methods of treatment are very labor intensive and expensive, which has limited its widespread application. We have developed new processes that we anticipate will enable more efficient manufacturing of TIL. We may have difficulty demonstrating that the products produced from our new processes are comparable to the existing products. The FDA may require additional clinical testing before permitting a larger clinical trial with the new processes, and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have made to the historical manufacturing process may require additional testing, which may increase costs and timelines associated with these developments.</w:t>
      </w:r>
    </w:p>
    <w:p>
      <w:pPr>
        <w:spacing w:after="0" w:line="169"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In addition to developing a TIL based therapy on existing ACT technology, we are currently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Our research and development programs are at an early stage. We must demonstrate our products’ safety and efficacy in humans through extensive clinical testing. We may experience numerous unforeseen events during, or as a</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result of, the testing process that could delay or prevent commercialization of our products, including but not limited to the following:</w:t>
      </w:r>
    </w:p>
    <w:p>
      <w:pPr>
        <w:spacing w:after="0" w:line="170" w:lineRule="exact"/>
        <w:rPr>
          <w:sz w:val="20"/>
          <w:szCs w:val="20"/>
          <w:color w:val="auto"/>
        </w:rPr>
      </w:pPr>
    </w:p>
    <w:p>
      <w:pPr>
        <w:ind w:left="820" w:right="79" w:hanging="319"/>
        <w:spacing w:after="0" w:line="258"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39" w:hanging="319"/>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9" w:hanging="319"/>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219" w:hanging="319"/>
        <w:spacing w:after="0" w:line="265" w:lineRule="auto"/>
        <w:tabs>
          <w:tab w:leader="none" w:pos="8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effects our potential products have may not be the desired effects or may include undesirable side effects or other characteristics that preclude regulatory approval or limit their commercial use if approved;</w:t>
      </w:r>
    </w:p>
    <w:p>
      <w:pPr>
        <w:ind w:left="820" w:right="179" w:hanging="319"/>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right="379" w:hanging="319"/>
        <w:spacing w:after="0" w:line="261"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find that our clinical trial design or conduct does not meet the applicable approval requirements.</w:t>
      </w:r>
    </w:p>
    <w:p>
      <w:pPr>
        <w:spacing w:after="0" w:line="184" w:lineRule="exact"/>
        <w:rPr>
          <w:sz w:val="20"/>
          <w:szCs w:val="20"/>
          <w:color w:val="auto"/>
        </w:rPr>
      </w:pPr>
    </w:p>
    <w:p>
      <w:pPr>
        <w:ind w:right="19" w:firstLine="486"/>
        <w:spacing w:after="0" w:line="291" w:lineRule="auto"/>
        <w:rPr>
          <w:sz w:val="20"/>
          <w:szCs w:val="20"/>
          <w:color w:val="auto"/>
        </w:rPr>
      </w:pPr>
      <w:r>
        <w:rPr>
          <w:rFonts w:ascii="Arial" w:cs="Arial" w:eastAsia="Arial" w:hAnsi="Arial"/>
          <w:sz w:val="16"/>
          <w:szCs w:val="16"/>
          <w:color w:val="auto"/>
        </w:rPr>
        <w:t>Clinical testing is very expensive, can take many years, and the outcome is uncertain. It can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Even if our lead products, lifileucel and LN-145, are approved and commercialized, we may not become profitable.</w:t>
      </w:r>
    </w:p>
    <w:p>
      <w:pPr>
        <w:spacing w:after="0" w:line="260" w:lineRule="exact"/>
        <w:rPr>
          <w:sz w:val="20"/>
          <w:szCs w:val="20"/>
          <w:color w:val="auto"/>
        </w:rPr>
      </w:pPr>
    </w:p>
    <w:p>
      <w:pPr>
        <w:ind w:right="59" w:firstLine="486"/>
        <w:spacing w:after="0" w:line="255" w:lineRule="auto"/>
        <w:rPr>
          <w:sz w:val="20"/>
          <w:szCs w:val="20"/>
          <w:color w:val="auto"/>
        </w:rPr>
      </w:pPr>
      <w:r>
        <w:rPr>
          <w:rFonts w:ascii="Arial" w:cs="Arial" w:eastAsia="Arial" w:hAnsi="Arial"/>
          <w:sz w:val="18"/>
          <w:szCs w:val="18"/>
          <w:color w:val="auto"/>
        </w:rPr>
        <w:t>Our lead products, lifileucel and LN-145, are initially targeting a small population of refractory patients that suffer from metastatic melanoma and advanced cervical cancer. Even if the FDA approves these new therapies, and even if we obtain significant market share for each product candidate, because the potential target population for lifileucel and LN-145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89" w:lineRule="exact"/>
        <w:rPr>
          <w:sz w:val="20"/>
          <w:szCs w:val="20"/>
          <w:color w:val="auto"/>
        </w:rPr>
      </w:pPr>
    </w:p>
    <w:p>
      <w:pPr>
        <w:ind w:right="39" w:firstLine="486"/>
        <w:spacing w:after="0" w:line="312" w:lineRule="auto"/>
        <w:rPr>
          <w:sz w:val="20"/>
          <w:szCs w:val="20"/>
          <w:color w:val="auto"/>
        </w:rPr>
      </w:pPr>
      <w:r>
        <w:rPr>
          <w:rFonts w:ascii="Arial" w:cs="Arial" w:eastAsia="Arial" w:hAnsi="Arial"/>
          <w:sz w:val="16"/>
          <w:szCs w:val="16"/>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47" w:lineRule="exact"/>
        <w:rPr>
          <w:sz w:val="20"/>
          <w:szCs w:val="20"/>
          <w:color w:val="auto"/>
        </w:rPr>
      </w:pPr>
    </w:p>
    <w:p>
      <w:pPr>
        <w:ind w:right="19" w:firstLine="486"/>
        <w:spacing w:after="0" w:line="285"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 we announced collaborations with Moffitt, MDACC, Roswell Park Cancer Institute, and Ohio State University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ectPr>
          <w:pgSz w:w="11900" w:h="16838" w:orient="portrait"/>
          <w:cols w:equalWidth="0" w:num="1">
            <w:col w:w="9039"/>
          </w:cols>
          <w:pgMar w:left="1420" w:top="517" w:right="1440" w:bottom="1440" w:gutter="0" w:footer="0" w:header="0"/>
        </w:sect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486"/>
        <w:spacing w:after="0" w:line="327" w:lineRule="auto"/>
        <w:rPr>
          <w:sz w:val="20"/>
          <w:szCs w:val="20"/>
          <w:color w:val="auto"/>
        </w:rPr>
      </w:pPr>
      <w:r>
        <w:rPr>
          <w:rFonts w:ascii="Arial" w:cs="Arial" w:eastAsia="Arial" w:hAnsi="Arial"/>
          <w:sz w:val="15"/>
          <w:szCs w:val="15"/>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40"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Our operations have consumed substantial amounts of cash since inception. From our inception to June 30, 2019, we have an accumulated deficit of $457.6 million. In addition, our research and development and our operating costs have also been substantial and are expected to increase. In January 2018, we closed an underwritten public offering of our common stock. The net proceeds from the offering, after deducting the underwriting discounts and commissions and other offering expenses payable by us, were $162.0 million. In October 2018, we closed an underwritten public offering of our common stock. The net proceeds from the offering, after deducting the underwriting discounts and commissions and other estimated offering expenses payable by the Company, were of $236.7 million. We expect to continue to spend substantial amounts to continue the clinical development of our product candidates. As of June 30, 2019, we had $404.1 million in cash, cash equivalents and short-term investments.</w:t>
      </w:r>
    </w:p>
    <w:p>
      <w:pPr>
        <w:spacing w:after="0" w:line="18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Accordingly, we believe that our existing cash, cash equivalents and short-term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67"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81" w:lineRule="exact"/>
        <w:rPr>
          <w:sz w:val="20"/>
          <w:szCs w:val="20"/>
          <w:color w:val="auto"/>
        </w:rPr>
      </w:pPr>
    </w:p>
    <w:p>
      <w:pPr>
        <w:ind w:left="820" w:right="140" w:hanging="319"/>
        <w:spacing w:after="0" w:line="256"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ind w:left="820" w:right="120" w:hanging="319"/>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1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700" w:hanging="319"/>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40" w:hanging="319"/>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8"/>
          <w:szCs w:val="18"/>
          <w:color w:val="auto"/>
        </w:rPr>
      </w:pPr>
    </w:p>
    <w:p>
      <w:pPr>
        <w:ind w:left="820" w:right="420" w:hanging="319"/>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1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United States;</w:t>
      </w:r>
    </w:p>
    <w:p>
      <w:pPr>
        <w:spacing w:after="0" w:line="9" w:lineRule="exact"/>
        <w:rPr>
          <w:rFonts w:ascii="Arial" w:cs="Arial" w:eastAsia="Arial" w:hAnsi="Arial"/>
          <w:sz w:val="18"/>
          <w:szCs w:val="18"/>
          <w:color w:val="auto"/>
        </w:rPr>
      </w:pPr>
    </w:p>
    <w:p>
      <w:pPr>
        <w:ind w:left="820" w:right="160" w:hanging="319"/>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1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Costs of filing, prosecuting, defending and enforcing any patent claims and other intellectual property rights; and</w:t>
      </w:r>
    </w:p>
    <w:p>
      <w:pPr>
        <w:spacing w:after="0" w:line="32" w:lineRule="exact"/>
        <w:rPr>
          <w:rFonts w:ascii="Arial" w:cs="Arial" w:eastAsia="Arial" w:hAnsi="Arial"/>
          <w:sz w:val="16"/>
          <w:szCs w:val="16"/>
          <w:color w:val="auto"/>
        </w:rPr>
      </w:pPr>
    </w:p>
    <w:p>
      <w:pPr>
        <w:ind w:left="820" w:right="840" w:hanging="319"/>
        <w:spacing w:after="0" w:line="261"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9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b w:val="1"/>
          <w:bCs w:val="1"/>
          <w:i w:val="1"/>
          <w:iCs w:val="1"/>
          <w:color w:val="auto"/>
        </w:rPr>
        <w:t>Subject to various spending levels approved by our Board of Directors, our management will have broad discretion in the use of the net proceeds from our capital raises, including our October 2018, January 2018, and September 2017 public offerings, and may not use them effectively.</w:t>
      </w:r>
    </w:p>
    <w:p>
      <w:pPr>
        <w:spacing w:after="0" w:line="181"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Our management will have discretion in the application of the net proceeds from our capital raises, including our October 2018, January 2018 and September 2017 public offerings, and our stockholders will not have the opportunity as part of their investment decision to assess whether the net proceeds from those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including our October 2018, January 2018 and September 2017 public offerings, their ultimate use may vary substantially from their currently intended use. Our failure to apply the net proceeds of our capital raises, including our October 2018, January 2018 and September 2017 public offerings,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capital raises, including our October 2018, January 2018 and September 2017 public offerings. Pending their use, we may invest the net proceeds from our capital raises, including our October 2018, January 2018 and September 2017 public offerings, in interest and non-interest bearing cash accounts, short-term, investment-grade, interest-bearing instruments and U.S. government securities. These temporary investments are not likely to yield a significant return.</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The use of our net operating loss carryforwards and research tax credits may be limited. </w:t>
      </w:r>
      <w:r>
        <w:rPr>
          <w:rFonts w:ascii="Arial" w:cs="Arial" w:eastAsia="Arial" w:hAnsi="Arial"/>
          <w:sz w:val="27"/>
          <w:szCs w:val="27"/>
          <w:b w:val="1"/>
          <w:bCs w:val="1"/>
          <w:i w:val="1"/>
          <w:iCs w:val="1"/>
          <w:color w:val="auto"/>
          <w:vertAlign w:val="superscript"/>
        </w:rPr>
        <w:t>*</w:t>
      </w:r>
    </w:p>
    <w:p>
      <w:pPr>
        <w:spacing w:after="0" w:line="12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2018, we had U.S. federal net operating loss carryforwards of approximately $251.5 million. Our net operating loss carryforwards arising in taxable years ending on or prior to December 31, 2018 will begin expiring in 2027 if we have not used them prior to that time. Net operating loss carryforwards arising in taxable years ending after December 31, 2018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7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have performed an IRC Section 382 analysis as of December 31, 2017. Per the analysis, the May 2013 recapitalization,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w:t>
      </w:r>
    </w:p>
    <w:p>
      <w:pPr>
        <w:sectPr>
          <w:pgSz w:w="11900" w:h="16838" w:orient="portrait"/>
          <w:cols w:equalWidth="0" w:num="1">
            <w:col w:w="9040"/>
          </w:cols>
          <w:pgMar w:left="1420" w:top="517" w:right="14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loss carryforwards in states in which we are subject to income tax could have an adverse impact on our results of operations and financial condition.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Recently enacted tax reform legislation in the U.S. could adversely affect our business and financial condition.</w:t>
      </w:r>
    </w:p>
    <w:p>
      <w:pPr>
        <w:spacing w:after="0" w:line="248"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75"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8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9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93" w:lineRule="exact"/>
        <w:rPr>
          <w:sz w:val="20"/>
          <w:szCs w:val="20"/>
          <w:color w:val="auto"/>
        </w:rPr>
      </w:pPr>
    </w:p>
    <w:p>
      <w:pPr>
        <w:ind w:right="120" w:firstLine="486"/>
        <w:spacing w:after="0" w:line="286"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TIL technology from the NIH and others.</w:t>
      </w:r>
    </w:p>
    <w:p>
      <w:pPr>
        <w:spacing w:after="0" w:line="22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An element of our intellectual property portfolio is to license additional rights and technologies from the NIH.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6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7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benchmark payments under our license agreements with the NIH and Moffitt, and we must meet certain milestones to maintain our license rights.</w:t>
      </w:r>
    </w:p>
    <w:p>
      <w:pPr>
        <w:spacing w:after="0" w:line="1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 NIH license agreements. In order to maintain our license rights under the NIH and Moffitt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89"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4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73"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w:t>
      </w:r>
    </w:p>
    <w:p>
      <w:pPr>
        <w:sectPr>
          <w:pgSz w:w="11900" w:h="16838" w:orient="portrait"/>
          <w:cols w:equalWidth="0" w:num="1">
            <w:col w:w="9040"/>
          </w:cols>
          <w:pgMar w:left="1420" w:top="517" w:right="14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 longer produce our product candidates, it may take us significant time to find a replacement, if we are able to find a replacement at all.</w:t>
      </w:r>
    </w:p>
    <w:p>
      <w:pPr>
        <w:spacing w:after="0" w:line="170"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8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18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70"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7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candidates. Even successful defense would require significant financial and management resources. Regardless of the merits or eventual outcome, liability claims may result in:</w:t>
      </w:r>
    </w:p>
    <w:p>
      <w:pPr>
        <w:spacing w:after="0" w:line="170" w:lineRule="exact"/>
        <w:rPr>
          <w:sz w:val="20"/>
          <w:szCs w:val="20"/>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right="340" w:hanging="319"/>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ind w:left="820" w:right="800" w:hanging="319"/>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93" w:lineRule="exact"/>
        <w:rPr>
          <w:sz w:val="20"/>
          <w:szCs w:val="20"/>
          <w:color w:val="auto"/>
        </w:rPr>
      </w:pPr>
    </w:p>
    <w:p>
      <w:pPr>
        <w:ind w:left="820" w:hanging="319"/>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19"/>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11" w:lineRule="exact"/>
        <w:rPr>
          <w:sz w:val="20"/>
          <w:szCs w:val="20"/>
          <w:color w:val="auto"/>
        </w:rPr>
      </w:pPr>
    </w:p>
    <w:p>
      <w:pPr>
        <w:ind w:right="120" w:firstLine="486"/>
        <w:spacing w:after="0" w:line="286"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Dynavax Technologies, Oncosec Medical, Immetacyte, WindMIL Therapeutics, and others. We also may compete with therapies based on genetically engineered T cells rendered reactive against tumor-associated antigens prior to their administration to patients. Genetically engineered T cells are being pursued by several companies, including Adaptimmune, Celgene (in collaboration with bluebird bio as well as through Celgene’s subsidiary Juno Therapeutics), Gilead Sciences, Novartis and others. To date, these technologies have been primarily applicable to hematologic malignancies, but their application in solid tumor indications may create competition with us.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w:t>
      </w:r>
    </w:p>
    <w:p>
      <w:pPr>
        <w:sectPr>
          <w:pgSz w:w="11900" w:h="16838" w:orient="portrait"/>
          <w:cols w:equalWidth="0" w:num="1">
            <w:col w:w="9060"/>
          </w:cols>
          <w:pgMar w:left="1420" w:top="517" w:right="141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9"/>
        <w:spacing w:after="0" w:line="312" w:lineRule="auto"/>
        <w:rPr>
          <w:sz w:val="20"/>
          <w:szCs w:val="20"/>
          <w:color w:val="auto"/>
        </w:rPr>
      </w:pPr>
      <w:r>
        <w:rPr>
          <w:rFonts w:ascii="Arial" w:cs="Arial" w:eastAsia="Arial" w:hAnsi="Arial"/>
          <w:sz w:val="16"/>
          <w:szCs w:val="16"/>
          <w:color w:val="auto"/>
        </w:rPr>
        <w:t>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7" w:lineRule="exact"/>
        <w:rPr>
          <w:sz w:val="20"/>
          <w:szCs w:val="20"/>
          <w:color w:val="auto"/>
        </w:rPr>
      </w:pPr>
    </w:p>
    <w:p>
      <w:pPr>
        <w:ind w:right="259" w:firstLine="486"/>
        <w:spacing w:after="0" w:line="273" w:lineRule="auto"/>
        <w:rPr>
          <w:sz w:val="20"/>
          <w:szCs w:val="20"/>
          <w:color w:val="auto"/>
        </w:rPr>
      </w:pPr>
      <w:r>
        <w:rPr>
          <w:rFonts w:ascii="Arial" w:cs="Arial" w:eastAsia="Arial" w:hAnsi="Arial"/>
          <w:sz w:val="17"/>
          <w:szCs w:val="17"/>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78" w:lineRule="exact"/>
        <w:rPr>
          <w:sz w:val="20"/>
          <w:szCs w:val="20"/>
          <w:color w:val="auto"/>
        </w:rPr>
      </w:pPr>
    </w:p>
    <w:p>
      <w:pPr>
        <w:ind w:right="79" w:firstLine="486"/>
        <w:spacing w:after="0" w:line="270" w:lineRule="auto"/>
        <w:rPr>
          <w:sz w:val="20"/>
          <w:szCs w:val="20"/>
          <w:color w:val="auto"/>
        </w:rPr>
      </w:pPr>
      <w:r>
        <w:rPr>
          <w:rFonts w:ascii="Arial" w:cs="Arial" w:eastAsia="Arial" w:hAnsi="Arial"/>
          <w:sz w:val="17"/>
          <w:szCs w:val="17"/>
          <w:color w:val="auto"/>
        </w:rPr>
        <w:t>Our lead product candidates, lifileucel and LN-145, are therapies for the treatment of metastatic melanoma and advanced cervical. Currently, there are numerous companies that are developing various alternate treatments for melanoma and cervical cancer, including patients that have progressed after prior treatment with checkpoint inhibitors and chemotherapy. Accordingly, lifileucel and LN-145 face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82" w:lineRule="exact"/>
        <w:rPr>
          <w:sz w:val="20"/>
          <w:szCs w:val="20"/>
          <w:color w:val="auto"/>
        </w:rPr>
      </w:pPr>
    </w:p>
    <w:p>
      <w:pPr>
        <w:ind w:right="39" w:firstLine="486"/>
        <w:spacing w:after="0" w:line="255"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3" w:lineRule="exact"/>
        <w:rPr>
          <w:sz w:val="20"/>
          <w:szCs w:val="20"/>
          <w:color w:val="auto"/>
        </w:rPr>
      </w:pPr>
    </w:p>
    <w:p>
      <w:pPr>
        <w:ind w:right="319" w:firstLine="486"/>
        <w:spacing w:after="0" w:line="365" w:lineRule="auto"/>
        <w:rPr>
          <w:sz w:val="20"/>
          <w:szCs w:val="20"/>
          <w:color w:val="auto"/>
        </w:rPr>
      </w:pPr>
      <w:r>
        <w:rPr>
          <w:rFonts w:ascii="Arial" w:cs="Arial" w:eastAsia="Arial" w:hAnsi="Arial"/>
          <w:sz w:val="15"/>
          <w:szCs w:val="15"/>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r>
        <w:rPr>
          <w:rFonts w:ascii="Arial" w:cs="Arial" w:eastAsia="Arial" w:hAnsi="Arial"/>
          <w:sz w:val="22"/>
          <w:szCs w:val="22"/>
          <w:b w:val="1"/>
          <w:bCs w:val="1"/>
          <w:i w:val="1"/>
          <w:iCs w:val="1"/>
          <w:color w:val="auto"/>
          <w:vertAlign w:val="superscript"/>
        </w:rPr>
        <w:t>*</w:t>
      </w:r>
    </w:p>
    <w:p>
      <w:pPr>
        <w:spacing w:after="0" w:line="1" w:lineRule="exact"/>
        <w:rPr>
          <w:sz w:val="20"/>
          <w:szCs w:val="20"/>
          <w:color w:val="auto"/>
        </w:rPr>
      </w:pPr>
    </w:p>
    <w:p>
      <w:pPr>
        <w:ind w:right="139" w:firstLine="486"/>
        <w:spacing w:after="0" w:line="271" w:lineRule="auto"/>
        <w:rPr>
          <w:sz w:val="20"/>
          <w:szCs w:val="20"/>
          <w:color w:val="auto"/>
        </w:rPr>
      </w:pPr>
      <w:r>
        <w:rPr>
          <w:rFonts w:ascii="Arial" w:cs="Arial" w:eastAsia="Arial" w:hAnsi="Arial"/>
          <w:sz w:val="17"/>
          <w:szCs w:val="17"/>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79" w:lineRule="exact"/>
        <w:rPr>
          <w:sz w:val="20"/>
          <w:szCs w:val="20"/>
          <w:color w:val="auto"/>
        </w:rPr>
      </w:pPr>
    </w:p>
    <w:p>
      <w:pPr>
        <w:ind w:right="39" w:firstLine="486"/>
        <w:spacing w:after="0" w:line="286"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Ohio State University, Roswell Park Cancer Institute, Phio Pharmaceuticals, Cellectis, Genocea and Centre hospitalier de l’Université de Montreal.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59" w:firstLine="486"/>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87" w:lineRule="exact"/>
        <w:rPr>
          <w:sz w:val="20"/>
          <w:szCs w:val="20"/>
          <w:color w:val="auto"/>
        </w:rPr>
      </w:pPr>
    </w:p>
    <w:p>
      <w:pPr>
        <w:ind w:right="99" w:firstLine="486"/>
        <w:spacing w:after="0" w:line="264"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81" w:lineRule="exact"/>
        <w:rPr>
          <w:sz w:val="20"/>
          <w:szCs w:val="20"/>
          <w:color w:val="auto"/>
        </w:rPr>
      </w:pPr>
    </w:p>
    <w:p>
      <w:pPr>
        <w:ind w:left="820" w:hanging="319"/>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79" w:hanging="319"/>
        <w:spacing w:after="0" w:line="265" w:lineRule="auto"/>
        <w:tabs>
          <w:tab w:leader="none" w:pos="8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ind w:left="820" w:right="39" w:hanging="319"/>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ind w:left="820" w:hanging="319"/>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419" w:hanging="319"/>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right="99" w:hanging="319"/>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820" w:right="199" w:hanging="319"/>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559" w:hanging="319"/>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8"/>
          <w:szCs w:val="18"/>
          <w:color w:val="auto"/>
        </w:rPr>
      </w:pPr>
    </w:p>
    <w:p>
      <w:pPr>
        <w:ind w:left="820" w:right="179" w:hanging="319"/>
        <w:spacing w:after="0" w:line="28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2" w:lineRule="exact"/>
        <w:rPr>
          <w:rFonts w:ascii="Arial" w:cs="Arial" w:eastAsia="Arial" w:hAnsi="Arial"/>
          <w:sz w:val="16"/>
          <w:szCs w:val="16"/>
          <w:color w:val="auto"/>
        </w:rPr>
      </w:pPr>
    </w:p>
    <w:p>
      <w:pPr>
        <w:ind w:left="820" w:right="319" w:hanging="319"/>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159" w:hanging="319"/>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219" w:hanging="319"/>
        <w:spacing w:after="0" w:line="28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may be involved in a business combination, resulting in the decreased emphasis or termination of development or commercialization of any product candidate subject to the collaboration agreement; and</w:t>
      </w:r>
    </w:p>
    <w:p>
      <w:pPr>
        <w:spacing w:after="0" w:line="1" w:lineRule="exact"/>
        <w:rPr>
          <w:rFonts w:ascii="Arial" w:cs="Arial" w:eastAsia="Arial" w:hAnsi="Arial"/>
          <w:sz w:val="16"/>
          <w:szCs w:val="16"/>
          <w:color w:val="auto"/>
        </w:rPr>
      </w:pPr>
    </w:p>
    <w:p>
      <w:pPr>
        <w:ind w:left="820" w:right="119" w:hanging="319"/>
        <w:spacing w:after="0" w:line="255"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90" w:lineRule="exact"/>
        <w:rPr>
          <w:sz w:val="20"/>
          <w:szCs w:val="20"/>
          <w:color w:val="auto"/>
        </w:rPr>
      </w:pPr>
    </w:p>
    <w:p>
      <w:pPr>
        <w:ind w:right="59" w:firstLine="486"/>
        <w:spacing w:after="0" w:line="255" w:lineRule="auto"/>
        <w:rPr>
          <w:sz w:val="20"/>
          <w:szCs w:val="20"/>
          <w:color w:val="auto"/>
        </w:rPr>
      </w:pPr>
      <w:r>
        <w:rPr>
          <w:rFonts w:ascii="Arial" w:cs="Arial" w:eastAsia="Arial" w:hAnsi="Arial"/>
          <w:sz w:val="18"/>
          <w:szCs w:val="18"/>
          <w:color w:val="auto"/>
        </w:rPr>
        <w:t>If any third-party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93" w:lineRule="exact"/>
        <w:rPr>
          <w:sz w:val="20"/>
          <w:szCs w:val="20"/>
          <w:color w:val="auto"/>
        </w:rPr>
      </w:pPr>
    </w:p>
    <w:p>
      <w:pPr>
        <w:ind w:right="199" w:firstLine="486"/>
        <w:spacing w:after="0" w:line="279" w:lineRule="auto"/>
        <w:rPr>
          <w:sz w:val="20"/>
          <w:szCs w:val="20"/>
          <w:color w:val="auto"/>
        </w:rPr>
      </w:pPr>
      <w:r>
        <w:rPr>
          <w:rFonts w:ascii="Arial" w:cs="Arial" w:eastAsia="Arial" w:hAnsi="Arial"/>
          <w:sz w:val="17"/>
          <w:szCs w:val="17"/>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ectPr>
          <w:pgSz w:w="11900" w:h="16838" w:orient="portrait"/>
          <w:cols w:equalWidth="0" w:num="1">
            <w:col w:w="9039"/>
          </w:cols>
          <w:pgMar w:left="1420" w:top="517" w:right="1440" w:bottom="1440"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6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71" w:lineRule="exact"/>
        <w:rPr>
          <w:sz w:val="20"/>
          <w:szCs w:val="20"/>
          <w:color w:val="auto"/>
        </w:rPr>
      </w:pPr>
    </w:p>
    <w:p>
      <w:pPr>
        <w:ind w:right="560" w:firstLine="486"/>
        <w:spacing w:after="0" w:line="342" w:lineRule="auto"/>
        <w:rPr>
          <w:sz w:val="20"/>
          <w:szCs w:val="20"/>
          <w:color w:val="auto"/>
        </w:rPr>
      </w:pPr>
      <w:r>
        <w:rPr>
          <w:rFonts w:ascii="Arial" w:cs="Arial" w:eastAsia="Arial" w:hAnsi="Arial"/>
          <w:sz w:val="16"/>
          <w:szCs w:val="16"/>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2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are currently developing lifileucel and LN-145 for use along with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73" w:lineRule="exact"/>
        <w:rPr>
          <w:sz w:val="20"/>
          <w:szCs w:val="20"/>
          <w:color w:val="auto"/>
        </w:rPr>
      </w:pPr>
    </w:p>
    <w:p>
      <w:pPr>
        <w:ind w:right="180" w:firstLine="486"/>
        <w:spacing w:after="0" w:line="287" w:lineRule="auto"/>
        <w:rPr>
          <w:sz w:val="20"/>
          <w:szCs w:val="20"/>
          <w:color w:val="auto"/>
        </w:rPr>
      </w:pPr>
      <w:r>
        <w:rPr>
          <w:rFonts w:ascii="Arial" w:cs="Arial" w:eastAsia="Arial" w:hAnsi="Arial"/>
          <w:sz w:val="17"/>
          <w:szCs w:val="17"/>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r>
        <w:rPr>
          <w:rFonts w:ascii="Arial" w:cs="Arial" w:eastAsia="Arial" w:hAnsi="Arial"/>
          <w:sz w:val="26"/>
          <w:szCs w:val="26"/>
          <w:b w:val="1"/>
          <w:bCs w:val="1"/>
          <w:i w:val="1"/>
          <w:iCs w:val="1"/>
          <w:color w:val="auto"/>
          <w:vertAlign w:val="superscript"/>
        </w:rPr>
        <w:t>*</w:t>
      </w:r>
    </w:p>
    <w:p>
      <w:pPr>
        <w:spacing w:after="0" w:line="39"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were granted Fast Track designation by the FDA for lifileucel in advanced melanoma and LN-145 for cervical cancer. We were granted Breakthrough Therapy designation, or BTD, for LN-145 for advanced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b w:val="1"/>
          <w:bCs w:val="1"/>
          <w:i w:val="1"/>
          <w:iCs w:val="1"/>
          <w:color w:val="auto"/>
        </w:rPr>
        <w:t>While lifileucel has received orphan drug designation for melanoma stages IIB-IV and LN-145 has received orphan drug designation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7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received orphan drug designation in the United States for lifileucel to treat malignant melanoma stages IIB-IV and LN-145 for cervical cancer patients with tumors greater than 2 cm.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w:t>
      </w:r>
    </w:p>
    <w:p>
      <w:pPr>
        <w:sectPr>
          <w:pgSz w:w="11900" w:h="16838" w:orient="portrait"/>
          <w:cols w:equalWidth="0" w:num="1">
            <w:col w:w="9040"/>
          </w:cols>
          <w:pgMar w:left="1420" w:top="517" w:right="14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5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8" w:lineRule="exact"/>
        <w:rPr>
          <w:sz w:val="20"/>
          <w:szCs w:val="20"/>
          <w:color w:val="auto"/>
        </w:rPr>
      </w:pPr>
    </w:p>
    <w:p>
      <w:pPr>
        <w:jc w:val="both"/>
        <w:ind w:right="420" w:firstLine="486"/>
        <w:spacing w:after="0" w:line="264"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8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80" w:lineRule="exact"/>
        <w:rPr>
          <w:sz w:val="20"/>
          <w:szCs w:val="20"/>
          <w:color w:val="auto"/>
        </w:rPr>
      </w:pPr>
    </w:p>
    <w:p>
      <w:pPr>
        <w:ind w:right="80" w:firstLine="486"/>
        <w:spacing w:after="0" w:line="269" w:lineRule="auto"/>
        <w:rPr>
          <w:sz w:val="20"/>
          <w:szCs w:val="20"/>
          <w:color w:val="auto"/>
        </w:rPr>
      </w:pPr>
      <w:r>
        <w:rPr>
          <w:rFonts w:ascii="Arial" w:cs="Arial" w:eastAsia="Arial" w:hAnsi="Arial"/>
          <w:sz w:val="18"/>
          <w:szCs w:val="18"/>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r>
        <w:rPr>
          <w:rFonts w:ascii="Arial" w:cs="Arial" w:eastAsia="Arial" w:hAnsi="Arial"/>
          <w:sz w:val="27"/>
          <w:szCs w:val="27"/>
          <w:b w:val="1"/>
          <w:bCs w:val="1"/>
          <w:i w:val="1"/>
          <w:iCs w:val="1"/>
          <w:color w:val="auto"/>
          <w:vertAlign w:val="superscript"/>
        </w:rPr>
        <w:t>*</w:t>
      </w:r>
    </w:p>
    <w:p>
      <w:pPr>
        <w:spacing w:after="0" w:line="52"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We currently have a small commercial team focused on our commercial strategy, but we do not have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6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and sales personnel. In the event we are unable to develop a marketing and sales infrastructure, we may not be able to commercialize our current or future product candidates, which would</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limit our ability to generate product revenues. Factors that may inhibit our efforts to commercialize our current or future product candidates and generate product revenues include:</w:t>
      </w:r>
    </w:p>
    <w:p>
      <w:pPr>
        <w:spacing w:after="0" w:line="170" w:lineRule="exact"/>
        <w:rPr>
          <w:sz w:val="20"/>
          <w:szCs w:val="20"/>
          <w:color w:val="auto"/>
        </w:rPr>
      </w:pPr>
    </w:p>
    <w:p>
      <w:pPr>
        <w:ind w:left="820" w:hanging="319"/>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inability to recruit, train, manage, and retain adequate numbers of effective sales and marketing personnel;</w:t>
      </w:r>
    </w:p>
    <w:p>
      <w:pPr>
        <w:spacing w:after="0" w:line="46" w:lineRule="exact"/>
        <w:rPr>
          <w:rFonts w:ascii="Arial" w:cs="Arial" w:eastAsia="Arial" w:hAnsi="Arial"/>
          <w:sz w:val="16"/>
          <w:szCs w:val="16"/>
          <w:color w:val="auto"/>
        </w:rPr>
      </w:pPr>
    </w:p>
    <w:p>
      <w:pPr>
        <w:ind w:left="820" w:right="460" w:hanging="319"/>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19"/>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180" w:hanging="319"/>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ind w:left="820" w:hanging="319"/>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clinical indications for which the products are approved and the claims that we may make for the products;</w:t>
      </w:r>
    </w:p>
    <w:p>
      <w:pPr>
        <w:spacing w:after="0" w:line="32" w:lineRule="exact"/>
        <w:rPr>
          <w:rFonts w:ascii="Arial" w:cs="Arial" w:eastAsia="Arial" w:hAnsi="Arial"/>
          <w:sz w:val="16"/>
          <w:szCs w:val="16"/>
          <w:color w:val="auto"/>
        </w:rPr>
      </w:pPr>
    </w:p>
    <w:p>
      <w:pPr>
        <w:ind w:left="820" w:hanging="319"/>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20" w:lineRule="exact"/>
        <w:rPr>
          <w:rFonts w:ascii="Arial" w:cs="Arial" w:eastAsia="Arial" w:hAnsi="Arial"/>
          <w:sz w:val="17"/>
          <w:szCs w:val="17"/>
          <w:color w:val="auto"/>
        </w:rPr>
      </w:pPr>
    </w:p>
    <w:p>
      <w:pPr>
        <w:ind w:left="820" w:right="180" w:hanging="319"/>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right="1000" w:hanging="319"/>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ind w:left="820" w:right="760" w:hanging="319"/>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20" w:hanging="319"/>
        <w:spacing w:after="0" w:line="261"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8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92"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4" w:lineRule="exact"/>
        <w:rPr>
          <w:sz w:val="20"/>
          <w:szCs w:val="20"/>
          <w:color w:val="auto"/>
        </w:rPr>
      </w:pPr>
    </w:p>
    <w:p>
      <w:pPr>
        <w:ind w:left="820" w:hanging="31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1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right="280" w:hanging="319"/>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approved claims that we may make for the products;</w:t>
      </w:r>
    </w:p>
    <w:p>
      <w:pPr>
        <w:ind w:left="820" w:right="440" w:hanging="319"/>
        <w:spacing w:after="0" w:line="265" w:lineRule="auto"/>
        <w:tabs>
          <w:tab w:leader="none" w:pos="8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FDA-approved labeling, including potential limitations or warnings for such products that may be more restrictive than other competitive products;</w:t>
      </w:r>
    </w:p>
    <w:p>
      <w:pPr>
        <w:ind w:left="820" w:hanging="31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260" w:hanging="319"/>
        <w:spacing w:after="0" w:line="265" w:lineRule="auto"/>
        <w:tabs>
          <w:tab w:leader="none" w:pos="8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ind w:left="820" w:hanging="31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80" w:hanging="319"/>
        <w:spacing w:after="0" w:line="261"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ectPr>
          <w:pgSz w:w="11900" w:h="16838" w:orient="portrait"/>
          <w:cols w:equalWidth="0" w:num="1">
            <w:col w:w="9060"/>
          </w:cols>
          <w:pgMar w:left="1420" w:top="517"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right="420" w:hanging="319"/>
        <w:spacing w:after="0" w:line="291" w:lineRule="auto"/>
        <w:tabs>
          <w:tab w:leader="none" w:pos="814"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candidates or to which we agree as part of a mandatory risk evaluation and mitigation strategy or voluntary risk management plan;</w:t>
      </w:r>
    </w:p>
    <w:p>
      <w:pPr>
        <w:ind w:left="820" w:hanging="31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32" w:lineRule="exact"/>
        <w:rPr>
          <w:rFonts w:ascii="Arial" w:cs="Arial" w:eastAsia="Arial" w:hAnsi="Arial"/>
          <w:sz w:val="16"/>
          <w:szCs w:val="16"/>
          <w:color w:val="auto"/>
        </w:rPr>
      </w:pPr>
    </w:p>
    <w:p>
      <w:pPr>
        <w:ind w:left="820" w:hanging="31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enactment of the Biologics Price Competition and Innovation Act of 2009,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92"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7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w:t>
      </w:r>
    </w:p>
    <w:p>
      <w:pPr>
        <w:sectPr>
          <w:pgSz w:w="11900" w:h="16838" w:orient="portrait"/>
          <w:cols w:equalWidth="0" w:num="1">
            <w:col w:w="9060"/>
          </w:cols>
          <w:pgMar w:left="1420" w:top="517"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brand identity for a new trademark in a timely manner or at all, which would limit our ability to commercialize our product candidates.</w:t>
      </w:r>
    </w:p>
    <w:p>
      <w:pPr>
        <w:spacing w:after="0" w:line="170"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 research organizations and other contractors and consultants are vulnerable to damage from computer viruses, unauthorized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22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85" w:lineRule="exact"/>
        <w:rPr>
          <w:sz w:val="20"/>
          <w:szCs w:val="20"/>
          <w:color w:val="auto"/>
        </w:rPr>
      </w:pPr>
    </w:p>
    <w:p>
      <w:pPr>
        <w:ind w:right="900" w:firstLine="486"/>
        <w:spacing w:after="0" w:line="381" w:lineRule="auto"/>
        <w:rPr>
          <w:sz w:val="20"/>
          <w:szCs w:val="20"/>
          <w:color w:val="auto"/>
        </w:rPr>
      </w:pPr>
      <w:r>
        <w:rPr>
          <w:rFonts w:ascii="Arial" w:cs="Arial" w:eastAsia="Arial" w:hAnsi="Arial"/>
          <w:sz w:val="15"/>
          <w:szCs w:val="15"/>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01" w:lineRule="exact"/>
        <w:rPr>
          <w:sz w:val="20"/>
          <w:szCs w:val="20"/>
          <w:color w:val="auto"/>
        </w:rPr>
      </w:pPr>
    </w:p>
    <w:p>
      <w:pPr>
        <w:ind w:right="60" w:firstLine="486"/>
        <w:spacing w:after="0" w:line="285" w:lineRule="auto"/>
        <w:rPr>
          <w:sz w:val="20"/>
          <w:szCs w:val="20"/>
          <w:color w:val="auto"/>
        </w:rPr>
      </w:pPr>
      <w:r>
        <w:rPr>
          <w:rFonts w:ascii="Arial" w:cs="Arial" w:eastAsia="Arial" w:hAnsi="Arial"/>
          <w:sz w:val="16"/>
          <w:szCs w:val="16"/>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486"/>
        <w:spacing w:after="0" w:line="337" w:lineRule="auto"/>
        <w:rPr>
          <w:sz w:val="20"/>
          <w:szCs w:val="20"/>
          <w:color w:val="auto"/>
        </w:rPr>
      </w:pPr>
      <w:r>
        <w:rPr>
          <w:rFonts w:ascii="Arial" w:cs="Arial" w:eastAsia="Arial" w:hAnsi="Arial"/>
          <w:sz w:val="16"/>
          <w:szCs w:val="16"/>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r>
        <w:rPr>
          <w:rFonts w:ascii="Arial" w:cs="Arial" w:eastAsia="Arial" w:hAnsi="Arial"/>
          <w:sz w:val="24"/>
          <w:szCs w:val="24"/>
          <w:b w:val="1"/>
          <w:bCs w:val="1"/>
          <w:i w:val="1"/>
          <w:iCs w:val="1"/>
          <w:color w:val="auto"/>
          <w:vertAlign w:val="superscript"/>
        </w:rPr>
        <w:t>*</w:t>
      </w:r>
    </w:p>
    <w:p>
      <w:pPr>
        <w:spacing w:after="0" w:line="2"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w:t>
      </w:r>
    </w:p>
    <w:p>
      <w:pPr>
        <w:spacing w:after="0" w:line="17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82" w:lineRule="exact"/>
        <w:rPr>
          <w:sz w:val="20"/>
          <w:szCs w:val="20"/>
          <w:color w:val="auto"/>
        </w:rPr>
      </w:pPr>
    </w:p>
    <w:p>
      <w:pPr>
        <w:ind w:left="820" w:hanging="319"/>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220" w:hanging="319"/>
        <w:spacing w:after="0" w:line="281" w:lineRule="auto"/>
        <w:tabs>
          <w:tab w:leader="none" w:pos="8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 w:lineRule="exact"/>
        <w:rPr>
          <w:rFonts w:ascii="Arial" w:cs="Arial" w:eastAsia="Arial" w:hAnsi="Arial"/>
          <w:sz w:val="16"/>
          <w:szCs w:val="16"/>
          <w:color w:val="auto"/>
        </w:rPr>
      </w:pPr>
    </w:p>
    <w:p>
      <w:pPr>
        <w:ind w:left="820" w:hanging="319"/>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June 2016. This lack of long-term experience working together may adversely impact our senior management team’s ability to effectively manage our business and growth.</w:t>
      </w:r>
    </w:p>
    <w:p>
      <w:pPr>
        <w:spacing w:after="0" w:line="17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6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47" w:lineRule="exact"/>
        <w:rPr>
          <w:sz w:val="20"/>
          <w:szCs w:val="20"/>
          <w:color w:val="auto"/>
        </w:rPr>
      </w:pPr>
    </w:p>
    <w:p>
      <w:pPr>
        <w:jc w:val="both"/>
        <w:ind w:right="400" w:firstLine="486"/>
        <w:spacing w:after="0" w:line="264"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1" w:lineRule="exact"/>
        <w:rPr>
          <w:sz w:val="20"/>
          <w:szCs w:val="20"/>
          <w:color w:val="auto"/>
        </w:rPr>
      </w:pPr>
    </w:p>
    <w:p>
      <w:pPr>
        <w:ind w:left="820" w:hanging="319"/>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19"/>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00" w:hanging="319"/>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0" w:hanging="319"/>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right="280" w:hanging="319"/>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ind w:left="820" w:right="160" w:hanging="319"/>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60" w:hanging="319"/>
        <w:spacing w:after="0" w:line="323"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3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66"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5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6"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8" w:lineRule="exact"/>
        <w:rPr>
          <w:sz w:val="20"/>
          <w:szCs w:val="20"/>
          <w:color w:val="auto"/>
        </w:rPr>
      </w:pPr>
    </w:p>
    <w:p>
      <w:pPr>
        <w:jc w:val="both"/>
        <w:ind w:right="36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b w:val="1"/>
          <w:bCs w:val="1"/>
          <w:i w:val="1"/>
          <w:iCs w:val="1"/>
          <w:color w:val="auto"/>
        </w:rPr>
        <w:t>The SEC has issued an administrative order against us that may make it more difficult for us to raise capital in the future.</w:t>
      </w:r>
      <w:r>
        <w:rPr>
          <w:rFonts w:ascii="Arial" w:cs="Arial" w:eastAsia="Arial" w:hAnsi="Arial"/>
          <w:sz w:val="27"/>
          <w:szCs w:val="27"/>
          <w:b w:val="1"/>
          <w:bCs w:val="1"/>
          <w:i w:val="1"/>
          <w:iCs w:val="1"/>
          <w:color w:val="auto"/>
          <w:vertAlign w:val="superscript"/>
        </w:rPr>
        <w:t>*</w:t>
      </w:r>
    </w:p>
    <w:p>
      <w:pPr>
        <w:spacing w:after="0" w:line="4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are expected to end in 2020.</w:t>
      </w:r>
    </w:p>
    <w:p>
      <w:pPr>
        <w:spacing w:after="0" w:line="183" w:lineRule="exact"/>
        <w:rPr>
          <w:sz w:val="20"/>
          <w:szCs w:val="20"/>
          <w:color w:val="auto"/>
        </w:rPr>
      </w:pPr>
    </w:p>
    <w:p>
      <w:pPr>
        <w:ind w:right="20" w:firstLine="486"/>
        <w:spacing w:after="0" w:line="282"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r>
        <w:rPr>
          <w:rFonts w:ascii="Arial" w:cs="Arial" w:eastAsia="Arial" w:hAnsi="Arial"/>
          <w:sz w:val="27"/>
          <w:szCs w:val="27"/>
          <w:b w:val="1"/>
          <w:bCs w:val="1"/>
          <w:i w:val="1"/>
          <w:iCs w:val="1"/>
          <w:color w:val="auto"/>
          <w:vertAlign w:val="superscript"/>
        </w:rPr>
        <w:t>*</w:t>
      </w:r>
    </w:p>
    <w:p>
      <w:pPr>
        <w:spacing w:after="0" w:line="67" w:lineRule="exact"/>
        <w:rPr>
          <w:sz w:val="20"/>
          <w:szCs w:val="20"/>
          <w:color w:val="auto"/>
        </w:rPr>
      </w:pPr>
    </w:p>
    <w:p>
      <w:pPr>
        <w:ind w:right="20" w:firstLine="486"/>
        <w:spacing w:after="0" w:line="284" w:lineRule="auto"/>
        <w:rPr>
          <w:sz w:val="20"/>
          <w:szCs w:val="20"/>
          <w:color w:val="auto"/>
        </w:rPr>
      </w:pPr>
      <w:r>
        <w:rPr>
          <w:rFonts w:ascii="Arial" w:cs="Arial" w:eastAsia="Arial" w:hAnsi="Arial"/>
          <w:sz w:val="16"/>
          <w:szCs w:val="16"/>
          <w:color w:val="auto"/>
        </w:rPr>
        <w:t xml:space="preserve">Shortly after the SEC announced settlements with us, with other public companies, and with unrelated parties in the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Matter of Certain Stock Promotions </w:t>
      </w:r>
      <w:r>
        <w:rPr>
          <w:rFonts w:ascii="Arial" w:cs="Arial" w:eastAsia="Arial" w:hAnsi="Arial"/>
          <w:sz w:val="16"/>
          <w:szCs w:val="16"/>
          <w:color w:val="auto"/>
        </w:rPr>
        <w:t>investigation, two securities class action complaints were filed in the U.S.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the Northern District of California against our 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6"/>
          <w:szCs w:val="16"/>
          <w:i w:val="1"/>
          <w:iCs w:val="1"/>
          <w:color w:val="auto"/>
        </w:rPr>
        <w:t>Jay Rabkin v. Lion Biotechnologies,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 et al., </w:t>
      </w:r>
      <w:r>
        <w:rPr>
          <w:rFonts w:ascii="Arial" w:cs="Arial" w:eastAsia="Arial" w:hAnsi="Arial"/>
          <w:sz w:val="16"/>
          <w:szCs w:val="16"/>
          <w:color w:val="auto"/>
        </w:rPr>
        <w:t>case no. 3:17-cv-0286) against us, two of our former officers, and the managing member of our former investor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The court retains jurisdiction over the parties and class members in the case for the purposes of administration, interpretation, implementation, and enforcement of the settlement, and related matters.</w:t>
      </w:r>
    </w:p>
    <w:p>
      <w:pPr>
        <w:spacing w:after="0" w:line="398"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was filed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matter and our April 10, 2017 settlement thereof, and seeks unspecified damages on behalf of our company and injunctive relief. On March 28, 2018, a purported stockholder derivative complaint was filed by plaintiff Nazeer Khaleeluddin on behalf of our company,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We intend to vigorously defend against these complaints. However, based on the very early stage of the litigation matters, it is not possible to estimate the amount or range of possible loss that might result from an adverse judgment or a settlement of these matters. Furthermore, litigation is inherently uncertain, and there is no assurance as to the outcome of these,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80" w:firstLine="486"/>
        <w:spacing w:after="0" w:line="282"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r>
        <w:rPr>
          <w:rFonts w:ascii="Arial" w:cs="Arial" w:eastAsia="Arial" w:hAnsi="Arial"/>
          <w:sz w:val="27"/>
          <w:szCs w:val="27"/>
          <w:b w:val="1"/>
          <w:bCs w:val="1"/>
          <w:i w:val="1"/>
          <w:iCs w:val="1"/>
          <w:color w:val="auto"/>
          <w:vertAlign w:val="superscript"/>
        </w:rPr>
        <w:t>*</w:t>
      </w:r>
    </w:p>
    <w:p>
      <w:pPr>
        <w:spacing w:after="0" w:line="40"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plan to increase enrollment in our ongoing C-145-04 clinical trial of TIL therapy LN-145 has been expanded to at least 75 patients of the appropriate patient population to address the expected sample size in anticipation of a BLA submission in 2020. Additionally, the patient population is defined per the discussion with FDA as patients who have progressed following initial systemic therapy for recurrent or metastatic disease which include many of the of the more advanced patients enrolled to date. Based on feedback we received from the FDA following our End of Phase 2 meeting, we believe that the study may be sufficient to support a BLA submission in the second half of 2020. However, our current beliefs regarding the registration pathway for the LN-145 product candidate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or other regulatory agency input. The new version of the protocol which further defines the patient population to include more advanced patients in the study, may have an adverse effect on the results reported to date, changes to implement a blinded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8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advanced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Accordingly, the regulatory approval pathway for our product candidates may be uncertain, complex, expensive and lengthy, and approval may not be obtained.</w:t>
      </w:r>
    </w:p>
    <w:p>
      <w:pPr>
        <w:spacing w:after="0" w:line="16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70" w:lineRule="exact"/>
        <w:rPr>
          <w:sz w:val="20"/>
          <w:szCs w:val="20"/>
          <w:color w:val="auto"/>
        </w:rPr>
      </w:pPr>
    </w:p>
    <w:p>
      <w:pPr>
        <w:ind w:left="820" w:hanging="319"/>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100" w:hanging="319"/>
        <w:spacing w:after="0" w:line="290" w:lineRule="auto"/>
        <w:tabs>
          <w:tab w:leader="none" w:pos="8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CROs and clinical trial sites, the terms of which can be subject to extensive negotiation and may vary significantly among different CROs and trial sites;</w:t>
      </w:r>
    </w:p>
    <w:p>
      <w:pPr>
        <w:sectPr>
          <w:pgSz w:w="11900" w:h="16838" w:orient="portrait"/>
          <w:cols w:equalWidth="0" w:num="1">
            <w:col w:w="9060"/>
          </w:cols>
          <w:pgMar w:left="1420" w:top="517"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hanging="319"/>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approval at each clinical trial site by an independent institutional review board, or IRB, or central IRB;</w:t>
      </w:r>
    </w:p>
    <w:p>
      <w:pPr>
        <w:spacing w:after="0" w:line="46" w:lineRule="exact"/>
        <w:rPr>
          <w:rFonts w:ascii="Arial" w:cs="Arial" w:eastAsia="Arial" w:hAnsi="Arial"/>
          <w:sz w:val="16"/>
          <w:szCs w:val="16"/>
          <w:color w:val="auto"/>
        </w:rPr>
      </w:pPr>
    </w:p>
    <w:p>
      <w:pPr>
        <w:ind w:left="820" w:hanging="319"/>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19" w:hanging="319"/>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 or</w:t>
      </w:r>
    </w:p>
    <w:p>
      <w:pPr>
        <w:ind w:left="820" w:right="19" w:hanging="319"/>
        <w:spacing w:after="0" w:line="261"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84" w:lineRule="exact"/>
        <w:rPr>
          <w:sz w:val="20"/>
          <w:szCs w:val="20"/>
          <w:color w:val="auto"/>
        </w:rPr>
      </w:pPr>
    </w:p>
    <w:p>
      <w:pPr>
        <w:ind w:right="19" w:firstLine="486"/>
        <w:spacing w:after="0" w:line="287"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9" w:lineRule="exact"/>
        <w:rPr>
          <w:sz w:val="20"/>
          <w:szCs w:val="20"/>
          <w:color w:val="auto"/>
        </w:rPr>
      </w:pPr>
    </w:p>
    <w:p>
      <w:pPr>
        <w:ind w:right="199" w:firstLine="486"/>
        <w:spacing w:after="0" w:line="342" w:lineRule="auto"/>
        <w:rPr>
          <w:sz w:val="20"/>
          <w:szCs w:val="20"/>
          <w:color w:val="auto"/>
        </w:rPr>
      </w:pPr>
      <w:r>
        <w:rPr>
          <w:rFonts w:ascii="Arial" w:cs="Arial" w:eastAsia="Arial" w:hAnsi="Arial"/>
          <w:sz w:val="16"/>
          <w:szCs w:val="16"/>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24" w:lineRule="exact"/>
        <w:rPr>
          <w:sz w:val="20"/>
          <w:szCs w:val="20"/>
          <w:color w:val="auto"/>
        </w:rPr>
      </w:pPr>
    </w:p>
    <w:p>
      <w:pPr>
        <w:ind w:right="39" w:firstLine="486"/>
        <w:spacing w:after="0" w:line="286" w:lineRule="auto"/>
        <w:rPr>
          <w:sz w:val="20"/>
          <w:szCs w:val="20"/>
          <w:color w:val="auto"/>
        </w:rPr>
      </w:pPr>
      <w:r>
        <w:rPr>
          <w:rFonts w:ascii="Arial" w:cs="Arial" w:eastAsia="Arial" w:hAnsi="Arial"/>
          <w:sz w:val="16"/>
          <w:szCs w:val="16"/>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72" w:lineRule="exact"/>
        <w:rPr>
          <w:sz w:val="20"/>
          <w:szCs w:val="20"/>
          <w:color w:val="auto"/>
        </w:rPr>
      </w:pPr>
    </w:p>
    <w:p>
      <w:pPr>
        <w:ind w:right="59" w:firstLine="486"/>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78"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6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87" w:lineRule="exact"/>
        <w:rPr>
          <w:sz w:val="20"/>
          <w:szCs w:val="20"/>
          <w:color w:val="auto"/>
        </w:rPr>
      </w:pPr>
    </w:p>
    <w:p>
      <w:pPr>
        <w:ind w:left="820" w:right="80" w:hanging="319"/>
        <w:spacing w:after="0" w:line="258"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200" w:hanging="319"/>
        <w:spacing w:after="0" w:line="265" w:lineRule="auto"/>
        <w:tabs>
          <w:tab w:leader="none" w:pos="8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the labeling of our product candidates, including required additional warnings, such as black box warnings, contraindications, precautions, and restrictions on the approved indication or use;</w:t>
      </w:r>
    </w:p>
    <w:p>
      <w:pPr>
        <w:ind w:left="820" w:hanging="319"/>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19"/>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cyber letters, or holds on or termination of clinical trials;</w:t>
      </w:r>
    </w:p>
    <w:p>
      <w:pPr>
        <w:ind w:left="820" w:right="560" w:hanging="319"/>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19"/>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380" w:hanging="319"/>
        <w:spacing w:after="0" w:line="281" w:lineRule="auto"/>
        <w:tabs>
          <w:tab w:leader="none" w:pos="8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w:t>
      </w:r>
    </w:p>
    <w:p>
      <w:pPr>
        <w:spacing w:after="0" w:line="1" w:lineRule="exact"/>
        <w:rPr>
          <w:rFonts w:ascii="Arial" w:cs="Arial" w:eastAsia="Arial" w:hAnsi="Arial"/>
          <w:sz w:val="16"/>
          <w:szCs w:val="16"/>
          <w:color w:val="auto"/>
        </w:rPr>
      </w:pPr>
    </w:p>
    <w:p>
      <w:pPr>
        <w:ind w:left="820" w:right="900" w:hanging="319"/>
        <w:spacing w:after="0" w:line="265" w:lineRule="auto"/>
        <w:tabs>
          <w:tab w:leader="none" w:pos="8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biologic;</w:t>
      </w:r>
    </w:p>
    <w:p>
      <w:pPr>
        <w:ind w:left="820" w:hanging="319"/>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11"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6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8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6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88"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82"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69"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behavior of physicians in their choice of treatment within the practice of medicine. Regulatory authorities do, however, restrict communications by biopharmaceutical companies concerning off-label use.</w:t>
      </w:r>
    </w:p>
    <w:p>
      <w:pPr>
        <w:spacing w:after="0" w:line="17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78"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88"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4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w:t>
      </w:r>
    </w:p>
    <w:p>
      <w:pPr>
        <w:sectPr>
          <w:pgSz w:w="11900" w:h="16838" w:orient="portrait"/>
          <w:cols w:equalWidth="0" w:num="1">
            <w:col w:w="9040"/>
          </w:cols>
          <w:pgMar w:left="1420" w:top="517" w:right="14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78" w:lineRule="exact"/>
        <w:rPr>
          <w:sz w:val="20"/>
          <w:szCs w:val="20"/>
          <w:color w:val="auto"/>
        </w:rPr>
      </w:pPr>
    </w:p>
    <w:p>
      <w:pPr>
        <w:ind w:left="820" w:hanging="319"/>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19"/>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66"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 On January 31, 2019, the U.S. Department of Health and Human Services issued a proposed rule aimed at eliminating certain AKS safe harbor protections for drug rebates.</w:t>
      </w:r>
    </w:p>
    <w:p>
      <w:pPr>
        <w:spacing w:after="0" w:line="16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85" w:lineRule="exact"/>
        <w:rPr>
          <w:sz w:val="20"/>
          <w:szCs w:val="20"/>
          <w:color w:val="auto"/>
        </w:rPr>
      </w:pPr>
    </w:p>
    <w:p>
      <w:pPr>
        <w:jc w:val="both"/>
        <w:ind w:right="180" w:firstLine="486"/>
        <w:spacing w:after="0" w:line="302"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5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8"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8" w:lineRule="exact"/>
        <w:rPr>
          <w:sz w:val="20"/>
          <w:szCs w:val="20"/>
          <w:color w:val="auto"/>
        </w:rPr>
      </w:pPr>
    </w:p>
    <w:p>
      <w:pPr>
        <w:ind w:left="820" w:hanging="319"/>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19"/>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19"/>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right="100" w:firstLine="492"/>
        <w:spacing w:after="0" w:line="253"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97"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24"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7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More recently, the United States District Court for the Northern District of Texas struck down the ACA, deeming it unconstitutional given that Congress repealed the individual mandate in 2017. Although there is no immediate impact on the ACA, we will continue to evaluate the effect that the ACA and its possible repeal and replacement, or potential total revocation by the Supreme Court of the United States, has on our business.</w:t>
      </w:r>
    </w:p>
    <w:p>
      <w:pPr>
        <w:spacing w:after="0" w:line="18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65"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93"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Congress recently introduced a number of bipartisan bills, including the CREATES Act that is intended to reduce prices and increase competitiveness in the pharmaceutical industry, and the FLAT Prices Act that would introduce a prohibition on “large scale drug price increases.”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65" w:lineRule="exact"/>
        <w:rPr>
          <w:sz w:val="20"/>
          <w:szCs w:val="20"/>
          <w:color w:val="auto"/>
        </w:rPr>
      </w:pPr>
    </w:p>
    <w:p>
      <w:pPr>
        <w:ind w:right="700" w:firstLine="492"/>
        <w:spacing w:after="0" w:line="277"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492"/>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6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80" w:firstLine="486"/>
        <w:spacing w:after="0" w:line="381" w:lineRule="auto"/>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0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73"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8"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w:t>
      </w:r>
    </w:p>
    <w:p>
      <w:pPr>
        <w:spacing w:after="0" w:line="170"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4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5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17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If we are unable to protect our proprietary rights, we may not be able to compete effectively or operate profitably.</w:t>
      </w:r>
    </w:p>
    <w:p>
      <w:pPr>
        <w:spacing w:after="0" w:line="26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79"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8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9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7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92"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319"/>
        <w:spacing w:after="0" w:line="264" w:lineRule="auto"/>
        <w:rPr>
          <w:sz w:val="20"/>
          <w:szCs w:val="20"/>
          <w:color w:val="auto"/>
        </w:rPr>
      </w:pPr>
      <w:r>
        <w:rPr>
          <w:rFonts w:ascii="Arial" w:cs="Arial" w:eastAsia="Arial" w:hAnsi="Arial"/>
          <w:sz w:val="18"/>
          <w:szCs w:val="18"/>
          <w:color w:val="auto"/>
        </w:rPr>
        <w:t>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81" w:lineRule="exact"/>
        <w:rPr>
          <w:sz w:val="20"/>
          <w:szCs w:val="20"/>
          <w:color w:val="auto"/>
        </w:rPr>
      </w:pPr>
    </w:p>
    <w:p>
      <w:pPr>
        <w:ind w:right="119"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70" w:lineRule="exact"/>
        <w:rPr>
          <w:sz w:val="20"/>
          <w:szCs w:val="20"/>
          <w:color w:val="auto"/>
        </w:rPr>
      </w:pPr>
    </w:p>
    <w:p>
      <w:pPr>
        <w:ind w:right="39" w:firstLine="486"/>
        <w:spacing w:after="0" w:line="287" w:lineRule="auto"/>
        <w:rPr>
          <w:sz w:val="20"/>
          <w:szCs w:val="20"/>
          <w:color w:val="auto"/>
        </w:rPr>
      </w:pPr>
      <w:r>
        <w:rPr>
          <w:rFonts w:ascii="Arial" w:cs="Arial" w:eastAsia="Arial" w:hAnsi="Arial"/>
          <w:sz w:val="16"/>
          <w:szCs w:val="16"/>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73" w:lineRule="exact"/>
        <w:rPr>
          <w:sz w:val="20"/>
          <w:szCs w:val="20"/>
          <w:color w:val="auto"/>
        </w:rPr>
      </w:pPr>
    </w:p>
    <w:p>
      <w:pPr>
        <w:ind w:right="179"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70" w:lineRule="exact"/>
        <w:rPr>
          <w:sz w:val="20"/>
          <w:szCs w:val="20"/>
          <w:color w:val="auto"/>
        </w:rPr>
      </w:pPr>
    </w:p>
    <w:p>
      <w:pPr>
        <w:ind w:right="39" w:firstLine="486"/>
        <w:spacing w:after="0" w:line="288"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9" w:lineRule="exact"/>
        <w:rPr>
          <w:sz w:val="20"/>
          <w:szCs w:val="20"/>
          <w:color w:val="auto"/>
        </w:rPr>
      </w:pPr>
    </w:p>
    <w:p>
      <w:pPr>
        <w:ind w:right="19" w:firstLine="48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ind w:right="199"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right="199" w:firstLine="492"/>
        <w:spacing w:after="0" w:line="293" w:lineRule="auto"/>
        <w:rPr>
          <w:sz w:val="20"/>
          <w:szCs w:val="20"/>
          <w:color w:val="auto"/>
        </w:rPr>
      </w:pPr>
      <w:r>
        <w:rPr>
          <w:rFonts w:ascii="Arial" w:cs="Arial" w:eastAsia="Arial" w:hAnsi="Arial"/>
          <w:sz w:val="16"/>
          <w:szCs w:val="16"/>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w:t>
      </w:r>
    </w:p>
    <w:p>
      <w:pPr>
        <w:sectPr>
          <w:pgSz w:w="11900" w:h="16838" w:orient="portrait"/>
          <w:cols w:equalWidth="0" w:num="1">
            <w:col w:w="9039"/>
          </w:cols>
          <w:pgMar w:left="1420" w:top="517" w:right="1440" w:bottom="1440" w:gutter="0" w:footer="0" w:header="0"/>
        </w:sect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and related counterclaims. Even if we are successful in resolving these claims, litigation could result in substantial cost and be a distraction to our management and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right="239" w:firstLine="492"/>
        <w:spacing w:after="0" w:line="277" w:lineRule="auto"/>
        <w:rPr>
          <w:sz w:val="20"/>
          <w:szCs w:val="20"/>
          <w:color w:val="auto"/>
        </w:rPr>
      </w:pPr>
      <w:r>
        <w:rPr>
          <w:rFonts w:ascii="Arial" w:cs="Arial" w:eastAsia="Arial" w:hAnsi="Arial"/>
          <w:sz w:val="18"/>
          <w:szCs w:val="18"/>
          <w:b w:val="1"/>
          <w:bCs w:val="1"/>
          <w:i w:val="1"/>
          <w:iCs w:val="1"/>
          <w:color w:val="auto"/>
        </w:rPr>
        <w:t>Our existing directors and executive officers hold a substantial amount of our common stock and may be able to influence significant corporate decisions.*</w:t>
      </w:r>
    </w:p>
    <w:p>
      <w:pPr>
        <w:spacing w:after="0" w:line="170" w:lineRule="exact"/>
        <w:rPr>
          <w:sz w:val="20"/>
          <w:szCs w:val="20"/>
          <w:color w:val="auto"/>
        </w:rPr>
      </w:pPr>
    </w:p>
    <w:p>
      <w:pPr>
        <w:ind w:right="219" w:firstLine="492"/>
        <w:spacing w:after="0" w:line="286" w:lineRule="auto"/>
        <w:rPr>
          <w:sz w:val="20"/>
          <w:szCs w:val="20"/>
          <w:color w:val="auto"/>
        </w:rPr>
      </w:pPr>
      <w:r>
        <w:rPr>
          <w:rFonts w:ascii="Arial" w:cs="Arial" w:eastAsia="Arial" w:hAnsi="Arial"/>
          <w:sz w:val="17"/>
          <w:szCs w:val="17"/>
          <w:color w:val="auto"/>
        </w:rPr>
        <w:t>As of June 30, 2019, our officers and directors beneficially owned approximately 9.4% of our outstanding common stock. These stockholders, if they act together, may be able to materially affect the outcome of matters presented to our stockholders, including the election of our directors and other corporate actions such as:</w:t>
      </w:r>
    </w:p>
    <w:p>
      <w:pPr>
        <w:spacing w:after="0" w:line="166" w:lineRule="exact"/>
        <w:rPr>
          <w:sz w:val="20"/>
          <w:szCs w:val="20"/>
          <w:color w:val="auto"/>
        </w:rPr>
      </w:pPr>
    </w:p>
    <w:p>
      <w:pPr>
        <w:ind w:left="840" w:hanging="318"/>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840" w:hanging="318"/>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amendments to our certificate of incorporation.</w:t>
      </w:r>
    </w:p>
    <w:p>
      <w:pPr>
        <w:spacing w:after="0" w:line="211" w:lineRule="exact"/>
        <w:rPr>
          <w:sz w:val="20"/>
          <w:szCs w:val="20"/>
          <w:color w:val="auto"/>
        </w:rPr>
      </w:pPr>
    </w:p>
    <w:p>
      <w:pPr>
        <w:ind w:right="39" w:firstLine="492"/>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stock price may be volatile, and our stockholders' investment in our stock could decline in value.</w:t>
      </w:r>
    </w:p>
    <w:p>
      <w:pPr>
        <w:spacing w:after="0" w:line="225" w:lineRule="exact"/>
        <w:rPr>
          <w:sz w:val="20"/>
          <w:szCs w:val="20"/>
          <w:color w:val="auto"/>
        </w:rPr>
      </w:pPr>
    </w:p>
    <w:p>
      <w:pPr>
        <w:ind w:right="99"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jc w:val="both"/>
        <w:ind w:left="840" w:right="859" w:hanging="318"/>
        <w:spacing w:after="0" w:line="291" w:lineRule="auto"/>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of the results of clinical trials by us, our collaborators, or our competitors, or negative developments with respect to similar products, including those being developed by our collaborators;</w:t>
      </w: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right="539" w:hanging="318"/>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ind w:left="840" w:hanging="318"/>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financial estimates by securities analysts and whether our earnings meet or exceed such estimates;</w:t>
      </w:r>
    </w:p>
    <w:p>
      <w:pPr>
        <w:spacing w:after="0" w:line="32" w:lineRule="exact"/>
        <w:rPr>
          <w:rFonts w:ascii="Arial" w:cs="Arial" w:eastAsia="Arial" w:hAnsi="Arial"/>
          <w:sz w:val="16"/>
          <w:szCs w:val="16"/>
          <w:color w:val="auto"/>
        </w:rPr>
      </w:pP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right="419" w:hanging="318"/>
        <w:spacing w:after="0" w:line="261"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 or our Annual Report on Form 10-K filed with the SEC on February 28, 2019.</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right="39" w:firstLine="492"/>
        <w:spacing w:after="0" w:line="255" w:lineRule="auto"/>
        <w:rPr>
          <w:sz w:val="20"/>
          <w:szCs w:val="20"/>
          <w:color w:val="auto"/>
        </w:rPr>
      </w:pPr>
      <w:r>
        <w:rPr>
          <w:rFonts w:ascii="Arial" w:cs="Arial" w:eastAsia="Arial" w:hAnsi="Arial"/>
          <w:sz w:val="18"/>
          <w:szCs w:val="18"/>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19" w:firstLine="492"/>
        <w:spacing w:after="0" w:line="286" w:lineRule="auto"/>
        <w:rPr>
          <w:sz w:val="20"/>
          <w:szCs w:val="20"/>
          <w:color w:val="auto"/>
        </w:rPr>
      </w:pPr>
      <w:r>
        <w:rPr>
          <w:rFonts w:ascii="Arial" w:cs="Arial" w:eastAsia="Arial" w:hAnsi="Arial"/>
          <w:sz w:val="17"/>
          <w:szCs w:val="17"/>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ectPr>
          <w:pgSz w:w="11900" w:h="16838" w:orient="portrait"/>
          <w:cols w:equalWidth="0" w:num="1">
            <w:col w:w="9039"/>
          </w:cols>
          <w:pgMar w:left="1420" w:top="517" w:right="1440" w:bottom="144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2019, we had 123,820,508 shares of common stock outstanding. In addition, we had 15,203,345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equivalents that would increase the number of common stock outstanding if these instruments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exercised or converted, including stock options and restricted stock units to purchase common stock based on vesting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and common stock issuable upon the conversion of preferred stock. The issuance and subsequent sale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underlying these common stock equivalents could depress the trading price of our common stock. On June 10,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certificate of incorporation was amended to increase the number of authorized shares of our common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$0.000041666, from 150,000,000 shares to 300,000,000 shares, which was approved by our stockholders at our 2019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Meeting of Stockholders held on June 10, 2019. However, no additional shares have been issued to date.</w:t>
      </w:r>
    </w:p>
    <w:p>
      <w:pPr>
        <w:spacing w:after="0" w:line="211" w:lineRule="exact"/>
        <w:rPr>
          <w:sz w:val="20"/>
          <w:szCs w:val="20"/>
          <w:color w:val="auto"/>
        </w:rPr>
      </w:pPr>
    </w:p>
    <w:p>
      <w:pPr>
        <w:ind w:firstLine="492"/>
        <w:spacing w:after="0" w:line="276" w:lineRule="auto"/>
        <w:rPr>
          <w:sz w:val="20"/>
          <w:szCs w:val="20"/>
          <w:color w:val="auto"/>
        </w:rPr>
      </w:pPr>
      <w:r>
        <w:rPr>
          <w:rFonts w:ascii="Arial" w:cs="Arial" w:eastAsia="Arial" w:hAnsi="Arial"/>
          <w:sz w:val="17"/>
          <w:szCs w:val="17"/>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Such issuances could result in substantial dilution to our existing stockholders and could cause our stock price to decline.</w:t>
      </w:r>
    </w:p>
    <w:p>
      <w:pPr>
        <w:spacing w:after="0" w:line="173" w:lineRule="exact"/>
        <w:rPr>
          <w:sz w:val="20"/>
          <w:szCs w:val="20"/>
          <w:color w:val="auto"/>
        </w:rPr>
      </w:pPr>
    </w:p>
    <w:p>
      <w:pPr>
        <w:ind w:right="160" w:firstLine="492"/>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47"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65" w:lineRule="exact"/>
        <w:rPr>
          <w:sz w:val="20"/>
          <w:szCs w:val="20"/>
          <w:color w:val="auto"/>
        </w:rPr>
      </w:pPr>
    </w:p>
    <w:p>
      <w:pPr>
        <w:ind w:right="200" w:firstLine="492"/>
        <w:spacing w:after="0" w:line="340"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31" w:lineRule="exact"/>
        <w:rPr>
          <w:sz w:val="20"/>
          <w:szCs w:val="20"/>
          <w:color w:val="auto"/>
        </w:rPr>
      </w:pPr>
    </w:p>
    <w:p>
      <w:pPr>
        <w:ind w:right="100" w:firstLine="492"/>
        <w:spacing w:after="0" w:line="270"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82" w:lineRule="exact"/>
        <w:rPr>
          <w:sz w:val="20"/>
          <w:szCs w:val="20"/>
          <w:color w:val="auto"/>
        </w:rPr>
      </w:pPr>
    </w:p>
    <w:p>
      <w:pPr>
        <w:ind w:right="180" w:firstLine="492"/>
        <w:spacing w:after="0" w:line="337" w:lineRule="auto"/>
        <w:rPr>
          <w:sz w:val="20"/>
          <w:szCs w:val="20"/>
          <w:color w:val="auto"/>
        </w:rPr>
      </w:pPr>
      <w:r>
        <w:rPr>
          <w:rFonts w:ascii="Arial" w:cs="Arial" w:eastAsia="Arial" w:hAnsi="Arial"/>
          <w:sz w:val="16"/>
          <w:szCs w:val="16"/>
          <w:b w:val="1"/>
          <w:bCs w:val="1"/>
          <w:i w:val="1"/>
          <w:iCs w:val="1"/>
          <w:color w:val="auto"/>
        </w:rPr>
        <w:t>Our Board of Directors could issue one or more additional series of preferred stock without stockholder approval with the effect of diluting existing stockholders and impairing their voting and other rights.</w:t>
      </w:r>
      <w:r>
        <w:rPr>
          <w:rFonts w:ascii="Arial" w:cs="Arial" w:eastAsia="Arial" w:hAnsi="Arial"/>
          <w:sz w:val="24"/>
          <w:szCs w:val="24"/>
          <w:b w:val="1"/>
          <w:bCs w:val="1"/>
          <w:i w:val="1"/>
          <w:iCs w:val="1"/>
          <w:color w:val="auto"/>
          <w:vertAlign w:val="superscript"/>
        </w:rPr>
        <w:t>*</w:t>
      </w:r>
    </w:p>
    <w:p>
      <w:pPr>
        <w:spacing w:after="0" w:line="2"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ind w:right="20" w:firstLine="492"/>
        <w:spacing w:after="0" w:line="264"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81" w:lineRule="exact"/>
        <w:rPr>
          <w:sz w:val="20"/>
          <w:szCs w:val="20"/>
          <w:color w:val="auto"/>
        </w:rPr>
      </w:pPr>
    </w:p>
    <w:p>
      <w:pPr>
        <w:ind w:right="40" w:firstLine="492"/>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81"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92"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5" w:lineRule="exact"/>
        <w:rPr>
          <w:sz w:val="20"/>
          <w:szCs w:val="20"/>
          <w:color w:val="auto"/>
        </w:rPr>
      </w:pPr>
    </w:p>
    <w:p>
      <w:pPr>
        <w:ind w:right="220" w:firstLine="492"/>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Arial" w:cs="Arial" w:eastAsia="Arial" w:hAnsi="Arial"/>
          <w:sz w:val="27"/>
          <w:szCs w:val="27"/>
          <w:b w:val="1"/>
          <w:bCs w:val="1"/>
          <w:i w:val="1"/>
          <w:iCs w:val="1"/>
          <w:color w:val="auto"/>
          <w:vertAlign w:val="superscript"/>
        </w:rPr>
        <w:t>*</w:t>
      </w:r>
    </w:p>
    <w:p>
      <w:pPr>
        <w:spacing w:after="0" w:line="56"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certificate of incorporation, as amended,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certificate of incorporation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8"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b w:val="1"/>
          <w:bCs w:val="1"/>
          <w:i w:val="1"/>
          <w:iCs w:val="1"/>
          <w:color w:val="auto"/>
        </w:rPr>
        <w:t>We may be subject to claims for rescission or damages in connection with certain sales of shares of our common stock in the open market.</w:t>
      </w:r>
    </w:p>
    <w:p>
      <w:pPr>
        <w:spacing w:after="0" w:line="170"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claims for damages (if they no longer own the shares). In addition, we also may have indemnification obligations to the selling stockholders. The amount of any such liability is uncertain.</w:t>
      </w:r>
    </w:p>
    <w:p>
      <w:pPr>
        <w:spacing w:after="0" w:line="17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to us, as a result of the issuance of the 200,000 shares is uncertain. Accordingly, no accrual for a potential claim has been made in our financial statements.</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380" w:firstLine="492"/>
        <w:spacing w:after="0" w:line="342" w:lineRule="auto"/>
        <w:rPr>
          <w:sz w:val="20"/>
          <w:szCs w:val="20"/>
          <w:color w:val="auto"/>
        </w:rPr>
      </w:pPr>
      <w:r>
        <w:rPr>
          <w:rFonts w:ascii="Arial" w:cs="Arial" w:eastAsia="Arial" w:hAnsi="Arial"/>
          <w:sz w:val="16"/>
          <w:szCs w:val="16"/>
          <w:color w:val="auto"/>
        </w:rPr>
        <w:t>On July 18, 2019, we announced that we hired Friedrich-Reinhard Graf Finckenstein, M.D., as our Chief Medical Officer. A copy of his employment agreement is filed with this Quarterly Report on Form 10-Q as Exhibit 10.1.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6"/>
          </w:tcPr>
          <w:p>
            <w:pPr>
              <w:ind w:left="1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6"/>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6"/>
          </w:tcPr>
          <w:p>
            <w:pPr>
              <w:ind w:left="18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w w:val="79"/>
              </w:rPr>
              <w:t>10.1</w:t>
            </w:r>
          </w:p>
        </w:tc>
        <w:tc>
          <w:tcPr>
            <w:tcW w:w="200" w:type="dxa"/>
            <w:vAlign w:val="bottom"/>
          </w:tcPr>
          <w:p>
            <w:pPr>
              <w:spacing w:after="0"/>
              <w:rPr>
                <w:sz w:val="14"/>
                <w:szCs w:val="14"/>
                <w:color w:val="auto"/>
              </w:rPr>
            </w:pPr>
          </w:p>
        </w:tc>
        <w:tc>
          <w:tcPr>
            <w:tcW w:w="8120" w:type="dxa"/>
            <w:vAlign w:val="bottom"/>
            <w:tcBorders>
              <w:top w:val="single" w:sz="8" w:color="auto"/>
            </w:tcBorders>
            <w:gridSpan w:val="10"/>
          </w:tcPr>
          <w:p>
            <w:pPr>
              <w:spacing w:after="0" w:line="170"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Executive Employment Agreement effective as of July 18, 2019, by and between Friedrich-Reinhard Graf Finck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Borders>
              <w:top w:val="single" w:sz="8" w:color="0000EE"/>
              <w:bottom w:val="single" w:sz="8" w:color="0000EE"/>
            </w:tcBorders>
            <w:gridSpan w:val="2"/>
            <w:vMerge w:val="restart"/>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von Finckenstein, M.D.</w:t>
              </w:r>
            </w:hyperlink>
          </w:p>
        </w:tc>
        <w:tc>
          <w:tcPr>
            <w:tcW w:w="60" w:type="dxa"/>
            <w:vAlign w:val="bottom"/>
            <w:tcBorders>
              <w:top w:val="single" w:sz="8" w:color="0000EE"/>
              <w:bottom w:val="single" w:sz="8" w:color="0000EE"/>
            </w:tcBorders>
            <w:gridSpan w:val="2"/>
          </w:tcPr>
          <w:p>
            <w:pPr>
              <w:jc w:val="right"/>
              <w:spacing w:after="0"/>
              <w:rPr>
                <w:rFonts w:ascii="Arial" w:cs="Arial" w:eastAsia="Arial" w:hAnsi="Arial"/>
                <w:sz w:val="10"/>
                <w:szCs w:val="10"/>
                <w:color w:val="0000EE"/>
                <w:w w:val="71"/>
              </w:rPr>
            </w:pPr>
            <w:hyperlink w:anchor="page87">
              <w:r>
                <w:rPr>
                  <w:rFonts w:ascii="Arial" w:cs="Arial" w:eastAsia="Arial" w:hAnsi="Arial"/>
                  <w:sz w:val="10"/>
                  <w:szCs w:val="10"/>
                  <w:color w:val="0000EE"/>
                  <w:w w:val="71"/>
                </w:rPr>
                <w:t>#</w:t>
              </w:r>
            </w:hyperlink>
          </w:p>
        </w:tc>
        <w:tc>
          <w:tcPr>
            <w:tcW w:w="298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58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266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0000EE"/>
            </w:tcBorders>
            <w:gridSpan w:val="2"/>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6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w w:val="85"/>
              </w:rPr>
              <w:t>31.1</w:t>
            </w:r>
          </w:p>
        </w:tc>
        <w:tc>
          <w:tcPr>
            <w:tcW w:w="200" w:type="dxa"/>
            <w:vAlign w:val="bottom"/>
          </w:tcPr>
          <w:p>
            <w:pPr>
              <w:spacing w:after="0"/>
              <w:rPr>
                <w:sz w:val="17"/>
                <w:szCs w:val="17"/>
                <w:color w:val="auto"/>
              </w:rPr>
            </w:pPr>
          </w:p>
        </w:tc>
        <w:tc>
          <w:tcPr>
            <w:tcW w:w="8120" w:type="dxa"/>
            <w:vAlign w:val="bottom"/>
            <w:gridSpan w:val="1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Rule 13a-14(a)/15d-14(a) Certification of Chief Executive Officer.</w:t>
              </w:r>
            </w:hyperlink>
          </w:p>
        </w:tc>
        <w:tc>
          <w:tcPr>
            <w:tcW w:w="0" w:type="dxa"/>
            <w:vAlign w:val="bottom"/>
          </w:tcPr>
          <w:p>
            <w:pPr>
              <w:spacing w:after="0"/>
              <w:rPr>
                <w:sz w:val="1"/>
                <w:szCs w:val="1"/>
                <w:color w:val="auto"/>
              </w:rPr>
            </w:pPr>
          </w:p>
        </w:tc>
      </w:tr>
      <w:tr>
        <w:trPr>
          <w:trHeight w:val="196"/>
        </w:trPr>
        <w:tc>
          <w:tcPr>
            <w:tcW w:w="74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w w:val="85"/>
              </w:rPr>
              <w:t>31.2</w:t>
            </w:r>
          </w:p>
        </w:tc>
        <w:tc>
          <w:tcPr>
            <w:tcW w:w="20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Rule 13a-14(a)/15d-14(a) Certification of Chief Financial Officer.</w:t>
              </w:r>
            </w:hyperlink>
          </w:p>
        </w:tc>
        <w:tc>
          <w:tcPr>
            <w:tcW w:w="40" w:type="dxa"/>
            <w:vAlign w:val="bottom"/>
            <w:tcBorders>
              <w:top w:val="single" w:sz="8" w:color="0000EE"/>
            </w:tcBorders>
          </w:tcPr>
          <w:p>
            <w:pPr>
              <w:spacing w:after="0"/>
              <w:rPr>
                <w:sz w:val="17"/>
                <w:szCs w:val="17"/>
                <w:color w:val="auto"/>
              </w:rPr>
            </w:pPr>
          </w:p>
        </w:tc>
        <w:tc>
          <w:tcPr>
            <w:tcW w:w="3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w w:val="85"/>
              </w:rPr>
              <w:t>32.1</w:t>
            </w:r>
          </w:p>
        </w:tc>
        <w:tc>
          <w:tcPr>
            <w:tcW w:w="20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Section 1350</w:t>
              </w:r>
            </w:hyperlink>
          </w:p>
        </w:tc>
        <w:tc>
          <w:tcPr>
            <w:tcW w:w="44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Certification of Chief Executive Officer (furnished herewith).</w:t>
              </w:r>
            </w:hyperlink>
          </w:p>
        </w:tc>
        <w:tc>
          <w:tcPr>
            <w:tcW w:w="2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w w:val="85"/>
              </w:rPr>
              <w:t>32.2</w:t>
            </w:r>
          </w:p>
        </w:tc>
        <w:tc>
          <w:tcPr>
            <w:tcW w:w="200" w:type="dxa"/>
            <w:vAlign w:val="bottom"/>
          </w:tcPr>
          <w:p>
            <w:pPr>
              <w:spacing w:after="0"/>
              <w:rPr>
                <w:sz w:val="17"/>
                <w:szCs w:val="17"/>
                <w:color w:val="auto"/>
              </w:rPr>
            </w:pPr>
          </w:p>
        </w:tc>
        <w:tc>
          <w:tcPr>
            <w:tcW w:w="960" w:type="dxa"/>
            <w:vAlign w:val="bottom"/>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Section 1350</w:t>
              </w:r>
            </w:hyperlink>
          </w:p>
        </w:tc>
        <w:tc>
          <w:tcPr>
            <w:tcW w:w="7160" w:type="dxa"/>
            <w:vAlign w:val="bottom"/>
            <w:gridSpan w:val="9"/>
          </w:tcPr>
          <w:p>
            <w:pPr>
              <w:ind w:left="2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Certification of Chief Financial Officer (furnished herewith).</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920" w:right="60" w:hanging="910"/>
        <w:spacing w:after="0" w:line="271" w:lineRule="auto"/>
        <w:tabs>
          <w:tab w:leader="none" w:pos="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following financial information from the Quarterly Report on Form 10-Q of Iovance Biotherapeutics, Inc. for the quarter ended June 30, 2019, formatted in XBRL (eXtensible Business Reporting Language): (1) Condensed Consolidated Balance Sheets as of June 30, 2019 and 2018; (2) Condensed Consolidated Statements of Operations for the three and six months ended June 30, 2019 and 2018; (3) Condensed Consolidated Statements of Comprehensive Loss for the three and six months ended June 30, 2019 and 2018; (4) Condensed Consolidated Statements of Stockholders’ Equity as of June 30, 2019 and December 31, 2018; (5) Condensed Consolidated Statements of Cash Flows for the six months ended June 30, 2019 and 2018; and (6) Notes to Condensed Consolidated Financial Statements.</w:t>
      </w:r>
    </w:p>
    <w:p>
      <w:pPr>
        <w:spacing w:after="0" w:line="19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Certain portions of the Exhibit have been omitted based upon a request for confidential treatment filed by us with</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Commission. The omitted portions of the Exhibit have been separately filed by us with the Commission.</w:t>
      </w:r>
    </w:p>
    <w:p>
      <w:pPr>
        <w:spacing w:after="0" w:line="9" w:lineRule="exact"/>
        <w:rPr>
          <w:sz w:val="20"/>
          <w:szCs w:val="20"/>
          <w:color w:val="auto"/>
        </w:rPr>
      </w:pPr>
    </w:p>
    <w:p>
      <w:pPr>
        <w:ind w:left="640" w:hanging="63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Iovance Biotherapeutics, Inc.</w:t>
            </w:r>
          </w:p>
        </w:tc>
        <w:tc>
          <w:tcPr>
            <w:tcW w:w="2280" w:type="dxa"/>
            <w:vAlign w:val="bottom"/>
          </w:tcPr>
          <w:p>
            <w:pPr>
              <w:spacing w:after="0"/>
              <w:rPr>
                <w:sz w:val="17"/>
                <w:szCs w:val="17"/>
                <w:color w:val="auto"/>
              </w:rPr>
            </w:pPr>
          </w:p>
        </w:tc>
      </w:tr>
      <w:tr>
        <w:trPr>
          <w:trHeight w:val="453"/>
        </w:trPr>
        <w:tc>
          <w:tcPr>
            <w:tcW w:w="4540" w:type="dxa"/>
            <w:vAlign w:val="bottom"/>
          </w:tcPr>
          <w:p>
            <w:pPr>
              <w:spacing w:after="0"/>
              <w:rPr>
                <w:sz w:val="20"/>
                <w:szCs w:val="20"/>
                <w:color w:val="auto"/>
              </w:rPr>
            </w:pPr>
            <w:r>
              <w:rPr>
                <w:rFonts w:ascii="Arial" w:cs="Arial" w:eastAsia="Arial" w:hAnsi="Arial"/>
                <w:sz w:val="18"/>
                <w:szCs w:val="18"/>
                <w:color w:val="auto"/>
              </w:rPr>
              <w:t>August 1, 2019</w:t>
            </w:r>
          </w:p>
        </w:tc>
        <w:tc>
          <w:tcPr>
            <w:tcW w:w="4520" w:type="dxa"/>
            <w:vAlign w:val="bottom"/>
            <w:gridSpan w:val="3"/>
          </w:tcPr>
          <w:p>
            <w:pPr>
              <w:spacing w:after="0"/>
              <w:rPr>
                <w:sz w:val="20"/>
                <w:szCs w:val="20"/>
                <w:color w:val="auto"/>
              </w:rPr>
            </w:pPr>
            <w:r>
              <w:rPr>
                <w:rFonts w:ascii="Arial" w:cs="Arial" w:eastAsia="Arial" w:hAnsi="Arial"/>
                <w:sz w:val="18"/>
                <w:szCs w:val="18"/>
                <w:color w:val="auto"/>
              </w:rPr>
              <w:t>By:/s/ Maria Fardis</w:t>
            </w:r>
          </w:p>
        </w:tc>
      </w:tr>
      <w:tr>
        <w:trPr>
          <w:trHeight w:val="195"/>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4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auto"/>
              </w:rPr>
              <w:t>August 1, 2019</w:t>
            </w:r>
          </w:p>
        </w:tc>
        <w:tc>
          <w:tcPr>
            <w:tcW w:w="4520" w:type="dxa"/>
            <w:vAlign w:val="bottom"/>
            <w:gridSpan w:val="3"/>
          </w:tcPr>
          <w:p>
            <w:pPr>
              <w:spacing w:after="0"/>
              <w:rPr>
                <w:sz w:val="20"/>
                <w:szCs w:val="20"/>
                <w:color w:val="auto"/>
              </w:rPr>
            </w:pPr>
            <w:r>
              <w:rPr>
                <w:rFonts w:ascii="Arial" w:cs="Arial" w:eastAsia="Arial" w:hAnsi="Arial"/>
                <w:sz w:val="18"/>
                <w:szCs w:val="18"/>
                <w:color w:val="auto"/>
              </w:rPr>
              <w:t>By:/s/ Timothy E. Morris</w:t>
            </w:r>
          </w:p>
        </w:tc>
      </w:tr>
      <w:tr>
        <w:trPr>
          <w:trHeight w:val="195"/>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4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EMPLOYMENT AGREEMENT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May 18, 2019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Iovance Biotherapeutics,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Friedrich-Reinhard Graf Finck von Finckenstein, M.D. (“</w:t>
      </w:r>
      <w:r>
        <w:rPr>
          <w:rFonts w:ascii="Arial" w:cs="Arial" w:eastAsia="Arial" w:hAnsi="Arial"/>
          <w:sz w:val="22"/>
          <w:szCs w:val="22"/>
          <w:b w:val="1"/>
          <w:bCs w:val="1"/>
          <w:color w:val="auto"/>
        </w:rPr>
        <w:t>Executive</w:t>
      </w:r>
      <w:r>
        <w:rPr>
          <w:rFonts w:ascii="Arial" w:cs="Arial" w:eastAsia="Arial" w:hAnsi="Arial"/>
          <w:sz w:val="22"/>
          <w:szCs w:val="22"/>
          <w:color w:val="auto"/>
        </w:rPr>
        <w:t>”) (either party individually, a “</w:t>
      </w:r>
      <w:r>
        <w:rPr>
          <w:rFonts w:ascii="Arial" w:cs="Arial" w:eastAsia="Arial" w:hAnsi="Arial"/>
          <w:sz w:val="22"/>
          <w:szCs w:val="22"/>
          <w:b w:val="1"/>
          <w:bCs w:val="1"/>
          <w:color w:val="auto"/>
        </w:rPr>
        <w:t>Party</w:t>
      </w:r>
      <w:r>
        <w:rPr>
          <w:rFonts w:ascii="Arial" w:cs="Arial" w:eastAsia="Arial" w:hAnsi="Arial"/>
          <w:sz w:val="22"/>
          <w:szCs w:val="22"/>
          <w:color w:val="auto"/>
        </w:rPr>
        <w:t>”; collectively,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WHEREAS, the Company desires to employ Executive to serve as the Company’s Chief Medical Officer;</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Parties desire to enter into this Agreement to set forth the terms and conditions of Executive’s employment by the Company and to address certain matters related to Executive’s employment with the Company;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both the Company and the Executive have read and understood the terms and provisions set forth in this Agreement, and Executive acknowledges Executive has been afforded a reasonable opportunity to review this Agreement with Executive’s legal counsel to the extent desired;</w:t>
      </w: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NOW, THEREFORE, in consideration of the foregoing, the promises and obligations set forth below and for other good and valuable consideration, the receipt and adequacy of which is hereby acknowledged by the Parties, the Company and Executive agree and intend to be legally bound, as follows:</w:t>
      </w:r>
    </w:p>
    <w:p>
      <w:pPr>
        <w:spacing w:after="0" w:line="194" w:lineRule="exact"/>
        <w:rPr>
          <w:sz w:val="20"/>
          <w:szCs w:val="20"/>
          <w:color w:val="auto"/>
        </w:rPr>
      </w:pPr>
    </w:p>
    <w:p>
      <w:pPr>
        <w:jc w:val="both"/>
        <w:ind w:firstLine="648"/>
        <w:spacing w:after="0"/>
        <w:tabs>
          <w:tab w:leader="none" w:pos="120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Commencing July 31, 2019 or such other date as may be mutually agreed between the Parties (the “</w:t>
      </w:r>
      <w:r>
        <w:rPr>
          <w:rFonts w:ascii="Arial" w:cs="Arial" w:eastAsia="Arial" w:hAnsi="Arial"/>
          <w:sz w:val="22"/>
          <w:szCs w:val="22"/>
          <w:b w:val="1"/>
          <w:bCs w:val="1"/>
          <w:color w:val="auto"/>
        </w:rPr>
        <w:t>Start Date</w:t>
      </w:r>
      <w:r>
        <w:rPr>
          <w:rFonts w:ascii="Arial" w:cs="Arial" w:eastAsia="Arial" w:hAnsi="Arial"/>
          <w:sz w:val="22"/>
          <w:szCs w:val="22"/>
          <w:color w:val="auto"/>
        </w:rPr>
        <w:t>”), the Company shall employ Executive, and Executive hereby accepts such employment, upon the terms and conditions set forth herein.</w:t>
      </w:r>
    </w:p>
    <w:p>
      <w:pPr>
        <w:spacing w:after="0" w:line="213" w:lineRule="exact"/>
        <w:rPr>
          <w:rFonts w:ascii="Arial" w:cs="Arial" w:eastAsia="Arial" w:hAnsi="Arial"/>
          <w:sz w:val="22"/>
          <w:szCs w:val="22"/>
          <w:color w:val="auto"/>
        </w:rPr>
      </w:pPr>
    </w:p>
    <w:p>
      <w:pPr>
        <w:ind w:left="1180" w:hanging="532"/>
        <w:spacing w:after="0"/>
        <w:tabs>
          <w:tab w:leader="none" w:pos="11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p>
    <w:p>
      <w:pPr>
        <w:spacing w:after="0" w:line="23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Position.</w:t>
      </w:r>
      <w:r>
        <w:rPr>
          <w:rFonts w:ascii="Arial" w:cs="Arial" w:eastAsia="Arial" w:hAnsi="Arial"/>
          <w:sz w:val="21"/>
          <w:szCs w:val="21"/>
          <w:color w:val="auto"/>
        </w:rPr>
        <w:t xml:space="preserve"> The Company agrees to employ Executive in the position of Chief Medical Officer reporting directly to the Chief Executive Officer. The Executive shall have the duties and responsibilities consistent with the office of a Chief Medical Officer of a publicly traded corporation, and such other duties and responsibilities as determined from time to time by the Company, including but not limited to the Chief Executive Officer. Executive shall perform faithfully and diligently such duties as are reasonable and customary for Executive’s position, as well as such other duties as the Company and/or Chief Executive Officer shall reasonably assign from time to time. Executive shall perform his duties in the Company’s offices in San Carlos, California subject to customary travel as reasonably required.</w:t>
      </w:r>
    </w:p>
    <w:p>
      <w:pPr>
        <w:spacing w:after="0" w:line="20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Best Efforts/Full-Time.</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2.2(a) Executive understands and agrees that Executive will faithfully devote Executive’s best efforts and substantially all of his time during normal business hours to the faithful and loyal performance of his job duties to the Company (except for permitted vacation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87" w:name="page88"/>
    <w:bookmarkEnd w:id="87"/>
    <w:p>
      <w:pPr>
        <w:jc w:val="both"/>
        <w:spacing w:after="0" w:line="235" w:lineRule="auto"/>
        <w:rPr>
          <w:sz w:val="20"/>
          <w:szCs w:val="20"/>
          <w:color w:val="auto"/>
        </w:rPr>
      </w:pPr>
      <w:r>
        <w:rPr>
          <w:rFonts w:ascii="Arial" w:cs="Arial" w:eastAsia="Arial" w:hAnsi="Arial"/>
          <w:sz w:val="22"/>
          <w:szCs w:val="22"/>
          <w:color w:val="auto"/>
        </w:rPr>
        <w:t>periods and reasonable periods of illness or other incapacity). Executive will abide by all policies duly adopted by the Company, as well as all applicable federal, state and local laws, regulations or ordinances. Executive will act in a manner that Executive reasonably believes to be in the best interest of the Company at all times. Executive further understands and agrees that Executive has a fiduciary duty of loyalty to the Company to the extent provided by applicable law and that Executive will take no action which materially harms the business, business interests, or reputation of the Company.</w:t>
      </w:r>
    </w:p>
    <w:p>
      <w:pPr>
        <w:spacing w:after="0" w:line="21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2.2(b) Executive agrees that Executive shall not, directly or indirectly, (i) engage or participate in any outside activity that would, or may be perceived to, conflict with the best interests of the Company or Executive’s duties to the Company, or (ii) provide services to or invest in any corporation or entity that competes or intends to compete with the business of the Company.</w:t>
      </w:r>
    </w:p>
    <w:p>
      <w:pPr>
        <w:spacing w:after="0" w:line="21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2.2(c) Notwithstanding the foregoing, nothing herein shall prohibit Executive from (i) serving, with the prior written consent of the Company, as a member of the board of directors of an entity engaged solely in charitable activities or community affairs, provided that, such activity shall be limited by Executive so as not to interfere with the performance of Executive’s duties and responsibilities hereunder; (ii) owning, as a passive investment, less than 1% of capital stock of any corporation listed on the national securities exchange or a publicly traded over-the-counter market; or (iii) engaging in any other manner of employment, consulting or other business activity with the written consent of the Company, the Chief Executive Officer, or as approved by the Company’s Board of Directors or a committee thereof (collectively, the “</w:t>
      </w:r>
      <w:r>
        <w:rPr>
          <w:rFonts w:ascii="Arial" w:cs="Arial" w:eastAsia="Arial" w:hAnsi="Arial"/>
          <w:sz w:val="21"/>
          <w:szCs w:val="21"/>
          <w:b w:val="1"/>
          <w:bCs w:val="1"/>
          <w:color w:val="auto"/>
        </w:rPr>
        <w:t>Board</w:t>
      </w:r>
      <w:r>
        <w:rPr>
          <w:rFonts w:ascii="Arial" w:cs="Arial" w:eastAsia="Arial" w:hAnsi="Arial"/>
          <w:sz w:val="21"/>
          <w:szCs w:val="21"/>
          <w:color w:val="auto"/>
        </w:rPr>
        <w:t>”).</w:t>
      </w:r>
    </w:p>
    <w:p>
      <w:pPr>
        <w:spacing w:after="0" w:line="208" w:lineRule="exact"/>
        <w:rPr>
          <w:sz w:val="20"/>
          <w:szCs w:val="20"/>
          <w:color w:val="auto"/>
        </w:rPr>
      </w:pPr>
    </w:p>
    <w:p>
      <w:pPr>
        <w:jc w:val="both"/>
        <w:ind w:firstLine="648"/>
        <w:spacing w:after="0" w:line="270" w:lineRule="auto"/>
        <w:tabs>
          <w:tab w:leader="none" w:pos="151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Employment Eligibility</w:t>
      </w:r>
      <w:r>
        <w:rPr>
          <w:rFonts w:ascii="Arial" w:cs="Arial" w:eastAsia="Arial" w:hAnsi="Arial"/>
          <w:sz w:val="19"/>
          <w:szCs w:val="19"/>
          <w:color w:val="auto"/>
        </w:rPr>
        <w:t>. This Agreement and Executive’s employment with the Company is contingent and expressly conditioned on obtaining and maintaining O-1 nonimmigrant visa status (“</w:t>
      </w:r>
      <w:r>
        <w:rPr>
          <w:rFonts w:ascii="Arial" w:cs="Arial" w:eastAsia="Arial" w:hAnsi="Arial"/>
          <w:sz w:val="19"/>
          <w:szCs w:val="19"/>
          <w:b w:val="1"/>
          <w:bCs w:val="1"/>
          <w:color w:val="auto"/>
        </w:rPr>
        <w:t>O-1 Visa</w:t>
      </w:r>
      <w:r>
        <w:rPr>
          <w:rFonts w:ascii="Arial" w:cs="Arial" w:eastAsia="Arial" w:hAnsi="Arial"/>
          <w:sz w:val="19"/>
          <w:szCs w:val="19"/>
          <w:color w:val="auto"/>
        </w:rPr>
        <w:t>”), or any other visa or work permits as may be required for Executive to perform the obligations to the Company under this Agreement. The Company’s immigration counsel will assist Executive with obtaining the O-1 Visa. Subject to Executive’s continued employment with the Company, the Company’s immigration counsel will assist Executive with extending the O-1 Visa. Executive shall cooperate with Company and its counsel and shall provide documentation as reasonably requested for the procurement of the O-1 Visa, or any other visa or work permit, at Company’s expense, as may be required for Executive to perform the obligations to the Company under this Agreement. In accordance with the Immigration and Control Act of 1986, and notwithstanding anything to the contrary herein, this Agreement is also contingent and expressly conditioned upon verification of Executive’s right to work in the United States, as demonstrated by Executive’s completion of Form I-9 and submission of acceptable documentation verifying Executive’s identity and work authorization within three (3) days of the Start Date. The conditions set forth in this Section 3 are referred herein as the “</w:t>
      </w:r>
      <w:r>
        <w:rPr>
          <w:rFonts w:ascii="Arial" w:cs="Arial" w:eastAsia="Arial" w:hAnsi="Arial"/>
          <w:sz w:val="19"/>
          <w:szCs w:val="19"/>
          <w:b w:val="1"/>
          <w:bCs w:val="1"/>
          <w:color w:val="auto"/>
        </w:rPr>
        <w:t>Immigration Conditions</w:t>
      </w:r>
      <w:r>
        <w:rPr>
          <w:rFonts w:ascii="Arial" w:cs="Arial" w:eastAsia="Arial" w:hAnsi="Arial"/>
          <w:sz w:val="19"/>
          <w:szCs w:val="19"/>
          <w:color w:val="auto"/>
        </w:rPr>
        <w:t>.” In the event that the Immigration Conditions are not satisfied as of the Start Date, the Parties shall work in good faith to modify the Start Date to accommodate any reasonable delay, but no later than August 16, 2019; provided, however, that if the Immigration Conditions cannot be satisfied by such modified Start Date, unless otherwise agreed in a written amendment hereto by the Company and Executive, this Agreement shall be null and void. Nothing herein is intended to modify the at-will nature of Executive’s employment as described in Section 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8" w:name="page89"/>
    <w:bookmarkEnd w:id="88"/>
    <w:p>
      <w:pPr>
        <w:jc w:val="both"/>
        <w:ind w:firstLine="648"/>
        <w:spacing w:after="0" w:line="236" w:lineRule="auto"/>
        <w:tabs>
          <w:tab w:leader="none" w:pos="1351"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xml:space="preserve"> Executive’s employment with the Company will be “at-will” and will not be for any specific period of time. As a result, Executive is free to resign at any time, for any or no reason, as Executive deems appropriate. The Company will have a similar right and may terminate Executive’s employment at any time, with or without cause. Executive’s and the Company’s respective rights and obligations at the time of termination are outlined below in Section 7 of this Agreement.</w:t>
      </w:r>
    </w:p>
    <w:p>
      <w:pPr>
        <w:spacing w:after="0" w:line="215" w:lineRule="exact"/>
        <w:rPr>
          <w:rFonts w:ascii="Arial" w:cs="Arial" w:eastAsia="Arial" w:hAnsi="Arial"/>
          <w:sz w:val="22"/>
          <w:szCs w:val="22"/>
          <w:color w:val="auto"/>
        </w:rPr>
      </w:pPr>
    </w:p>
    <w:p>
      <w:pPr>
        <w:ind w:left="1180" w:hanging="532"/>
        <w:spacing w:after="0"/>
        <w:tabs>
          <w:tab w:leader="none" w:pos="118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3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As compensation for the performance of all duties to be performed by Executive hereunder, the Company shall pay to Executive a base salary of $450,000 per year on an annualized basis, less applicable deductions for state and federal withholding tax, social security and all other employment taxes and authorized payroll deductions, payable on a prorated basis as it is earned, in accordance with the normal payroll practices of the Company (the “</w:t>
      </w:r>
      <w:r>
        <w:rPr>
          <w:rFonts w:ascii="Arial" w:cs="Arial" w:eastAsia="Arial" w:hAnsi="Arial"/>
          <w:sz w:val="22"/>
          <w:szCs w:val="22"/>
          <w:b w:val="1"/>
          <w:bCs w:val="1"/>
          <w:color w:val="auto"/>
        </w:rPr>
        <w:t>Base Salary</w:t>
      </w:r>
      <w:r>
        <w:rPr>
          <w:rFonts w:ascii="Arial" w:cs="Arial" w:eastAsia="Arial" w:hAnsi="Arial"/>
          <w:sz w:val="22"/>
          <w:szCs w:val="22"/>
          <w:color w:val="auto"/>
        </w:rPr>
        <w:t>”).</w:t>
      </w:r>
    </w:p>
    <w:p>
      <w:pPr>
        <w:spacing w:after="0" w:line="21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Bonus and Relocation Expenses.</w:t>
      </w:r>
      <w:r>
        <w:rPr>
          <w:rFonts w:ascii="Arial" w:cs="Arial" w:eastAsia="Arial" w:hAnsi="Arial"/>
          <w:sz w:val="19"/>
          <w:szCs w:val="19"/>
          <w:color w:val="auto"/>
        </w:rPr>
        <w:t xml:space="preserve"> As a signing bonus, Executive shall receive a one-time payment of $160,000 (subject to payroll taxes), which will be paid on the first regular payroll date after the Start Date (the </w:t>
      </w:r>
      <w:r>
        <w:rPr>
          <w:rFonts w:ascii="Arial" w:cs="Arial" w:eastAsia="Arial" w:hAnsi="Arial"/>
          <w:sz w:val="19"/>
          <w:szCs w:val="19"/>
          <w:b w:val="1"/>
          <w:bCs w:val="1"/>
          <w:color w:val="auto"/>
        </w:rPr>
        <w:t>“Signing Bonus Payment</w:t>
      </w:r>
      <w:r>
        <w:rPr>
          <w:rFonts w:ascii="Arial" w:cs="Arial" w:eastAsia="Arial" w:hAnsi="Arial"/>
          <w:sz w:val="19"/>
          <w:szCs w:val="19"/>
          <w:color w:val="auto"/>
        </w:rPr>
        <w:t>”). The Signing Bonus Payment shall be considered earned twelve (12) months following the Start Date or, if applicable, the date on which Executive’s employment is terminated by the Company without Cause (as defined herein), due to death or Disability (as defined herein), or by Executive for Good Reason (as defined herein) prior to the first anniversary of the Start Date. If Executive’s employment is terminated by the Company for Cause or by Executive without Good Reason, prior to the first anniversary of the Start Date, he shall, within ten (10) days after such termination, repay to the Company the entire gross amount of the signing bonus (before the deduction of any applicable taxes) previously paid to him. For avoidance of doubt, the Signing Bonus Payment is an advance only and shall not be deemed earned unless the foregoing requirements for the signing bonus are satisfied. Executive acknowledges that any expenses incurred by Executive in the course of relocation to the vicinity of San Carlos, California shall be solely borne by Executive and that the Company has provided the Signing Bonus Payment in consideration of such expenses.</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Stock Options.</w:t>
      </w:r>
      <w:r>
        <w:rPr>
          <w:rFonts w:ascii="Arial" w:cs="Arial" w:eastAsia="Arial" w:hAnsi="Arial"/>
          <w:sz w:val="19"/>
          <w:szCs w:val="19"/>
          <w:color w:val="auto"/>
        </w:rPr>
        <w:t xml:space="preserve"> Executive shall be issued an award for stock options to purchase an aggregate of 160,000 shares of the Company’s common stock under the Company’s 2018 Equity Incentive Plan (the “</w:t>
      </w:r>
      <w:r>
        <w:rPr>
          <w:rFonts w:ascii="Arial" w:cs="Arial" w:eastAsia="Arial" w:hAnsi="Arial"/>
          <w:sz w:val="19"/>
          <w:szCs w:val="19"/>
          <w:b w:val="1"/>
          <w:bCs w:val="1"/>
          <w:color w:val="auto"/>
        </w:rPr>
        <w:t>Option</w:t>
      </w:r>
      <w:r>
        <w:rPr>
          <w:rFonts w:ascii="Arial" w:cs="Arial" w:eastAsia="Arial" w:hAnsi="Arial"/>
          <w:sz w:val="19"/>
          <w:szCs w:val="19"/>
          <w:color w:val="auto"/>
        </w:rPr>
        <w:t>”) as soon as administratively practicable following the Start Date. To the maximum extent legally permitted, the Option shall be an incentive stock option. The Option will have an exercise price equal to the closing trading price of the common stock on the date of grant. Provided that Executive is still employed with the Company on the following dates, the Option will vest in installments as follows: (i) one-third of the Option shall vest on the one year anniversary of the Start Date; and (ii) the remaining portion of the Option shall vest as to one-twelfth of 160,000 shares at the end of each calendar quarter over the next two years, commencing with the first calendar quarter following the first anniversary of the Start Date. Upon the termination of Executive’s employment with the Company, except as otherwise provided herein, any then-unvested portion of the Option will be forfeited. For clarity, any forfeiture of Options shall only be made pursuant to the terms of the Plan and Option Agreement. To the extent vested, the Option will become exercisable. In all cases, Executive’s vested portion of the Option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9" w:name="page90"/>
    <w:bookmarkEnd w:id="89"/>
    <w:p>
      <w:pPr>
        <w:jc w:val="both"/>
        <w:spacing w:after="0" w:line="241" w:lineRule="auto"/>
        <w:rPr>
          <w:sz w:val="20"/>
          <w:szCs w:val="20"/>
          <w:color w:val="auto"/>
        </w:rPr>
      </w:pPr>
      <w:r>
        <w:rPr>
          <w:rFonts w:ascii="Arial" w:cs="Arial" w:eastAsia="Arial" w:hAnsi="Arial"/>
          <w:sz w:val="22"/>
          <w:szCs w:val="22"/>
          <w:color w:val="auto"/>
        </w:rPr>
        <w:t>shall remain exercisable for at least three (3) months following termination of Executive’s employment for any reason. Except as specifically provided herein, the Option shall be subject to the terms and conditions of the 2018 Equity Incentive Plan and your individual stock option agreement.</w:t>
      </w:r>
    </w:p>
    <w:p>
      <w:pPr>
        <w:spacing w:after="0" w:line="211"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Incentive Compensation.</w:t>
      </w:r>
      <w:r>
        <w:rPr>
          <w:rFonts w:ascii="Arial" w:cs="Arial" w:eastAsia="Arial" w:hAnsi="Arial"/>
          <w:sz w:val="21"/>
          <w:szCs w:val="21"/>
          <w:color w:val="auto"/>
        </w:rPr>
        <w:t xml:space="preserve"> Executive will be eligible to participate in the Company’s annual incentive compensation program (“</w:t>
      </w:r>
      <w:r>
        <w:rPr>
          <w:rFonts w:ascii="Arial" w:cs="Arial" w:eastAsia="Arial" w:hAnsi="Arial"/>
          <w:sz w:val="21"/>
          <w:szCs w:val="21"/>
          <w:b w:val="1"/>
          <w:bCs w:val="1"/>
          <w:color w:val="auto"/>
        </w:rPr>
        <w:t>Incentive Plan</w:t>
      </w:r>
      <w:r>
        <w:rPr>
          <w:rFonts w:ascii="Arial" w:cs="Arial" w:eastAsia="Arial" w:hAnsi="Arial"/>
          <w:sz w:val="21"/>
          <w:szCs w:val="21"/>
          <w:color w:val="auto"/>
        </w:rPr>
        <w:t>”) applicable to executive employees, as approved by the Board (the year in which the program is implemented, the “</w:t>
      </w:r>
      <w:r>
        <w:rPr>
          <w:rFonts w:ascii="Arial" w:cs="Arial" w:eastAsia="Arial" w:hAnsi="Arial"/>
          <w:sz w:val="21"/>
          <w:szCs w:val="21"/>
          <w:b w:val="1"/>
          <w:bCs w:val="1"/>
          <w:color w:val="auto"/>
        </w:rPr>
        <w:t>Plan Year</w:t>
      </w:r>
      <w:r>
        <w:rPr>
          <w:rFonts w:ascii="Arial" w:cs="Arial" w:eastAsia="Arial" w:hAnsi="Arial"/>
          <w:sz w:val="21"/>
          <w:szCs w:val="21"/>
          <w:color w:val="auto"/>
        </w:rPr>
        <w:t>”). The Incentive Compensation shall be paid in accordance with the terms and conditions outlined in the Incentive Plan and based upon the achievement of certain goals, objectives, and other metrics as decided by the Board in its sole discretion. The maximum potential amount payable to Executive under the Incentive Plan, as determined by the Board in its sole discretion, shall be 40% of Executive’s Base Salary earned during the applicable calendar year (“</w:t>
      </w:r>
      <w:r>
        <w:rPr>
          <w:rFonts w:ascii="Arial" w:cs="Arial" w:eastAsia="Arial" w:hAnsi="Arial"/>
          <w:sz w:val="21"/>
          <w:szCs w:val="21"/>
          <w:b w:val="1"/>
          <w:bCs w:val="1"/>
          <w:color w:val="auto"/>
        </w:rPr>
        <w:t>Maximum Target Bonus</w:t>
      </w:r>
      <w:r>
        <w:rPr>
          <w:rFonts w:ascii="Arial" w:cs="Arial" w:eastAsia="Arial" w:hAnsi="Arial"/>
          <w:sz w:val="21"/>
          <w:szCs w:val="21"/>
          <w:color w:val="auto"/>
        </w:rPr>
        <w:t>”). Compensation under the Incentive Plan (“</w:t>
      </w:r>
      <w:r>
        <w:rPr>
          <w:rFonts w:ascii="Arial" w:cs="Arial" w:eastAsia="Arial" w:hAnsi="Arial"/>
          <w:sz w:val="21"/>
          <w:szCs w:val="21"/>
          <w:b w:val="1"/>
          <w:bCs w:val="1"/>
          <w:color w:val="auto"/>
        </w:rPr>
        <w:t>Incentive Compensation</w:t>
      </w:r>
      <w:r>
        <w:rPr>
          <w:rFonts w:ascii="Arial" w:cs="Arial" w:eastAsia="Arial" w:hAnsi="Arial"/>
          <w:sz w:val="21"/>
          <w:szCs w:val="21"/>
          <w:color w:val="auto"/>
        </w:rPr>
        <w:t>”) will be conditioned on the satisfaction of individual and Company objectives, as established in writing by the Company. No Incentive Compensation will be payable to Executive to the extent Executive is not employed on the Incentive Compensation payment date. Payment of any Incentive Compensation pursuant to this Section 5.4 is in the sole discretion of the Board, in accordance with the Incentive Plan, and shall be made within two and one-half months of the end of the calendar year to which the Incentive Compensation relates, in accordance with the normal payroll practices of the Company, less required deductions for state and federal withholding tax, social security and all other employment taxes and authorized payroll deductions.</w:t>
      </w:r>
    </w:p>
    <w:p>
      <w:pPr>
        <w:spacing w:after="0" w:line="22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Performance Review.</w:t>
      </w:r>
      <w:r>
        <w:rPr>
          <w:rFonts w:ascii="Arial" w:cs="Arial" w:eastAsia="Arial" w:hAnsi="Arial"/>
          <w:sz w:val="19"/>
          <w:szCs w:val="19"/>
          <w:color w:val="auto"/>
        </w:rPr>
        <w:t xml:space="preserve"> The Company will periodically review Executive’s performance on no less than an annual basis and may increase (but not decrease) Executive’s salary or other compensation, as it deems appropriate in its sole and absolute discretion and with any necessary Board approval requirements.</w:t>
      </w:r>
    </w:p>
    <w:p>
      <w:pPr>
        <w:spacing w:after="0" w:line="16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Customary Fringe Benefits.</w:t>
      </w:r>
      <w:r>
        <w:rPr>
          <w:rFonts w:ascii="Arial" w:cs="Arial" w:eastAsia="Arial" w:hAnsi="Arial"/>
          <w:sz w:val="19"/>
          <w:szCs w:val="19"/>
          <w:color w:val="auto"/>
        </w:rPr>
        <w:t xml:space="preserve"> Executive understands and agrees that certain employee benefits may be provided to the Executive by the Company incident to the Executive's employment. Executive will be eligible for all customary and usual fringe benefits generally available to executive employees and all other employees of the Company subject to the terms and conditions of the Company’s benefit plan documents. Executive understands and agrees that any employee benefits provided to the Executive by the Company incident to the Executive's employment (other than Base Salary, Signing Bonus Payment, Incentive Compensation and any applicable Severance Payment)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insurances and participation in a 401(k) plan. Executive will be eligible to receive paid time off benefits in the form of vacation, sick time and holidays. The amount, eligibility and extent of these benefits shall be governed by the Company’s applicable policy in effect and as amended from time to time and in compliance with applicable law.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0" w:name="page91"/>
    <w:bookmarkEnd w:id="90"/>
    <w:p>
      <w:pPr>
        <w:jc w:val="both"/>
        <w:ind w:left="1" w:firstLine="1297"/>
        <w:spacing w:after="0" w:line="277"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Business Expenses.</w:t>
      </w:r>
      <w:r>
        <w:rPr>
          <w:rFonts w:ascii="Arial" w:cs="Arial" w:eastAsia="Arial" w:hAnsi="Arial"/>
          <w:sz w:val="19"/>
          <w:szCs w:val="19"/>
          <w:color w:val="auto"/>
        </w:rPr>
        <w:t xml:space="preserve"> Executive will be reimbursed for all reasonable and necessary out-of-pocket business expenses incurred in the performance of Executive’s duties on behalf of the Company, including travel-related expenses. To obtain reimbursement, Executive shall provide the Company with reasonable documentation and receipts establishing the amount and nature of such expenses within thirty (30) days of the date such expenses are incurred, which if timely substantiated will be reimbursed by the Company within thirty (30) days thereof. Executive shall comply with such reasonable budget limitations and pre-approval, approval, and reporting requirements with respect to expenses as the Company may establish from time to time.</w:t>
      </w:r>
    </w:p>
    <w:p>
      <w:pPr>
        <w:spacing w:after="0" w:line="180" w:lineRule="exact"/>
        <w:rPr>
          <w:sz w:val="20"/>
          <w:szCs w:val="20"/>
          <w:color w:val="auto"/>
        </w:rPr>
      </w:pPr>
    </w:p>
    <w:p>
      <w:pPr>
        <w:jc w:val="both"/>
        <w:ind w:left="1" w:firstLine="1297"/>
        <w:spacing w:after="0" w:line="235"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Indemnification/D&amp;O Insurance</w:t>
      </w:r>
      <w:r>
        <w:rPr>
          <w:rFonts w:ascii="Arial" w:cs="Arial" w:eastAsia="Arial" w:hAnsi="Arial"/>
          <w:sz w:val="22"/>
          <w:szCs w:val="22"/>
          <w:color w:val="auto"/>
        </w:rPr>
        <w:t>. During employment and for so long thereafter as Executive may reasonably be subject to any claim or liability arising from or relating to his employment with the Company or any of its affiliates, the Company shall (a) indemnify, defend and hold Executive harmless to the full extent provided in Article IX of the Company’s Bylaws and (b) maintain, at its sole expense, director and officer liability insurance covering Executive in Executive’s capacity as an officer or employee of the Company or any of its affiliates.</w:t>
      </w:r>
    </w:p>
    <w:p>
      <w:pPr>
        <w:spacing w:after="0" w:line="215" w:lineRule="exact"/>
        <w:rPr>
          <w:sz w:val="20"/>
          <w:szCs w:val="20"/>
          <w:color w:val="auto"/>
        </w:rPr>
      </w:pPr>
    </w:p>
    <w:p>
      <w:pPr>
        <w:jc w:val="both"/>
        <w:ind w:left="1" w:firstLine="648"/>
        <w:spacing w:after="0" w:line="274" w:lineRule="auto"/>
        <w:tabs>
          <w:tab w:leader="none" w:pos="129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Confidentiality and Proprietary Agreement.</w:t>
      </w:r>
      <w:r>
        <w:rPr>
          <w:rFonts w:ascii="Arial" w:cs="Arial" w:eastAsia="Arial" w:hAnsi="Arial"/>
          <w:sz w:val="19"/>
          <w:szCs w:val="19"/>
          <w:color w:val="auto"/>
        </w:rPr>
        <w:t xml:space="preserve"> Executive agrees to abide by the Company’s Employee Proprietary Information and Inventions Agreement (the “</w:t>
      </w:r>
      <w:r>
        <w:rPr>
          <w:rFonts w:ascii="Arial" w:cs="Arial" w:eastAsia="Arial" w:hAnsi="Arial"/>
          <w:sz w:val="19"/>
          <w:szCs w:val="19"/>
          <w:b w:val="1"/>
          <w:bCs w:val="1"/>
          <w:color w:val="auto"/>
        </w:rPr>
        <w:t>EPIIA</w:t>
      </w:r>
      <w:r>
        <w:rPr>
          <w:rFonts w:ascii="Arial" w:cs="Arial" w:eastAsia="Arial" w:hAnsi="Arial"/>
          <w:sz w:val="19"/>
          <w:szCs w:val="19"/>
          <w:color w:val="auto"/>
        </w:rPr>
        <w:t>”), which Executive has signed and is incorporated herein by reference. Notwithstanding anything to the contrary in the EPIIA, following termination for any reason, Executive may retain personal social media accounts not owned, operated, or controlled by the Company provided that such accounts are not used for business purposes and are not used to transmit or disseminate Company Proprietary Information as defined in the EPIIA. Nothing prohibits Executive from providing truthful testimony, communicating with applicable government or regulatory agencies, or responding accurately and fully to any question, inquiry or request for information or disclosure of documents as necessary in any criminal, civil, or regulatory proceeding or investigation or in any legal dispute with the Company.</w:t>
      </w:r>
    </w:p>
    <w:p>
      <w:pPr>
        <w:spacing w:after="0" w:line="185" w:lineRule="exact"/>
        <w:rPr>
          <w:rFonts w:ascii="Arial" w:cs="Arial" w:eastAsia="Arial" w:hAnsi="Arial"/>
          <w:sz w:val="19"/>
          <w:szCs w:val="19"/>
          <w:color w:val="auto"/>
        </w:rPr>
      </w:pPr>
    </w:p>
    <w:p>
      <w:pPr>
        <w:ind w:left="1181" w:hanging="532"/>
        <w:spacing w:after="0"/>
        <w:tabs>
          <w:tab w:leader="none" w:pos="1181"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Termination of Executive’s Employment.</w:t>
      </w:r>
    </w:p>
    <w:p>
      <w:pPr>
        <w:spacing w:after="0" w:line="233" w:lineRule="exact"/>
        <w:rPr>
          <w:sz w:val="20"/>
          <w:szCs w:val="20"/>
          <w:color w:val="auto"/>
        </w:rPr>
      </w:pPr>
    </w:p>
    <w:p>
      <w:pPr>
        <w:jc w:val="both"/>
        <w:ind w:left="1" w:firstLine="1297"/>
        <w:spacing w:after="0" w:line="268"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Termination for Cause by the Company.</w:t>
      </w:r>
      <w:r>
        <w:rPr>
          <w:rFonts w:ascii="Arial" w:cs="Arial" w:eastAsia="Arial" w:hAnsi="Arial"/>
          <w:sz w:val="19"/>
          <w:szCs w:val="19"/>
          <w:color w:val="auto"/>
        </w:rPr>
        <w:t xml:space="preserve"> The Company may terminate Executive’s employment immediately at any time and without notice for “Cause.” For purposes of this Agreement, “Cause” shall mean (i) material breach by Executive of this Agreement or the EPIIA; (ii) Executive’s theft, dishonesty, or falsification of any Company documents or records; (iii) Executive’s material improper use or disclosure of the Company’s confidential or proprietary information; (iv) Executive’s conviction (including any plea of guilty or nolo contendere) of any criminal act that impairs Executive’s ability to perform his duties hereunder or which a majority of the Board determines may materially damage the business or reputation of the Company; (v) material failure or refusal to comply with reasonable and lawful Company policies and procedures; or (vi) Executive’s material failure and/or inability to comply with or meet the requirements of any performance improvement plan reasonably provided to Executive by the Chief Executive Officer and/or the Board;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prior to termination for cause arising under any of the above clauses, except clause (iv), Executive shall have a period of at least thirty</w:t>
      </w:r>
    </w:p>
    <w:p>
      <w:pPr>
        <w:spacing w:after="0" w:line="8" w:lineRule="exact"/>
        <w:rPr>
          <w:sz w:val="20"/>
          <w:szCs w:val="20"/>
          <w:color w:val="auto"/>
        </w:rPr>
      </w:pPr>
    </w:p>
    <w:p>
      <w:pPr>
        <w:jc w:val="both"/>
        <w:ind w:left="1" w:hanging="1"/>
        <w:spacing w:after="0" w:line="234" w:lineRule="auto"/>
        <w:tabs>
          <w:tab w:leader="none" w:pos="424" w:val="left"/>
        </w:tabs>
        <w:numPr>
          <w:ilvl w:val="0"/>
          <w:numId w:val="34"/>
        </w:numPr>
        <w:rPr>
          <w:rFonts w:ascii="Arial" w:cs="Arial" w:eastAsia="Arial" w:hAnsi="Arial"/>
          <w:sz w:val="22"/>
          <w:szCs w:val="22"/>
          <w:color w:val="auto"/>
        </w:rPr>
      </w:pPr>
      <w:r>
        <w:rPr>
          <w:rFonts w:ascii="Arial" w:cs="Arial" w:eastAsia="Arial" w:hAnsi="Arial"/>
          <w:sz w:val="22"/>
          <w:szCs w:val="22"/>
          <w:color w:val="auto"/>
        </w:rPr>
        <w:t>days after written notice from the Company to cure the event or grounds identified as constituting such cause. Any notice of termination provided by Company to Executive under this Section 7.1 shall identify the events or conduct constituting the grounds for termination with sufficient specificity so as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91" w:name="page92"/>
    <w:bookmarkEnd w:id="91"/>
    <w:p>
      <w:pPr>
        <w:jc w:val="both"/>
        <w:spacing w:after="0" w:line="273" w:lineRule="auto"/>
        <w:rPr>
          <w:sz w:val="20"/>
          <w:szCs w:val="20"/>
          <w:color w:val="auto"/>
        </w:rPr>
      </w:pPr>
      <w:r>
        <w:rPr>
          <w:rFonts w:ascii="Arial" w:cs="Arial" w:eastAsia="Arial" w:hAnsi="Arial"/>
          <w:sz w:val="19"/>
          <w:szCs w:val="19"/>
          <w:color w:val="auto"/>
        </w:rPr>
        <w:t>enable Executive to take steps to cure, if curable, the same. In the event Executive’s employment is terminated in accordance with this Section 7.1, or if Executive’s employment is terminated due to death or Disability (i.e., Executive’s inability to materially perform his reasonable duties assigned hereunder for a period of 180 days), Executive shall be entitled to receive only the Base Salary, prorated to the date of termination, any then-vested benefits, and payment for all accrued but unused vacation as of the date of termination (collectively, the “</w:t>
      </w:r>
      <w:r>
        <w:rPr>
          <w:rFonts w:ascii="Arial" w:cs="Arial" w:eastAsia="Arial" w:hAnsi="Arial"/>
          <w:sz w:val="19"/>
          <w:szCs w:val="19"/>
          <w:b w:val="1"/>
          <w:bCs w:val="1"/>
          <w:color w:val="auto"/>
        </w:rPr>
        <w:t>Accrued</w:t>
      </w:r>
      <w:r>
        <w:rPr>
          <w:rFonts w:ascii="Arial" w:cs="Arial" w:eastAsia="Arial" w:hAnsi="Arial"/>
          <w:sz w:val="19"/>
          <w:szCs w:val="19"/>
          <w:color w:val="auto"/>
        </w:rPr>
        <w:t xml:space="preserve"> </w:t>
      </w:r>
      <w:r>
        <w:rPr>
          <w:rFonts w:ascii="Arial" w:cs="Arial" w:eastAsia="Arial" w:hAnsi="Arial"/>
          <w:sz w:val="19"/>
          <w:szCs w:val="19"/>
          <w:b w:val="1"/>
          <w:bCs w:val="1"/>
          <w:color w:val="auto"/>
        </w:rPr>
        <w:t>Amounts</w:t>
      </w:r>
      <w:r>
        <w:rPr>
          <w:rFonts w:ascii="Arial" w:cs="Arial" w:eastAsia="Arial" w:hAnsi="Arial"/>
          <w:sz w:val="19"/>
          <w:szCs w:val="19"/>
          <w:color w:val="auto"/>
        </w:rPr>
        <w:t>”). All other obligations of the Company to Executive pursuant to this Agreement will be automatically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and completely extinguished. Executive shall be required to comply with all surviving provisions of this Agreement and the EPIIA, and Executive shall execute termination certification agreements relating to the return of the Company’s confidential or proprietary information, handling of material non-public information and compliance with securities laws, and compliance with the Company’s policies, including insider trading, information technology, and human resources policies.</w:t>
      </w:r>
    </w:p>
    <w:p>
      <w:pPr>
        <w:spacing w:after="0" w:line="18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xml:space="preserve"> The Company may terminate Executive’s employment under this Agreement without Cause (as defined in Section 7.1 above) at any time on thirty (30) days’ advance written notice to Executive. In the event of such termination, Executive will receive the Accrued Amounts. Executive shall be required to comply with all surviving provisions of this Agreement and the EPIIA, and Executive shall execute termination certification agreements relating to the return of the Company’s confidential or proprietary information, handling of material non-public information and compliance with securities laws, and compliance with the Company’s policies, including insider trading, information technology, and human resources policies. Upon a termination of Executive’s employment by the Company other than for death, disability or Cause (a “</w:t>
      </w:r>
      <w:r>
        <w:rPr>
          <w:rFonts w:ascii="Arial" w:cs="Arial" w:eastAsia="Arial" w:hAnsi="Arial"/>
          <w:sz w:val="19"/>
          <w:szCs w:val="19"/>
          <w:b w:val="1"/>
          <w:bCs w:val="1"/>
          <w:color w:val="auto"/>
        </w:rPr>
        <w:t>Termination</w:t>
      </w:r>
      <w:r>
        <w:rPr>
          <w:rFonts w:ascii="Arial" w:cs="Arial" w:eastAsia="Arial" w:hAnsi="Arial"/>
          <w:sz w:val="19"/>
          <w:szCs w:val="19"/>
          <w:color w:val="auto"/>
        </w:rPr>
        <w:t xml:space="preserve"> </w:t>
      </w:r>
      <w:r>
        <w:rPr>
          <w:rFonts w:ascii="Arial" w:cs="Arial" w:eastAsia="Arial" w:hAnsi="Arial"/>
          <w:sz w:val="19"/>
          <w:szCs w:val="19"/>
          <w:b w:val="1"/>
          <w:bCs w:val="1"/>
          <w:color w:val="auto"/>
        </w:rPr>
        <w:t>Without Cause</w:t>
      </w:r>
      <w:r>
        <w:rPr>
          <w:rFonts w:ascii="Arial" w:cs="Arial" w:eastAsia="Arial" w:hAnsi="Arial"/>
          <w:sz w:val="19"/>
          <w:szCs w:val="19"/>
          <w:color w:val="auto"/>
        </w:rPr>
        <w:t>”) or a resignation by Executive for Good Reason (as defined below), Executive will be eligible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provided that Executive first satisfies the Severance Conditions set forth below, an amount equal to six (6) months of Executive’s then-current Base Salary, payable in a lump sum within thirty (30) days after termination. For purposes of this Agreement, the “</w:t>
      </w:r>
      <w:r>
        <w:rPr>
          <w:rFonts w:ascii="Arial" w:cs="Arial" w:eastAsia="Arial" w:hAnsi="Arial"/>
          <w:sz w:val="19"/>
          <w:szCs w:val="19"/>
          <w:b w:val="1"/>
          <w:bCs w:val="1"/>
          <w:color w:val="auto"/>
        </w:rPr>
        <w:t>Severance Conditions</w:t>
      </w:r>
      <w:r>
        <w:rPr>
          <w:rFonts w:ascii="Arial" w:cs="Arial" w:eastAsia="Arial" w:hAnsi="Arial"/>
          <w:sz w:val="19"/>
          <w:szCs w:val="19"/>
          <w:color w:val="auto"/>
        </w:rPr>
        <w:t>” are defined as Executive’s execution of a full general release (the “</w:t>
      </w:r>
      <w:r>
        <w:rPr>
          <w:rFonts w:ascii="Arial" w:cs="Arial" w:eastAsia="Arial" w:hAnsi="Arial"/>
          <w:sz w:val="19"/>
          <w:szCs w:val="19"/>
          <w:b w:val="1"/>
          <w:bCs w:val="1"/>
          <w:color w:val="auto"/>
        </w:rPr>
        <w:t>Release</w:t>
      </w:r>
      <w:r>
        <w:rPr>
          <w:rFonts w:ascii="Arial" w:cs="Arial" w:eastAsia="Arial" w:hAnsi="Arial"/>
          <w:sz w:val="19"/>
          <w:szCs w:val="19"/>
          <w:color w:val="auto"/>
        </w:rPr>
        <w:t>”), and such Release becomes effective and irrevocable in accordance with its terms prior to the sixtieth (60) day following the termination date. Following payment of Accrued Benefits and any severance payments and benefits required to be paid under this Section 7.2, all other obligations of the Company to Executive pursuant to this Agreement (except any continuing obligations for indemnification, etc.) will be automatically terminated and completely extinguished. The Release will not waive any of Executive’s rights, or obligations of the Company, regarding: (1) any right to indemnification and/or contribution, advancement or payment of related expenses pursuant to the Company’s Bylaws, under any written agreement between the Parties, and/or under applicable law; (2) any rights that Executive may have to insurance coverage under any directors and officers liability insurance, other insurance policies of the Company; (3) any claims for worker’s compensation, state disability or unemployment insurance benefits, or any other claims that cannot be released as a matter of applicable law; (4) rights to any vested benefits under any stock, compensation or other employee benefit plan or agreement with the Company, including any right to severance benefits; (5) Executive’s rights as a shareholder of the Company, if applicable; and (6) any claims arising after the date Executive signs the Release.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2" w:name="page93"/>
    <w:bookmarkEnd w:id="92"/>
    <w:p>
      <w:pPr>
        <w:jc w:val="both"/>
        <w:ind w:firstLine="1297"/>
        <w:spacing w:after="0" w:line="245"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Termination In Connection With a Change in Control.</w:t>
      </w:r>
      <w:r>
        <w:rPr>
          <w:rFonts w:ascii="Arial" w:cs="Arial" w:eastAsia="Arial" w:hAnsi="Arial"/>
          <w:sz w:val="21"/>
          <w:szCs w:val="21"/>
          <w:color w:val="auto"/>
        </w:rPr>
        <w:t xml:space="preserve"> If, within six (6) months immediately preceding a Change in Control or within twelve (12) months immediately following a Change in Control, the Executive’s employment experiences a Termination Without Cause or Executive resigns for Good Reason, then the Executive shall be entitled to receive the following compensation, provided that Executive first satisfies the Severance Conditions: (i) the severance payments and benefits set forth in Section 7.2, and (ii) any then time-based unvested stock options or other equity awards granted to Executive by the Company (including the Option) will immediately fully vest as of the last day of Executive’s employment with the Company (the “</w:t>
      </w:r>
      <w:r>
        <w:rPr>
          <w:rFonts w:ascii="Arial" w:cs="Arial" w:eastAsia="Arial" w:hAnsi="Arial"/>
          <w:sz w:val="21"/>
          <w:szCs w:val="21"/>
          <w:b w:val="1"/>
          <w:bCs w:val="1"/>
          <w:color w:val="auto"/>
        </w:rPr>
        <w:t>Accelerated</w:t>
      </w:r>
      <w:r>
        <w:rPr>
          <w:rFonts w:ascii="Arial" w:cs="Arial" w:eastAsia="Arial" w:hAnsi="Arial"/>
          <w:sz w:val="21"/>
          <w:szCs w:val="21"/>
          <w:color w:val="auto"/>
        </w:rPr>
        <w:t xml:space="preserve"> </w:t>
      </w:r>
      <w:r>
        <w:rPr>
          <w:rFonts w:ascii="Arial" w:cs="Arial" w:eastAsia="Arial" w:hAnsi="Arial"/>
          <w:sz w:val="21"/>
          <w:szCs w:val="21"/>
          <w:b w:val="1"/>
          <w:bCs w:val="1"/>
          <w:color w:val="auto"/>
        </w:rPr>
        <w:t>Vesting</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Change in Control</w:t>
      </w:r>
      <w:r>
        <w:rPr>
          <w:rFonts w:ascii="Arial" w:cs="Arial" w:eastAsia="Arial" w:hAnsi="Arial"/>
          <w:sz w:val="21"/>
          <w:szCs w:val="21"/>
          <w:color w:val="auto"/>
        </w:rPr>
        <w:t>” shall have the meaning set forth in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2018 Equity Incentive Plan.</w:t>
      </w:r>
    </w:p>
    <w:p>
      <w:pPr>
        <w:spacing w:after="0" w:line="21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Resignation With or Without Good Reason.</w:t>
      </w:r>
      <w:r>
        <w:rPr>
          <w:rFonts w:ascii="Arial" w:cs="Arial" w:eastAsia="Arial" w:hAnsi="Arial"/>
          <w:sz w:val="19"/>
          <w:szCs w:val="19"/>
          <w:color w:val="auto"/>
        </w:rPr>
        <w:t xml:space="preserve"> Executive shall have the right to terminate this Agreement at any time, for any reason, without Good Reason, by providing the Company with thirty (30) days written notice, provided, however, that subsequent to Executive’s resignation, Executive shall be required to comply with all surviving provisions of this Agreement and the EPIIA, and Executive shall execute termination certification agreements relating to the return of the Company’s confidential or proprietary information, handling of material non-public information and compliance with securities laws, and compliance with the Company’s policies, including insider trading, information technology, and human resources policies. Executive shall not be entitled to any Severance Pay. Executive will only be entitled to receive Executive’s Base Salary earned up to the date of termination. Notwithstanding the foregoing or anything to the contrary in this Agreement, Executive also has the right to resign Executive’s employment for “</w:t>
      </w:r>
      <w:r>
        <w:rPr>
          <w:rFonts w:ascii="Arial" w:cs="Arial" w:eastAsia="Arial" w:hAnsi="Arial"/>
          <w:sz w:val="19"/>
          <w:szCs w:val="19"/>
          <w:b w:val="1"/>
          <w:bCs w:val="1"/>
          <w:color w:val="auto"/>
        </w:rPr>
        <w:t>Good Reason</w:t>
      </w:r>
      <w:r>
        <w:rPr>
          <w:rFonts w:ascii="Arial" w:cs="Arial" w:eastAsia="Arial" w:hAnsi="Arial"/>
          <w:sz w:val="19"/>
          <w:szCs w:val="19"/>
          <w:color w:val="auto"/>
        </w:rPr>
        <w:t>” due to occurrence of any of the following: (i) a material adverse change in Executive’s title, duties, or responsibilities; (ii) any material reduction by the Company of Executive’s base compensation; (iii) the Company creates a work environment designed to constructively terminate Executive, to unlawfully harass or retaliate against Executive, or directs Executive to engage in any conduct violative of professional medical ethics, any law or regulation applicable to the Company’s business; (iv) any material change to the geographic location of Executive’s principal place of employment that increases Executive’s one-way commute by at least 35 miles as compared to Executive’s then-current place of employment prior to such relocation; or (v) any material breach by the Company of this Agreement or any other written agreement between the Parties. No resignation will be treated as a resignation with Good Reason unless (x) the Executive has given written notice to the Company of his intention to terminate employment for Good Reason, describing the grounds for such action, within ninety (90) days after the first occurrence of such circumstances, (y) the Executive has provided the Company with at least thirty (30) days in which to cure the circumstances, and (z) if the Company fails to cure the circumstances, Executive ends his employment within 30 days following the cure period in (y). In the event that Executive terminates his employment for Good Reason, then Executive shall be entitled to receive the Accrued Amounts and Severance Payment, as if Executive were terminated by the Company without Cause under Section 7.2, subject to Executive’s compliance with all of the Severance Conditions. For the avoidance of doubt, if Executive’s resignation for Good Reason occurs within six (6) months before or twelve (12) months after a Change of Control, in addition to any other applicable benefits, Executive will also be entitled to receive the Accelerated Vesting provided under Section 7.3.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3" w:name="page94"/>
    <w:bookmarkEnd w:id="93"/>
    <w:p>
      <w:pPr>
        <w:ind w:left="1300"/>
        <w:spacing w:after="0"/>
        <w:tabs>
          <w:tab w:leader="none" w:pos="19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Application of Section 409A.</w:t>
      </w:r>
    </w:p>
    <w:p>
      <w:pPr>
        <w:spacing w:after="0" w:line="23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7.5(a) Notwithstanding anything set forth in this Agreement to the contrary, no amount payable pursuant to this Agreement which constitutes a “deferral of compensation” within the meaning of Section 409A of the Code (the “</w:t>
      </w:r>
      <w:r>
        <w:rPr>
          <w:rFonts w:ascii="Arial" w:cs="Arial" w:eastAsia="Arial" w:hAnsi="Arial"/>
          <w:sz w:val="19"/>
          <w:szCs w:val="19"/>
          <w:b w:val="1"/>
          <w:bCs w:val="1"/>
          <w:color w:val="auto"/>
        </w:rPr>
        <w:t>Code</w:t>
      </w:r>
      <w:r>
        <w:rPr>
          <w:rFonts w:ascii="Arial" w:cs="Arial" w:eastAsia="Arial" w:hAnsi="Arial"/>
          <w:sz w:val="19"/>
          <w:szCs w:val="19"/>
          <w:color w:val="auto"/>
        </w:rPr>
        <w:t>”) and the Treasury Department regulations thereunder (the “</w:t>
      </w:r>
      <w:r>
        <w:rPr>
          <w:rFonts w:ascii="Arial" w:cs="Arial" w:eastAsia="Arial" w:hAnsi="Arial"/>
          <w:sz w:val="19"/>
          <w:szCs w:val="19"/>
          <w:b w:val="1"/>
          <w:bCs w:val="1"/>
          <w:color w:val="auto"/>
        </w:rPr>
        <w:t>Section 409A</w:t>
      </w:r>
      <w:r>
        <w:rPr>
          <w:rFonts w:ascii="Arial" w:cs="Arial" w:eastAsia="Arial" w:hAnsi="Arial"/>
          <w:sz w:val="19"/>
          <w:szCs w:val="19"/>
          <w:color w:val="auto"/>
        </w:rPr>
        <w:t>”) shall be paid unless and until Executive has incurred a “separation from service” within the meaning of the Section 409A.</w:t>
      </w:r>
    </w:p>
    <w:p>
      <w:pPr>
        <w:spacing w:after="0" w:line="17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7.5(b) The parties intend that income provided to Executive pursuant to this Agreement will not be subject to taxation under Section 409A. The provisions of this Agreement shall be interpreted and construed in favor of satisfying any applicable requirements of Section 409A. However, the Company does not guarantee any particular tax effect for income provided to Executive pursuant to this Agreement. In any event, except for the Company’s responsibility to withhold applicable income and employment taxes from compensation paid or provided to Executive, the Company shall not be responsible for the payment of any applicable taxes on compensation paid or provided to Executive pursuant to this Agreement.</w:t>
      </w:r>
    </w:p>
    <w:p>
      <w:pPr>
        <w:spacing w:after="0" w:line="20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7.5(c) Furthermore, to the extent that Executive is a “specified employee” within the meaning of the Section 409Aas of the date of Executive’s separation from service, no amount that constitutes a deferral of compensation that is payable on account of Executive’s separation from service shall be paid to Executive before the date that is first day of the seventh month after the date of Executive’s separation from service (the “</w:t>
      </w:r>
      <w:r>
        <w:rPr>
          <w:rFonts w:ascii="Arial" w:cs="Arial" w:eastAsia="Arial" w:hAnsi="Arial"/>
          <w:sz w:val="21"/>
          <w:szCs w:val="21"/>
          <w:b w:val="1"/>
          <w:bCs w:val="1"/>
          <w:color w:val="auto"/>
        </w:rPr>
        <w:t>Delayed</w:t>
      </w:r>
      <w:r>
        <w:rPr>
          <w:rFonts w:ascii="Arial" w:cs="Arial" w:eastAsia="Arial" w:hAnsi="Arial"/>
          <w:sz w:val="21"/>
          <w:szCs w:val="21"/>
          <w:color w:val="auto"/>
        </w:rPr>
        <w:t xml:space="preserve"> </w:t>
      </w:r>
      <w:r>
        <w:rPr>
          <w:rFonts w:ascii="Arial" w:cs="Arial" w:eastAsia="Arial" w:hAnsi="Arial"/>
          <w:sz w:val="21"/>
          <w:szCs w:val="21"/>
          <w:b w:val="1"/>
          <w:bCs w:val="1"/>
          <w:color w:val="auto"/>
        </w:rPr>
        <w:t>Payment Date</w:t>
      </w:r>
      <w:r>
        <w:rPr>
          <w:rFonts w:ascii="Arial" w:cs="Arial" w:eastAsia="Arial" w:hAnsi="Arial"/>
          <w:sz w:val="21"/>
          <w:szCs w:val="21"/>
          <w:color w:val="auto"/>
        </w:rPr>
        <w:t>”) or, if earlier, the date of Executive’s death following such separation from service. All such</w:t>
      </w:r>
      <w:r>
        <w:rPr>
          <w:rFonts w:ascii="Arial" w:cs="Arial" w:eastAsia="Arial" w:hAnsi="Arial"/>
          <w:sz w:val="21"/>
          <w:szCs w:val="21"/>
          <w:b w:val="1"/>
          <w:bCs w:val="1"/>
          <w:color w:val="auto"/>
        </w:rPr>
        <w:t xml:space="preserve"> </w:t>
      </w:r>
      <w:r>
        <w:rPr>
          <w:rFonts w:ascii="Arial" w:cs="Arial" w:eastAsia="Arial" w:hAnsi="Arial"/>
          <w:sz w:val="21"/>
          <w:szCs w:val="21"/>
          <w:color w:val="auto"/>
        </w:rPr>
        <w:t>amounts that would, but for this Section, become payable prior to the Delayed Payment Date will be accumulated and paid on the Delayed Payment Date.</w:t>
      </w:r>
    </w:p>
    <w:p>
      <w:pPr>
        <w:spacing w:after="0" w:line="20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7.5(d) 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the Company’s applicable policies, but in no event later than the end of the year after the year in which such expense was incurred; and (iii) the right to reimbursement or in-kind benefits shall not be subject to liquidation or exchange for another benefit.</w:t>
      </w:r>
    </w:p>
    <w:p>
      <w:pPr>
        <w:spacing w:after="0" w:line="20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7.5(e) For purposes of Section 409A, the right to a series of installment payments under this Agreement shall be treated as a right to a series of separate payments.</w:t>
      </w:r>
    </w:p>
    <w:p>
      <w:pPr>
        <w:spacing w:after="0" w:line="20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7.5(f) If either Executive or Company reasonably determines that any payment or benefits hereunder will violate Section 409A, Executive and the Company will use best efforts to restructure the payment or benefits in a manner that is either exempt from or compliant with Section 409A. Executive and the Company agree that they will execute any and all amendments to this Agreement as may be necessary to ensure compliance with the distribution provisions of Section 409A in an effort to avoid or minimize, to the extent allowable by law, the tax (and any interest or penalties thereon) associated with Section 409A. If it is determined that a payment or other benefits under this Agreement was (or may be) provided in violation of Section 409A,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4" w:name="page95"/>
    <w:bookmarkEnd w:id="94"/>
    <w:p>
      <w:pPr>
        <w:jc w:val="both"/>
        <w:spacing w:after="0" w:line="241" w:lineRule="auto"/>
        <w:rPr>
          <w:sz w:val="20"/>
          <w:szCs w:val="20"/>
          <w:color w:val="auto"/>
        </w:rPr>
      </w:pPr>
      <w:r>
        <w:rPr>
          <w:rFonts w:ascii="Arial" w:cs="Arial" w:eastAsia="Arial" w:hAnsi="Arial"/>
          <w:sz w:val="22"/>
          <w:szCs w:val="22"/>
          <w:color w:val="auto"/>
        </w:rPr>
        <w:t>Company will cooperate reasonably with any effort by Executive to mitigate the tax consequences of such violation, including cooperation with Executive’s participation in any IRS voluntary compliance program or other correction procedure under Section 409A that may be available to Executive.</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Application of Section 280G</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7.6(a) Notwithstanding anything to the contrary in this Agreement or otherwise, to the extent that any of the payments and benefits provided under this Agreement or any other agreement or arrangement between Executive and the Company (collectively, the “</w:t>
      </w:r>
      <w:r>
        <w:rPr>
          <w:rFonts w:ascii="Arial" w:cs="Arial" w:eastAsia="Arial" w:hAnsi="Arial"/>
          <w:sz w:val="19"/>
          <w:szCs w:val="19"/>
          <w:b w:val="1"/>
          <w:bCs w:val="1"/>
          <w:color w:val="auto"/>
        </w:rPr>
        <w:t>Payments</w:t>
      </w:r>
      <w:r>
        <w:rPr>
          <w:rFonts w:ascii="Arial" w:cs="Arial" w:eastAsia="Arial" w:hAnsi="Arial"/>
          <w:sz w:val="19"/>
          <w:szCs w:val="19"/>
          <w:color w:val="auto"/>
        </w:rPr>
        <w:t>”) (i) constitute a “excess parachute payment” within the meaning of Section 280G of the Code and (ii) but for the provisions herein, would be subject to the excise tax imposed by Section 4999 of the Code, then the Payments shall be reduced to the extent necessary so that no portion of such Payments retained by Executive shall be subject to excise tax under Section 4999 of the Code; provided, however, such reduction shall only occur if, after taking into account the applicable federal, state and local income taxes and the excise tax imposed by Section 4999, such reduction results in Executive’s receipt on an after-tax basis, of the greatest amount of benefits under this Agreement or otherwise, notwithstanding that all or some portion of such benefits may be taxable under Section 4999 of the Code. In the event of a determination that such reduction is to take place, reduction shall occur in the following order: first, reduction of cash payments, which shall occur in reverse chronological order such that the cash payment owed on the latest date following the occurrence of the event triggering such excise tax will be the first cash payment to be reduced; second, cancellation of accelerated vesting of equity awards, which shall occur in the reverse order of the date of grant for such stock awards (i.e., the vesting of the most recently granted stock awards will be reduced first); and third, reduction of other employee benefits, which shall occur in reverse chronological order such that the benefit owed on the latest date following the occurrence of the event triggering such excise tax will be the first benefit to be reduced. If two or more equity awards are granted on the same date, each award will be reduced on a pro-rata basis.</w:t>
      </w:r>
    </w:p>
    <w:p>
      <w:pPr>
        <w:spacing w:after="0" w:line="19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7.6(b) Unless Executive and Company otherwise agree in writing, any determination required under the provisions herein shall be made in writing by Company’s independent public accountants or other professional tax or law firm (the “</w:t>
      </w:r>
      <w:r>
        <w:rPr>
          <w:rFonts w:ascii="Arial" w:cs="Arial" w:eastAsia="Arial" w:hAnsi="Arial"/>
          <w:sz w:val="19"/>
          <w:szCs w:val="19"/>
          <w:b w:val="1"/>
          <w:bCs w:val="1"/>
          <w:color w:val="auto"/>
        </w:rPr>
        <w:t>Accountants</w:t>
      </w:r>
      <w:r>
        <w:rPr>
          <w:rFonts w:ascii="Arial" w:cs="Arial" w:eastAsia="Arial" w:hAnsi="Arial"/>
          <w:sz w:val="19"/>
          <w:szCs w:val="19"/>
          <w:color w:val="auto"/>
        </w:rPr>
        <w:t>”), whose determination shall be conclusive and binding on Executive and the Company for all purposes. For purposes of making the calculations required by the provisions herein, the Accountants may make reasonable assumptions and approximations concerning applicable taxes and may rely in reasonable, good faith interpretations concerning the application of Sections 280G and 4999 of the Code. Executive and Company will furnish to the Accountants such information and documents as the Accountants may reasonably request in order to make a determination under the provisions herein. Company will bear all costs the Accountants may reasonably incur in connection with any calculations contemplated by the provisions herein. If the limitation set forth in this and the above paragraph are applied to reduce an amount payable to Executive, and the Internal Revenue Service successfully asserts that, despite the reduction, Executive has nonetheless received payments that are in excess of the maximum amount that could have been paid to Executive without being subjected to any excise tax, then, unless it would be unlawful for Company to make such a loan or similar extension of credit to Executive, Executive may repay such excess amount to Company as though such amount constitutes a loan to Executive made at the date of payment of such excess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5" w:name="page96"/>
    <w:bookmarkEnd w:id="95"/>
    <w:p>
      <w:pPr>
        <w:spacing w:after="0" w:line="251" w:lineRule="auto"/>
        <w:rPr>
          <w:sz w:val="20"/>
          <w:szCs w:val="20"/>
          <w:color w:val="auto"/>
        </w:rPr>
      </w:pPr>
      <w:r>
        <w:rPr>
          <w:rFonts w:ascii="Arial" w:cs="Arial" w:eastAsia="Arial" w:hAnsi="Arial"/>
          <w:sz w:val="22"/>
          <w:szCs w:val="22"/>
          <w:color w:val="auto"/>
        </w:rPr>
        <w:t>amount, bearing interest at 120% of the applicable federal rate (as determined under Section 1274(d) of the Code in respect of such loan).</w:t>
      </w:r>
    </w:p>
    <w:p>
      <w:pPr>
        <w:spacing w:after="0" w:line="201" w:lineRule="exact"/>
        <w:rPr>
          <w:sz w:val="20"/>
          <w:szCs w:val="20"/>
          <w:color w:val="auto"/>
        </w:rPr>
      </w:pPr>
    </w:p>
    <w:p>
      <w:pPr>
        <w:ind w:left="1180" w:hanging="532"/>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Employment and Post-Employment Covenants.</w:t>
      </w:r>
    </w:p>
    <w:p>
      <w:pPr>
        <w:spacing w:after="0" w:line="23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Non-Solicitation.</w:t>
      </w:r>
      <w:r>
        <w:rPr>
          <w:rFonts w:ascii="Arial" w:cs="Arial" w:eastAsia="Arial" w:hAnsi="Arial"/>
          <w:sz w:val="21"/>
          <w:szCs w:val="21"/>
          <w:color w:val="auto"/>
        </w:rPr>
        <w:t xml:space="preserve"> Executive agrees that during a period of twelve (12) months following the termination of the Executive’s employment (the “</w:t>
      </w:r>
      <w:r>
        <w:rPr>
          <w:rFonts w:ascii="Arial" w:cs="Arial" w:eastAsia="Arial" w:hAnsi="Arial"/>
          <w:sz w:val="21"/>
          <w:szCs w:val="21"/>
          <w:b w:val="1"/>
          <w:bCs w:val="1"/>
          <w:color w:val="auto"/>
        </w:rPr>
        <w:t>Restrictive Period</w:t>
      </w:r>
      <w:r>
        <w:rPr>
          <w:rFonts w:ascii="Arial" w:cs="Arial" w:eastAsia="Arial" w:hAnsi="Arial"/>
          <w:sz w:val="21"/>
          <w:szCs w:val="21"/>
          <w:color w:val="auto"/>
        </w:rPr>
        <w:t>”), Executive shall not (a) solicit or in any manner encourage, either directly or indirectly, any existing employee of the Company to leave the Company for any reason; nor will he interfere in any other manner with the employment or business relationships at the time existing between the Company and its current or prospective employees or consultants; or (b) induce or attempt to induce any customer, supplier, distributor, licensee or other business affiliate of the Company to cease doing business with the Company or in any way interfere with the existing business relationship between any customer, supplier, distributor, licensee or other business affiliate and the Company. Notwithstanding anything to the contrary herein, the Parties agree that Executive’s social media postings to the general public not directed towards existing Company employees, customers, suppliers, distributors, licensees or other business affiliates would not constitute a breach of this Section 8.1.</w:t>
      </w:r>
    </w:p>
    <w:p>
      <w:pPr>
        <w:spacing w:after="0" w:line="21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Executive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subsidiaries, or its or their respective affiliates, equity holders, directors, officers, members, managers, partners, employees, representatives or agents, heirs, predecessors, successors or assigns,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the Executive, would violate any provision of this Section 8.2; provided, however, that Executive shall not be prohibited by this Section 8.2 from making truthful statements (i) when required by subpoena, notice or order of a court or other body of competent jurisdiction or as required by law, (ii) solely within the context of seeking judicial enforcement of legal or contractual rights against a person or entity, or (iii) as otherwise permitted by this Agreement, the EPIIA, or any other agreement between the Parties.</w:t>
      </w:r>
    </w:p>
    <w:p>
      <w:pPr>
        <w:spacing w:after="0" w:line="18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Remedies.</w:t>
      </w:r>
      <w:r>
        <w:rPr>
          <w:rFonts w:ascii="Arial" w:cs="Arial" w:eastAsia="Arial" w:hAnsi="Arial"/>
          <w:sz w:val="21"/>
          <w:szCs w:val="21"/>
          <w:color w:val="auto"/>
        </w:rPr>
        <w:t xml:space="preserve"> Executive acknowledges that the duration of the Restrictive Period is fair and is reasonably required for the protection of the Company's business interests, including its goodwill. The Executive (a) acknowledges that his failure to comply with any requirement of this Section 8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6" w:name="page97"/>
    <w:bookmarkEnd w:id="96"/>
    <w:p>
      <w:pPr>
        <w:ind w:left="1180" w:hanging="532"/>
        <w:spacing w:after="0"/>
        <w:tabs>
          <w:tab w:leader="none" w:pos="11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34"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The rights and obligations of the Company under this Agreement shall inure to the benefit of, be enforceable by and shall be binding upon the successors, heirs, administrators and assigns of the Company and Executive; provided, however, that Executive shall not be entitled to assign any of Executive’s rights or obligations under this Agreement.</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Waiver.</w:t>
      </w:r>
      <w:r>
        <w:rPr>
          <w:rFonts w:ascii="Arial" w:cs="Arial" w:eastAsia="Arial" w:hAnsi="Arial"/>
          <w:sz w:val="22"/>
          <w:szCs w:val="22"/>
          <w:color w:val="auto"/>
        </w:rPr>
        <w:t xml:space="preserve"> Either party's failure to enforce any provision of this Agreement shall not in any way be construed as a waiver of any such provision, or prevent that party thereafter from enforcing each and every other provision of this Agreement.</w:t>
      </w:r>
    </w:p>
    <w:p>
      <w:pPr>
        <w:spacing w:after="0" w:line="21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Attorney’s Fees.</w:t>
      </w:r>
      <w:r>
        <w:rPr>
          <w:rFonts w:ascii="Arial" w:cs="Arial" w:eastAsia="Arial" w:hAnsi="Arial"/>
          <w:sz w:val="22"/>
          <w:szCs w:val="22"/>
          <w:color w:val="auto"/>
        </w:rPr>
        <w:t xml:space="preserve"> In the event of any dispute or claim relating to or arising out of Executive’s employment relationship with Company, this Agreement, or the termination of Executive’s employment with Company for any reason, in addition to any other available relief, the prevailing party in any such dispute or claim shall be entitled to recover its reasonable attorney’s fees and costs.</w:t>
      </w:r>
    </w:p>
    <w:p>
      <w:pPr>
        <w:spacing w:after="0" w:line="21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20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Interpretation; Construction; Counterparts.</w:t>
      </w:r>
      <w:r>
        <w:rPr>
          <w:rFonts w:ascii="Arial" w:cs="Arial" w:eastAsia="Arial" w:hAnsi="Arial"/>
          <w:sz w:val="19"/>
          <w:szCs w:val="19"/>
          <w:color w:val="auto"/>
        </w:rPr>
        <w:t xml:space="preserve">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 This Agreement may be executed in counterparts and by facsimile, pdf/email or other electronic means and, when so executed, shall be considered one and the same instrument, have the same force and effect as an original, and constitute an effective, binding agreement on the part of each of the Parties.</w:t>
      </w:r>
    </w:p>
    <w:p>
      <w:pPr>
        <w:spacing w:after="0" w:line="18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will be governed by and construed in accordance with the laws of the United States and the internal laws of the State of California, without regard to any conflict of law rules. Notwithstanding anything to the contrary in any other agreement between the Parties, the sole and exclusive jurisdiction and venue for any and all disputes of any kind between the Parties and/or any of their respective affiliates, successors, heirs or assigns shall be the state and federal court sitting in San Mateo County, California and the Parties expressly consent and waive any objections to such jurisdiction and venue.</w:t>
      </w:r>
    </w:p>
    <w:p>
      <w:pPr>
        <w:spacing w:after="0" w:line="17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required or permitted by this Agreement shall be in writing and shall be delivered as follows with notice deemed given as indicated: (a) by personal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7" w:name="page98"/>
    <w:bookmarkEnd w:id="97"/>
    <w:p>
      <w:pPr>
        <w:jc w:val="both"/>
        <w:spacing w:after="0" w:line="236" w:lineRule="auto"/>
        <w:rPr>
          <w:sz w:val="20"/>
          <w:szCs w:val="20"/>
          <w:color w:val="auto"/>
        </w:rPr>
      </w:pPr>
      <w:r>
        <w:rPr>
          <w:rFonts w:ascii="Arial" w:cs="Arial" w:eastAsia="Arial" w:hAnsi="Arial"/>
          <w:sz w:val="22"/>
          <w:szCs w:val="22"/>
          <w:color w:val="auto"/>
        </w:rPr>
        <w:t>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spacing w:after="0" w:line="21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constitutes the entire agreement between the Parties relating to this subject matter and supersedes all prior or contemporaneous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200" w:lineRule="exact"/>
        <w:rPr>
          <w:sz w:val="20"/>
          <w:szCs w:val="20"/>
          <w:color w:val="auto"/>
        </w:rPr>
      </w:pPr>
    </w:p>
    <w:p>
      <w:pPr>
        <w:spacing w:after="0" w:line="25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PARTIES TO THIS AGREEMENT HAVE READ THE FOREGOING AGREEMENT AND FULLY UNDERSTAND EACH AND EVERY PROVISION CONTAINED HEREIN. WHEREFORE, THE PARTIES HAVE EXECUTED THIS AGREEMENT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8" w:name="page99"/>
    <w:bookmarkEnd w:id="98"/>
    <w:p>
      <w:pPr>
        <w:ind w:left="5700"/>
        <w:spacing w:after="0"/>
        <w:rPr>
          <w:sz w:val="20"/>
          <w:szCs w:val="20"/>
          <w:color w:val="auto"/>
        </w:rPr>
      </w:pPr>
      <w:r>
        <w:rPr>
          <w:rFonts w:ascii="Arial" w:cs="Arial" w:eastAsia="Arial" w:hAnsi="Arial"/>
          <w:sz w:val="22"/>
          <w:szCs w:val="22"/>
          <w:color w:val="auto"/>
        </w:rPr>
        <w:t>EXECUTIVE:</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By: /s/ Friedrich-Reinhard Graf Finck von</w:t>
      </w:r>
    </w:p>
    <w:p>
      <w:pPr>
        <w:spacing w:after="0" w:line="8"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Finckenstein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-3175</wp:posOffset>
            </wp:positionV>
            <wp:extent cx="21697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95"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Friedrich-Reinhard Graf Finck von</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Finckenstein,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Iovance Biotherapeutics, Inc.</w:t>
      </w:r>
    </w:p>
    <w:p>
      <w:pPr>
        <w:spacing w:after="0" w:line="23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By: /s/ 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7620</wp:posOffset>
            </wp:positionV>
            <wp:extent cx="21697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Maria Fardis, Ph.D., M.B.A.</w:t>
      </w:r>
    </w:p>
    <w:p>
      <w:pPr>
        <w:ind w:left="6120"/>
        <w:spacing w:after="0"/>
        <w:rPr>
          <w:sz w:val="20"/>
          <w:szCs w:val="20"/>
          <w:color w:val="auto"/>
        </w:rPr>
      </w:pPr>
      <w:r>
        <w:rPr>
          <w:rFonts w:ascii="Arial" w:cs="Arial" w:eastAsia="Arial" w:hAnsi="Arial"/>
          <w:sz w:val="21"/>
          <w:szCs w:val="21"/>
          <w:color w:val="auto"/>
        </w:rPr>
        <w:t>President &amp; Chief Executive Officer</w:t>
      </w:r>
    </w:p>
    <w:p>
      <w:pPr>
        <w:ind w:left="6120"/>
        <w:spacing w:after="0" w:line="232" w:lineRule="auto"/>
        <w:rPr>
          <w:sz w:val="20"/>
          <w:szCs w:val="20"/>
          <w:color w:val="auto"/>
        </w:rPr>
      </w:pPr>
      <w:r>
        <w:rPr>
          <w:rFonts w:ascii="Arial" w:cs="Arial" w:eastAsia="Arial" w:hAnsi="Arial"/>
          <w:sz w:val="22"/>
          <w:szCs w:val="22"/>
          <w:color w:val="auto"/>
        </w:rPr>
        <w:t>999 Skyway Road, Suite 150</w:t>
      </w:r>
    </w:p>
    <w:p>
      <w:pPr>
        <w:ind w:left="6120"/>
        <w:spacing w:after="0"/>
        <w:rPr>
          <w:sz w:val="20"/>
          <w:szCs w:val="20"/>
          <w:color w:val="auto"/>
        </w:rPr>
      </w:pPr>
      <w:r>
        <w:rPr>
          <w:rFonts w:ascii="Arial" w:cs="Arial" w:eastAsia="Arial" w:hAnsi="Arial"/>
          <w:sz w:val="22"/>
          <w:szCs w:val="22"/>
          <w:color w:val="auto"/>
        </w:rPr>
        <w:t>San Carlos, CA 94070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372745</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20"/>
          </w:cols>
          <w:pgMar w:left="1440" w:top="158" w:right="10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700" w:hanging="681"/>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hanging="659"/>
        <w:spacing w:after="0" w:line="264" w:lineRule="auto"/>
        <w:tabs>
          <w:tab w:leader="none" w:pos="8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60" w:hanging="641"/>
        <w:spacing w:after="0" w:line="264" w:lineRule="auto"/>
        <w:tabs>
          <w:tab w:leader="none" w:pos="8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660" w:hanging="641"/>
        <w:spacing w:after="0" w:line="264" w:lineRule="auto"/>
        <w:tabs>
          <w:tab w:leader="none" w:pos="687" w:val="left"/>
        </w:tabs>
        <w:numPr>
          <w:ilvl w:val="1"/>
          <w:numId w:val="38"/>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20" w:hanging="652"/>
        <w:spacing w:after="0" w:line="259" w:lineRule="auto"/>
        <w:tabs>
          <w:tab w:leader="none" w:pos="1484"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20" w:hanging="652"/>
        <w:spacing w:after="0" w:line="312" w:lineRule="auto"/>
        <w:tabs>
          <w:tab w:leader="none" w:pos="1471" w:val="left"/>
        </w:tabs>
        <w:numPr>
          <w:ilvl w:val="2"/>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jc w:val="both"/>
        <w:ind w:left="1320" w:hanging="652"/>
        <w:spacing w:after="0" w:line="264" w:lineRule="auto"/>
        <w:tabs>
          <w:tab w:leader="none" w:pos="1598" w:val="left"/>
        </w:tabs>
        <w:numPr>
          <w:ilvl w:val="2"/>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320" w:hanging="652"/>
        <w:spacing w:after="0" w:line="264" w:lineRule="auto"/>
        <w:tabs>
          <w:tab w:leader="none" w:pos="1428" w:val="left"/>
        </w:tabs>
        <w:numPr>
          <w:ilvl w:val="2"/>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41"/>
        <w:spacing w:after="0" w:line="277" w:lineRule="auto"/>
        <w:tabs>
          <w:tab w:leader="none" w:pos="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320" w:hanging="652"/>
        <w:spacing w:after="0" w:line="264" w:lineRule="auto"/>
        <w:tabs>
          <w:tab w:leader="none" w:pos="1319" w:val="left"/>
        </w:tabs>
        <w:numPr>
          <w:ilvl w:val="2"/>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20" w:hanging="652"/>
        <w:spacing w:after="0" w:line="277" w:lineRule="auto"/>
        <w:tabs>
          <w:tab w:leader="none" w:pos="1466"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Dated: August 1, 2019</w:t>
            </w:r>
          </w:p>
        </w:tc>
        <w:tc>
          <w:tcPr>
            <w:tcW w:w="6720" w:type="dxa"/>
            <w:vAlign w:val="bottom"/>
            <w:gridSpan w:val="2"/>
          </w:tcPr>
          <w:p>
            <w:pPr>
              <w:ind w:left="1700"/>
              <w:spacing w:after="0"/>
              <w:rPr>
                <w:sz w:val="20"/>
                <w:szCs w:val="20"/>
                <w:color w:val="auto"/>
              </w:rPr>
            </w:pPr>
            <w:r>
              <w:rPr>
                <w:rFonts w:ascii="Arial" w:cs="Arial" w:eastAsia="Arial" w:hAnsi="Arial"/>
                <w:sz w:val="18"/>
                <w:szCs w:val="18"/>
                <w:color w:val="auto"/>
              </w:rPr>
              <w:t>By: /s/ Maria Fardis</w:t>
            </w:r>
          </w:p>
        </w:tc>
      </w:tr>
      <w:tr>
        <w:trPr>
          <w:trHeight w:val="195"/>
        </w:trPr>
        <w:tc>
          <w:tcPr>
            <w:tcW w:w="3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3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00" w:top="121" w:right="9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41"/>
        <w:spacing w:after="0"/>
        <w:rPr>
          <w:sz w:val="20"/>
          <w:szCs w:val="20"/>
          <w:color w:val="auto"/>
        </w:rPr>
      </w:pPr>
      <w:r>
        <w:rPr>
          <w:rFonts w:ascii="Arial" w:cs="Arial" w:eastAsia="Arial" w:hAnsi="Arial"/>
          <w:sz w:val="18"/>
          <w:szCs w:val="18"/>
          <w:color w:val="auto"/>
        </w:rPr>
        <w:t>I, Timothy E. Morris, Chief Financial Officer of Iovance Biotherapeutics, Inc., certify that:</w:t>
      </w:r>
    </w:p>
    <w:p>
      <w:pPr>
        <w:spacing w:after="0" w:line="225" w:lineRule="exact"/>
        <w:rPr>
          <w:sz w:val="20"/>
          <w:szCs w:val="20"/>
          <w:color w:val="auto"/>
        </w:rPr>
      </w:pPr>
    </w:p>
    <w:p>
      <w:pPr>
        <w:ind w:left="681" w:hanging="681"/>
        <w:spacing w:after="0"/>
        <w:tabs>
          <w:tab w:leader="none" w:pos="6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41" w:hanging="641"/>
        <w:spacing w:after="0" w:line="264" w:lineRule="auto"/>
        <w:tabs>
          <w:tab w:leader="none" w:pos="8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41" w:hanging="641"/>
        <w:spacing w:after="0" w:line="264" w:lineRule="auto"/>
        <w:tabs>
          <w:tab w:leader="none" w:pos="8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641" w:hanging="641"/>
        <w:spacing w:after="0" w:line="264" w:lineRule="auto"/>
        <w:tabs>
          <w:tab w:leader="none" w:pos="6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1" w:hanging="652"/>
        <w:spacing w:after="0" w:line="259" w:lineRule="auto"/>
        <w:tabs>
          <w:tab w:leader="none" w:pos="14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1" w:hanging="652"/>
        <w:spacing w:after="0" w:line="312" w:lineRule="auto"/>
        <w:tabs>
          <w:tab w:leader="none" w:pos="14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jc w:val="both"/>
        <w:ind w:left="1301" w:hanging="652"/>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301" w:hanging="652"/>
        <w:spacing w:after="0" w:line="264" w:lineRule="auto"/>
        <w:tabs>
          <w:tab w:leader="none" w:pos="140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41" w:hanging="641"/>
        <w:spacing w:after="0" w:line="277" w:lineRule="auto"/>
        <w:tabs>
          <w:tab w:leader="none" w:pos="7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301" w:hanging="652"/>
        <w:spacing w:after="0" w:line="264" w:lineRule="auto"/>
        <w:tabs>
          <w:tab w:leader="none" w:pos="13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01" w:hanging="652"/>
        <w:spacing w:after="0" w:line="277" w:lineRule="auto"/>
        <w:tabs>
          <w:tab w:leader="none" w:pos="144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Dated: August 1, 2019</w:t>
            </w:r>
          </w:p>
        </w:tc>
        <w:tc>
          <w:tcPr>
            <w:tcW w:w="6720" w:type="dxa"/>
            <w:vAlign w:val="bottom"/>
            <w:gridSpan w:val="2"/>
          </w:tcPr>
          <w:p>
            <w:pPr>
              <w:ind w:left="1700"/>
              <w:spacing w:after="0"/>
              <w:rPr>
                <w:sz w:val="20"/>
                <w:szCs w:val="20"/>
                <w:color w:val="auto"/>
              </w:rPr>
            </w:pPr>
            <w:r>
              <w:rPr>
                <w:rFonts w:ascii="Arial" w:cs="Arial" w:eastAsia="Arial" w:hAnsi="Arial"/>
                <w:sz w:val="18"/>
                <w:szCs w:val="18"/>
                <w:color w:val="auto"/>
              </w:rPr>
              <w:t>By:   /s/ Timothy E. Morris</w:t>
            </w:r>
          </w:p>
        </w:tc>
      </w:tr>
      <w:tr>
        <w:trPr>
          <w:trHeight w:val="195"/>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777"/>
        </w:trPr>
        <w:tc>
          <w:tcPr>
            <w:tcW w:w="33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21" w:right="9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1"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2019,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7" w:lineRule="exact"/>
        <w:rPr>
          <w:sz w:val="20"/>
          <w:szCs w:val="20"/>
          <w:color w:val="auto"/>
        </w:rPr>
      </w:pPr>
    </w:p>
    <w:p>
      <w:pPr>
        <w:ind w:left="261" w:hanging="261"/>
        <w:spacing w:after="0"/>
        <w:tabs>
          <w:tab w:leader="none" w:pos="2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 w:hanging="1"/>
        <w:spacing w:after="0" w:line="277" w:lineRule="auto"/>
        <w:tabs>
          <w:tab w:leader="none" w:pos="2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Dated: August 1, 2019</w:t>
            </w:r>
          </w:p>
        </w:tc>
        <w:tc>
          <w:tcPr>
            <w:tcW w:w="6720" w:type="dxa"/>
            <w:vAlign w:val="bottom"/>
            <w:gridSpan w:val="2"/>
          </w:tcPr>
          <w:p>
            <w:pPr>
              <w:ind w:left="1700"/>
              <w:spacing w:after="0"/>
              <w:rPr>
                <w:sz w:val="20"/>
                <w:szCs w:val="20"/>
                <w:color w:val="auto"/>
              </w:rPr>
            </w:pPr>
            <w:r>
              <w:rPr>
                <w:rFonts w:ascii="Arial" w:cs="Arial" w:eastAsia="Arial" w:hAnsi="Arial"/>
                <w:sz w:val="18"/>
                <w:szCs w:val="18"/>
                <w:color w:val="auto"/>
              </w:rPr>
              <w:t>By:   /s/ Maria Fardis</w:t>
            </w:r>
          </w:p>
        </w:tc>
      </w:tr>
      <w:tr>
        <w:trPr>
          <w:trHeight w:val="195"/>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ind w:left="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460375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1"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2019, as filed with the Securities and Exchange Commission on the date hereof (the “Report”), Timothy E Morris, Chief Financial Officer of the Company, hereby certifies, pursuant to 18 U.S.C. §1350, as adopted pursuant to §906 of the Sarbanes-Oxley Act of 2002, that:</w:t>
      </w:r>
    </w:p>
    <w:p>
      <w:pPr>
        <w:spacing w:after="0" w:line="187" w:lineRule="exact"/>
        <w:rPr>
          <w:sz w:val="20"/>
          <w:szCs w:val="20"/>
          <w:color w:val="auto"/>
        </w:rPr>
      </w:pPr>
    </w:p>
    <w:p>
      <w:pPr>
        <w:ind w:left="261" w:hanging="261"/>
        <w:spacing w:after="0"/>
        <w:tabs>
          <w:tab w:leader="none" w:pos="2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 w:hanging="1"/>
        <w:spacing w:after="0" w:line="277" w:lineRule="auto"/>
        <w:tabs>
          <w:tab w:leader="none" w:pos="2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Dated: August 1, 2019</w:t>
            </w:r>
          </w:p>
        </w:tc>
        <w:tc>
          <w:tcPr>
            <w:tcW w:w="6720" w:type="dxa"/>
            <w:vAlign w:val="bottom"/>
            <w:gridSpan w:val="2"/>
          </w:tcPr>
          <w:p>
            <w:pPr>
              <w:ind w:left="1700"/>
              <w:spacing w:after="0"/>
              <w:rPr>
                <w:sz w:val="20"/>
                <w:szCs w:val="20"/>
                <w:color w:val="auto"/>
              </w:rPr>
            </w:pPr>
            <w:r>
              <w:rPr>
                <w:rFonts w:ascii="Arial" w:cs="Arial" w:eastAsia="Arial" w:hAnsi="Arial"/>
                <w:sz w:val="18"/>
                <w:szCs w:val="18"/>
                <w:color w:val="auto"/>
              </w:rPr>
              <w:t>By:   /s/ Timothy E. Morris</w:t>
            </w:r>
          </w:p>
        </w:tc>
      </w:tr>
      <w:tr>
        <w:trPr>
          <w:trHeight w:val="195"/>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2" w:lineRule="exact"/>
        <w:rPr>
          <w:sz w:val="20"/>
          <w:szCs w:val="20"/>
          <w:color w:val="auto"/>
        </w:rPr>
      </w:pPr>
    </w:p>
    <w:p>
      <w:pPr>
        <w:jc w:val="both"/>
        <w:ind w:left="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460375</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1"/>
      </w:cols>
      <w:pgMar w:left="919"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Roman"/>
      <w:start w:val="2"/>
    </w:lvl>
  </w:abstractNum>
  <w:abstractNum w:abstractNumId="3">
    <w:nsid w:val="2443A858"/>
    <w:multiLevelType w:val="hybridMultilevel"/>
    <w:lvl w:ilvl="0">
      <w:lvlJc w:val="left"/>
      <w:lvlText w:val="(%1)"/>
      <w:numFmt w:val="upperLetter"/>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lvl w:ilvl="1">
      <w:lvlJc w:val="left"/>
      <w:lvlText w:val="%2"/>
      <w:numFmt w:val="decimal"/>
      <w:start w:val="10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3"/>
    </w:lvl>
  </w:abstractNum>
  <w:abstractNum w:abstractNumId="31">
    <w:nsid w:val="3804823E"/>
    <w:multiLevelType w:val="hybridMultilevel"/>
    <w:lvl w:ilvl="0">
      <w:lvlJc w:val="left"/>
      <w:lvlText w:val="%1."/>
      <w:numFmt w:val="decimal"/>
      <w:start w:val="4"/>
    </w:lvl>
  </w:abstractNum>
  <w:abstractNum w:abstractNumId="32">
    <w:nsid w:val="77465F01"/>
    <w:multiLevelType w:val="hybridMultilevel"/>
    <w:lvl w:ilvl="0">
      <w:lvlJc w:val="left"/>
      <w:lvlText w:val="%1."/>
      <w:numFmt w:val="decimal"/>
      <w:start w:val="6"/>
    </w:lvl>
  </w:abstractNum>
  <w:abstractNum w:abstractNumId="33">
    <w:nsid w:val="7724C67E"/>
    <w:multiLevelType w:val="hybridMultilevel"/>
    <w:lvl w:ilvl="0">
      <w:lvlJc w:val="left"/>
      <w:lvlText w:val="(%1)"/>
      <w:numFmt w:val="decimal"/>
      <w:start w:val="30"/>
    </w:lvl>
  </w:abstractNum>
  <w:abstractNum w:abstractNumId="34">
    <w:nsid w:val="5C482A97"/>
    <w:multiLevelType w:val="hybridMultilevel"/>
    <w:lvl w:ilvl="0">
      <w:lvlJc w:val="left"/>
      <w:lvlText w:val="%1."/>
      <w:numFmt w:val="decimal"/>
      <w:start w:val="8"/>
    </w:lvl>
  </w:abstractNum>
  <w:abstractNum w:abstractNumId="35">
    <w:nsid w:val="2463B9EA"/>
    <w:multiLevelType w:val="hybridMultilevel"/>
    <w:lvl w:ilvl="0">
      <w:lvlJc w:val="left"/>
      <w:lvlText w:val="%1."/>
      <w:numFmt w:val="decimal"/>
      <w:start w:val="9"/>
    </w:lvl>
  </w:abstractNum>
  <w:abstractNum w:abstractNumId="36">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7">
    <w:nsid w:val="51EAD36B"/>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51" Type="http://schemas.openxmlformats.org/officeDocument/2006/relationships/hyperlink" Target="http://www.sec.gov/Archives/edgar/data/1425205/000114420419010702/tv513795_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2019-12-28T08:44:43Z</dcterms:created>
  <dcterms:modified xsi:type="dcterms:W3CDTF">2019-12-28T08:44:43Z</dcterms:modified>
</cp:coreProperties>
</file>