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iova-20260618xs3asr.htm"/>
        <w:bookmarkStart w:id="1" w:name="ksiova20260618xs3asr"/>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As filed with the Securities and Exchange Commission on June 18, 2026</w:t>
      </w:r>
    </w:p>
    <w:p>
      <w:pPr>
        <w:pStyle w:val="TextBody"/>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Registration No. 333-       </w:t>
      </w:r>
    </w:p>
    <w:p>
      <w:pPr>
        <w:pStyle w:val="TextBody"/>
        <w:bidi w:val="0"/>
        <w:spacing w:before="0" w:after="0"/>
        <w:ind w:left="0" w:right="0" w:hanging="0"/>
        <w:jc w:val="right"/>
        <w:rPr/>
      </w:pPr>
      <w:r>
        <w:rPr/>
        <w:t>​</w:t>
      </w:r>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S-3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REGISTRATION STATEMENT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UNDER THE SECURITIES ACT OF 1933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34"/>
        </w:rPr>
        <w:t>Iovance Biotherapeutics, Inc.</w:t>
      </w:r>
      <w:r>
        <w:rPr>
          <w:rFonts w:ascii="Times New Roman;Times;serif" w:hAnsi="Times New Roman;Times;serif"/>
          <w:sz w:val="34"/>
        </w:rPr>
        <w:br/>
      </w: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tbl>
      <w:tblPr>
        <w:tblW w:w="4353" w:type="dxa"/>
        <w:jc w:val="center"/>
        <w:tblInd w:w="0" w:type="dxa"/>
        <w:tblLayout w:type="fixed"/>
        <w:tblCellMar>
          <w:top w:w="0" w:type="dxa"/>
          <w:left w:w="0" w:type="dxa"/>
          <w:bottom w:w="0" w:type="dxa"/>
          <w:right w:w="0" w:type="dxa"/>
        </w:tblCellMar>
      </w:tblPr>
      <w:tblGrid>
        <w:gridCol w:w="2236"/>
        <w:gridCol w:w="346"/>
        <w:gridCol w:w="177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19860" cy="175260"/>
                      <wp:effectExtent l="0" t="0" r="0" b="0"/>
                      <wp:wrapNone/>
                      <wp:docPr id="1"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124585" cy="175260"/>
                      <wp:effectExtent l="0" t="0" r="0" b="0"/>
                      <wp:wrapNone/>
                      <wp:docPr id="3" name="Frame3"/>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left"/>
              <w:rPr/>
            </w:pPr>
            <w:r>
              <w:rPr/>
              <w:t>  ​ ​ ​</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75-3254381</w:t>
            </w:r>
          </w:p>
        </w:tc>
      </w:tr>
      <w:tr>
        <w:trPr/>
        <w:tc>
          <w:tcPr>
            <w:tcW w:w="2236"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br/>
              <w:t>incorporation or organization)</w:t>
            </w:r>
          </w:p>
        </w:tc>
        <w:tc>
          <w:tcPr>
            <w:tcW w:w="3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b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825 Industrial Road, Suite 100</w:t>
      </w:r>
      <w:r>
        <w:rPr>
          <w:rFonts w:ascii="Times New Roman;Times;serif" w:hAnsi="Times New Roman;Times;serif"/>
          <w:sz w:val="18"/>
        </w:rPr>
        <w:br/>
      </w:r>
      <w:r>
        <w:rPr>
          <w:rFonts w:ascii="Times New Roman;Times;serif" w:hAnsi="Times New Roman;Times;serif"/>
          <w:b/>
          <w:sz w:val="18"/>
        </w:rPr>
        <w:t>San Carlos, California 94070</w:t>
      </w:r>
      <w:r>
        <w:rPr>
          <w:rFonts w:ascii="Times New Roman;Times;serif" w:hAnsi="Times New Roman;Times;serif"/>
          <w:sz w:val="18"/>
        </w:rPr>
        <w:br/>
        <w:t>(Address of registrant’s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Frederick G. Vogt, Ph.D., J.D.</w:t>
      </w:r>
      <w:r>
        <w:rPr>
          <w:rFonts w:ascii="Times New Roman;Times;serif" w:hAnsi="Times New Roman;Times;serif"/>
          <w:sz w:val="18"/>
        </w:rPr>
        <w:br/>
      </w:r>
      <w:r>
        <w:rPr>
          <w:rFonts w:ascii="Times New Roman;Times;serif" w:hAnsi="Times New Roman;Times;serif"/>
          <w:b/>
          <w:sz w:val="18"/>
        </w:rPr>
        <w:t>Interim Chief Executive Officer and President, and General Counsel</w:t>
      </w:r>
      <w:r>
        <w:rPr>
          <w:rFonts w:ascii="Times New Roman;Times;serif" w:hAnsi="Times New Roman;Times;serif"/>
          <w:sz w:val="18"/>
        </w:rPr>
        <w:br/>
      </w:r>
      <w:r>
        <w:rPr>
          <w:rFonts w:ascii="Times New Roman;Times;serif" w:hAnsi="Times New Roman;Times;serif"/>
          <w:b/>
          <w:sz w:val="18"/>
        </w:rPr>
        <w:t>Iovance Biotherapeutics, Inc.</w:t>
      </w:r>
      <w:r>
        <w:rPr>
          <w:rFonts w:ascii="Times New Roman;Times;serif" w:hAnsi="Times New Roman;Times;serif"/>
          <w:sz w:val="18"/>
        </w:rPr>
        <w:br/>
      </w:r>
      <w:r>
        <w:rPr>
          <w:rFonts w:ascii="Times New Roman;Times;serif" w:hAnsi="Times New Roman;Times;serif"/>
          <w:b/>
          <w:sz w:val="18"/>
        </w:rPr>
        <w:t>825 Industrial Road, Suite 100</w:t>
      </w:r>
      <w:r>
        <w:rPr>
          <w:rFonts w:ascii="Times New Roman;Times;serif" w:hAnsi="Times New Roman;Times;serif"/>
          <w:sz w:val="18"/>
        </w:rPr>
        <w:br/>
      </w:r>
      <w:r>
        <w:rPr>
          <w:rFonts w:ascii="Times New Roman;Times;serif" w:hAnsi="Times New Roman;Times;serif"/>
          <w:b/>
          <w:sz w:val="18"/>
        </w:rPr>
        <w:t>San Carlos, California 94070</w:t>
      </w:r>
      <w:r>
        <w:rPr>
          <w:rFonts w:ascii="Times New Roman;Times;serif" w:hAnsi="Times New Roman;Times;serif"/>
          <w:sz w:val="18"/>
        </w:rPr>
        <w:br/>
      </w:r>
      <w:r>
        <w:rPr>
          <w:rFonts w:ascii="Times New Roman;Times;serif" w:hAnsi="Times New Roman;Times;serif"/>
          <w:b/>
          <w:sz w:val="18"/>
        </w:rPr>
        <w:t>(650) 260-7120</w:t>
      </w:r>
      <w:r>
        <w:rPr>
          <w:rFonts w:ascii="Times New Roman;Times;serif" w:hAnsi="Times New Roman;Times;serif"/>
          <w:sz w:val="18"/>
        </w:rPr>
        <w:br/>
        <w:t>(Name, address, including zip code, and telephone number, including area code, of agent for service)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With copies 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Emilio Ragosa</w:t>
      </w:r>
      <w:r>
        <w:rPr>
          <w:rFonts w:ascii="Times New Roman;Times;serif" w:hAnsi="Times New Roman;Times;serif"/>
          <w:sz w:val="18"/>
        </w:rPr>
        <w:br/>
      </w:r>
      <w:r>
        <w:rPr>
          <w:rFonts w:ascii="Times New Roman;Times;serif" w:hAnsi="Times New Roman;Times;serif"/>
          <w:b/>
          <w:sz w:val="18"/>
        </w:rPr>
        <w:t>DLA Piper LLP (US)</w:t>
      </w:r>
      <w:r>
        <w:rPr>
          <w:rFonts w:ascii="Times New Roman;Times;serif" w:hAnsi="Times New Roman;Times;serif"/>
          <w:sz w:val="18"/>
        </w:rPr>
        <w:br/>
      </w:r>
      <w:r>
        <w:rPr>
          <w:rFonts w:ascii="Times New Roman;Times;serif" w:hAnsi="Times New Roman;Times;serif"/>
          <w:b/>
          <w:sz w:val="18"/>
        </w:rPr>
        <w:t>51 John F. Kennedy Parkway, Suite 120</w:t>
      </w:r>
      <w:r>
        <w:rPr>
          <w:rFonts w:ascii="Times New Roman;Times;serif" w:hAnsi="Times New Roman;Times;serif"/>
          <w:sz w:val="18"/>
        </w:rPr>
        <w:br/>
      </w:r>
      <w:r>
        <w:rPr>
          <w:rFonts w:ascii="Times New Roman;Times;serif" w:hAnsi="Times New Roman;Times;serif"/>
          <w:b/>
          <w:sz w:val="18"/>
        </w:rPr>
        <w:t>Short Hills, New Jersey 07078</w:t>
      </w:r>
      <w:r>
        <w:rPr>
          <w:rFonts w:ascii="Times New Roman;Times;serif" w:hAnsi="Times New Roman;Times;serif"/>
          <w:sz w:val="18"/>
        </w:rPr>
        <w:br/>
      </w:r>
      <w:r>
        <w:rPr>
          <w:rFonts w:ascii="Times New Roman;Times;serif" w:hAnsi="Times New Roman;Times;serif"/>
          <w:b/>
          <w:sz w:val="18"/>
        </w:rPr>
        <w:t>(973) 520-2550</w:t>
        <w:br/>
      </w:r>
      <w:r>
        <w:rPr>
          <w:rFonts w:ascii="Times New Roman;Times;serif" w:hAnsi="Times New Roman;Times;serif"/>
          <w:sz w:val="18"/>
        </w:rPr>
        <w:t>​</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b/>
          <w:sz w:val="18"/>
        </w:rPr>
        <w:t>Approximate date of commencement of proposed sale to the public:</w:t>
      </w:r>
      <w:r>
        <w:rPr>
          <w:rFonts w:ascii="Times New Roman;Times;serif" w:hAnsi="Times New Roman;Times;serif"/>
          <w:sz w:val="18"/>
        </w:rPr>
        <w:t xml:space="preserve"> From time to time after the effective date of this registration statement.</w:t>
      </w:r>
    </w:p>
    <w:p>
      <w:pPr>
        <w:pStyle w:val="TextBody"/>
        <w:bidi w:val="0"/>
        <w:spacing w:before="0" w:after="60"/>
        <w:ind w:left="0" w:right="0" w:hanging="0"/>
        <w:jc w:val="both"/>
        <w:rPr>
          <w:rFonts w:ascii="Times New Roman;Times;serif" w:hAnsi="Times New Roman;Times;serif"/>
          <w:sz w:val="18"/>
        </w:rPr>
      </w:pPr>
      <w:r>
        <w:rPr>
          <w:rFonts w:ascii="Times New Roman;Times;serif" w:hAnsi="Times New Roman;Times;serif"/>
          <w:sz w:val="18"/>
        </w:rPr>
        <w:t>If the only securities being registered on this Form are being offered pursuant to dividend or interest reinvestment plans, check the following box. ☐</w:t>
      </w:r>
    </w:p>
    <w:p>
      <w:pPr>
        <w:pStyle w:val="TextBody"/>
        <w:bidi w:val="0"/>
        <w:spacing w:before="0" w:after="60"/>
        <w:ind w:left="0" w:right="0" w:hanging="0"/>
        <w:jc w:val="both"/>
        <w:rPr>
          <w:rFonts w:ascii="Times New Roman;Times;serif" w:hAnsi="Times New Roman;Times;serif"/>
          <w:sz w:val="18"/>
        </w:rPr>
      </w:pPr>
      <w:r>
        <w:rPr>
          <w:rFonts w:ascii="Times New Roman;Times;serif" w:hAnsi="Times New Roman;Times;serif"/>
          <w:sz w:val="18"/>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60"/>
        <w:ind w:left="0" w:right="0" w:hanging="0"/>
        <w:jc w:val="both"/>
        <w:rPr>
          <w:rFonts w:ascii="Times New Roman;Times;serif" w:hAnsi="Times New Roman;Times;serif"/>
          <w:sz w:val="18"/>
        </w:rPr>
      </w:pPr>
      <w:r>
        <w:rPr>
          <w:rFonts w:ascii="Times New Roman;Times;serif" w:hAnsi="Times New Roman;Times;serif"/>
          <w:sz w:val="18"/>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60"/>
        <w:ind w:left="0" w:right="0" w:hanging="0"/>
        <w:jc w:val="both"/>
        <w:rPr>
          <w:rFonts w:ascii="Times New Roman;Times;serif" w:hAnsi="Times New Roman;Times;serif"/>
          <w:sz w:val="18"/>
        </w:rPr>
      </w:pPr>
      <w:r>
        <w:rPr>
          <w:rFonts w:ascii="Times New Roman;Times;serif" w:hAnsi="Times New Roman;Times;serif"/>
          <w:sz w:val="18"/>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60"/>
        <w:ind w:left="0" w:right="0" w:hanging="0"/>
        <w:jc w:val="both"/>
        <w:rPr>
          <w:rFonts w:ascii="Times New Roman;Times;serif" w:hAnsi="Times New Roman;Times;serif"/>
          <w:sz w:val="18"/>
        </w:rPr>
      </w:pPr>
      <w:r>
        <w:rPr>
          <w:rFonts w:ascii="Times New Roman;Times;serif" w:hAnsi="Times New Roman;Times;serif"/>
          <w:sz w:val="18"/>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60"/>
        <w:ind w:left="0" w:right="0" w:hanging="0"/>
        <w:jc w:val="both"/>
        <w:rPr>
          <w:rFonts w:ascii="Times New Roman;Times;serif" w:hAnsi="Times New Roman;Times;serif"/>
          <w:sz w:val="18"/>
        </w:rPr>
      </w:pPr>
      <w:r>
        <w:rPr>
          <w:rFonts w:ascii="Times New Roman;Times;serif" w:hAnsi="Times New Roman;Times;serif"/>
          <w:sz w:val="18"/>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7773" w:type="dxa"/>
        <w:jc w:val="left"/>
        <w:tblInd w:w="0" w:type="dxa"/>
        <w:tblLayout w:type="fixed"/>
        <w:tblCellMar>
          <w:top w:w="0" w:type="dxa"/>
          <w:left w:w="0" w:type="dxa"/>
          <w:bottom w:w="0" w:type="dxa"/>
          <w:right w:w="0" w:type="dxa"/>
        </w:tblCellMar>
      </w:tblPr>
      <w:tblGrid>
        <w:gridCol w:w="885"/>
        <w:gridCol w:w="780"/>
        <w:gridCol w:w="3706"/>
        <w:gridCol w:w="2041"/>
        <w:gridCol w:w="361"/>
      </w:tblGrid>
      <w:tr>
        <w:trPr/>
        <w:tc>
          <w:tcPr>
            <w:tcW w:w="1665" w:type="dxa"/>
            <w:gridSpan w:val="2"/>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70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5" w:type="dxa"/>
            <w:gridSpan w:val="2"/>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706" w:type="dxa"/>
            <w:tcBorders/>
            <w:vAlign w:val="center"/>
          </w:tcPr>
          <w:p>
            <w:pPr>
              <w:pStyle w:val="TableContents"/>
              <w:bidi w:val="0"/>
              <w:spacing w:before="0" w:after="0"/>
              <w:ind w:left="0" w:right="0" w:hanging="0"/>
              <w:jc w:val="left"/>
              <w:rPr/>
            </w:pPr>
            <w:r>
              <w:rPr/>
              <w:t>☐ </w:t>
            </w:r>
            <w:r>
              <w:rPr>
                <w:rFonts w:ascii="Times New Roman;Times;serif" w:hAnsi="Times New Roman;Times;serif"/>
                <w:sz w:val="18"/>
              </w:rPr>
              <w:t>(Do not check if a smaller reporting company)</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885"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registration statement contains two prospectuses: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base prospectus, which covers the offering, issuance and sale by us of our common stock, preferred stock, debt securities, warrants to purchase our common stock, preferred stock or debt securities, subscription rights to purchase our common stock, preferred stock or debt securities and/or units consisting of some or all of these securities;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sale agreement prospectus supplement covering the offering, issuance and sale by us of up to a maximum aggregate offering price of $89,650,167 of our common stock that may be issued and sold under an Amended and Restated Open Market Sale Agreement</w:t>
            </w:r>
            <w:r>
              <w:rPr>
                <w:rFonts w:ascii="Times New Roman;Times;serif" w:hAnsi="Times New Roman;Times;serif"/>
                <w:b w:val="false"/>
                <w:i w:val="false"/>
                <w:caps w:val="false"/>
                <w:smallCaps w:val="false"/>
                <w:sz w:val="15"/>
              </w:rPr>
              <w:t>SM</w:t>
            </w:r>
            <w:r>
              <w:rPr>
                <w:rFonts w:ascii="Times New Roman;Times;serif" w:hAnsi="Times New Roman;Times;serif"/>
                <w:b w:val="false"/>
                <w:i w:val="false"/>
                <w:caps w:val="false"/>
                <w:smallCaps w:val="false"/>
                <w:sz w:val="20"/>
              </w:rPr>
              <w:t>, dated August 22, 2025, or the Sale Agreement, with Jefferies LLC, or Jefferies.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base prospectus immediately follows this explanatory note. The specific terms of any securities to be offered pursuant to the base prospectus will be specified in a prospectus supplement to the base prospectus. The sale agreement prospectus supplement immediately follows the base prospectus.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PROSPECTUS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Debt Securities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Units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Rights to Purchase Common Stock, Preferred Stock, Debt Securities or Units</w:t>
      </w:r>
    </w:p>
    <w:p>
      <w:pPr>
        <w:pStyle w:val="HorizontalLine"/>
        <w:pBdr>
          <w:bottom w:val="single" w:sz="6" w:space="0" w:color="000000"/>
        </w:pBdr>
        <w:bidi w:val="0"/>
        <w:spacing w:before="0" w:after="240"/>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offer and sell from time to time, in one or more offerings and on terms that we will determine at the time of each offering, shares of common stock, shares of preferred stock, debt securities, warrants or units that include any of these securities, or rights to purchase shares of common stock, shares of preferred stock, debt securities or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will provide the specific terms of each offering of securities, including the price and the type and amount of securities to be offered and sold, in a supplement to this prospectus. You should read this prospectus and the prospectus supplement carefully before you invest.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offer and sell these securities directly to purchasers or to or through one or more underwriters, dealers and agents, and on a continuous or delayed basis. If we sell securities to or through underwriters, dealers or agents, we will include their names and the fees, commissions and discounts that they will receive, as well as the net proceeds to us, in the prospectus supplement. This prospectus may not be used to sell our securities unless it is accompanied by the prospectus supplement. The delivery of this prospectus together with a prospectus supplement relating to the offered securities shall not constitute an offer of any other securities covered by this prospectus.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Investing in our securities involves a high degree of risk. See “Risk Factors” on page 4 of this prospectus and in the applicable prospectus supplement for a discussion of risks that you should consider before you invest in our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common stock is traded on The Nasdaq Global Market under the symbol “IOVA.” On June 17, 2026, the last reported sale price of our common stock on The Nasdaq Global Market was $3.93 per share.</w:t>
      </w:r>
    </w:p>
    <w:p>
      <w:pPr>
        <w:pStyle w:val="HorizontalLine"/>
        <w:pBdr>
          <w:bottom w:val="single" w:sz="6" w:space="0" w:color="000000"/>
        </w:pBdr>
        <w:bidi w:val="0"/>
        <w:spacing w:before="0" w:after="240"/>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date of this prospectus is June 18, 2026.</w:t>
      </w:r>
    </w:p>
    <w:p>
      <w:pPr>
        <w:pStyle w:val="HorizontalLine"/>
        <w:pBdr>
          <w:bottom w:val="single" w:sz="6" w:space="0" w:color="000000"/>
        </w:pBdr>
        <w:bidi w:val="0"/>
        <w:spacing w:before="0" w:after="240"/>
        <w:jc w:val="left"/>
        <w:rPr/>
      </w:pPr>
      <w:r>
        <w:rPr/>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val="false"/>
          <w:sz w:val="20"/>
          <w:u w:val="single"/>
        </w:rPr>
      </w:pPr>
      <w:bookmarkStart w:id="2" w:name="TOC"/>
      <w:bookmarkEnd w:id="2"/>
      <w:r>
        <w:rPr>
          <w:rFonts w:ascii="Times New Roman;Times;serif" w:hAnsi="Times New Roman;Times;serif"/>
          <w:b w:val="false"/>
          <w:sz w:val="20"/>
          <w:u w:val="single"/>
        </w:rPr>
        <w:t>TABLE OF CONTENTS</w:t>
      </w:r>
    </w:p>
    <w:p>
      <w:pPr>
        <w:pStyle w:val="TextBody"/>
        <w:bidi w:val="0"/>
        <w:spacing w:before="0" w:after="0"/>
        <w:ind w:left="0" w:right="0" w:hanging="0"/>
        <w:jc w:val="left"/>
        <w:rPr/>
      </w:pPr>
      <w:r>
        <w:rPr/>
        <w:t>​</w:t>
      </w:r>
    </w:p>
    <w:tbl>
      <w:tblPr>
        <w:tblW w:w="6227" w:type="dxa"/>
        <w:jc w:val="left"/>
        <w:tblInd w:w="0" w:type="dxa"/>
        <w:tblLayout w:type="fixed"/>
        <w:tblCellMar>
          <w:top w:w="0" w:type="dxa"/>
          <w:left w:w="0" w:type="dxa"/>
          <w:bottom w:w="0" w:type="dxa"/>
          <w:right w:w="0" w:type="dxa"/>
        </w:tblCellMar>
      </w:tblPr>
      <w:tblGrid>
        <w:gridCol w:w="5716"/>
        <w:gridCol w:w="511"/>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629660" cy="175260"/>
                      <wp:effectExtent l="0" t="0" r="0" b="0"/>
                      <wp:wrapNone/>
                      <wp:docPr id="4" name="Frame4"/>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24485" cy="175260"/>
                      <wp:effectExtent l="0" t="0" r="0" b="0"/>
                      <wp:wrapNone/>
                      <wp:docPr id="5" name="Frame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5716" w:type="dxa"/>
            <w:tcBorders/>
            <w:shd w:fill="CCEEFF" w:val="clear"/>
            <w:vAlign w:val="center"/>
          </w:tcPr>
          <w:p>
            <w:pPr>
              <w:pStyle w:val="TableContents"/>
              <w:bidi w:val="0"/>
              <w:spacing w:before="0" w:after="0"/>
              <w:ind w:left="0" w:right="0" w:hanging="0"/>
              <w:jc w:val="left"/>
              <w:rPr/>
            </w:pPr>
            <w:hyperlink w:anchor="ABOUTTHISPROSPECTUS_685314">
              <w:r>
                <w:rPr>
                  <w:rStyle w:val="InternetLink"/>
                  <w:rFonts w:ascii="Times New Roman;Times;serif" w:hAnsi="Times New Roman;Times;serif"/>
                  <w:b w:val="false"/>
                  <w:i w:val="false"/>
                  <w:caps w:val="false"/>
                  <w:smallCaps w:val="false"/>
                  <w:sz w:val="20"/>
                </w:rPr>
                <w:t>ABOUT THIS PROSPECTUS</w:t>
              </w:r>
            </w:hyperlink>
          </w:p>
        </w:tc>
        <w:tc>
          <w:tcPr>
            <w:tcW w:w="5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IOVANCEBIOTHERAPEUTICSINC_671500">
              <w:r>
                <w:rPr>
                  <w:rStyle w:val="InternetLink"/>
                  <w:rFonts w:ascii="Times New Roman;Times;serif" w:hAnsi="Times New Roman;Times;serif"/>
                  <w:b w:val="false"/>
                  <w:i w:val="false"/>
                  <w:caps w:val="false"/>
                  <w:smallCaps w:val="false"/>
                  <w:sz w:val="20"/>
                </w:rPr>
                <w:t>IOVANCE BIOTHERAPEUTICS, INC.</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RISKFACTORS_823994">
              <w:r>
                <w:rPr>
                  <w:rStyle w:val="InternetLink"/>
                  <w:rFonts w:ascii="Times New Roman;Times;serif" w:hAnsi="Times New Roman;Times;serif"/>
                  <w:b w:val="false"/>
                  <w:i w:val="false"/>
                  <w:caps w:val="false"/>
                  <w:smallCaps w:val="false"/>
                  <w:sz w:val="20"/>
                </w:rPr>
                <w:t>RISK FACTORS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FORWARDLOOKINGSTATEMENTSANDMARKETDATA_75">
              <w:r>
                <w:rPr>
                  <w:rStyle w:val="InternetLink"/>
                  <w:rFonts w:ascii="Times New Roman;Times;serif" w:hAnsi="Times New Roman;Times;serif"/>
                  <w:b w:val="false"/>
                  <w:i w:val="false"/>
                  <w:caps w:val="false"/>
                  <w:smallCaps w:val="false"/>
                  <w:sz w:val="20"/>
                </w:rPr>
                <w:t>FORWARD-LOOKING STATEMENTS AND MARKET DATA</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USEOFPROCEEDS_788428">
              <w:r>
                <w:rPr>
                  <w:rStyle w:val="InternetLink"/>
                  <w:rFonts w:ascii="Times New Roman;Times;serif" w:hAnsi="Times New Roman;Times;serif"/>
                  <w:b w:val="false"/>
                  <w:i w:val="false"/>
                  <w:caps w:val="false"/>
                  <w:smallCaps w:val="false"/>
                  <w:sz w:val="20"/>
                </w:rPr>
                <w:t>USE OF PROCEEDS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THESECURITIESTHATWEMAYOFFER_905370">
              <w:r>
                <w:rPr>
                  <w:rStyle w:val="InternetLink"/>
                  <w:rFonts w:ascii="Times New Roman;Times;serif" w:hAnsi="Times New Roman;Times;serif"/>
                  <w:b w:val="false"/>
                  <w:i w:val="false"/>
                  <w:caps w:val="false"/>
                  <w:smallCaps w:val="false"/>
                  <w:sz w:val="20"/>
                </w:rPr>
                <w:t>THE SECURITIES THAT WE MAY OFFER</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DESCRIPTIONOFSECURITIES_20929">
              <w:r>
                <w:rPr>
                  <w:rStyle w:val="InternetLink"/>
                  <w:rFonts w:ascii="Times New Roman;Times;serif" w:hAnsi="Times New Roman;Times;serif"/>
                  <w:b w:val="false"/>
                  <w:i w:val="false"/>
                  <w:caps w:val="false"/>
                  <w:smallCaps w:val="false"/>
                  <w:sz w:val="20"/>
                </w:rPr>
                <w:t>DESCRIPTION OF SECURITIES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DESCRIPTIONOFCOMMONSTOCK_975872">
              <w:r>
                <w:rPr>
                  <w:rStyle w:val="InternetLink"/>
                  <w:rFonts w:ascii="Times New Roman;Times;serif" w:hAnsi="Times New Roman;Times;serif"/>
                  <w:b w:val="false"/>
                  <w:i w:val="false"/>
                  <w:caps w:val="false"/>
                  <w:smallCaps w:val="false"/>
                  <w:sz w:val="20"/>
                </w:rPr>
                <w:t>DESCRIPTION OF COMMON STOCK</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DESCRIPTIONOFPREFERREDSTOCK_36551">
              <w:r>
                <w:rPr>
                  <w:rStyle w:val="InternetLink"/>
                  <w:rFonts w:ascii="Times New Roman;Times;serif" w:hAnsi="Times New Roman;Times;serif"/>
                  <w:b w:val="false"/>
                  <w:i w:val="false"/>
                  <w:caps w:val="false"/>
                  <w:smallCaps w:val="false"/>
                  <w:sz w:val="20"/>
                </w:rPr>
                <w:t>DESCRIPTION OF PREFERRED STOCK</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DESCRIPTIONOFDEBTSECURITIES_625373">
              <w:r>
                <w:rPr>
                  <w:rStyle w:val="InternetLink"/>
                  <w:rFonts w:ascii="Times New Roman;Times;serif" w:hAnsi="Times New Roman;Times;serif"/>
                  <w:b w:val="false"/>
                  <w:i w:val="false"/>
                  <w:caps w:val="false"/>
                  <w:smallCaps w:val="false"/>
                  <w:sz w:val="20"/>
                </w:rPr>
                <w:t>DESCRIPTION OF DEBT SECURITIES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DESCRIPTIONOFWARRANTS_669238">
              <w:r>
                <w:rPr>
                  <w:rStyle w:val="InternetLink"/>
                  <w:rFonts w:ascii="Times New Roman;Times;serif" w:hAnsi="Times New Roman;Times;serif"/>
                  <w:b w:val="false"/>
                  <w:i w:val="false"/>
                  <w:caps w:val="false"/>
                  <w:smallCaps w:val="false"/>
                  <w:sz w:val="20"/>
                </w:rPr>
                <w:t>DESCRIPTION OF WARRANTS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DESCRIPTIONOFUNITS_154923">
              <w:r>
                <w:rPr>
                  <w:rStyle w:val="InternetLink"/>
                  <w:rFonts w:ascii="Times New Roman;Times;serif" w:hAnsi="Times New Roman;Times;serif"/>
                  <w:b w:val="false"/>
                  <w:i w:val="false"/>
                  <w:caps w:val="false"/>
                  <w:smallCaps w:val="false"/>
                  <w:sz w:val="20"/>
                </w:rPr>
                <w:t>DESCRIPTION OF UNITS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DESCRIPTIONOFRIGHTS_565713">
              <w:r>
                <w:rPr>
                  <w:rStyle w:val="InternetLink"/>
                  <w:rFonts w:ascii="Times New Roman;Times;serif" w:hAnsi="Times New Roman;Times;serif"/>
                  <w:b w:val="false"/>
                  <w:i w:val="false"/>
                  <w:caps w:val="false"/>
                  <w:smallCaps w:val="false"/>
                  <w:sz w:val="20"/>
                </w:rPr>
                <w:t>DESCRIPTION OF RIGHTS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PLANOFDISTRIBUTION_685560">
              <w:r>
                <w:rPr>
                  <w:rStyle w:val="InternetLink"/>
                  <w:rFonts w:ascii="Times New Roman;Times;serif" w:hAnsi="Times New Roman;Times;serif"/>
                  <w:b w:val="false"/>
                  <w:i w:val="false"/>
                  <w:caps w:val="false"/>
                  <w:smallCaps w:val="false"/>
                  <w:sz w:val="20"/>
                </w:rPr>
                <w:t>PLAN OF DISTRIBUTION</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LEGALMATTERS_221665">
              <w:r>
                <w:rPr>
                  <w:rStyle w:val="InternetLink"/>
                  <w:rFonts w:ascii="Times New Roman;Times;serif" w:hAnsi="Times New Roman;Times;serif"/>
                  <w:b w:val="false"/>
                  <w:i w:val="false"/>
                  <w:caps w:val="false"/>
                  <w:smallCaps w:val="false"/>
                  <w:sz w:val="20"/>
                </w:rPr>
                <w:t>LEGAL MATTERS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EXPERTS_893181">
              <w:r>
                <w:rPr>
                  <w:rStyle w:val="InternetLink"/>
                  <w:rFonts w:ascii="Times New Roman;Times;serif" w:hAnsi="Times New Roman;Times;serif"/>
                  <w:b w:val="false"/>
                  <w:i w:val="false"/>
                  <w:caps w:val="false"/>
                  <w:smallCaps w:val="false"/>
                  <w:sz w:val="20"/>
                </w:rPr>
                <w:t>EXPERTS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WHEREYOUCANFINDMOREINFORMATION_180649">
              <w:r>
                <w:rPr>
                  <w:rStyle w:val="InternetLink"/>
                  <w:rFonts w:ascii="Times New Roman;Times;serif" w:hAnsi="Times New Roman;Times;serif"/>
                  <w:b w:val="false"/>
                  <w:i w:val="false"/>
                  <w:caps w:val="false"/>
                  <w:smallCaps w:val="false"/>
                  <w:sz w:val="20"/>
                </w:rPr>
                <w:t>WHERE YOU CAN FIND MORE INFORMATION</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5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pPr>
            <w:hyperlink w:anchor="INCORPORATIONOFCERTAININFORMATIONBYREFER">
              <w:r>
                <w:rPr>
                  <w:rStyle w:val="InternetLink"/>
                  <w:rFonts w:ascii="Times New Roman;Times;serif" w:hAnsi="Times New Roman;Times;serif"/>
                  <w:b w:val="false"/>
                  <w:i w:val="false"/>
                  <w:caps w:val="false"/>
                  <w:smallCaps w:val="false"/>
                  <w:sz w:val="20"/>
                </w:rPr>
                <w:t>INCORPORATION OF CERTAIN INFORMATION BY REFERENCE</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ABOUT THIS PROSPECTUS</w:t>
      </w:r>
      <w:bookmarkStart w:id="3" w:name="ABOUTTHISPROSPECTUS_685314"/>
      <w:bookmarkEnd w:id="3"/>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prospectus is a part of an automatic “shelf” registration statement on Form S-3ASR that we filed with the Securities and Exchange Commission, or the SEC, as a “well-known seasoned issuer” as defined in Rule 405 under the Securities Act of 1933, as amended, or the Securities Act. Under this shelf registration process, we may offer and sell from time to time any combination of the securities described in this prospectus in one or more offerings in amounts, at prices and on terms that we determine at the time of the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rules and regulations of the SEC allow us to omit from this prospectus certain information that is included in the registration statement. For further information about us and our securities, you should review the registration statement and the exhibits filed with the registration statement. In addition, the SEC allows us to incorporate by reference into this prospectus information in the reports and other documents that we file with the SEC, which means that we can disclose important information to you by referring you to those reports and other documents. The information incorporated by reference is considered to be part of this prospectus, and information that we later file with the SEC will automatically update and, where applicable, modify or supersede that information. You may read the registration statement (including its exhibits) and the reports and other documents that we file with the SEC at the SEC’s website, www.sec.gov.</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prospectus provides you with a general description of the securities we may offer. Each time we offer securities under this shelf registration,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may also add, update or change information contained in this prospectus. You should read both this prospectus and any prospectus supplement together with the additional information described under the heading “Incorporation of Certain Information by Reference.” To the extent that any information in the prospectus supplement is inconsistent with the information in this prospectus, the information in the prospectus supplement will modify or supersede this prospectus.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prospectus and the applicable prospectus supplement do not constitute an offer to sell or the solicitation of an offer to buy any securities other than the registered securities to which they relate, nor do this prospectus and the applicable prospectus supplement constitute an offer to sell or the solicitation of an offer to buy securities in any jurisdiction to any person to whom it is unlawful to make such offer or solicitation in such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should not assume that the information contained in this prospectus and the applicable prospectus supplement is accurate as of any date subsequent to the date set forth on the front of the document or that any information we have incorporated by reference is correct as of any date subsequent to the date of the document incorporated by reference, even though this prospectus and any applicable prospectus supplement is delivered or securities are sold on a later date. Our business, financial condition, results of operations and prospects may have changed since those 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should rely only on the information contained in this prospectus, in the applicable prospectus supplement and in any documents incorporated by reference into this prospectus and the applicable prospectus supplement. We have not authorized any salesperson, dealer or other person to provide you with information different from that contained in this prospectus, in the applicable prospectus supplement or in any documents incorporated by reference into this prospectus or the applicable prospectus supplement, and you are not entitled to rely upon any such different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Throughout this prospectus, the terms “Iovance,” “we,” “us,” “our,” and “our company” refer to Iovance Biotherapeutics, Inc., a Delaware corporation.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bookmarkStart w:id="4" w:name="IOVANCEBIOTHERAPEUTICSINC_671500"/>
      <w:bookmarkEnd w:id="4"/>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 commercial-stage biopharmaceutical company pioneering a transformational approach to treating cancer. Our mission is to be the global leader in innovating, developing, and delivering tumor infiltrating lymphocyte, or TIL, cell therapies for patients with solid tumor cancers. TIL cell therapies harness the individual immune system’s ability to recognize and destroy diverse cancer cells that are unique to each patient. These individualized therapies are manufactured using centralized, scalable, and proprietary manufacturing processes which rejuvenate and multiply each patient’s polyclonal T cells into the billions.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Iovance was founded to build upon the promise of TIL cell therapy initially developed at academic research centers, including the National Cancer Institute, or the NCI. Our multi-center trials, scalable manufacturing, regulatory approvals and commercial infrastructure have transformed TIL cell therapy from a research product available to only a small number of patients, into a commercially viable treatment that is accessible for thousands of cancer patients.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two commercial products include Amtagvi® (lifileucel) and Proleukin® (aldesleukin), an interleukin-2, or IL-2, product used in the Amtagvi® treatment regimen and other applications.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Amtagvi® is the first one-time, individualized T cell therapy for a solid tumor cancer and for the treatment of adult patients with previously treated advanced, or unresectable or metastatic melanoma, approved for use in the U.S. and Canada. Amtagvi® is administered as part of a treatment regimen that includes lymphodepletion and a short course of Proleukin®.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Globally, Amtagvi® has the potential to address more than 30,000 previously treated advanced melanoma patients annually. We plan to launch into additional markets with a high prevalence of advanced melanoma. On June 4, 2026, we received marketing authorization from the Therapeutic Goods Administration of Australia for Amtagvi® for previously treated advanced (metastatic or unresectable) melanoma. Potential approval is pending in Switzerland in 2027. In the European Union, or EU, we withdrew our initial marketing authorization application, or MAA, in July 2025. We are working with the European Medicines Agency, or EMA, to resubmit a centralized MAA in 2026. In the United Kingdom, or UK, we withdrew our initial MAA in May 2026 and will resubmit the MAA with additional information for expedited review in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development pipeline consists of TIL cell therapies in additional solid tumor cancer indications as monotherapy or in combination with standard of care, as well as next generation approaches. We are conducting two ongoing registrational trials in frontline advanced melanoma and previously treated advanced non-small cell lung cancer, or NSCLC. We have commenced a registrational trial in previously treated advanced undifferentiated pleomorphic sarcoma and dedifferentiated liposarcoma, and plan to engage with the FDA for an expedited path to accelerated approval.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Information concerning our company is contained in the documents that we file with the SEC as a reporting company under the Securities Exchange Act of 1934, as amended, or the Exchange Act, which are accessible at </w:t>
      </w:r>
      <w:r>
        <w:rPr>
          <w:rFonts w:ascii="Times New Roman;Times;serif" w:hAnsi="Times New Roman;Times;serif"/>
          <w:i/>
          <w:sz w:val="20"/>
        </w:rPr>
        <w:t>www.sec.gov</w:t>
      </w:r>
      <w:r>
        <w:rPr>
          <w:rFonts w:ascii="Times New Roman;Times;serif" w:hAnsi="Times New Roman;Times;serif"/>
          <w:sz w:val="20"/>
        </w:rPr>
        <w:t>, and on our website at www.iovance.com.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 Information on our website is not, and should not be considered, part of this prospectus.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principal executive offices are located at 825 Industrial Road, Suite 100, San Carlos, California 94070, and our telephone number is (650) 260-7120.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 FACTORS</w:t>
      </w:r>
      <w:bookmarkStart w:id="5" w:name="RISKFACTORS_823994"/>
      <w:bookmarkEnd w:id="5"/>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Investment in any securities offered pursuant to this prospectus and the applicable prospectus supplement involves a high degree of risk. Prior to making a decision about investing in our securities, you should carefully consider the risk factors described in our most recent Annual Report on Form 10-K and Quarterly Report on Form 10-Q and in any subsequent Quarterly Reports on Form 10-Q or Current Reports on Form 8-K that we file with the SEC after the date of this prospectus, all of which are incorporated by reference into this prospectus. You should also carefully review all other information contained in or incorporated by reference into this prospectus and the applicable prospectus supplement, including the information contained below under the heading “Forward-Looking Statements and Market Data,” as updated by our subsequent filings under the Exchange Act. The occurrence of any of these risks might cause you to lose all or part of your investment in the offered securities.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FORWARD-LOOKING STATEMENTS AND MARKET DATA</w:t>
      </w:r>
      <w:bookmarkStart w:id="6" w:name="FORWARDLOOKINGSTATEMENTSANDMARKETDATA_75"/>
      <w:bookmarkEnd w:id="6"/>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prospectus and the documents incorporated herein by reference contain forward-looking statements that are based on management’s beliefs and assumptions and on information currently available to management, and we anticipate that the applicable prospectus supplement will contain such forward-looking statements as well. All statements other than statements of historical facts contained in this prospectus are forward-looking statements. In some cases, you can identify forward-looking statements by the following words: “may,” “will,” “might,” “could,” “would,” “should,” “expect,” “intend,” “plan,” “anticipate,” “believe,” “estimate,” “predict,” “project,” “aim,” “potential,” “achievable,” “continue,” “ongoing,” “goal,” “forecast,” “guidance,” “outlook,” or the negative of these terms or other similar expressions, although not all forward-looking statements contain these words.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and the documents incorporated herein by reference include, but are not limited to, statements about:</w:t>
      </w:r>
    </w:p>
    <w:tbl>
      <w:tblPr>
        <w:tblW w:w="5808" w:type="dxa"/>
        <w:jc w:val="left"/>
        <w:tblInd w:w="0" w:type="dxa"/>
        <w:tblLayout w:type="fixed"/>
        <w:tblCellMar>
          <w:top w:w="0" w:type="dxa"/>
          <w:left w:w="0" w:type="dxa"/>
          <w:bottom w:w="0" w:type="dxa"/>
          <w:right w:w="0" w:type="dxa"/>
        </w:tblCellMar>
      </w:tblPr>
      <w:tblGrid>
        <w:gridCol w:w="23"/>
        <w:gridCol w:w="170"/>
        <w:gridCol w:w="5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enrollment, design, and timing of our clinical trials;</w:t>
            </w:r>
          </w:p>
        </w:tc>
      </w:tr>
    </w:tbl>
    <w:tbl>
      <w:tblPr>
        <w:tblW w:w="5673" w:type="dxa"/>
        <w:jc w:val="left"/>
        <w:tblInd w:w="0" w:type="dxa"/>
        <w:tblLayout w:type="fixed"/>
        <w:tblCellMar>
          <w:top w:w="0" w:type="dxa"/>
          <w:left w:w="0" w:type="dxa"/>
          <w:bottom w:w="0" w:type="dxa"/>
          <w:right w:w="0" w:type="dxa"/>
        </w:tblCellMar>
      </w:tblPr>
      <w:tblGrid>
        <w:gridCol w:w="23"/>
        <w:gridCol w:w="170"/>
        <w:gridCol w:w="54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and timing of our product development activities;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us or our third-party contract manufacturers to continue to manufacture tumor infiltrating lymphocytes, or TIL, in accordance with our selected process;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design, construct, and staff our own manufacturing facility on a timely basis and within the estimated expenses;</w:t>
            </w:r>
          </w:p>
        </w:tc>
      </w:tr>
    </w:tbl>
    <w:tbl>
      <w:tblPr>
        <w:tblW w:w="5793" w:type="dxa"/>
        <w:jc w:val="left"/>
        <w:tblInd w:w="0" w:type="dxa"/>
        <w:tblLayout w:type="fixed"/>
        <w:tblCellMar>
          <w:top w:w="0" w:type="dxa"/>
          <w:left w:w="0" w:type="dxa"/>
          <w:bottom w:w="0" w:type="dxa"/>
          <w:right w:w="0" w:type="dxa"/>
        </w:tblCellMar>
      </w:tblPr>
      <w:tblGrid>
        <w:gridCol w:w="23"/>
        <w:gridCol w:w="170"/>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competing therapies that are or may become available;</w:t>
            </w:r>
          </w:p>
        </w:tc>
      </w:tr>
    </w:tbl>
    <w:tbl>
      <w:tblPr>
        <w:tblW w:w="7308" w:type="dxa"/>
        <w:jc w:val="left"/>
        <w:tblInd w:w="0" w:type="dxa"/>
        <w:tblLayout w:type="fixed"/>
        <w:tblCellMar>
          <w:top w:w="0" w:type="dxa"/>
          <w:left w:w="0" w:type="dxa"/>
          <w:bottom w:w="0" w:type="dxa"/>
          <w:right w:w="0" w:type="dxa"/>
        </w:tblCellMar>
      </w:tblPr>
      <w:tblGrid>
        <w:gridCol w:w="23"/>
        <w:gridCol w:w="170"/>
        <w:gridCol w:w="71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of America, or U.S., and foreign countries;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and maintain U.S. Food and Drug Administration, or the FDA, European Commission, or other regulatory authority approval of, or other action with respect to, our products and/or product candidates;</w:t>
            </w:r>
          </w:p>
        </w:tc>
      </w:tr>
    </w:tbl>
    <w:tbl>
      <w:tblPr>
        <w:tblW w:w="6018" w:type="dxa"/>
        <w:jc w:val="left"/>
        <w:tblInd w:w="0" w:type="dxa"/>
        <w:tblLayout w:type="fixed"/>
        <w:tblCellMar>
          <w:top w:w="0" w:type="dxa"/>
          <w:left w:w="0" w:type="dxa"/>
          <w:bottom w:w="0" w:type="dxa"/>
          <w:right w:w="0" w:type="dxa"/>
        </w:tblCellMar>
      </w:tblPr>
      <w:tblGrid>
        <w:gridCol w:w="23"/>
        <w:gridCol w:w="170"/>
        <w:gridCol w:w="58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scientific or management personnel;</w:t>
            </w:r>
          </w:p>
        </w:tc>
      </w:tr>
    </w:tbl>
    <w:tbl>
      <w:tblPr>
        <w:tblW w:w="6258" w:type="dxa"/>
        <w:jc w:val="left"/>
        <w:tblInd w:w="0" w:type="dxa"/>
        <w:tblLayout w:type="fixed"/>
        <w:tblCellMar>
          <w:top w:w="0" w:type="dxa"/>
          <w:left w:w="0" w:type="dxa"/>
          <w:bottom w:w="0" w:type="dxa"/>
          <w:right w:w="0" w:type="dxa"/>
        </w:tblCellMar>
      </w:tblPr>
      <w:tblGrid>
        <w:gridCol w:w="23"/>
        <w:gridCol w:w="170"/>
        <w:gridCol w:w="6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benefits of our restructuring plan announced in August 2025;</w:t>
            </w:r>
          </w:p>
        </w:tc>
      </w:tr>
    </w:tbl>
    <w:tbl>
      <w:tblPr>
        <w:tblW w:w="10098" w:type="dxa"/>
        <w:jc w:val="left"/>
        <w:tblInd w:w="0" w:type="dxa"/>
        <w:tblLayout w:type="fixed"/>
        <w:tblCellMar>
          <w:top w:w="0" w:type="dxa"/>
          <w:left w:w="0" w:type="dxa"/>
          <w:bottom w:w="0" w:type="dxa"/>
          <w:right w:w="0" w:type="dxa"/>
        </w:tblCellMar>
      </w:tblPr>
      <w:tblGrid>
        <w:gridCol w:w="23"/>
        <w:gridCol w:w="170"/>
        <w:gridCol w:w="9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regarding expenses, future revenue, capital requirements, and needs for additional financing;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 including funding necessary to complete further development of our product candidates and commercialization of our products;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commercialize Amtagvi® (lifileucel) and Proleukin® (aldesleukin), and any other products and/or product candidates for which we obtain or have obtained FDA or other regulatory approvals, including by the European Commission in the European Union, or the EU;</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our third-party research institution collaborators to continue research and development activities relating to our product candidates;</w:t>
            </w:r>
          </w:p>
        </w:tc>
      </w:tr>
    </w:tbl>
    <w:tbl>
      <w:tblPr>
        <w:tblW w:w="6753" w:type="dxa"/>
        <w:jc w:val="left"/>
        <w:tblInd w:w="0" w:type="dxa"/>
        <w:tblLayout w:type="fixed"/>
        <w:tblCellMar>
          <w:top w:w="0" w:type="dxa"/>
          <w:left w:w="0" w:type="dxa"/>
          <w:bottom w:w="0" w:type="dxa"/>
          <w:right w:w="0" w:type="dxa"/>
        </w:tblCellMar>
      </w:tblPr>
      <w:tblGrid>
        <w:gridCol w:w="23"/>
        <w:gridCol w:w="170"/>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our other research and development and strategic collaborations;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obtain and maintain intellectual property protection for our manufacturing methods and products and/or product candidates;</w:t>
            </w:r>
          </w:p>
        </w:tc>
      </w:tr>
    </w:tbl>
    <w:tbl>
      <w:tblPr>
        <w:tblW w:w="7533" w:type="dxa"/>
        <w:jc w:val="left"/>
        <w:tblInd w:w="0" w:type="dxa"/>
        <w:tblLayout w:type="fixed"/>
        <w:tblCellMar>
          <w:top w:w="0" w:type="dxa"/>
          <w:left w:w="0" w:type="dxa"/>
          <w:bottom w:w="0" w:type="dxa"/>
          <w:right w:w="0" w:type="dxa"/>
        </w:tblCellMar>
      </w:tblPr>
      <w:tblGrid>
        <w:gridCol w:w="23"/>
        <w:gridCol w:w="170"/>
        <w:gridCol w:w="73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research, develop, and commercialize our products and/or product candidates;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potential of the markets for our products and/or product candidates, and our ability to serve those markets;</w:t>
            </w:r>
          </w:p>
        </w:tc>
      </w:tr>
    </w:tbl>
    <w:tbl>
      <w:tblPr>
        <w:tblW w:w="8853" w:type="dxa"/>
        <w:jc w:val="left"/>
        <w:tblInd w:w="0" w:type="dxa"/>
        <w:tblLayout w:type="fixed"/>
        <w:tblCellMar>
          <w:top w:w="0" w:type="dxa"/>
          <w:left w:w="0" w:type="dxa"/>
          <w:bottom w:w="0" w:type="dxa"/>
          <w:right w:w="0" w:type="dxa"/>
        </w:tblCellMar>
      </w:tblPr>
      <w:tblGrid>
        <w:gridCol w:w="23"/>
        <w:gridCol w:w="170"/>
        <w:gridCol w:w="8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contract with third-party suppliers and manufacturers and their ability to perform adequately;</w:t>
            </w:r>
          </w:p>
        </w:tc>
      </w:tr>
    </w:tbl>
    <w:tbl>
      <w:tblPr>
        <w:tblW w:w="4938" w:type="dxa"/>
        <w:jc w:val="left"/>
        <w:tblInd w:w="0" w:type="dxa"/>
        <w:tblLayout w:type="fixed"/>
        <w:tblCellMar>
          <w:top w:w="0" w:type="dxa"/>
          <w:left w:w="0" w:type="dxa"/>
          <w:bottom w:w="0" w:type="dxa"/>
          <w:right w:w="0" w:type="dxa"/>
        </w:tblCellMar>
      </w:tblPr>
      <w:tblGrid>
        <w:gridCol w:w="23"/>
        <w:gridCol w:w="170"/>
        <w:gridCol w:w="47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trading price of our common stock; and</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cash and other resources.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Actual results may differ from those set forth in this prospectus and the documents incorporated herein by reference due to the risks and uncertainties inherent in our business, including those provided in the foregoing list of forward-looking statements and also including, without limitation: the FDA may not agree with our interpretation of the results of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clinical trials; later developments with the FDA that may be inconsistent with already completed FDA meetings; the preliminary clinical results, including efficacy and safety results, from ongoing Phase 2 and Phase 3 clinical trials may not be reflected in the final analyses of these clinical trials including new cohorts within these clinical trials; the results obtained in our ongoing clinical trials, such as the studies and clinical trials referred to in this prospectus and the documents incorporated herein by reference,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the FDA’s interpretation, as well as the FDA’s authority to request new or additional information; we may not be able to obtain or maintain FDA or other regulatory authority approval of our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prospectus and the documents incorporated herein by reference speaks only as of the date of this prospectus, the dates of the documents incorporated herein by reference, or as of the date on which it is made, as applicable. Except as required by law, we undertake no obligation to publicly update any forward-looking statements, whether because of new information, future events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discuss certain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 including our most recent Annual Report on Form 10-K and our Quarterly Reports on Form 10-Q filed with the SEC.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USE OF PROCEEDS</w:t>
      </w:r>
      <w:bookmarkStart w:id="7" w:name="USEOFPROCEEDS_788428"/>
      <w:bookmarkEnd w:id="7"/>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we state otherwise in the applicable prospectus supplement, we intend to use the net proceeds from the sale of securities described in this prospectus for the further development and commercialization of our products and product candidates and for general corporate purposes, which may include, among other things, reducing indebtedness, acquiring other companies (although we currently have no agreement to acquire any other company), purchasing or licensing other assets or lines of business, repurchasing our common stock and making capital expenditures, including the construction of our manufacturing facility, as well as for working capital. Until we use the net proceeds for these purposes, we intend to invest the net proceeds in investment-grade, interest-bearing securities. We have not determined the amounts we plan to spend on any of these areas or the timing of these expenditures. As a result, our management will have broad discretion regarding the application of the net proceeds from the sale of securities described in this prospectus.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SECURITIES THAT WE MAY OFFER</w:t>
      </w:r>
      <w:bookmarkStart w:id="8" w:name="THESECURITIESTHATWEMAYOFFER_905370"/>
      <w:bookmarkEnd w:id="8"/>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directly or through underwriters, dealers or agents designated by us from time to time, may offer, issue and sell, together or separately, an indeterminate amount of:</w:t>
      </w:r>
    </w:p>
    <w:tbl>
      <w:tblPr>
        <w:tblW w:w="5373" w:type="dxa"/>
        <w:jc w:val="left"/>
        <w:tblInd w:w="0" w:type="dxa"/>
        <w:tblLayout w:type="fixed"/>
        <w:tblCellMar>
          <w:top w:w="0" w:type="dxa"/>
          <w:left w:w="0" w:type="dxa"/>
          <w:bottom w:w="0" w:type="dxa"/>
          <w:right w:w="0" w:type="dxa"/>
        </w:tblCellMar>
      </w:tblPr>
      <w:tblGrid>
        <w:gridCol w:w="23"/>
        <w:gridCol w:w="170"/>
        <w:gridCol w:w="5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par value $0.000041666 per share;</w:t>
            </w:r>
          </w:p>
        </w:tc>
      </w:tr>
    </w:tbl>
    <w:tbl>
      <w:tblPr>
        <w:tblW w:w="4758" w:type="dxa"/>
        <w:jc w:val="left"/>
        <w:tblInd w:w="0" w:type="dxa"/>
        <w:tblLayout w:type="fixed"/>
        <w:tblCellMar>
          <w:top w:w="0" w:type="dxa"/>
          <w:left w:w="0" w:type="dxa"/>
          <w:bottom w:w="0" w:type="dxa"/>
          <w:right w:w="0" w:type="dxa"/>
        </w:tblCellMar>
      </w:tblPr>
      <w:tblGrid>
        <w:gridCol w:w="23"/>
        <w:gridCol w:w="170"/>
        <w:gridCol w:w="4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preferred stock, par value $0.001 per share;</w:t>
            </w:r>
          </w:p>
        </w:tc>
      </w:tr>
    </w:tbl>
    <w:tbl>
      <w:tblPr>
        <w:tblW w:w="1443" w:type="dxa"/>
        <w:jc w:val="left"/>
        <w:tblInd w:w="0" w:type="dxa"/>
        <w:tblLayout w:type="fixed"/>
        <w:tblCellMar>
          <w:top w:w="0" w:type="dxa"/>
          <w:left w:w="0" w:type="dxa"/>
          <w:bottom w:w="0" w:type="dxa"/>
          <w:right w:w="0" w:type="dxa"/>
        </w:tblCellMar>
      </w:tblPr>
      <w:tblGrid>
        <w:gridCol w:w="23"/>
        <w:gridCol w:w="170"/>
        <w:gridCol w:w="1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tc>
      </w:tr>
    </w:tbl>
    <w:tbl>
      <w:tblPr>
        <w:tblW w:w="8673" w:type="dxa"/>
        <w:jc w:val="left"/>
        <w:tblInd w:w="0" w:type="dxa"/>
        <w:tblLayout w:type="fixed"/>
        <w:tblCellMar>
          <w:top w:w="0" w:type="dxa"/>
          <w:left w:w="0" w:type="dxa"/>
          <w:bottom w:w="0" w:type="dxa"/>
          <w:right w:w="0" w:type="dxa"/>
        </w:tblCellMar>
      </w:tblPr>
      <w:tblGrid>
        <w:gridCol w:w="23"/>
        <w:gridCol w:w="170"/>
        <w:gridCol w:w="84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shares of our common stock, shares of our preferred stock and/or our debt securities;</w:t>
            </w:r>
          </w:p>
        </w:tc>
      </w:tr>
    </w:tbl>
    <w:tbl>
      <w:tblPr>
        <w:tblW w:w="5673" w:type="dxa"/>
        <w:jc w:val="left"/>
        <w:tblInd w:w="0" w:type="dxa"/>
        <w:tblLayout w:type="fixed"/>
        <w:tblCellMar>
          <w:top w:w="0" w:type="dxa"/>
          <w:left w:w="0" w:type="dxa"/>
          <w:bottom w:w="0" w:type="dxa"/>
          <w:right w:w="0" w:type="dxa"/>
        </w:tblCellMar>
      </w:tblPr>
      <w:tblGrid>
        <w:gridCol w:w="23"/>
        <w:gridCol w:w="170"/>
        <w:gridCol w:w="54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consisting of two or more of the securities described above; or</w:t>
            </w:r>
          </w:p>
        </w:tc>
      </w:tr>
    </w:tbl>
    <w:tbl>
      <w:tblPr>
        <w:tblW w:w="9348" w:type="dxa"/>
        <w:jc w:val="left"/>
        <w:tblInd w:w="0" w:type="dxa"/>
        <w:tblLayout w:type="fixed"/>
        <w:tblCellMar>
          <w:top w:w="0" w:type="dxa"/>
          <w:left w:w="0" w:type="dxa"/>
          <w:bottom w:w="0" w:type="dxa"/>
          <w:right w:w="0" w:type="dxa"/>
        </w:tblCellMar>
      </w:tblPr>
      <w:tblGrid>
        <w:gridCol w:w="23"/>
        <w:gridCol w:w="170"/>
        <w:gridCol w:w="9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to purchase shares of our common stock, shares of our preferred stock, warrants, units or our debt securities.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common stock, the preferred stock, the debt securities, the warrants, the units, and the rights to purchase shares of our common stock, shares of our preferred stock, warrants, debt securities or units collectively are referred to in this prospectus as the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summarized below the material terms of the various types of securities that we may offer. We will describe in the applicable prospectus supplement the detailed terms of the securities offered by that supplement. If indicated in the prospectus supplement, the terms of the offered securities may differ from the terms summarized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prospectus may not be used to sell our securities unless it is accompanied by the applicable prospectus supplement.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SECURITIES</w:t>
      </w:r>
      <w:bookmarkStart w:id="9" w:name="DESCRIPTIONOFSECURITIES_20929"/>
      <w:bookmarkEnd w:id="9"/>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summary of all material characteristics of our capital stock as set forth in our certificate of incorporation and bylaws, as amended. Copies of these documents are filed or incorporated by reference as exhibits to the registration statement, of which this prospectus forms a part.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COMMON STOCK</w:t>
      </w:r>
      <w:bookmarkStart w:id="10" w:name="DESCRIPTIONOFCOMMONSTOCK_975872"/>
      <w:bookmarkEnd w:id="10"/>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presently authorized to issue 650,000,000 shares of $0.000041666 par value common stock. As of March 31, 2026, we had issued and outstanding 438,106,537 shares of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one class of common stock. Holders of our common stock are entitled to one vote per share on all matters to be voted upon by stockholders and do not have cumulative voting rights in the election of directors. Holders of shares of common stock are entitled to receive on a pro rata basis such dividends, if any, as may be declared from time to time by our board of directors in its discretion from funds legally available for that use, subject to any preferential dividend rights of outstanding preferred stock. They are also entitled to share on a pro rata basis in any distribution to our common stockholders upon our liquidation, dissolution or winding up, subject to the prior rights of any outstanding preferred stock. Common stockholders do not have preemptive rights to subscribe to any additional stock issuances by us, and they do not have the right to require the redemption of their shares or the conversion of their shares into any other class of our stock. The rights, preferences and privileges of holders of common stock are subject to, and may be adversely affected by, the rights of the holders of any series of preferred stock that we may designate and issue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provisions of our certificate of incorporation and bylaws could have the effect of delaying or discouraging another party from acquiring control of us and could encourage persons seeking to acquire control of us to first negotiate with our board of directors: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prohibit our stockholders from filling board vacancies, calling special stockholder meetings or taking action by written consent;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require advance written notice of stockholder proposals and director nominations;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requires any action instituted against our officers or directors in connection with their service to us to be brought in the state of Delaware;</w:t>
            </w:r>
          </w:p>
        </w:tc>
      </w:tr>
    </w:tbl>
    <w:tbl>
      <w:tblPr>
        <w:tblW w:w="9378" w:type="dxa"/>
        <w:jc w:val="left"/>
        <w:tblInd w:w="0" w:type="dxa"/>
        <w:tblLayout w:type="fixed"/>
        <w:tblCellMar>
          <w:top w:w="0" w:type="dxa"/>
          <w:left w:w="0" w:type="dxa"/>
          <w:bottom w:w="0" w:type="dxa"/>
          <w:right w:w="0" w:type="dxa"/>
        </w:tblCellMar>
      </w:tblPr>
      <w:tblGrid>
        <w:gridCol w:w="23"/>
        <w:gridCol w:w="170"/>
        <w:gridCol w:w="91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our board of directors will establish the authorized number of directors from time to time;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for the removal of a director only with cause and by the affirmative vote of the holders of at least two-thirds of the shares then entitled to vote at an election of our directors;</w:t>
            </w:r>
          </w:p>
        </w:tc>
      </w:tr>
    </w:tbl>
    <w:tbl>
      <w:tblPr>
        <w:tblW w:w="8133" w:type="dxa"/>
        <w:jc w:val="left"/>
        <w:tblInd w:w="0" w:type="dxa"/>
        <w:tblLayout w:type="fixed"/>
        <w:tblCellMar>
          <w:top w:w="0" w:type="dxa"/>
          <w:left w:w="0" w:type="dxa"/>
          <w:bottom w:w="0" w:type="dxa"/>
          <w:right w:w="0" w:type="dxa"/>
        </w:tblCellMar>
      </w:tblPr>
      <w:tblGrid>
        <w:gridCol w:w="23"/>
        <w:gridCol w:w="170"/>
        <w:gridCol w:w="7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does not permit cumulative voting in the election of directors;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permits our board of directors to determine the rights, privileges and preferences of any new series of preferred stock, some of which could impede the ability of a person to acquire control of our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we are subject to the provisions of Section 203 of the General Corporation Law of Delaware. Section 203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and other transactions resulting in a financial benefit to the interested stockholder. Subject to specified exceptions, an “interested stockholder” is a person who, together with affiliates and associates, owns, or within three years did own, 15% or more of the corporation’s voting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transfer agent and registrar of our common stock is Continental Stock Transfer and Trust Company. The address of our transfer agent and registrar is 1 State Street, 30th Floor, New York, New York 10004, and its telephone number is (212) 509-4000.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common stock is traded on The Nasdaq Global Market under the symbol “IOVA.”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PREFERRED STOCK</w:t>
      </w:r>
      <w:bookmarkStart w:id="11" w:name="DESCRIPTIONOFPREFERREDSTOCK_36551"/>
      <w:bookmarkEnd w:id="11"/>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authority to issue 50,000,000 shares of preferred stock, par value $0.001 per share. As of March 31, 2026, we had issued and outstanding 194 shares designated as Series A Convertible Preferred Stock (the “Series A Convertible Preferred Stock”) that are convertible into 97,000 shares of common stock, and 1,932,667 shares designated as Series B Convertible Preferred Stock (the “Series B Convertible Preferred Stock”) that are convertible into 1,932,667 shares of common stock. There are no other series of shares of our preferred stock currently issued or outstanding. The rights and restrictions granted or imposed on the shares of the Series A Convertible Preferred Stock and Series B Convertible Preferred Stock are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our certificate of incorporation, our board of directors has the authority, without further action by stockholders, to designate one or more series of preferred stock and to fix the voting powers, designations, preferences, limitations, restrictions and relative rights granted to or imposed upon the preferred stock, including dividend rights, conversion rights, voting rights, rights and terms of redemption, liquidation preference and sinking fund terms, any or all of which may be preferential to or greater than the rights of the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will describe in a prospectus supplement relating to any series of preferred stock being offered the following terms:</w:t>
      </w:r>
    </w:p>
    <w:tbl>
      <w:tblPr>
        <w:tblW w:w="5223" w:type="dxa"/>
        <w:jc w:val="left"/>
        <w:tblInd w:w="0" w:type="dxa"/>
        <w:tblLayout w:type="fixed"/>
        <w:tblCellMar>
          <w:top w:w="0" w:type="dxa"/>
          <w:left w:w="0" w:type="dxa"/>
          <w:bottom w:w="0" w:type="dxa"/>
          <w:right w:w="0" w:type="dxa"/>
        </w:tblCellMar>
      </w:tblPr>
      <w:tblGrid>
        <w:gridCol w:w="23"/>
        <w:gridCol w:w="170"/>
        <w:gridCol w:w="50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distinguishing designation of the series of preferred stock;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 of preferred stock offered, the liquidation preference per share and the offering price of the series;</w:t>
            </w:r>
          </w:p>
        </w:tc>
      </w:tr>
    </w:tbl>
    <w:tbl>
      <w:tblPr>
        <w:tblW w:w="9798" w:type="dxa"/>
        <w:jc w:val="left"/>
        <w:tblInd w:w="0" w:type="dxa"/>
        <w:tblLayout w:type="fixed"/>
        <w:tblCellMar>
          <w:top w:w="0" w:type="dxa"/>
          <w:left w:w="0" w:type="dxa"/>
          <w:bottom w:w="0" w:type="dxa"/>
          <w:right w:w="0" w:type="dxa"/>
        </w:tblCellMar>
      </w:tblPr>
      <w:tblGrid>
        <w:gridCol w:w="23"/>
        <w:gridCol w:w="170"/>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rate(s), period(s) or payment date(s) or method(s) of calculation applicable to the series of preferred stock;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dividends are cumulative or non-cumulative and, if cumulative, the date from which dividends on the series of preferred stock will accumulate;</w:t>
            </w:r>
          </w:p>
        </w:tc>
      </w:tr>
    </w:tbl>
    <w:tbl>
      <w:tblPr>
        <w:tblW w:w="7218" w:type="dxa"/>
        <w:jc w:val="left"/>
        <w:tblInd w:w="0" w:type="dxa"/>
        <w:tblLayout w:type="fixed"/>
        <w:tblCellMar>
          <w:top w:w="0" w:type="dxa"/>
          <w:left w:w="0" w:type="dxa"/>
          <w:bottom w:w="0" w:type="dxa"/>
          <w:right w:w="0" w:type="dxa"/>
        </w:tblCellMar>
      </w:tblPr>
      <w:tblGrid>
        <w:gridCol w:w="23"/>
        <w:gridCol w:w="170"/>
        <w:gridCol w:w="70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any auction and remarketing, if any, for the series of preferred stock;</w:t>
            </w:r>
          </w:p>
        </w:tc>
      </w:tr>
    </w:tbl>
    <w:tbl>
      <w:tblPr>
        <w:tblW w:w="6033" w:type="dxa"/>
        <w:jc w:val="left"/>
        <w:tblInd w:w="0" w:type="dxa"/>
        <w:tblLayout w:type="fixed"/>
        <w:tblCellMar>
          <w:top w:w="0" w:type="dxa"/>
          <w:left w:w="0" w:type="dxa"/>
          <w:bottom w:w="0" w:type="dxa"/>
          <w:right w:w="0" w:type="dxa"/>
        </w:tblCellMar>
      </w:tblPr>
      <w:tblGrid>
        <w:gridCol w:w="23"/>
        <w:gridCol w:w="170"/>
        <w:gridCol w:w="5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a sinking fund, if any, for the series of preferred stock;</w:t>
            </w:r>
          </w:p>
        </w:tc>
      </w:tr>
    </w:tbl>
    <w:tbl>
      <w:tblPr>
        <w:tblW w:w="6213" w:type="dxa"/>
        <w:jc w:val="left"/>
        <w:tblInd w:w="0" w:type="dxa"/>
        <w:tblLayout w:type="fixed"/>
        <w:tblCellMar>
          <w:top w:w="0" w:type="dxa"/>
          <w:left w:w="0" w:type="dxa"/>
          <w:bottom w:w="0" w:type="dxa"/>
          <w:right w:w="0" w:type="dxa"/>
        </w:tblCellMar>
      </w:tblPr>
      <w:tblGrid>
        <w:gridCol w:w="23"/>
        <w:gridCol w:w="170"/>
        <w:gridCol w:w="6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redemption, if applicable, of the series of preferred stock;</w:t>
            </w:r>
          </w:p>
        </w:tc>
      </w:tr>
    </w:tbl>
    <w:tbl>
      <w:tblPr>
        <w:tblW w:w="5838" w:type="dxa"/>
        <w:jc w:val="left"/>
        <w:tblInd w:w="0" w:type="dxa"/>
        <w:tblLayout w:type="fixed"/>
        <w:tblCellMar>
          <w:top w:w="0" w:type="dxa"/>
          <w:left w:w="0" w:type="dxa"/>
          <w:bottom w:w="0" w:type="dxa"/>
          <w:right w:w="0" w:type="dxa"/>
        </w:tblCellMar>
      </w:tblPr>
      <w:tblGrid>
        <w:gridCol w:w="23"/>
        <w:gridCol w:w="170"/>
        <w:gridCol w:w="56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listing of the series of preferred stock on any securities exchange;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if applicable, upon which the series of preferred stock will be convertible into common stock, including the conversion price or manner of calculation and conversion period;</w:t>
            </w:r>
          </w:p>
        </w:tc>
      </w:tr>
    </w:tbl>
    <w:tbl>
      <w:tblPr>
        <w:tblW w:w="4383" w:type="dxa"/>
        <w:jc w:val="left"/>
        <w:tblInd w:w="0" w:type="dxa"/>
        <w:tblLayout w:type="fixed"/>
        <w:tblCellMar>
          <w:top w:w="0" w:type="dxa"/>
          <w:left w:w="0" w:type="dxa"/>
          <w:bottom w:w="0" w:type="dxa"/>
          <w:right w:w="0" w:type="dxa"/>
        </w:tblCellMar>
      </w:tblPr>
      <w:tblGrid>
        <w:gridCol w:w="23"/>
        <w:gridCol w:w="170"/>
        <w:gridCol w:w="4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if any, of the series of preferred stock;</w:t>
            </w:r>
          </w:p>
        </w:tc>
      </w:tr>
    </w:tbl>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or special U.S. federal income tax considerations applicable to the series of preferred stock;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ranking and preferences of the series of preferred stock as to dividend rights and rights upon the liquidation, dissolution or winding up of our affairs;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limitations on issuance of any series of preferred stock ranking senior to or on a parity with the series of preferred stock being offered as to dividend rights and rights upon liquidation, dissolution or winding up of our affairs; and</w:t>
            </w:r>
          </w:p>
        </w:tc>
      </w:tr>
    </w:tbl>
    <w:tbl>
      <w:tblPr>
        <w:tblW w:w="8328" w:type="dxa"/>
        <w:jc w:val="left"/>
        <w:tblInd w:w="0" w:type="dxa"/>
        <w:tblLayout w:type="fixed"/>
        <w:tblCellMar>
          <w:top w:w="0" w:type="dxa"/>
          <w:left w:w="0" w:type="dxa"/>
          <w:bottom w:w="0" w:type="dxa"/>
          <w:right w:w="0" w:type="dxa"/>
        </w:tblCellMar>
      </w:tblPr>
      <w:tblGrid>
        <w:gridCol w:w="23"/>
        <w:gridCol w:w="170"/>
        <w:gridCol w:w="81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preferences, rights, limitations or restrictions of the series of preferred stock.</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we specify otherwise in the applicable prospectus supplement, the preferred stock will rank, relating to dividends and upon our liquidation, dissolution or winding up:</w:t>
      </w:r>
    </w:p>
    <w:tbl>
      <w:tblPr>
        <w:tblW w:w="1473" w:type="dxa"/>
        <w:jc w:val="left"/>
        <w:tblInd w:w="0" w:type="dxa"/>
        <w:tblLayout w:type="fixed"/>
        <w:tblCellMar>
          <w:top w:w="0" w:type="dxa"/>
          <w:left w:w="0" w:type="dxa"/>
          <w:bottom w:w="0" w:type="dxa"/>
          <w:right w:w="0" w:type="dxa"/>
        </w:tblCellMar>
      </w:tblPr>
      <w:tblGrid>
        <w:gridCol w:w="23"/>
        <w:gridCol w:w="170"/>
        <w:gridCol w:w="12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parity with all of our equity securities the terms of which specifically provide that the equity securities rank on a parity with the preferred stock;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junior to all of our equity securities the terms of which specifically provide that the equity securities rank senior to the preferred stock.</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Series A Convertible Preferred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October 2013, we created a new class of preferred stock, the Series A Convertible Preferred Stock, designated as “Series A Convertible Preferred Stock.” The shares of Series A Convertible Preferred Stock have a stated value of $1,000 per share and are initially convertible into shares of common stock at a price of $2.00 per share (subject to adjustment as described below). The rights of the Series A Convertible Preferred Stock are set forth in the Certificate of Designation of Preferences and Rights of Series A Convertible Preferred Stock (the “Series A Certificate of Designation”), which gives the holders of the Series A Convertible Preferred Stock the rights, preferences and privileges described in the following paragraphs.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Series A Convertible Preferred Stock may, at the option of the holder, be converted at any time or from time to time into fully paid and non-assessable shares of common stock at the conversion price in effect at the time of conversion; provided, that a holder of Series A Convertible Preferred Stock may at any given time convert only up to that number of shares of Series A Convertible Preferred Stock so that, upon conversion, the aggregate beneficial ownership of the common stock (calculated pursuant to Rule 13d-3 of the Exchange Act) of such holder and all persons affiliated with such holder, is not more than 4.99% of the common stock then outstanding (subject to adjustment up to 9.99% solely at the holder’s discretion upon 60 days’ prior notice). The number of shares into which one share of Series A Convertible Preferred Stock shall be convertible is determined by dividing the stated value of $1,000 per share by the initial Conversion Price. The “Conversion Price” per share for the Series A Convertible Preferred Stock is initially equal to $2.00 (subject to appropriate adjustment for certain events, including stock splits, stock dividends, combinations, recapitalizations or other recapitalizations affecting the Series A Convertible Preferred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Series A Convertible Preferred Stock will automatically be converted into common stock at the then-applicable Conversion Price (1) upon the written consent of the holders holding at least a majority of the outstanding shares of Series A Convertible Preferred Stock or (2) if required by us to be able to list our common stock on a national securities exchange; provided, any such conversions will continue to be limited by, and subject to the beneficial ownership conversion limitations set forth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Except as otherwise required by law, the holders of shares of Series A Convertible Preferred Stock do not have the right to vote on matters that come before the stockholders; provided, that we may not, without the prior written consent of a majority of the outstanding Series A Convertible Preferred Stock: (1) amend, alter, or repeal any provision of our certificate of incorporation (including the Series A Certificate of Designation) or Bylaws in a manner adverse to the Series A Convertible Preferred Stock; (2) create or authorize the creation of or issue any other security convertible into or exercisable for any equity security, having rights, preferences or privileges senior to or on parity with the Series A Convertible Preferred Stock, or increase the authorized number of shares of Series A Convertible Preferred Stock; or (3) enter into any agreement with respect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the event of any dissolution or winding up of our company, whether voluntary or involuntary, the proceeds would be paid </w:t>
      </w:r>
      <w:r>
        <w:rPr>
          <w:rFonts w:ascii="Times New Roman;Times;serif" w:hAnsi="Times New Roman;Times;serif"/>
          <w:i/>
          <w:sz w:val="20"/>
        </w:rPr>
        <w:t>pari passu</w:t>
      </w:r>
      <w:r>
        <w:rPr>
          <w:rFonts w:ascii="Times New Roman;Times;serif" w:hAnsi="Times New Roman;Times;serif"/>
          <w:sz w:val="20"/>
        </w:rPr>
        <w:t xml:space="preserve"> among the holders of shares of our common stock, Series A Convertible Preferred Stock and Series B Convertible Preferred Stock, pro rata based on the number of shares held by each such holder, treating for this purpose all such securities as if they had been converted to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not declare, pay or set aside any dividends on shares of any class or series of our capital stock (other than dividends on shares of common stock payable in shares of common stock) unless the holders of the Series A Convertible Preferred Stock shall first receive, or simultaneously receive, an equal dividend on each outstanding share of Series A Convertible Preferred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Series B Convertible Preferred Stock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June 2016, we created a new class of Preferred Stock designated as “Series B Preferred Stock,” which are now convertible into common stock. The rights of the Series B Convertible Preferred Stock are set forth in the Certificate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Designation of Preferences and Rights of Series B Convertible Preferred Stock (the “Series B Certificate of Designation”). A total of 11,500,000 shares of Series B Convertible Preferred Stock are authorized for issuance under the Series B Certificate of Designation. The shares of Series B Convertible Preferred Stock have a stated value of $4.75 per share and are convertible into shares of our common stock at a conversion price of $4.75 per share, subject to certain adjustments.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Holders of Series B Convertible Preferred Stock are entitled to dividends on an as-if-converted basis in the same form as any dividends actually paid on shares of our Series A Convertible Preferred Stock or other securities. So long as any Series B Convertible Preferred Stock remains outstanding, we may not redeem, purchase or otherwise acquire any material amount of our Series A Convertible Preferred Stock or other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shares of Series B Convertible Preferred Stock are convertible, at the option of each holder, at any time or from time to time into shares of our common stock at the conversion price in effect at the time of conversion, except that, subject to certain limited exceptions, no holder of Series B Convertible Preferred Stock may convert the Series B Convertible Preferred Stock if, after giving effect to the conversion, the holder and all affiliated persons would own beneficially more than 4.99% of our common stock (subject to adjustment to up to 9.99% solely at the holder’s discretion upon 61 days’ prior notice to us). The conversion price of $4.75 is subject to appropriate adjustment in the event of a stock split, stock dividend, combination or other recapitalization affecting our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Holders of a majority of the outstanding shares of Series B Convertible Preferred Stock are entitled to elect to convert all of the outstanding shares of the Series B Convertible Preferred Stock into shares of common stock, subject to the beneficial ownership limitations of each holder set forth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Except as otherwise required by law, the holders of Series B Convertible Preferred Stock have no right to vote on matters submitted to a vote of our stockholders. Without the prior written consent of a majority of the outstanding shares of Series B Convertible Preferred Stock, however, we may not: (i) amend our certificate of incorporation (including the Series B Certificate of Designation) in a manner adverse to the Series B Convertible Preferred Stock; (ii) create or authorize the creation of any other security convertible into or exercisable for any equity security ranking as to dividends, redemption or distribution of assets upon a liquidation senior to, the Series B Convertible Preferred Stock, or increase the authorized number of shares of Series B Convertible Preferred Stock; or (iii) enter into any agreement with respect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the event of the dissolution and winding up of our company, the proceeds available for distribution to our stockholders would be paid </w:t>
      </w:r>
      <w:r>
        <w:rPr>
          <w:rFonts w:ascii="Times New Roman;Times;serif" w:hAnsi="Times New Roman;Times;serif"/>
          <w:i/>
          <w:sz w:val="20"/>
        </w:rPr>
        <w:t>pari passu</w:t>
      </w:r>
      <w:r>
        <w:rPr>
          <w:rFonts w:ascii="Times New Roman;Times;serif" w:hAnsi="Times New Roman;Times;serif"/>
          <w:sz w:val="20"/>
        </w:rPr>
        <w:t xml:space="preserve"> among the holders of shares of our common stock, Series A Convertible Preferred Stock and Series B Convertible Preferred Stock, pro rata based upon the number of shares held by each such holder, treating for this purpose all such securities as if they had been converted into our common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DEBT SECURITIES</w:t>
      </w:r>
      <w:bookmarkStart w:id="12" w:name="DESCRIPTIONOFDEBTSECURITIES_625373"/>
      <w:bookmarkEnd w:id="12"/>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 - Events of Default.” Second, the trustee performs certain administrative duties, such as sending interest and principal payments to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prospectus supplement will describe the particular terms of any series of debt securities we may issue, including some or all of the following:</w:t>
      </w:r>
    </w:p>
    <w:tbl>
      <w:tblPr>
        <w:tblW w:w="4548" w:type="dxa"/>
        <w:jc w:val="left"/>
        <w:tblInd w:w="0" w:type="dxa"/>
        <w:tblLayout w:type="fixed"/>
        <w:tblCellMar>
          <w:top w:w="0" w:type="dxa"/>
          <w:left w:w="0" w:type="dxa"/>
          <w:bottom w:w="0" w:type="dxa"/>
          <w:right w:w="0" w:type="dxa"/>
        </w:tblCellMar>
      </w:tblPr>
      <w:tblGrid>
        <w:gridCol w:w="23"/>
        <w:gridCol w:w="170"/>
        <w:gridCol w:w="43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or title of the series of debt securities;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principal amount of the series of debt securities, the denominations in which the offered debt securities will be issued and whether the offering may be reopened for additional securities of that series and on what terms;</w:t>
            </w:r>
          </w:p>
        </w:tc>
      </w:tr>
    </w:tbl>
    <w:tbl>
      <w:tblPr>
        <w:tblW w:w="7578" w:type="dxa"/>
        <w:jc w:val="left"/>
        <w:tblInd w:w="0" w:type="dxa"/>
        <w:tblLayout w:type="fixed"/>
        <w:tblCellMar>
          <w:top w:w="0" w:type="dxa"/>
          <w:left w:w="0" w:type="dxa"/>
          <w:bottom w:w="0" w:type="dxa"/>
          <w:right w:w="0" w:type="dxa"/>
        </w:tblCellMar>
      </w:tblPr>
      <w:tblGrid>
        <w:gridCol w:w="23"/>
        <w:gridCol w:w="170"/>
        <w:gridCol w:w="73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the principal amount at which the series of debt securities will be offered;</w:t>
            </w:r>
          </w:p>
        </w:tc>
      </w:tr>
    </w:tbl>
    <w:tbl>
      <w:tblPr>
        <w:tblW w:w="4458" w:type="dxa"/>
        <w:jc w:val="left"/>
        <w:tblInd w:w="0" w:type="dxa"/>
        <w:tblLayout w:type="fixed"/>
        <w:tblCellMar>
          <w:top w:w="0" w:type="dxa"/>
          <w:left w:w="0" w:type="dxa"/>
          <w:bottom w:w="0" w:type="dxa"/>
          <w:right w:w="0" w:type="dxa"/>
        </w:tblCellMar>
      </w:tblPr>
      <w:tblGrid>
        <w:gridCol w:w="23"/>
        <w:gridCol w:w="170"/>
        <w:gridCol w:w="4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principal will be payable;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(which may be either fixed or variable) and/or the method of determining such rate or rates of interest, if 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from which any interest will accrue, or the method of determining such date or dates, and the date or dates on which any interest will be payable;</w:t>
            </w:r>
          </w:p>
        </w:tc>
      </w:tr>
    </w:tbl>
    <w:tbl>
      <w:tblPr>
        <w:tblW w:w="5253" w:type="dxa"/>
        <w:jc w:val="left"/>
        <w:tblInd w:w="0" w:type="dxa"/>
        <w:tblLayout w:type="fixed"/>
        <w:tblCellMar>
          <w:top w:w="0" w:type="dxa"/>
          <w:left w:w="0" w:type="dxa"/>
          <w:bottom w:w="0" w:type="dxa"/>
          <w:right w:w="0" w:type="dxa"/>
        </w:tblCellMar>
      </w:tblPr>
      <w:tblGrid>
        <w:gridCol w:w="23"/>
        <w:gridCol w:w="170"/>
        <w:gridCol w:w="5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for redemption, extension or early repayment, if any;</w:t>
            </w:r>
          </w:p>
        </w:tc>
      </w:tr>
    </w:tbl>
    <w:tbl>
      <w:tblPr>
        <w:tblW w:w="6243" w:type="dxa"/>
        <w:jc w:val="left"/>
        <w:tblInd w:w="0" w:type="dxa"/>
        <w:tblLayout w:type="fixed"/>
        <w:tblCellMar>
          <w:top w:w="0" w:type="dxa"/>
          <w:left w:w="0" w:type="dxa"/>
          <w:bottom w:w="0" w:type="dxa"/>
          <w:right w:w="0" w:type="dxa"/>
        </w:tblCellMar>
      </w:tblPr>
      <w:tblGrid>
        <w:gridCol w:w="23"/>
        <w:gridCol w:w="170"/>
        <w:gridCol w:w="60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currencies in which the series of debt securities are issued and payable;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amount of payments of principal, interest or premium, if any, on a series of debt securities will be determined with reference to an index, formula or other method and how these amounts will be determined;</w:t>
            </w:r>
          </w:p>
        </w:tc>
      </w:tr>
    </w:tbl>
    <w:tbl>
      <w:tblPr>
        <w:tblW w:w="7533" w:type="dxa"/>
        <w:jc w:val="left"/>
        <w:tblInd w:w="0" w:type="dxa"/>
        <w:tblLayout w:type="fixed"/>
        <w:tblCellMar>
          <w:top w:w="0" w:type="dxa"/>
          <w:left w:w="0" w:type="dxa"/>
          <w:bottom w:w="0" w:type="dxa"/>
          <w:right w:w="0" w:type="dxa"/>
        </w:tblCellMar>
      </w:tblPr>
      <w:tblGrid>
        <w:gridCol w:w="23"/>
        <w:gridCol w:w="170"/>
        <w:gridCol w:w="73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of payment, transfer, conversion and/or exchange of the debt securities;</w:t>
            </w:r>
          </w:p>
        </w:tc>
      </w:tr>
    </w:tbl>
    <w:tbl>
      <w:tblPr>
        <w:tblW w:w="3048" w:type="dxa"/>
        <w:jc w:val="left"/>
        <w:tblInd w:w="0" w:type="dxa"/>
        <w:tblLayout w:type="fixed"/>
        <w:tblCellMar>
          <w:top w:w="0" w:type="dxa"/>
          <w:left w:w="0" w:type="dxa"/>
          <w:bottom w:w="0" w:type="dxa"/>
          <w:right w:w="0" w:type="dxa"/>
        </w:tblCellMar>
      </w:tblPr>
      <w:tblGrid>
        <w:gridCol w:w="23"/>
        <w:gridCol w:w="170"/>
        <w:gridCol w:w="28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any sinking fund;</w:t>
            </w:r>
          </w:p>
        </w:tc>
      </w:tr>
    </w:tbl>
    <w:tbl>
      <w:tblPr>
        <w:tblW w:w="2298" w:type="dxa"/>
        <w:jc w:val="left"/>
        <w:tblInd w:w="0" w:type="dxa"/>
        <w:tblLayout w:type="fixed"/>
        <w:tblCellMar>
          <w:top w:w="0" w:type="dxa"/>
          <w:left w:w="0" w:type="dxa"/>
          <w:bottom w:w="0" w:type="dxa"/>
          <w:right w:w="0" w:type="dxa"/>
        </w:tblCellMar>
      </w:tblPr>
      <w:tblGrid>
        <w:gridCol w:w="23"/>
        <w:gridCol w:w="170"/>
        <w:gridCol w:w="21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covenants;</w:t>
            </w:r>
          </w:p>
        </w:tc>
      </w:tr>
    </w:tbl>
    <w:tbl>
      <w:tblPr>
        <w:tblW w:w="1623" w:type="dxa"/>
        <w:jc w:val="left"/>
        <w:tblInd w:w="0" w:type="dxa"/>
        <w:tblLayout w:type="fixed"/>
        <w:tblCellMar>
          <w:top w:w="0" w:type="dxa"/>
          <w:left w:w="0" w:type="dxa"/>
          <w:bottom w:w="0" w:type="dxa"/>
          <w:right w:w="0" w:type="dxa"/>
        </w:tblCellMar>
      </w:tblPr>
      <w:tblGrid>
        <w:gridCol w:w="23"/>
        <w:gridCol w:w="170"/>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r>
    </w:tbl>
    <w:tbl>
      <w:tblPr>
        <w:tblW w:w="5718" w:type="dxa"/>
        <w:jc w:val="left"/>
        <w:tblInd w:w="0" w:type="dxa"/>
        <w:tblLayout w:type="fixed"/>
        <w:tblCellMar>
          <w:top w:w="0" w:type="dxa"/>
          <w:left w:w="0" w:type="dxa"/>
          <w:bottom w:w="0" w:type="dxa"/>
          <w:right w:w="0" w:type="dxa"/>
        </w:tblCellMar>
      </w:tblPr>
      <w:tblGrid>
        <w:gridCol w:w="23"/>
        <w:gridCol w:w="170"/>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series of debt securities are issuable in certificated form;</w:t>
            </w:r>
          </w:p>
        </w:tc>
      </w:tr>
    </w:tbl>
    <w:tbl>
      <w:tblPr>
        <w:tblW w:w="5058" w:type="dxa"/>
        <w:jc w:val="left"/>
        <w:tblInd w:w="0" w:type="dxa"/>
        <w:tblLayout w:type="fixed"/>
        <w:tblCellMar>
          <w:top w:w="0" w:type="dxa"/>
          <w:left w:w="0" w:type="dxa"/>
          <w:bottom w:w="0" w:type="dxa"/>
          <w:right w:w="0" w:type="dxa"/>
        </w:tblCellMar>
      </w:tblPr>
      <w:tblGrid>
        <w:gridCol w:w="23"/>
        <w:gridCol w:w="170"/>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legal defeasance or covenant defeasance;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tc>
      </w:tr>
    </w:tbl>
    <w:tbl>
      <w:tblPr>
        <w:tblW w:w="8688" w:type="dxa"/>
        <w:jc w:val="left"/>
        <w:tblInd w:w="0" w:type="dxa"/>
        <w:tblLayout w:type="fixed"/>
        <w:tblCellMar>
          <w:top w:w="0" w:type="dxa"/>
          <w:left w:w="0" w:type="dxa"/>
          <w:bottom w:w="0" w:type="dxa"/>
          <w:right w:w="0" w:type="dxa"/>
        </w:tblCellMar>
      </w:tblPr>
      <w:tblGrid>
        <w:gridCol w:w="23"/>
        <w:gridCol w:w="170"/>
        <w:gridCol w:w="84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convertibility or exchangeability of the debt securities into or for any other securities;</w:t>
            </w:r>
          </w:p>
        </w:tc>
      </w:tr>
    </w:tbl>
    <w:tbl>
      <w:tblPr>
        <w:tblW w:w="7683" w:type="dxa"/>
        <w:jc w:val="left"/>
        <w:tblInd w:w="0" w:type="dxa"/>
        <w:tblLayout w:type="fixed"/>
        <w:tblCellMar>
          <w:top w:w="0" w:type="dxa"/>
          <w:left w:w="0" w:type="dxa"/>
          <w:bottom w:w="0" w:type="dxa"/>
          <w:right w:w="0" w:type="dxa"/>
        </w:tblCellMar>
      </w:tblPr>
      <w:tblGrid>
        <w:gridCol w:w="23"/>
        <w:gridCol w:w="170"/>
        <w:gridCol w:w="7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are subject to subordination and the terms of such subordination;</w:t>
            </w:r>
          </w:p>
        </w:tc>
      </w:tr>
    </w:tbl>
    <w:tbl>
      <w:tblPr>
        <w:tblW w:w="5103" w:type="dxa"/>
        <w:jc w:val="left"/>
        <w:tblInd w:w="0" w:type="dxa"/>
        <w:tblLayout w:type="fixed"/>
        <w:tblCellMar>
          <w:top w:w="0" w:type="dxa"/>
          <w:left w:w="0" w:type="dxa"/>
          <w:bottom w:w="0" w:type="dxa"/>
          <w:right w:w="0" w:type="dxa"/>
        </w:tblCellMar>
      </w:tblPr>
      <w:tblGrid>
        <w:gridCol w:w="23"/>
        <w:gridCol w:w="170"/>
        <w:gridCol w:w="4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listing of the debt securities on any securities exchange;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certain U.S. federal income tax considerations, including those related to original issue discount, if applicable;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208" w:type="dxa"/>
        <w:jc w:val="left"/>
        <w:tblInd w:w="0" w:type="dxa"/>
        <w:tblLayout w:type="fixed"/>
        <w:tblCellMar>
          <w:top w:w="0" w:type="dxa"/>
          <w:left w:w="0" w:type="dxa"/>
          <w:bottom w:w="0" w:type="dxa"/>
          <w:right w:w="0" w:type="dxa"/>
        </w:tblCellMar>
      </w:tblPr>
      <w:tblGrid>
        <w:gridCol w:w="23"/>
        <w:gridCol w:w="17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terms.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debt securities may be secured or unsecured obligations. Unless the prospectus supplement states otherwise, principal, interest and premium, if any, will be paid by us in immediately available funds.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indenture may provide that any debt securities proposed to be sold under this prospectus and the applicable prospectus supplement relating to such debt securities, or the offered debt securities, and any debt securities issuable upon conversion or exchange of other offered securities, or the underlying debt securities, may be issued under the indenture in one or more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purposes of this prospectus, any reference to the payment of principal of, or interest or premium, if any, on, debt securities will include additional amounts if required by the terms of the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 - 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Conversion and Exchange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Payment and Paying Agents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respective ownership periods within the particular interest period. This prorated interest amount is called “accrued interest.”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Events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tbl>
      <w:tblPr>
        <w:tblW w:w="7833" w:type="dxa"/>
        <w:jc w:val="left"/>
        <w:tblInd w:w="0" w:type="dxa"/>
        <w:tblLayout w:type="fixed"/>
        <w:tblCellMar>
          <w:top w:w="0" w:type="dxa"/>
          <w:left w:w="0" w:type="dxa"/>
          <w:bottom w:w="0" w:type="dxa"/>
          <w:right w:w="0" w:type="dxa"/>
        </w:tblCellMar>
      </w:tblPr>
      <w:tblGrid>
        <w:gridCol w:w="23"/>
        <w:gridCol w:w="170"/>
        <w:gridCol w:w="76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pay the principal of, or any premium on, a debt security of the series on its due date;</w:t>
            </w:r>
          </w:p>
        </w:tc>
      </w:tr>
    </w:tbl>
    <w:tbl>
      <w:tblPr>
        <w:tblW w:w="6978" w:type="dxa"/>
        <w:jc w:val="left"/>
        <w:tblInd w:w="0" w:type="dxa"/>
        <w:tblLayout w:type="fixed"/>
        <w:tblCellMar>
          <w:top w:w="0" w:type="dxa"/>
          <w:left w:w="0" w:type="dxa"/>
          <w:bottom w:w="0" w:type="dxa"/>
          <w:right w:w="0" w:type="dxa"/>
        </w:tblCellMar>
      </w:tblPr>
      <w:tblGrid>
        <w:gridCol w:w="23"/>
        <w:gridCol w:w="170"/>
        <w:gridCol w:w="6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pay interest on a debt security of the series within 30 days of its due date;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deposit any sinking fund payment in respect of debt securities of the series on its due date and we do not cure this default within five days;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tc>
      </w:tr>
    </w:tbl>
    <w:tbl>
      <w:tblPr>
        <w:tblW w:w="8358" w:type="dxa"/>
        <w:jc w:val="left"/>
        <w:tblInd w:w="0" w:type="dxa"/>
        <w:tblLayout w:type="fixed"/>
        <w:tblCellMar>
          <w:top w:w="0" w:type="dxa"/>
          <w:left w:w="0" w:type="dxa"/>
          <w:bottom w:w="0" w:type="dxa"/>
          <w:right w:w="0" w:type="dxa"/>
        </w:tblCellMar>
      </w:tblPr>
      <w:tblGrid>
        <w:gridCol w:w="23"/>
        <w:gridCol w:w="170"/>
        <w:gridCol w:w="8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for bankruptcy or certain other events of bankruptcy, insolvency or reorganization occur; and</w:t>
            </w:r>
          </w:p>
        </w:tc>
      </w:tr>
    </w:tbl>
    <w:tbl>
      <w:tblPr>
        <w:tblW w:w="9468" w:type="dxa"/>
        <w:jc w:val="left"/>
        <w:tblInd w:w="0" w:type="dxa"/>
        <w:tblLayout w:type="fixed"/>
        <w:tblCellMar>
          <w:top w:w="0" w:type="dxa"/>
          <w:left w:w="0" w:type="dxa"/>
          <w:bottom w:w="0" w:type="dxa"/>
          <w:right w:w="0" w:type="dxa"/>
        </w:tblCellMar>
      </w:tblPr>
      <w:tblGrid>
        <w:gridCol w:w="23"/>
        <w:gridCol w:w="170"/>
        <w:gridCol w:w="9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Event of Default occurs in respect of debt securities of the series described in the prospectus supplement.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Remedies if an Event of Default Occurs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Before a holder is allowed to bypass the trustee and bring its own lawsuit or other formal legal action or take other steps to enforce its rights or protect its interests relating to any debt securities, the following must occur:</w:t>
      </w:r>
    </w:p>
    <w:tbl>
      <w:tblPr>
        <w:tblW w:w="8763" w:type="dxa"/>
        <w:jc w:val="left"/>
        <w:tblInd w:w="0" w:type="dxa"/>
        <w:tblLayout w:type="fixed"/>
        <w:tblCellMar>
          <w:top w:w="0" w:type="dxa"/>
          <w:left w:w="0" w:type="dxa"/>
          <w:bottom w:w="0" w:type="dxa"/>
          <w:right w:w="0" w:type="dxa"/>
        </w:tblCellMar>
      </w:tblPr>
      <w:tblGrid>
        <w:gridCol w:w="23"/>
        <w:gridCol w:w="170"/>
        <w:gridCol w:w="85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must give the trustee written notice that an Event of Default has occurred and remains uncured;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tc>
      </w:tr>
    </w:tbl>
    <w:tbl>
      <w:tblPr>
        <w:tblW w:w="9108" w:type="dxa"/>
        <w:jc w:val="left"/>
        <w:tblInd w:w="0" w:type="dxa"/>
        <w:tblLayout w:type="fixed"/>
        <w:tblCellMar>
          <w:top w:w="0" w:type="dxa"/>
          <w:left w:w="0" w:type="dxa"/>
          <w:bottom w:w="0" w:type="dxa"/>
          <w:right w:w="0" w:type="dxa"/>
        </w:tblCellMar>
      </w:tblPr>
      <w:tblGrid>
        <w:gridCol w:w="23"/>
        <w:gridCol w:w="170"/>
        <w:gridCol w:w="8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must not have taken action for 60 days after receipt of the above notice and offer of indemnity;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debt securities must not have given the trustee a direction inconsistent with the above notice during that 60-day period.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Waiver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Merger or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tc>
      </w:tr>
    </w:tbl>
    <w:tbl>
      <w:tblPr>
        <w:tblW w:w="4218" w:type="dxa"/>
        <w:jc w:val="left"/>
        <w:tblInd w:w="0" w:type="dxa"/>
        <w:tblLayout w:type="fixed"/>
        <w:tblCellMar>
          <w:top w:w="0" w:type="dxa"/>
          <w:left w:w="0" w:type="dxa"/>
          <w:bottom w:w="0" w:type="dxa"/>
          <w:right w:w="0" w:type="dxa"/>
        </w:tblCellMar>
      </w:tblPr>
      <w:tblGrid>
        <w:gridCol w:w="23"/>
        <w:gridCol w:w="170"/>
        <w:gridCol w:w="40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we must be the surviving company;</w:t>
            </w:r>
          </w:p>
        </w:tc>
      </w:tr>
    </w:tbl>
    <w:tbl>
      <w:tblPr>
        <w:tblW w:w="5373" w:type="dxa"/>
        <w:jc w:val="left"/>
        <w:tblInd w:w="0" w:type="dxa"/>
        <w:tblLayout w:type="fixed"/>
        <w:tblCellMar>
          <w:top w:w="0" w:type="dxa"/>
          <w:left w:w="0" w:type="dxa"/>
          <w:bottom w:w="0" w:type="dxa"/>
          <w:right w:w="0" w:type="dxa"/>
        </w:tblCellMar>
      </w:tblPr>
      <w:tblGrid>
        <w:gridCol w:w="23"/>
        <w:gridCol w:w="170"/>
        <w:gridCol w:w="5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no Event of Default will exist;</w:t>
            </w:r>
          </w:p>
        </w:tc>
      </w:tr>
    </w:tbl>
    <w:tbl>
      <w:tblPr>
        <w:tblW w:w="5793" w:type="dxa"/>
        <w:jc w:val="left"/>
        <w:tblInd w:w="0" w:type="dxa"/>
        <w:tblLayout w:type="fixed"/>
        <w:tblCellMar>
          <w:top w:w="0" w:type="dxa"/>
          <w:left w:w="0" w:type="dxa"/>
          <w:bottom w:w="0" w:type="dxa"/>
          <w:right w:w="0" w:type="dxa"/>
        </w:tblCellMar>
      </w:tblPr>
      <w:tblGrid>
        <w:gridCol w:w="23"/>
        <w:gridCol w:w="170"/>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certain certificates and documents to the trustee;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satisfy any other requirements specified in the prospectus supplement relating to a particular series of debt securities.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Modification or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three types of changes we may make to an indenture and the debt securities issued thereunder.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Requiring Approval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First, there are changes that we cannot make to debt securities without specific approval of all of the holders. The following is a list of the types of changes that may require specific approval:</w:t>
      </w:r>
    </w:p>
    <w:tbl>
      <w:tblPr>
        <w:tblW w:w="6813" w:type="dxa"/>
        <w:jc w:val="left"/>
        <w:tblInd w:w="0" w:type="dxa"/>
        <w:tblLayout w:type="fixed"/>
        <w:tblCellMar>
          <w:top w:w="0" w:type="dxa"/>
          <w:left w:w="0" w:type="dxa"/>
          <w:bottom w:w="0" w:type="dxa"/>
          <w:right w:w="0" w:type="dxa"/>
        </w:tblCellMar>
      </w:tblPr>
      <w:tblGrid>
        <w:gridCol w:w="23"/>
        <w:gridCol w:w="170"/>
        <w:gridCol w:w="66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stated maturity of the principal of or rate of interest on a debt security;</w:t>
            </w:r>
          </w:p>
        </w:tc>
      </w:tr>
    </w:tbl>
    <w:tbl>
      <w:tblPr>
        <w:tblW w:w="3723" w:type="dxa"/>
        <w:jc w:val="left"/>
        <w:tblInd w:w="0" w:type="dxa"/>
        <w:tblLayout w:type="fixed"/>
        <w:tblCellMar>
          <w:top w:w="0" w:type="dxa"/>
          <w:left w:w="0" w:type="dxa"/>
          <w:bottom w:w="0" w:type="dxa"/>
          <w:right w:w="0" w:type="dxa"/>
        </w:tblCellMar>
      </w:tblPr>
      <w:tblGrid>
        <w:gridCol w:w="23"/>
        <w:gridCol w:w="170"/>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any amounts due on a debt security;</w:t>
            </w:r>
          </w:p>
        </w:tc>
      </w:tr>
    </w:tbl>
    <w:tbl>
      <w:tblPr>
        <w:tblW w:w="8823" w:type="dxa"/>
        <w:jc w:val="left"/>
        <w:tblInd w:w="0" w:type="dxa"/>
        <w:tblLayout w:type="fixed"/>
        <w:tblCellMar>
          <w:top w:w="0" w:type="dxa"/>
          <w:left w:w="0" w:type="dxa"/>
          <w:bottom w:w="0" w:type="dxa"/>
          <w:right w:w="0" w:type="dxa"/>
        </w:tblCellMar>
      </w:tblPr>
      <w:tblGrid>
        <w:gridCol w:w="23"/>
        <w:gridCol w:w="170"/>
        <w:gridCol w:w="86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principal payable upon acceleration of the maturity of a security following a default;</w:t>
            </w:r>
          </w:p>
        </w:tc>
      </w:tr>
    </w:tbl>
    <w:tbl>
      <w:tblPr>
        <w:tblW w:w="8748" w:type="dxa"/>
        <w:jc w:val="left"/>
        <w:tblInd w:w="0" w:type="dxa"/>
        <w:tblLayout w:type="fixed"/>
        <w:tblCellMar>
          <w:top w:w="0" w:type="dxa"/>
          <w:left w:w="0" w:type="dxa"/>
          <w:bottom w:w="0" w:type="dxa"/>
          <w:right w:w="0" w:type="dxa"/>
        </w:tblCellMar>
      </w:tblPr>
      <w:tblGrid>
        <w:gridCol w:w="23"/>
        <w:gridCol w:w="170"/>
        <w:gridCol w:w="8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a change of control has occurred, reduce any premium payable upon a change of control;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or currency of payment on a debt security (except as otherwise described in the prospectus or prospectus supplement);</w:t>
            </w:r>
          </w:p>
        </w:tc>
      </w:tr>
    </w:tbl>
    <w:tbl>
      <w:tblPr>
        <w:tblW w:w="3933" w:type="dxa"/>
        <w:jc w:val="left"/>
        <w:tblInd w:w="0" w:type="dxa"/>
        <w:tblLayout w:type="fixed"/>
        <w:tblCellMar>
          <w:top w:w="0" w:type="dxa"/>
          <w:left w:w="0" w:type="dxa"/>
          <w:bottom w:w="0" w:type="dxa"/>
          <w:right w:w="0" w:type="dxa"/>
        </w:tblCellMar>
      </w:tblPr>
      <w:tblGrid>
        <w:gridCol w:w="23"/>
        <w:gridCol w:w="170"/>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the right of holders to sue for payment;</w:t>
            </w:r>
          </w:p>
        </w:tc>
      </w:tr>
    </w:tbl>
    <w:tbl>
      <w:tblPr>
        <w:tblW w:w="7758" w:type="dxa"/>
        <w:jc w:val="left"/>
        <w:tblInd w:w="0" w:type="dxa"/>
        <w:tblLayout w:type="fixed"/>
        <w:tblCellMar>
          <w:top w:w="0" w:type="dxa"/>
          <w:left w:w="0" w:type="dxa"/>
          <w:bottom w:w="0" w:type="dxa"/>
          <w:right w:w="0" w:type="dxa"/>
        </w:tblCellMar>
      </w:tblPr>
      <w:tblGrid>
        <w:gridCol w:w="23"/>
        <w:gridCol w:w="170"/>
        <w:gridCol w:w="7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any right to convert or exchange a debt security in accordance with its terms;</w:t>
            </w:r>
          </w:p>
        </w:tc>
      </w:tr>
    </w:tbl>
    <w:tbl>
      <w:tblPr>
        <w:tblW w:w="9123" w:type="dxa"/>
        <w:jc w:val="left"/>
        <w:tblInd w:w="0" w:type="dxa"/>
        <w:tblLayout w:type="fixed"/>
        <w:tblCellMar>
          <w:top w:w="0" w:type="dxa"/>
          <w:left w:w="0" w:type="dxa"/>
          <w:bottom w:w="0" w:type="dxa"/>
          <w:right w:w="0" w:type="dxa"/>
        </w:tblCellMar>
      </w:tblPr>
      <w:tblGrid>
        <w:gridCol w:w="23"/>
        <w:gridCol w:w="170"/>
        <w:gridCol w:w="89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holders of debt securities whose consent is needed to modify or amend the indenture;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holders of debt securities whose consent is needed to waive compliance with certain provisions of the indenture or to waive certain defaults;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modify any other aspect of the provisions of the indenture dealing with supplemental indentures, modification and waiver of past defaults, changes to the quorum or voting requirements or the waiver of certain covenants; and</w:t>
            </w:r>
          </w:p>
        </w:tc>
      </w:tr>
    </w:tbl>
    <w:tbl>
      <w:tblPr>
        <w:tblW w:w="4968" w:type="dxa"/>
        <w:jc w:val="left"/>
        <w:tblInd w:w="0" w:type="dxa"/>
        <w:tblLayout w:type="fixed"/>
        <w:tblCellMar>
          <w:top w:w="0" w:type="dxa"/>
          <w:left w:w="0" w:type="dxa"/>
          <w:bottom w:w="0" w:type="dxa"/>
          <w:right w:w="0" w:type="dxa"/>
        </w:tblCellMar>
      </w:tblPr>
      <w:tblGrid>
        <w:gridCol w:w="23"/>
        <w:gridCol w:w="170"/>
        <w:gridCol w:w="47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any obligation we have to pay additional amounts.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Not Requiring Approval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Requiring Majority Approval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other change to the indenture and the debt securities may require the following approval:</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change affects only one series of debt securities, it must be approved by the holders of a majority in principal amount of that series;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 - Modification or Waiver - Changes Requiring Approval.”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Further Details Concerning Voting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taking a vote on proposed changes to the indenture and the debt securities, we expect to use the following rules to decide how much principal to attribute to a debt security:</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original issue discount securities, we will use the principal amount that would be due and payable on the voting date if the maturity of these debt securities were accelerated to that date because of a default;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debt securities whose principal amount is not known (for example, because it is based on an index), we will use a special rule for that debt security described in the related prospectus supplement; and</w:t>
            </w:r>
          </w:p>
        </w:tc>
      </w:tr>
    </w:tbl>
    <w:tbl>
      <w:tblPr>
        <w:tblW w:w="8628" w:type="dxa"/>
        <w:jc w:val="left"/>
        <w:tblInd w:w="0" w:type="dxa"/>
        <w:tblLayout w:type="fixed"/>
        <w:tblCellMar>
          <w:top w:w="0" w:type="dxa"/>
          <w:left w:w="0" w:type="dxa"/>
          <w:bottom w:w="0" w:type="dxa"/>
          <w:right w:w="0" w:type="dxa"/>
        </w:tblCellMar>
      </w:tblPr>
      <w:tblGrid>
        <w:gridCol w:w="23"/>
        <w:gridCol w:w="170"/>
        <w:gridCol w:w="84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debt securities denominated in one or more foreign currencies, we will use the U.S. dollar equivalent.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 - Defeasance - Legal Defeasance.”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Book-entry and other indirect holders will need to consult their banks or brokers for information on how approval may be granted or denied if we seek to change the indenture or the debt securities or request a waiver.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Defeasance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provisions will be applicable to each series of debt securities unless we state in the applicable prospectus supplement that the provisions of covenant defeasance and legal defeasance will not be applicable to that series.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Covenant Defeasance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 - Indenture Provisions - Subordination” below. In order to achieve covenant defeasance, we must do the following: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to the trustee certain documentation stating that all conditions precedent to covenant defeasance have been complied with.</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Defeasance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to the trustee a legal opinion and officers’ certificate stating that all conditions precedent to legal defeasance have been complied with.</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became bankrupt or insolvent. If applicable, holders would also be released from the subordination provisions described later under “Description of Debt Securities - Indenture Provisions - Subordination.”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Resignation of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Indenture Provisions - Subordination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pStyle w:val="TextBody"/>
        <w:bidi w:val="0"/>
        <w:spacing w:before="0" w:after="240"/>
        <w:ind w:left="0" w:right="0" w:hanging="0"/>
        <w:jc w:val="left"/>
        <w:rPr/>
      </w:pPr>
      <w:r>
        <w:rPr/>
        <w:t>“</w:t>
      </w:r>
      <w:r>
        <w:rPr>
          <w:rFonts w:ascii="Times New Roman;Times;serif" w:hAnsi="Times New Roman;Times;serif"/>
          <w:sz w:val="20"/>
        </w:rPr>
        <w:t>Senior Indebtedness” will be defined in an applicable indenture as the principal of (and premium, if any) and unpaid interest on:</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tc>
      </w:tr>
    </w:tbl>
    <w:tbl>
      <w:tblPr>
        <w:tblW w:w="6828" w:type="dxa"/>
        <w:jc w:val="left"/>
        <w:tblInd w:w="0" w:type="dxa"/>
        <w:tblLayout w:type="fixed"/>
        <w:tblCellMar>
          <w:top w:w="0" w:type="dxa"/>
          <w:left w:w="0" w:type="dxa"/>
          <w:bottom w:w="0" w:type="dxa"/>
          <w:right w:w="0" w:type="dxa"/>
        </w:tblCellMar>
      </w:tblPr>
      <w:tblGrid>
        <w:gridCol w:w="23"/>
        <w:gridCol w:w="170"/>
        <w:gridCol w:w="66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renewals, extensions, modifications and refinancings of any of such indebtedness.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prospectus supplement accompanying any series of indenture securities denominated as subordinated debt securities will set forth the approximate amount of our Senior Indebtedness outstanding as of a recent 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intend to name the indenture trustee for each series of indenture securities in the related prospectus supplement.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Certain Considerations Relating to Foreign Currencies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WARRANTS</w:t>
      </w:r>
      <w:bookmarkStart w:id="13" w:name="DESCRIPTIONOFWARRANTS_669238"/>
      <w:bookmarkEnd w:id="13"/>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issue warrants for the purchase of shares of our common stock, preferred stock or debt securities. We may issue warrants independently or together with other securities, and the warrants may be attached to or separate from any offered securities. If a series of warrants will be issued under a separate warrant agreement to be entered into between us and the investors or a warrant agent, we will so specify in the applicable prospectus supplement. The following summary of the material provisions of the warrants and warrant agreements is subject to, and qualified in its entirety by reference to, all the provisions of the warrants and any warrant agreement applicable to a particular series of warrants. The terms of any warrants offered under a prospectus supplement may differ from the terms described below. We urge you to read the applicable prospectus supplement, as well as the complete warrants and warrant agreements that contain the terms of the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material terms of any issue of warrants will be described in the prospectus supplement relating to the issue. Those terms may include: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or preferred stock purchasable upon the exercise of warrants to purchase such shares and the price at which such number of shares may be purchased upon such exercise;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designation and terms (including, without limitation, liquidation, dividend, conversion and voting rights) of the series of preferred stock purchasable upon exercise of warrants to purchase preferred stock as set forth in the certificate of designation for such series of preferred stock;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debt securities that may be purchased upon exercise of a debt warrant and the exercise price for the warrants, which may be payable in cash, securities or other property;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warrants and the related debt securities, preferred stock or common stock will be separately transferable;</w:t>
            </w:r>
          </w:p>
        </w:tc>
      </w:tr>
    </w:tbl>
    <w:tbl>
      <w:tblPr>
        <w:tblW w:w="4488" w:type="dxa"/>
        <w:jc w:val="left"/>
        <w:tblInd w:w="0" w:type="dxa"/>
        <w:tblLayout w:type="fixed"/>
        <w:tblCellMar>
          <w:top w:w="0" w:type="dxa"/>
          <w:left w:w="0" w:type="dxa"/>
          <w:bottom w:w="0" w:type="dxa"/>
          <w:right w:w="0" w:type="dxa"/>
        </w:tblCellMar>
      </w:tblPr>
      <w:tblGrid>
        <w:gridCol w:w="23"/>
        <w:gridCol w:w="170"/>
        <w:gridCol w:w="4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rights to redeem or call the warrants;</w:t>
            </w:r>
          </w:p>
        </w:tc>
      </w:tr>
    </w:tbl>
    <w:tbl>
      <w:tblPr>
        <w:tblW w:w="9138" w:type="dxa"/>
        <w:jc w:val="left"/>
        <w:tblInd w:w="0" w:type="dxa"/>
        <w:tblLayout w:type="fixed"/>
        <w:tblCellMar>
          <w:top w:w="0" w:type="dxa"/>
          <w:left w:w="0" w:type="dxa"/>
          <w:bottom w:w="0" w:type="dxa"/>
          <w:right w:w="0" w:type="dxa"/>
        </w:tblCellMar>
      </w:tblPr>
      <w:tblGrid>
        <w:gridCol w:w="23"/>
        <w:gridCol w:w="170"/>
        <w:gridCol w:w="8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warrants will commence and the date on which the right will expire;</w:t>
            </w:r>
          </w:p>
        </w:tc>
      </w:tr>
    </w:tbl>
    <w:tbl>
      <w:tblPr>
        <w:tblW w:w="5793" w:type="dxa"/>
        <w:jc w:val="left"/>
        <w:tblInd w:w="0" w:type="dxa"/>
        <w:tblLayout w:type="fixed"/>
        <w:tblCellMar>
          <w:top w:w="0" w:type="dxa"/>
          <w:left w:w="0" w:type="dxa"/>
          <w:bottom w:w="0" w:type="dxa"/>
          <w:right w:w="0" w:type="dxa"/>
        </w:tblCellMar>
      </w:tblPr>
      <w:tblGrid>
        <w:gridCol w:w="23"/>
        <w:gridCol w:w="170"/>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income tax consequences applicable to the warrants;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terms of the warrants, including terms, procedures, and limitations relating to the exchange, exercise and settlement of the warrants.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UNITS</w:t>
      </w:r>
      <w:bookmarkStart w:id="14" w:name="DESCRIPTIONOFUNITS_154923"/>
      <w:bookmarkEnd w:id="14"/>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issue units consisting of any combination of common stock, preferred stock, debt securities or warrants to purchase shares of our common stock, shares of our preferred stock or debt securities offered under this prospectus in one or more series. We may elect to evidence each series of units by unit certificates that we will issue under a separate unit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description, together with the additional information included in any applicable prospectus supplement, summarizes the general features of the units that we may offer under this prospectus. You should read any prospectus supplement related to the series of units being offered, as well as the complete unit agreements that contain the terms of the units. Specific unit agreements will contain additional important terms, and we will file as an exhibit to the registration statement of which this prospectus is a part, or will incorporate by reference from another report that we file with the SEC, the form of each unit agreement relating to units offered under this prospectus.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we offer any units, certain terms of that series of units will be described in the applicable prospectus supplement, including, without limitation, the following, as applicable:</w:t>
      </w:r>
    </w:p>
    <w:tbl>
      <w:tblPr>
        <w:tblW w:w="2568" w:type="dxa"/>
        <w:jc w:val="left"/>
        <w:tblInd w:w="0" w:type="dxa"/>
        <w:tblLayout w:type="fixed"/>
        <w:tblCellMar>
          <w:top w:w="0" w:type="dxa"/>
          <w:left w:w="0" w:type="dxa"/>
          <w:bottom w:w="0" w:type="dxa"/>
          <w:right w:w="0" w:type="dxa"/>
        </w:tblCellMar>
      </w:tblPr>
      <w:tblGrid>
        <w:gridCol w:w="23"/>
        <w:gridCol w:w="170"/>
        <w:gridCol w:w="23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series of units;</w:t>
            </w:r>
          </w:p>
        </w:tc>
      </w:tr>
    </w:tbl>
    <w:tbl>
      <w:tblPr>
        <w:tblW w:w="7383" w:type="dxa"/>
        <w:jc w:val="left"/>
        <w:tblInd w:w="0" w:type="dxa"/>
        <w:tblLayout w:type="fixed"/>
        <w:tblCellMar>
          <w:top w:w="0" w:type="dxa"/>
          <w:left w:w="0" w:type="dxa"/>
          <w:bottom w:w="0" w:type="dxa"/>
          <w:right w:w="0" w:type="dxa"/>
        </w:tblCellMar>
      </w:tblPr>
      <w:tblGrid>
        <w:gridCol w:w="23"/>
        <w:gridCol w:w="170"/>
        <w:gridCol w:w="7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and description of the separate constituent securities comprising the units;</w:t>
            </w:r>
          </w:p>
        </w:tc>
      </w:tr>
    </w:tbl>
    <w:tbl>
      <w:tblPr>
        <w:tblW w:w="4353" w:type="dxa"/>
        <w:jc w:val="left"/>
        <w:tblInd w:w="0" w:type="dxa"/>
        <w:tblLayout w:type="fixed"/>
        <w:tblCellMar>
          <w:top w:w="0" w:type="dxa"/>
          <w:left w:w="0" w:type="dxa"/>
          <w:bottom w:w="0" w:type="dxa"/>
          <w:right w:w="0" w:type="dxa"/>
        </w:tblCellMar>
      </w:tblPr>
      <w:tblGrid>
        <w:gridCol w:w="23"/>
        <w:gridCol w:w="170"/>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the units will be issued;</w:t>
            </w:r>
          </w:p>
        </w:tc>
      </w:tr>
    </w:tbl>
    <w:tbl>
      <w:tblPr>
        <w:tblW w:w="9303" w:type="dxa"/>
        <w:jc w:val="left"/>
        <w:tblInd w:w="0" w:type="dxa"/>
        <w:tblLayout w:type="fixed"/>
        <w:tblCellMar>
          <w:top w:w="0" w:type="dxa"/>
          <w:left w:w="0" w:type="dxa"/>
          <w:bottom w:w="0" w:type="dxa"/>
          <w:right w:w="0" w:type="dxa"/>
        </w:tblCellMar>
      </w:tblPr>
      <w:tblGrid>
        <w:gridCol w:w="23"/>
        <w:gridCol w:w="170"/>
        <w:gridCol w:w="91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constituent securities comprising the units will be separately transferable;</w:t>
            </w:r>
          </w:p>
        </w:tc>
      </w:tr>
    </w:tbl>
    <w:tbl>
      <w:tblPr>
        <w:tblW w:w="7428" w:type="dxa"/>
        <w:jc w:val="left"/>
        <w:tblInd w:w="0" w:type="dxa"/>
        <w:tblLayout w:type="fixed"/>
        <w:tblCellMar>
          <w:top w:w="0" w:type="dxa"/>
          <w:left w:w="0" w:type="dxa"/>
          <w:bottom w:w="0" w:type="dxa"/>
          <w:right w:w="0" w:type="dxa"/>
        </w:tblCellMar>
      </w:tblPr>
      <w:tblGrid>
        <w:gridCol w:w="23"/>
        <w:gridCol w:w="170"/>
        <w:gridCol w:w="72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certain U.S. federal income tax considerations applicable to the units; and</w:t>
            </w:r>
          </w:p>
        </w:tc>
      </w:tr>
    </w:tbl>
    <w:tbl>
      <w:tblPr>
        <w:tblW w:w="5703" w:type="dxa"/>
        <w:jc w:val="left"/>
        <w:tblInd w:w="0" w:type="dxa"/>
        <w:tblLayout w:type="fixed"/>
        <w:tblCellMar>
          <w:top w:w="0" w:type="dxa"/>
          <w:left w:w="0" w:type="dxa"/>
          <w:bottom w:w="0" w:type="dxa"/>
          <w:right w:w="0" w:type="dxa"/>
        </w:tblCellMar>
      </w:tblPr>
      <w:tblGrid>
        <w:gridCol w:w="23"/>
        <w:gridCol w:w="17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terms of the units and their constituent securities.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RIGHTS</w:t>
      </w:r>
      <w:bookmarkStart w:id="15" w:name="DESCRIPTIONOFRIGHTS_565713"/>
      <w:bookmarkEnd w:id="15"/>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applicable prospectus supplement will describe the following terms of any rights we may issue, including some or all of the following:</w:t>
      </w:r>
    </w:p>
    <w:tbl>
      <w:tblPr>
        <w:tblW w:w="3768" w:type="dxa"/>
        <w:jc w:val="left"/>
        <w:tblInd w:w="0" w:type="dxa"/>
        <w:tblLayout w:type="fixed"/>
        <w:tblCellMar>
          <w:top w:w="0" w:type="dxa"/>
          <w:left w:w="0" w:type="dxa"/>
          <w:bottom w:w="0" w:type="dxa"/>
          <w:right w:w="0" w:type="dxa"/>
        </w:tblCellMar>
      </w:tblPr>
      <w:tblGrid>
        <w:gridCol w:w="23"/>
        <w:gridCol w:w="17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aggregate number of the rights;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price or a formula for the determination of the subscription price for the rights and the currency or currencies in which the subscription price may be payable;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the rights are issued and the number of rights issued with each such security or each principal amount of such security;</w:t>
            </w:r>
          </w:p>
        </w:tc>
      </w:tr>
    </w:tbl>
    <w:tbl>
      <w:tblPr>
        <w:tblW w:w="8343" w:type="dxa"/>
        <w:jc w:val="left"/>
        <w:tblInd w:w="0" w:type="dxa"/>
        <w:tblLayout w:type="fixed"/>
        <w:tblCellMar>
          <w:top w:w="0" w:type="dxa"/>
          <w:left w:w="0" w:type="dxa"/>
          <w:bottom w:w="0" w:type="dxa"/>
          <w:right w:w="0" w:type="dxa"/>
        </w:tblCellMar>
      </w:tblPr>
      <w:tblGrid>
        <w:gridCol w:w="23"/>
        <w:gridCol w:w="170"/>
        <w:gridCol w:w="81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or a formula for the determination of the number of the rights issued to each stockholder;</w:t>
            </w:r>
          </w:p>
        </w:tc>
      </w:tr>
    </w:tbl>
    <w:tbl>
      <w:tblPr>
        <w:tblW w:w="3918" w:type="dxa"/>
        <w:jc w:val="left"/>
        <w:tblInd w:w="0" w:type="dxa"/>
        <w:tblLayout w:type="fixed"/>
        <w:tblCellMar>
          <w:top w:w="0" w:type="dxa"/>
          <w:left w:w="0" w:type="dxa"/>
          <w:bottom w:w="0" w:type="dxa"/>
          <w:right w:w="0" w:type="dxa"/>
        </w:tblCellMar>
      </w:tblPr>
      <w:tblGrid>
        <w:gridCol w:w="23"/>
        <w:gridCol w:w="170"/>
        <w:gridCol w:w="37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rights are transferable;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rights to purchase debt securities, the principal amount of debt securities purchasable upon exercise of one right;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rights to purchase common stock or preferred stock, the type of stock and number of shares of stock purchasable upon exercise of one right;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rights will commence, and the date on which the rights will expire (subject to any extension);</w:t>
            </w:r>
          </w:p>
        </w:tc>
      </w:tr>
    </w:tbl>
    <w:tbl>
      <w:tblPr>
        <w:tblW w:w="8298" w:type="dxa"/>
        <w:jc w:val="left"/>
        <w:tblInd w:w="0" w:type="dxa"/>
        <w:tblLayout w:type="fixed"/>
        <w:tblCellMar>
          <w:top w:w="0" w:type="dxa"/>
          <w:left w:w="0" w:type="dxa"/>
          <w:bottom w:w="0" w:type="dxa"/>
          <w:right w:w="0" w:type="dxa"/>
        </w:tblCellMar>
      </w:tblPr>
      <w:tblGrid>
        <w:gridCol w:w="23"/>
        <w:gridCol w:w="170"/>
        <w:gridCol w:w="81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the rights that may be exercised at any one time;</w:t>
            </w:r>
          </w:p>
        </w:tc>
      </w:tr>
    </w:tbl>
    <w:tbl>
      <w:tblPr>
        <w:tblW w:w="9078" w:type="dxa"/>
        <w:jc w:val="left"/>
        <w:tblInd w:w="0" w:type="dxa"/>
        <w:tblLayout w:type="fixed"/>
        <w:tblCellMar>
          <w:top w:w="0" w:type="dxa"/>
          <w:left w:w="0" w:type="dxa"/>
          <w:bottom w:w="0" w:type="dxa"/>
          <w:right w:w="0" w:type="dxa"/>
        </w:tblCellMar>
      </w:tblPr>
      <w:tblGrid>
        <w:gridCol w:w="23"/>
        <w:gridCol w:w="170"/>
        <w:gridCol w:w="8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rights include an over-subscription privilege with respect to unsubscribed securities;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tc>
      </w:tr>
    </w:tbl>
    <w:tbl>
      <w:tblPr>
        <w:tblW w:w="7758" w:type="dxa"/>
        <w:jc w:val="left"/>
        <w:tblInd w:w="0" w:type="dxa"/>
        <w:tblLayout w:type="fixed"/>
        <w:tblCellMar>
          <w:top w:w="0" w:type="dxa"/>
          <w:left w:w="0" w:type="dxa"/>
          <w:bottom w:w="0" w:type="dxa"/>
          <w:right w:w="0" w:type="dxa"/>
        </w:tblCellMar>
      </w:tblPr>
      <w:tblGrid>
        <w:gridCol w:w="23"/>
        <w:gridCol w:w="170"/>
        <w:gridCol w:w="7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on the rights of any merger, consolidation, sale or other disposition of our business;</w:t>
            </w:r>
          </w:p>
        </w:tc>
      </w:tr>
    </w:tbl>
    <w:tbl>
      <w:tblPr>
        <w:tblW w:w="4278" w:type="dxa"/>
        <w:jc w:val="left"/>
        <w:tblInd w:w="0" w:type="dxa"/>
        <w:tblLayout w:type="fixed"/>
        <w:tblCellMar>
          <w:top w:w="0" w:type="dxa"/>
          <w:left w:w="0" w:type="dxa"/>
          <w:bottom w:w="0" w:type="dxa"/>
          <w:right w:w="0" w:type="dxa"/>
        </w:tblCellMar>
      </w:tblPr>
      <w:tblGrid>
        <w:gridCol w:w="23"/>
        <w:gridCol w:w="170"/>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rights to redeem or call the rights;</w:t>
            </w:r>
          </w:p>
        </w:tc>
      </w:tr>
    </w:tbl>
    <w:tbl>
      <w:tblPr>
        <w:tblW w:w="4893" w:type="dxa"/>
        <w:jc w:val="left"/>
        <w:tblInd w:w="0" w:type="dxa"/>
        <w:tblLayout w:type="fixed"/>
        <w:tblCellMar>
          <w:top w:w="0" w:type="dxa"/>
          <w:left w:w="0" w:type="dxa"/>
          <w:bottom w:w="0" w:type="dxa"/>
          <w:right w:w="0" w:type="dxa"/>
        </w:tblCellMar>
      </w:tblPr>
      <w:tblGrid>
        <w:gridCol w:w="23"/>
        <w:gridCol w:w="170"/>
        <w:gridCol w:w="47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w:t>
            </w:r>
          </w:p>
        </w:tc>
      </w:tr>
    </w:tbl>
    <w:tbl>
      <w:tblPr>
        <w:tblW w:w="5223" w:type="dxa"/>
        <w:jc w:val="left"/>
        <w:tblInd w:w="0" w:type="dxa"/>
        <w:tblLayout w:type="fixed"/>
        <w:tblCellMar>
          <w:top w:w="0" w:type="dxa"/>
          <w:left w:w="0" w:type="dxa"/>
          <w:bottom w:w="0" w:type="dxa"/>
          <w:right w:w="0" w:type="dxa"/>
        </w:tblCellMar>
      </w:tblPr>
      <w:tblGrid>
        <w:gridCol w:w="23"/>
        <w:gridCol w:w="170"/>
        <w:gridCol w:w="50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issuable upon exercise of the rights;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backstop or other purchase arrangement that we may enter into in connection with the rights offering;</w:t>
            </w:r>
          </w:p>
        </w:tc>
      </w:tr>
    </w:tbl>
    <w:tbl>
      <w:tblPr>
        <w:tblW w:w="6678" w:type="dxa"/>
        <w:jc w:val="left"/>
        <w:tblInd w:w="0" w:type="dxa"/>
        <w:tblLayout w:type="fixed"/>
        <w:tblCellMar>
          <w:top w:w="0" w:type="dxa"/>
          <w:left w:w="0" w:type="dxa"/>
          <w:bottom w:w="0" w:type="dxa"/>
          <w:right w:w="0" w:type="dxa"/>
        </w:tblCellMar>
      </w:tblPr>
      <w:tblGrid>
        <w:gridCol w:w="23"/>
        <w:gridCol w:w="170"/>
        <w:gridCol w:w="64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certain U.S. federal income tax considerations;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rights, including terms, procedures and limitations relating to the exchange and exercise of the rights.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Exercise of Rights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PLAN OF DISTRIBUTION</w:t>
      </w:r>
      <w:bookmarkStart w:id="16" w:name="PLANOFDISTRIBUTION_685560"/>
      <w:bookmarkEnd w:id="16"/>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sell the securities covered by this prospectus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tbl>
      <w:tblPr>
        <w:tblW w:w="4158" w:type="dxa"/>
        <w:jc w:val="left"/>
        <w:tblInd w:w="0" w:type="dxa"/>
        <w:tblLayout w:type="fixed"/>
        <w:tblCellMar>
          <w:top w:w="0" w:type="dxa"/>
          <w:left w:w="0" w:type="dxa"/>
          <w:bottom w:w="0" w:type="dxa"/>
          <w:right w:w="0" w:type="dxa"/>
        </w:tblCellMar>
      </w:tblPr>
      <w:tblGrid>
        <w:gridCol w:w="23"/>
        <w:gridCol w:w="170"/>
        <w:gridCol w:w="39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fixed price or prices, which may be changed;</w:t>
            </w:r>
          </w:p>
        </w:tc>
      </w:tr>
    </w:tbl>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market prices prevailing at the time of sale;</w:t>
            </w:r>
          </w:p>
        </w:tc>
      </w:tr>
    </w:tbl>
    <w:tbl>
      <w:tblPr>
        <w:tblW w:w="4398" w:type="dxa"/>
        <w:jc w:val="left"/>
        <w:tblInd w:w="0" w:type="dxa"/>
        <w:tblLayout w:type="fixed"/>
        <w:tblCellMar>
          <w:top w:w="0" w:type="dxa"/>
          <w:left w:w="0" w:type="dxa"/>
          <w:bottom w:w="0" w:type="dxa"/>
          <w:right w:w="0" w:type="dxa"/>
        </w:tblCellMar>
      </w:tblPr>
      <w:tblGrid>
        <w:gridCol w:w="23"/>
        <w:gridCol w:w="170"/>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prices related to such prevailing market prices; or</w:t>
            </w:r>
          </w:p>
        </w:tc>
      </w:tr>
    </w:tbl>
    <w:tbl>
      <w:tblPr>
        <w:tblW w:w="1848" w:type="dxa"/>
        <w:jc w:val="left"/>
        <w:tblInd w:w="0" w:type="dxa"/>
        <w:tblLayout w:type="fixed"/>
        <w:tblCellMar>
          <w:top w:w="0" w:type="dxa"/>
          <w:left w:w="0" w:type="dxa"/>
          <w:bottom w:w="0" w:type="dxa"/>
          <w:right w:w="0" w:type="dxa"/>
        </w:tblCellMar>
      </w:tblPr>
      <w:tblGrid>
        <w:gridCol w:w="23"/>
        <w:gridCol w:w="170"/>
        <w:gridCol w:w="1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negotiated prices.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compensation paid to underwriters, dealers or agents in connection with the offering of the securities, and any discounts, concessions or commissions allowed by underwriters to participating dealers, will be described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common stock issued by us will be traded on The Nasdaq Global Market unless we specify otherwise in the prospectus supplement, but any other securities may or may not be publicly traded or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specific terms of any lock-up provisions in respect of any given offering will be described in the applicable prospectus supplement.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underwriters, dealers and agents may engage in transactions with us, or perform services for us, in the ordinary course of business for which they receive compensation.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LEGAL MATTERS</w:t>
      </w:r>
      <w:bookmarkStart w:id="17" w:name="LEGALMATTERS_221665"/>
      <w:bookmarkEnd w:id="17"/>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validity of the securities offered by this prospectus will be passed upon for us by DLA Piper LLP (US), Short Hills, New Jersey. Additional legal matters may be passed upon for us or any underwriters, dealers or agents by counsel that we will name in the applicable prospectus supplement.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EXPERTS</w:t>
      </w:r>
      <w:bookmarkStart w:id="18" w:name="EXPERTS_893181"/>
      <w:bookmarkEnd w:id="18"/>
    </w:p>
    <w:p>
      <w:pPr>
        <w:pStyle w:val="TextBody"/>
        <w:bidi w:val="0"/>
        <w:spacing w:before="0" w:after="240"/>
        <w:ind w:left="0" w:right="0" w:hanging="0"/>
        <w:jc w:val="left"/>
        <w:rPr/>
      </w:pPr>
      <w:r>
        <w:rPr>
          <w:rFonts w:ascii="Times New Roman;Times;serif" w:hAnsi="Times New Roman;Times;serif"/>
          <w:sz w:val="20"/>
        </w:rPr>
        <w:t xml:space="preserve">Ernst &amp; Young LLP, independent registered public accounting firm, has audited our consolidated financial statements included in our </w:t>
      </w:r>
      <w:hyperlink r:id="rId2">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WHERE YOU CAN FIND MORE INFORMATION</w:t>
      </w:r>
      <w:bookmarkStart w:id="19" w:name="WHEREYOUCANFINDMOREINFORMATION_180649"/>
      <w:bookmarkEnd w:id="19"/>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subject to the information and periodic reporting requirements of the Exchange Act and, in accordance with that act, file periodic reports and other information with the SEC. The SEC maintains an Internet site that contains all reports and other information that we file electronically with the SEC. The address of that website is www.sec.gov.</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prospectus is part of an automatic “shelf” registration statement on Form S-3ASR, or the Form S-3 Registration Statement, that we have filed with the SEC under the Securities Act for the securities offered under this prospectus. The Form S-3 Registration Statement, including the exhibits to the Form S-3 Registration Statement, contains additional information about us and the securities offered by this prospectus. The rules and regulations of the SEC allow us to omit from this prospectus certain information that is included in the Form S-3 Registration Statement. For further information about us and our securities, you should review the Form S-3 Registration Statement and the exhibits filed with the Form S-3 Registration Statement.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INCORPORATION OF CERTAIN INFORMATION BY REFERENCE</w:t>
      </w:r>
      <w:bookmarkStart w:id="20" w:name="INCORPORATIONOFCERTAININFORMATIONBYREFER"/>
      <w:bookmarkEnd w:id="20"/>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SEC allows us to incorporate into this prospectus by reference the information we file with it, which means that we can disclose important information to you by referring you to the documents containing that information. The information incorporated by reference is considered to be part of this prospectus, and information that we later file with the SEC will automatically update and, where applicable, modify or supersede that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incorporate by reference the following documents previously filed with the SEC:</w:t>
      </w:r>
    </w:p>
    <w:tbl>
      <w:tblPr>
        <w:tblW w:w="9438" w:type="dxa"/>
        <w:jc w:val="left"/>
        <w:tblInd w:w="0" w:type="dxa"/>
        <w:tblLayout w:type="fixed"/>
        <w:tblCellMar>
          <w:top w:w="0" w:type="dxa"/>
          <w:left w:w="0" w:type="dxa"/>
          <w:bottom w:w="0" w:type="dxa"/>
          <w:right w:w="0" w:type="dxa"/>
        </w:tblCellMar>
      </w:tblPr>
      <w:tblGrid>
        <w:gridCol w:w="23"/>
        <w:gridCol w:w="170"/>
        <w:gridCol w:w="9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w:t>
            </w:r>
            <w:hyperlink r:id="rId3">
              <w:r>
                <w:rPr>
                  <w:rStyle w:val="InternetLink"/>
                  <w:rFonts w:ascii="Times New Roman;Times;serif" w:hAnsi="Times New Roman;Times;serif"/>
                  <w:b w:val="false"/>
                  <w:i w:val="false"/>
                  <w:caps w:val="false"/>
                  <w:smallCaps w:val="false"/>
                  <w:sz w:val="20"/>
                </w:rPr>
                <w:t>Annual Report on Form 10-K for the year ended December 31, 2025, filed with the SEC on February 24, 2026</w:t>
              </w:r>
            </w:hyperlink>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information included in </w:t>
            </w:r>
            <w:hyperlink r:id="rId4">
              <w:r>
                <w:rPr>
                  <w:rStyle w:val="InternetLink"/>
                  <w:rFonts w:ascii="Times New Roman;Times;serif" w:hAnsi="Times New Roman;Times;serif"/>
                  <w:b w:val="false"/>
                  <w:i w:val="false"/>
                  <w:caps w:val="false"/>
                  <w:smallCaps w:val="false"/>
                  <w:sz w:val="20"/>
                </w:rPr>
                <w:t>our definitive proxy statement on Schedule 14A for our 2026 Annual Meeting of Stockholders, filed with the SEC on April 28, 2026</w:t>
              </w:r>
            </w:hyperlink>
            <w:r>
              <w:rPr>
                <w:rFonts w:ascii="Times New Roman;Times;serif" w:hAnsi="Times New Roman;Times;serif"/>
                <w:b w:val="false"/>
                <w:i w:val="false"/>
                <w:caps w:val="false"/>
                <w:smallCaps w:val="false"/>
                <w:sz w:val="20"/>
              </w:rPr>
              <w:t xml:space="preserve">, to the extent incorporated by reference in Part III of </w:t>
            </w:r>
            <w:hyperlink r:id="rId5">
              <w:r>
                <w:rPr>
                  <w:rStyle w:val="InternetLink"/>
                  <w:rFonts w:ascii="Times New Roman;Times;serif" w:hAnsi="Times New Roman;Times;serif"/>
                  <w:b w:val="false"/>
                  <w:i w:val="false"/>
                  <w:caps w:val="false"/>
                  <w:smallCaps w:val="false"/>
                  <w:sz w:val="20"/>
                </w:rPr>
                <w:t>our Annual Report on Form 10-K for the year ended December 31, 2025</w:t>
              </w:r>
            </w:hyperlink>
            <w:r>
              <w:rPr>
                <w:rFonts w:ascii="Times New Roman;Times;serif" w:hAnsi="Times New Roman;Times;serif"/>
                <w:b w:val="false"/>
                <w:i w:val="false"/>
                <w:caps w:val="false"/>
                <w:smallCaps w:val="false"/>
                <w:sz w:val="20"/>
              </w:rPr>
              <w:t>;</w:t>
            </w:r>
          </w:p>
        </w:tc>
      </w:tr>
    </w:tbl>
    <w:tbl>
      <w:tblPr>
        <w:tblW w:w="9093" w:type="dxa"/>
        <w:jc w:val="left"/>
        <w:tblInd w:w="0" w:type="dxa"/>
        <w:tblLayout w:type="fixed"/>
        <w:tblCellMar>
          <w:top w:w="0" w:type="dxa"/>
          <w:left w:w="0" w:type="dxa"/>
          <w:bottom w:w="0" w:type="dxa"/>
          <w:right w:w="0" w:type="dxa"/>
        </w:tblCellMar>
      </w:tblPr>
      <w:tblGrid>
        <w:gridCol w:w="23"/>
        <w:gridCol w:w="170"/>
        <w:gridCol w:w="8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left"/>
              <w:rPr/>
            </w:pPr>
            <w:hyperlink r:id="rId6">
              <w:r>
                <w:rPr>
                  <w:rStyle w:val="InternetLink"/>
                  <w:rFonts w:ascii="Times New Roman;Times;serif" w:hAnsi="Times New Roman;Times;serif"/>
                  <w:b w:val="false"/>
                  <w:i w:val="false"/>
                  <w:caps w:val="false"/>
                  <w:smallCaps w:val="false"/>
                  <w:sz w:val="20"/>
                </w:rPr>
                <w:t>our Quarterly Report on Form 10-Q for the quarter ended March 31, 2026, filed with the SEC on May 7, 2026</w:t>
              </w:r>
            </w:hyperlink>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Current Reports on Form 8-K filed with the SEC on </w:t>
            </w:r>
            <w:hyperlink r:id="rId7">
              <w:r>
                <w:rPr>
                  <w:rStyle w:val="InternetLink"/>
                  <w:rFonts w:ascii="Times New Roman;Times;serif" w:hAnsi="Times New Roman;Times;serif"/>
                  <w:b w:val="false"/>
                  <w:i w:val="false"/>
                  <w:caps w:val="false"/>
                  <w:smallCaps w:val="false"/>
                  <w:sz w:val="20"/>
                </w:rPr>
                <w:t>January 9,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February 24,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March 20, 2026</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June 10, 2026</w:t>
              </w:r>
            </w:hyperlink>
            <w:r>
              <w:rPr>
                <w:rFonts w:ascii="Times New Roman;Times;serif" w:hAnsi="Times New Roman;Times;serif"/>
                <w:b w:val="false"/>
                <w:i w:val="false"/>
                <w:caps w:val="false"/>
                <w:smallCaps w:val="false"/>
                <w:sz w:val="20"/>
              </w:rPr>
              <w:t>;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description of our common stock contained in our registration statement on </w:t>
            </w:r>
            <w:hyperlink r:id="rId11">
              <w:r>
                <w:rPr>
                  <w:rStyle w:val="InternetLink"/>
                  <w:rFonts w:ascii="Times New Roman;Times;serif" w:hAnsi="Times New Roman;Times;serif"/>
                  <w:b w:val="false"/>
                  <w:i w:val="false"/>
                  <w:caps w:val="false"/>
                  <w:smallCaps w:val="false"/>
                  <w:sz w:val="20"/>
                </w:rPr>
                <w:t>Form 8-A filed on February 25, 2015</w:t>
              </w:r>
            </w:hyperlink>
            <w:r>
              <w:rPr>
                <w:caps w:val="false"/>
                <w:smallCaps w:val="false"/>
              </w:rPr>
              <w:t> </w:t>
            </w:r>
            <w:r>
              <w:rPr>
                <w:rFonts w:ascii="Times New Roman;Times;serif" w:hAnsi="Times New Roman;Times;serif"/>
                <w:b w:val="false"/>
                <w:i w:val="false"/>
                <w:caps w:val="false"/>
                <w:smallCaps w:val="false"/>
                <w:sz w:val="20"/>
              </w:rPr>
              <w:t>pursuant to Section 12 of the Exchange Act, as amended by a </w:t>
            </w:r>
            <w:hyperlink r:id="rId12">
              <w:r>
                <w:rPr>
                  <w:rStyle w:val="InternetLink"/>
                  <w:rFonts w:ascii="Times New Roman;Times;serif" w:hAnsi="Times New Roman;Times;serif"/>
                  <w:b w:val="false"/>
                  <w:i w:val="false"/>
                  <w:caps w:val="false"/>
                  <w:smallCaps w:val="false"/>
                  <w:sz w:val="20"/>
                </w:rPr>
                <w:t>Form 8-A/A filed on July 27, 2017</w:t>
              </w:r>
            </w:hyperlink>
            <w:r>
              <w:rPr>
                <w:caps w:val="false"/>
                <w:smallCaps w:val="false"/>
              </w:rPr>
              <w:t> </w:t>
            </w:r>
            <w:r>
              <w:rPr>
                <w:rFonts w:ascii="Times New Roman;Times;serif" w:hAnsi="Times New Roman;Times;serif"/>
                <w:b w:val="false"/>
                <w:i w:val="false"/>
                <w:caps w:val="false"/>
                <w:smallCaps w:val="false"/>
                <w:sz w:val="20"/>
              </w:rPr>
              <w:t>and including any amendment or report filed for the purpose of updating such description.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documents filed by us pursuant to Sections 13(a), 13(c), 14 and 15(d) of the Exchange Act subsequent to the filing of the Form S-3 Registration Statement, including all such documents we may file with the SEC after the date of the Form S-3 Registration Statement and prior to the effectiveness of the registration statement, and prior to the filing of a post-effective amendment to the Form S-3 Registration Statement which indicates that all securities offered hereby have been sold or which deregisters all such securities then remaining unsold shall be deemed to be incorporated by reference herein and to be a part hereof from the date of filing of such documents. Any statement contained in this prospectus or in a document incorporated or deemed to be incorporated by reference herein shall be deemed to be modified or superseded for purposes of this prospectus to the extent that a statement contained herein or in any subsequently filed document that is or is deemed to be incorporated by reference herein modifies or supersedes such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the foregoing, no portion of any document that is “furnished” but not “filed” in accordance with SEC rules under Exchange Act shall be deemed to be incorporated by reference into this prospectus. Any statement contained in this prospectus or in a document incorporated by reference into this prospectus will be deemed to be modified or superseded for purposes of this prospectus to the extent that a statement contained in this prospectus or in any other subsequently filed document that is incorporated by reference herein modifies or supersedes the statement. Any statement so modified or superseded will not be deemed, except as so modified or superseded, to constitute a part of this prospectus.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may request a copy of any of these filings from us at no cost by writing or calling our Chief Financial Officer at the following address or telephone number: Iovance Biotherapeutics, Inc., 825 Industrial Road, Suite 100, San Carlos, California 94070; Telephone: (650) 260-7120.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1" w:name="PROSPECTUSSUPPLEMENT1"/>
      <w:bookmarkEnd w:id="21"/>
      <w:r>
        <w:rPr>
          <w:rFonts w:ascii="Times New Roman;Times;serif" w:hAnsi="Times New Roman;Times;serif"/>
          <w:b/>
          <w:sz w:val="20"/>
        </w:rPr>
        <w:t>PROSPECTUS SUPPLEMENT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Up to $89,650,167</w:t>
      </w:r>
    </w:p>
    <w:p>
      <w:pPr>
        <w:pStyle w:val="TextBody"/>
        <w:bidi w:val="0"/>
        <w:spacing w:before="0" w:after="240"/>
        <w:ind w:left="0" w:right="0" w:hanging="0"/>
        <w:jc w:val="center"/>
        <w:rPr/>
      </w:pPr>
      <w:r>
        <w:rPr/>
        <w:drawing>
          <wp:inline distT="0" distB="0" distL="0" distR="0">
            <wp:extent cx="2352675" cy="68643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13"/>
                    <a:stretch>
                      <a:fillRect/>
                    </a:stretch>
                  </pic:blipFill>
                  <pic:spPr bwMode="auto">
                    <a:xfrm>
                      <a:off x="0" y="0"/>
                      <a:ext cx="2352675" cy="686435"/>
                    </a:xfrm>
                    <a:prstGeom prst="rect">
                      <a:avLst/>
                    </a:prstGeom>
                  </pic:spPr>
                </pic:pic>
              </a:graphicData>
            </a:graphic>
          </wp:inline>
        </w:drawing>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00"/>
        <w:ind w:left="0" w:right="0" w:hanging="0"/>
        <w:jc w:val="left"/>
        <w:rPr>
          <w:rFonts w:ascii="Times New Roman;Times;serif" w:hAnsi="Times New Roman;Times;serif"/>
          <w:sz w:val="14"/>
        </w:rPr>
      </w:pPr>
      <w:r>
        <w:rPr>
          <w:rFonts w:ascii="Times New Roman;Times;serif" w:hAnsi="Times New Roman;Times;serif"/>
          <w:sz w:val="20"/>
        </w:rPr>
        <w:t>We previously entered into an Amended and Restated Open Market Sale Agreement</w:t>
      </w:r>
      <w:r>
        <w:rPr>
          <w:rFonts w:ascii="Times New Roman;Times;serif" w:hAnsi="Times New Roman;Times;serif"/>
          <w:sz w:val="11"/>
        </w:rPr>
        <w:t>SM</w:t>
      </w:r>
      <w:r>
        <w:rPr>
          <w:rFonts w:ascii="Times New Roman;Times;serif" w:hAnsi="Times New Roman;Times;serif"/>
          <w:sz w:val="20"/>
        </w:rPr>
        <w:t>, dated August 22, 2025, or the Sale Agreement, with Jefferies LLC, or Jefferies, pursuant to which we may offer and sell shares of our common stock from time to time through Jefferies acting as our sales agent. As of the date of this prospectus supplement, we have issued and sold shares of our common stock having an aggregate offering price of approximately $260,349,833 pursuant to the Sale Agreement and prospectus supplement dated August 22, 2025, or the prior prospectus supplement, under our shelf registration statement on Form S-3 (Registration Statement No. 333-272718), or the prior prospectus. We have suspended and will not make any further offers or sales of our common stock pursuant to the prior prospectus supplement or the prior prospectus. The $89,650,167 of shares of our common stock which may be offered and sold pursuant to the Sale Agreement will be offered and sold under this prospectus supplement.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common stock trades on The Nasdaq Global Market under the symbol “IOVA.” On June 17, 2026, the last reported sale price of our common stock on The Nasdaq Global Market was $3.93 per share.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Sales of our common stock, if any, under this prospectus supplement and the accompanying prospectus will be made in sales deemed to be “at the market offerings” as defined in Rule 415(a)(4) promulgated under the Securities Act of 1933, as amended, or the Securities Act. Jefferies is not required to sell any specific amount of securities, but will act as our sales agent using commercially reasonable efforts consistent with its normal trading and sales practices, on mutually agreed terms between Jefferies and us. There is no arrangement for funds to be received in any escrow, trust or similar arrangement.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compensation to Jefferies for sales of common stock sold pursuant to the Sale Agreement will be an amount equal to up to 3% of the gross proceeds of any shares of common stock sold under the Sale Agreement. See “Plan of Distribution” beginning on page S-6 for additional information regarding the compensation to be paid to Jefferies. In connection with the sale of the common stock on our behalf, Jefferies will be deemed to be an “underwriter” within the meaning of the Securities Act and the compensation to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or the Exchange Act.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Investing in our common stock involves a high degree of risk. You should read this prospectus supplement and the documents incorporated by reference herein before you make your investment decision. Please read “Risk Factors” beginning on page S-3 of this prospectus supplement, on page 4 of the accompanying prospectus, and in the documents incorporated by reference into this prospectus supplement and the accompanying prospectus, including our annual report on Form 10-K and our quarterly reports on Form 10-Q, to read about the risks that you should consider before purchasing shares of our common stock.</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Neither the Securities and Exchange Commission, or the SEC,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Jefferies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Prospectus Supplement dated June 18,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5643" w:type="dxa"/>
        <w:jc w:val="center"/>
        <w:tblInd w:w="0" w:type="dxa"/>
        <w:tblLayout w:type="fixed"/>
        <w:tblCellMar>
          <w:top w:w="0" w:type="dxa"/>
          <w:left w:w="0" w:type="dxa"/>
          <w:bottom w:w="0" w:type="dxa"/>
          <w:right w:w="0" w:type="dxa"/>
        </w:tblCellMar>
      </w:tblPr>
      <w:tblGrid>
        <w:gridCol w:w="4771"/>
        <w:gridCol w:w="346"/>
        <w:gridCol w:w="526"/>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029585" cy="175260"/>
                      <wp:effectExtent l="0" t="0" r="0" b="0"/>
                      <wp:wrapNone/>
                      <wp:docPr id="7" name="Frame6"/>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34010" cy="175260"/>
                      <wp:effectExtent l="0" t="0" r="0" b="0"/>
                      <wp:wrapNone/>
                      <wp:docPr id="9" name="Frame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4771" w:type="dxa"/>
            <w:tcBorders/>
            <w:shd w:fill="CCEEFF" w:val="clear"/>
            <w:vAlign w:val="center"/>
          </w:tcPr>
          <w:p>
            <w:pPr>
              <w:pStyle w:val="TableContents"/>
              <w:bidi w:val="0"/>
              <w:spacing w:before="0" w:after="0"/>
              <w:ind w:left="0" w:right="0" w:hanging="0"/>
              <w:jc w:val="left"/>
              <w:rPr/>
            </w:pPr>
            <w:hyperlink w:anchor="PROSPECTUSSUPPLEMENT1">
              <w:r>
                <w:rPr>
                  <w:rStyle w:val="InternetLink"/>
                  <w:rFonts w:ascii="Times New Roman;Times;serif" w:hAnsi="Times New Roman;Times;serif"/>
                  <w:b/>
                  <w:i w:val="false"/>
                  <w:caps w:val="false"/>
                  <w:smallCaps w:val="false"/>
                  <w:sz w:val="20"/>
                </w:rPr>
                <w:t>Prospectus Supplement</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4771" w:type="dxa"/>
            <w:tcBorders/>
            <w:vAlign w:val="center"/>
          </w:tcPr>
          <w:p>
            <w:pPr>
              <w:pStyle w:val="TableContents"/>
              <w:pBdr/>
              <w:bidi w:val="0"/>
              <w:spacing w:before="0" w:after="0"/>
              <w:ind w:left="0" w:right="0" w:hanging="0"/>
              <w:jc w:val="left"/>
              <w:rPr/>
            </w:pPr>
            <w:hyperlink w:anchor="ABOUTTHISPROSPECTUSSUPPLEMENT1">
              <w:r>
                <w:rPr>
                  <w:rStyle w:val="InternetLink"/>
                  <w:rFonts w:ascii="Times New Roman;Times;serif" w:hAnsi="Times New Roman;Times;serif"/>
                  <w:b w:val="false"/>
                  <w:i w:val="false"/>
                  <w:caps w:val="false"/>
                  <w:smallCaps w:val="false"/>
                  <w:sz w:val="20"/>
                </w:rPr>
                <w:t>About This Prospectus Supplement</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S-ii</w:t>
            </w:r>
          </w:p>
        </w:tc>
      </w:tr>
      <w:tr>
        <w:trPr/>
        <w:tc>
          <w:tcPr>
            <w:tcW w:w="4771" w:type="dxa"/>
            <w:tcBorders/>
            <w:shd w:fill="CCEEFF" w:val="clear"/>
            <w:vAlign w:val="center"/>
          </w:tcPr>
          <w:p>
            <w:pPr>
              <w:pStyle w:val="TableContents"/>
              <w:pBdr/>
              <w:bidi w:val="0"/>
              <w:spacing w:before="0" w:after="0"/>
              <w:ind w:left="0" w:right="0" w:hanging="0"/>
              <w:jc w:val="left"/>
              <w:rPr/>
            </w:pPr>
            <w:hyperlink w:anchor="FORWARD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S-iii</w:t>
            </w:r>
          </w:p>
        </w:tc>
      </w:tr>
      <w:tr>
        <w:trPr/>
        <w:tc>
          <w:tcPr>
            <w:tcW w:w="4771" w:type="dxa"/>
            <w:tcBorders/>
            <w:vAlign w:val="center"/>
          </w:tcPr>
          <w:p>
            <w:pPr>
              <w:pStyle w:val="TableContents"/>
              <w:pBdr/>
              <w:bidi w:val="0"/>
              <w:spacing w:before="0" w:after="0"/>
              <w:ind w:left="0" w:right="0" w:hanging="0"/>
              <w:jc w:val="left"/>
              <w:rPr/>
            </w:pPr>
            <w:hyperlink w:anchor="SUMMARY1">
              <w:r>
                <w:rPr>
                  <w:rStyle w:val="InternetLink"/>
                  <w:rFonts w:ascii="Times New Roman;Times;serif" w:hAnsi="Times New Roman;Times;serif"/>
                  <w:b w:val="false"/>
                  <w:i w:val="false"/>
                  <w:caps w:val="false"/>
                  <w:smallCaps w:val="false"/>
                  <w:sz w:val="20"/>
                </w:rPr>
                <w:t>Summary</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S-1</w:t>
            </w:r>
          </w:p>
        </w:tc>
      </w:tr>
      <w:tr>
        <w:trPr/>
        <w:tc>
          <w:tcPr>
            <w:tcW w:w="4771" w:type="dxa"/>
            <w:tcBorders/>
            <w:shd w:fill="CCEEFF" w:val="clear"/>
            <w:vAlign w:val="center"/>
          </w:tcPr>
          <w:p>
            <w:pPr>
              <w:pStyle w:val="TableContents"/>
              <w:pBdr/>
              <w:bidi w:val="0"/>
              <w:spacing w:before="0" w:after="0"/>
              <w:ind w:left="0" w:right="0" w:hanging="0"/>
              <w:jc w:val="left"/>
              <w:rPr/>
            </w:pPr>
            <w:hyperlink w:anchor="RISKFACTORS1">
              <w:r>
                <w:rPr>
                  <w:rStyle w:val="InternetLink"/>
                  <w:rFonts w:ascii="Times New Roman;Times;serif" w:hAnsi="Times New Roman;Times;serif"/>
                  <w:b w:val="false"/>
                  <w:i w:val="false"/>
                  <w:caps w:val="false"/>
                  <w:smallCaps w:val="false"/>
                  <w:sz w:val="20"/>
                </w:rPr>
                <w:t>Risk Factors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S-3</w:t>
            </w:r>
          </w:p>
        </w:tc>
      </w:tr>
      <w:tr>
        <w:trPr/>
        <w:tc>
          <w:tcPr>
            <w:tcW w:w="4771" w:type="dxa"/>
            <w:tcBorders/>
            <w:vAlign w:val="center"/>
          </w:tcPr>
          <w:p>
            <w:pPr>
              <w:pStyle w:val="TableContents"/>
              <w:pBdr/>
              <w:bidi w:val="0"/>
              <w:spacing w:before="0" w:after="0"/>
              <w:ind w:left="0" w:right="0" w:hanging="0"/>
              <w:jc w:val="left"/>
              <w:rPr/>
            </w:pPr>
            <w:hyperlink w:anchor="USEOFPROCEEDS1">
              <w:r>
                <w:rPr>
                  <w:rStyle w:val="InternetLink"/>
                  <w:rFonts w:ascii="Times New Roman;Times;serif" w:hAnsi="Times New Roman;Times;serif"/>
                  <w:b w:val="false"/>
                  <w:i w:val="false"/>
                  <w:caps w:val="false"/>
                  <w:smallCaps w:val="false"/>
                  <w:sz w:val="20"/>
                </w:rPr>
                <w:t>Use of Proceeds</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S-5</w:t>
            </w:r>
          </w:p>
        </w:tc>
      </w:tr>
      <w:tr>
        <w:trPr/>
        <w:tc>
          <w:tcPr>
            <w:tcW w:w="4771" w:type="dxa"/>
            <w:tcBorders/>
            <w:shd w:fill="CCEEFF" w:val="clear"/>
            <w:vAlign w:val="center"/>
          </w:tcPr>
          <w:p>
            <w:pPr>
              <w:pStyle w:val="TableContents"/>
              <w:pBdr/>
              <w:bidi w:val="0"/>
              <w:spacing w:before="0" w:after="0"/>
              <w:ind w:left="0" w:right="0" w:hanging="0"/>
              <w:jc w:val="left"/>
              <w:rPr/>
            </w:pPr>
            <w:hyperlink w:anchor="PLANOFDISTRIBUTION1">
              <w:r>
                <w:rPr>
                  <w:rStyle w:val="InternetLink"/>
                  <w:rFonts w:ascii="Times New Roman;Times;serif" w:hAnsi="Times New Roman;Times;serif"/>
                  <w:b w:val="false"/>
                  <w:i w:val="false"/>
                  <w:caps w:val="false"/>
                  <w:smallCaps w:val="false"/>
                  <w:sz w:val="20"/>
                </w:rPr>
                <w:t>Plan of Distribution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S-6</w:t>
            </w:r>
          </w:p>
        </w:tc>
      </w:tr>
      <w:tr>
        <w:trPr/>
        <w:tc>
          <w:tcPr>
            <w:tcW w:w="4771" w:type="dxa"/>
            <w:tcBorders/>
            <w:vAlign w:val="center"/>
          </w:tcPr>
          <w:p>
            <w:pPr>
              <w:pStyle w:val="TableContents"/>
              <w:pBdr/>
              <w:bidi w:val="0"/>
              <w:spacing w:before="0" w:after="0"/>
              <w:ind w:left="0" w:right="0" w:hanging="0"/>
              <w:jc w:val="left"/>
              <w:rPr/>
            </w:pPr>
            <w:hyperlink w:anchor="LEGALMATTERS1">
              <w:r>
                <w:rPr>
                  <w:rStyle w:val="InternetLink"/>
                  <w:rFonts w:ascii="Times New Roman;Times;serif" w:hAnsi="Times New Roman;Times;serif"/>
                  <w:b w:val="false"/>
                  <w:i w:val="false"/>
                  <w:caps w:val="false"/>
                  <w:smallCaps w:val="false"/>
                  <w:sz w:val="20"/>
                </w:rPr>
                <w:t>Legal Matters</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S-8</w:t>
            </w:r>
          </w:p>
        </w:tc>
      </w:tr>
      <w:tr>
        <w:trPr/>
        <w:tc>
          <w:tcPr>
            <w:tcW w:w="4771" w:type="dxa"/>
            <w:tcBorders/>
            <w:shd w:fill="CCEEFF" w:val="clear"/>
            <w:vAlign w:val="center"/>
          </w:tcPr>
          <w:p>
            <w:pPr>
              <w:pStyle w:val="TableContents"/>
              <w:pBdr/>
              <w:bidi w:val="0"/>
              <w:spacing w:before="0" w:after="0"/>
              <w:ind w:left="0" w:right="0" w:hanging="0"/>
              <w:jc w:val="left"/>
              <w:rPr/>
            </w:pPr>
            <w:hyperlink w:anchor="EXPERTS1">
              <w:r>
                <w:rPr>
                  <w:rStyle w:val="InternetLink"/>
                  <w:rFonts w:ascii="Times New Roman;Times;serif" w:hAnsi="Times New Roman;Times;serif"/>
                  <w:b w:val="false"/>
                  <w:i w:val="false"/>
                  <w:caps w:val="false"/>
                  <w:smallCaps w:val="false"/>
                  <w:sz w:val="20"/>
                </w:rPr>
                <w:t>Experts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S-9</w:t>
            </w:r>
          </w:p>
        </w:tc>
      </w:tr>
      <w:tr>
        <w:trPr/>
        <w:tc>
          <w:tcPr>
            <w:tcW w:w="4771" w:type="dxa"/>
            <w:tcBorders/>
            <w:vAlign w:val="center"/>
          </w:tcPr>
          <w:p>
            <w:pPr>
              <w:pStyle w:val="TableContents"/>
              <w:pBdr/>
              <w:bidi w:val="0"/>
              <w:spacing w:before="0" w:after="0"/>
              <w:ind w:left="0" w:right="0" w:hanging="0"/>
              <w:jc w:val="left"/>
              <w:rPr/>
            </w:pPr>
            <w:hyperlink w:anchor="WHERE1">
              <w:r>
                <w:rPr>
                  <w:rStyle w:val="InternetLink"/>
                  <w:rFonts w:ascii="Times New Roman;Times;serif" w:hAnsi="Times New Roman;Times;serif"/>
                  <w:b w:val="false"/>
                  <w:i w:val="false"/>
                  <w:caps w:val="false"/>
                  <w:smallCaps w:val="false"/>
                  <w:sz w:val="20"/>
                </w:rPr>
                <w:t>Where You Can Find More Information</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S-10</w:t>
            </w:r>
          </w:p>
        </w:tc>
      </w:tr>
      <w:tr>
        <w:trPr/>
        <w:tc>
          <w:tcPr>
            <w:tcW w:w="4771" w:type="dxa"/>
            <w:tcBorders/>
            <w:shd w:fill="CCEEFF" w:val="clear"/>
            <w:vAlign w:val="center"/>
          </w:tcPr>
          <w:p>
            <w:pPr>
              <w:pStyle w:val="TableContents"/>
              <w:pBdr/>
              <w:bidi w:val="0"/>
              <w:spacing w:before="0" w:after="0"/>
              <w:ind w:left="0" w:right="0" w:hanging="0"/>
              <w:jc w:val="left"/>
              <w:rPr/>
            </w:pPr>
            <w:hyperlink w:anchor="INCORPORATION1">
              <w:r>
                <w:rPr>
                  <w:rStyle w:val="InternetLink"/>
                  <w:rFonts w:ascii="Times New Roman;Times;serif" w:hAnsi="Times New Roman;Times;serif"/>
                  <w:b w:val="false"/>
                  <w:i w:val="false"/>
                  <w:caps w:val="false"/>
                  <w:smallCaps w:val="false"/>
                  <w:sz w:val="20"/>
                </w:rPr>
                <w:t>Incorporation of Certain Information by Reference</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S-11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2" w:name="ABOUTTHISPROSPECTUSSUPPLEMENT1"/>
      <w:bookmarkEnd w:id="22"/>
      <w:r>
        <w:rPr>
          <w:rFonts w:ascii="Times New Roman;Times;serif" w:hAnsi="Times New Roman;Times;serif"/>
          <w:b/>
          <w:sz w:val="20"/>
        </w:rPr>
        <w:t>ABOUT THIS PROSPECTUS SUPPLEMENT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prospectus supplement and the accompanying prospectus form part of an automatic registration statement on Form S-3ASR that we filed with the SEC utilizing a “shelf” registration process. This document contains two parts. The first part, the accompanying prospectus, provides general information, some of which may not apply to this offering. The second part consists of this prospectus supplement, which provides you with specific information about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should rely only on the information that we have included or incorporated by reference in this prospectus supplement and the accompanying prospectus. We have not authorized any dealer, salesman or other person to give any information or to make any representation other than those contained or incorporated by reference in this prospectus supplement or the accompanying prospectus. You must not rely upon any information or representation not contained or incorporated by reference in this prospectus supplement or the accompanying prospectus. This prospectus supplement and the accompanying prospectus do not constitute an offer to sell or the solicitation of an offer to buy any securities other than the registered securities to which they relate, nor does this prospectus supplement or the accompanying prospectus constitute an offer to sell or the solicitation of an offer to buy securities in any jurisdiction to any person to whom it is unlawful to make such offer or solicitation in such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should not assume that the information contained in this prospectus supplement or the accompanying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or accompanying prospectus is delivered, or securities are sold, on a later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S-ii</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FORWARD1"/>
      <w:bookmarkEnd w:id="23"/>
      <w:r>
        <w:rPr>
          <w:rFonts w:ascii="Times New Roman;Times;serif" w:hAnsi="Times New Roman;Times;serif"/>
          <w:b/>
          <w:sz w:val="20"/>
        </w:rPr>
        <w:t>FORWARD-LOOKING STATEMENTS AND MARKET DATA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prospectus supplement, the accompanying prospectus and the documents incorporated herein or therein by reference contain forward-looking statements that are based on management’s beliefs and assumptions and on information currently available to management. All statements other than statements of historical facts contained in this prospectus supplement are forward-looking statements. In some cases, you can identify forward-looking statements by the following words: “may,” “will,” “might,” “could,” “would,” “should,” “expect,” “intend,” “plan,” “anticipate,” “believe,” “estimate,” “predict,” “project,” “aim,” “potential,” “achievable,” “continue,” “ongoing,” “goal,” “forecast,” “guidance,” “outlook,” or the negative of these terms or other similar expressions, although not all forward-looking statements contain these words.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supplement, we caution you that these statements are based on a combination of facts and factors currently known by us and our projections of the future, about which we cannot be certain. Forward-looking statements in this prospectus supplement and the documents incorporated herein by reference include, but are not limited to, statements about:</w:t>
      </w:r>
    </w:p>
    <w:tbl>
      <w:tblPr>
        <w:tblW w:w="5808" w:type="dxa"/>
        <w:jc w:val="left"/>
        <w:tblInd w:w="0" w:type="dxa"/>
        <w:tblLayout w:type="fixed"/>
        <w:tblCellMar>
          <w:top w:w="0" w:type="dxa"/>
          <w:left w:w="0" w:type="dxa"/>
          <w:bottom w:w="0" w:type="dxa"/>
          <w:right w:w="0" w:type="dxa"/>
        </w:tblCellMar>
      </w:tblPr>
      <w:tblGrid>
        <w:gridCol w:w="23"/>
        <w:gridCol w:w="170"/>
        <w:gridCol w:w="5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enrollment, design, and timing of our clinical trials;</w:t>
            </w:r>
          </w:p>
        </w:tc>
      </w:tr>
    </w:tbl>
    <w:tbl>
      <w:tblPr>
        <w:tblW w:w="5673" w:type="dxa"/>
        <w:jc w:val="left"/>
        <w:tblInd w:w="0" w:type="dxa"/>
        <w:tblLayout w:type="fixed"/>
        <w:tblCellMar>
          <w:top w:w="0" w:type="dxa"/>
          <w:left w:w="0" w:type="dxa"/>
          <w:bottom w:w="0" w:type="dxa"/>
          <w:right w:w="0" w:type="dxa"/>
        </w:tblCellMar>
      </w:tblPr>
      <w:tblGrid>
        <w:gridCol w:w="23"/>
        <w:gridCol w:w="170"/>
        <w:gridCol w:w="54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and timing of our product development activities;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us or our third-party contract manufacturers to continue to manufacture tumor infiltrating lymphocytes, or TIL, in accordance with our selected process;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design, construct, and staff our own manufacturing facility on a timely basis and within the estimated expenses;</w:t>
            </w:r>
          </w:p>
        </w:tc>
      </w:tr>
    </w:tbl>
    <w:tbl>
      <w:tblPr>
        <w:tblW w:w="5793" w:type="dxa"/>
        <w:jc w:val="left"/>
        <w:tblInd w:w="0" w:type="dxa"/>
        <w:tblLayout w:type="fixed"/>
        <w:tblCellMar>
          <w:top w:w="0" w:type="dxa"/>
          <w:left w:w="0" w:type="dxa"/>
          <w:bottom w:w="0" w:type="dxa"/>
          <w:right w:w="0" w:type="dxa"/>
        </w:tblCellMar>
      </w:tblPr>
      <w:tblGrid>
        <w:gridCol w:w="23"/>
        <w:gridCol w:w="170"/>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competing therapies that are or may become available;</w:t>
            </w:r>
          </w:p>
        </w:tc>
      </w:tr>
    </w:tbl>
    <w:tbl>
      <w:tblPr>
        <w:tblW w:w="7308" w:type="dxa"/>
        <w:jc w:val="left"/>
        <w:tblInd w:w="0" w:type="dxa"/>
        <w:tblLayout w:type="fixed"/>
        <w:tblCellMar>
          <w:top w:w="0" w:type="dxa"/>
          <w:left w:w="0" w:type="dxa"/>
          <w:bottom w:w="0" w:type="dxa"/>
          <w:right w:w="0" w:type="dxa"/>
        </w:tblCellMar>
      </w:tblPr>
      <w:tblGrid>
        <w:gridCol w:w="23"/>
        <w:gridCol w:w="170"/>
        <w:gridCol w:w="71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of America, or U.S., and foreign countries;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and maintain U.S. Food and Drug Administration, or the FDA, European Commission, or other regulatory authority approval of, or other action with respect to, our products and/or product candidates;</w:t>
            </w:r>
          </w:p>
        </w:tc>
      </w:tr>
    </w:tbl>
    <w:tbl>
      <w:tblPr>
        <w:tblW w:w="6018" w:type="dxa"/>
        <w:jc w:val="left"/>
        <w:tblInd w:w="0" w:type="dxa"/>
        <w:tblLayout w:type="fixed"/>
        <w:tblCellMar>
          <w:top w:w="0" w:type="dxa"/>
          <w:left w:w="0" w:type="dxa"/>
          <w:bottom w:w="0" w:type="dxa"/>
          <w:right w:w="0" w:type="dxa"/>
        </w:tblCellMar>
      </w:tblPr>
      <w:tblGrid>
        <w:gridCol w:w="23"/>
        <w:gridCol w:w="170"/>
        <w:gridCol w:w="58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scientific or management personnel;</w:t>
            </w:r>
          </w:p>
        </w:tc>
      </w:tr>
    </w:tbl>
    <w:tbl>
      <w:tblPr>
        <w:tblW w:w="6258" w:type="dxa"/>
        <w:jc w:val="left"/>
        <w:tblInd w:w="0" w:type="dxa"/>
        <w:tblLayout w:type="fixed"/>
        <w:tblCellMar>
          <w:top w:w="0" w:type="dxa"/>
          <w:left w:w="0" w:type="dxa"/>
          <w:bottom w:w="0" w:type="dxa"/>
          <w:right w:w="0" w:type="dxa"/>
        </w:tblCellMar>
      </w:tblPr>
      <w:tblGrid>
        <w:gridCol w:w="23"/>
        <w:gridCol w:w="170"/>
        <w:gridCol w:w="6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benefits of our restructuring plan announced in August 2025;</w:t>
            </w:r>
          </w:p>
        </w:tc>
      </w:tr>
    </w:tbl>
    <w:tbl>
      <w:tblPr>
        <w:tblW w:w="10098" w:type="dxa"/>
        <w:jc w:val="left"/>
        <w:tblInd w:w="0" w:type="dxa"/>
        <w:tblLayout w:type="fixed"/>
        <w:tblCellMar>
          <w:top w:w="0" w:type="dxa"/>
          <w:left w:w="0" w:type="dxa"/>
          <w:bottom w:w="0" w:type="dxa"/>
          <w:right w:w="0" w:type="dxa"/>
        </w:tblCellMar>
      </w:tblPr>
      <w:tblGrid>
        <w:gridCol w:w="23"/>
        <w:gridCol w:w="170"/>
        <w:gridCol w:w="9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regarding expenses, future revenue, capital requirements, and needs for additional financing;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 including funding necessary to complete further development of our product candidates and commercialization of our products;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ability to successfully commercialize Amtagvi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(lifileucel) and Proleukin</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(aldesleukin), and any other products and/or product candidates for which we obtain or have obtained FDA or other regulatory approvals, including by the European Commission in the European Union, or the EU;</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our third-party research institution collaborators to continue research and development activities relating to our product candidates;</w:t>
            </w:r>
          </w:p>
        </w:tc>
      </w:tr>
    </w:tbl>
    <w:tbl>
      <w:tblPr>
        <w:tblW w:w="6753" w:type="dxa"/>
        <w:jc w:val="left"/>
        <w:tblInd w:w="0" w:type="dxa"/>
        <w:tblLayout w:type="fixed"/>
        <w:tblCellMar>
          <w:top w:w="0" w:type="dxa"/>
          <w:left w:w="0" w:type="dxa"/>
          <w:bottom w:w="0" w:type="dxa"/>
          <w:right w:w="0" w:type="dxa"/>
        </w:tblCellMar>
      </w:tblPr>
      <w:tblGrid>
        <w:gridCol w:w="23"/>
        <w:gridCol w:w="170"/>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our other research and development and strategic collaborations;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obtain and maintain intellectual property protection for our manufacturing methods and products and/or product candidates;</w:t>
            </w:r>
          </w:p>
        </w:tc>
      </w:tr>
    </w:tbl>
    <w:tbl>
      <w:tblPr>
        <w:tblW w:w="7533" w:type="dxa"/>
        <w:jc w:val="left"/>
        <w:tblInd w:w="0" w:type="dxa"/>
        <w:tblLayout w:type="fixed"/>
        <w:tblCellMar>
          <w:top w:w="0" w:type="dxa"/>
          <w:left w:w="0" w:type="dxa"/>
          <w:bottom w:w="0" w:type="dxa"/>
          <w:right w:w="0" w:type="dxa"/>
        </w:tblCellMar>
      </w:tblPr>
      <w:tblGrid>
        <w:gridCol w:w="23"/>
        <w:gridCol w:w="170"/>
        <w:gridCol w:w="73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research, develop, and commercialize our products and/or product candidates;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potential of the markets for our products and/or product candidates, and our ability to serve those markets;</w:t>
            </w:r>
          </w:p>
        </w:tc>
      </w:tr>
    </w:tbl>
    <w:tbl>
      <w:tblPr>
        <w:tblW w:w="8853" w:type="dxa"/>
        <w:jc w:val="left"/>
        <w:tblInd w:w="0" w:type="dxa"/>
        <w:tblLayout w:type="fixed"/>
        <w:tblCellMar>
          <w:top w:w="0" w:type="dxa"/>
          <w:left w:w="0" w:type="dxa"/>
          <w:bottom w:w="0" w:type="dxa"/>
          <w:right w:w="0" w:type="dxa"/>
        </w:tblCellMar>
      </w:tblPr>
      <w:tblGrid>
        <w:gridCol w:w="23"/>
        <w:gridCol w:w="170"/>
        <w:gridCol w:w="8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contract with third-party suppliers and manufacturers and their ability to perform adequately;</w:t>
            </w:r>
          </w:p>
        </w:tc>
      </w:tr>
    </w:tbl>
    <w:tbl>
      <w:tblPr>
        <w:tblW w:w="4938" w:type="dxa"/>
        <w:jc w:val="left"/>
        <w:tblInd w:w="0" w:type="dxa"/>
        <w:tblLayout w:type="fixed"/>
        <w:tblCellMar>
          <w:top w:w="0" w:type="dxa"/>
          <w:left w:w="0" w:type="dxa"/>
          <w:bottom w:w="0" w:type="dxa"/>
          <w:right w:w="0" w:type="dxa"/>
        </w:tblCellMar>
      </w:tblPr>
      <w:tblGrid>
        <w:gridCol w:w="23"/>
        <w:gridCol w:w="170"/>
        <w:gridCol w:w="47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trading price of our common stock; and</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cash and other resources.</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Actual results may differ from those set forth in this prospectus supplement and the documents incorporated herein by reference due to the risks and uncertainties inherent in our business, including those provided in the foregoing list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S-iii</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forward-looking statements and also including, without limitation: the FDA may not agree with our interpretation of the results of our clinical trials; later developments with the FDA that may be inconsistent with already completed FDA meetings; the preliminary clinical results, including efficacy and safety results, from ongoing Phase 2 and Phase 3 clinical trials may not be reflected in the final analyses of these clinical trials including new cohorts within these clinical trials; the results obtained in our ongoing clinical trials, such as the studies and clinical trials referred to in this prospectus supplement and the documents incorporated herein by reference,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the FDA’s interpretation, as well as the FDA’s authority to request new or additional information; we may not be able to obtain or maintain FDA or other regulatory authority approval of our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prospectus supplement or the documents incorporated herein by reference speaks only as of the date of this prospectus supplement, the dates of the documents incorporated herein by reference, or as of the date on which it is made, as applicable. Except as required by law, we undertake no obligation to publicly update any forward-looking statements, whether because of new information, future events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discuss certain of these risks and uncertainties in greater detail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 supplement, including our most recent Annual Report on Form 10-K and our Quarterly Reports on Form 10-Q filed with the SEC.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S-iv</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4" w:name="SUMMARY1"/>
      <w:bookmarkEnd w:id="24"/>
      <w:r>
        <w:rPr>
          <w:rFonts w:ascii="Times New Roman;Times;serif" w:hAnsi="Times New Roman;Times;serif"/>
          <w:b/>
          <w:sz w:val="20"/>
        </w:rPr>
        <w:t>SUMMARY</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This summary highlights information contained in other parts of this prospectus supplement.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and the documents incorporated by reference herein and therein. You should read all such documents carefully, especially the risk factors and our financial statements and the related notes included or incorporated by reference herein or therein, before deciding to buy shares of our common stock. Unless the context requires otherwise, references in this prospectus to “Iovance,” the “Company,” “we,” “us” and “our” refer to Iovance Biotherapeutics, Inc.</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are a commercial-stage biopharmaceutical company pioneering a transformational approach to treating cancer. Our mission is to be the global leader in innovating, developing, and delivering tumor infiltrating lymphocyte, or TIL, cell therapies for patients with solid tumor cancers. TIL cell therapies harness the individual immune system’s ability to recognize and destroy diverse cancer cells that are unique to each patient. These individualized therapies are manufactured using centralized, scalable, and proprietary manufacturing processes which rejuvenate and multiply each patient’s polyclonal T cells into the billions.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Iovance was founded to build upon the promise of TIL cell therapy initially developed at academic research centers, including the National Cancer Institute, or the NCI. Our multi-center trials, scalable manufacturing, regulatory approvals and commercial infrastructure have transformed TIL cell therapy from a research product available to only a small number of patients, into a commercially viable treatment that is accessible for thousands of cancer patients.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two commercial products include Amtagvi® (lifileucel) and Proleukin® (aldesleukin), an interleukin-2, or IL-2, product used in the Amtagvi® treatment regimen and other applications.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Amtagvi® is the first one-time, individualized T cell therapy for a solid tumor cancer and for the treatment of adult patients with previously treated advanced, or unresectable or metastatic melanoma, approved for use in the U.S. and Canada. Amtagvi® is administered as part of a treatment regimen that includes lymphodepletion and a short course of Proleukin®.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Globally, Amtagvi® has the potential to address more than 30,000 previously treated advanced melanoma patients annually. We plan to launch into additional markets with a high prevalence of advanced melanoma. On June 4, 2026, we received marketing authorization from the Therapeutic Goods Administration of Australia for Amtagvi® for previously treated advanced (metastatic or unresectable) melanoma. Potential approval is pending in Switzerland in 2027. In the European Union, or EU, we withdrew our initial marketing authorization application, or MAA, in July 2025. We are working with the European Medicines Agency, or EMA, to resubmit a centralized MAA in 2026. In the United Kingdom, or UK, we withdrew our initial MAA in May 2026 and will resubmit the MAA with additional information for expedited review in 2026.</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development pipeline consists of TIL cell therapies in additional solid tumor cancer indications as monotherapy or in combination with standard of care, as well as next generation approaches. We are conducting two ongoing registrational trials in frontline advanced melanoma and previously treated advanced non-small cell lung cancer, or NSCLC. We have commenced a registrational trial in previously treated advanced undifferentiated pleomorphic sarcoma and dedifferentiated liposarcoma, and plan to engage with the FDA for an expedited path to accelerated approval.</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Corporate Information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Information concerning our company is contained in the documents that we file with the SEC as a reporting company under the Securities Exchange Act of 1934, as amended, or the Exchange Act, which are accessible at </w:t>
      </w:r>
      <w:r>
        <w:rPr>
          <w:rFonts w:ascii="Times New Roman;Times;serif" w:hAnsi="Times New Roman;Times;serif"/>
          <w:i/>
          <w:sz w:val="20"/>
        </w:rPr>
        <w:t>www.sec.gov</w:t>
      </w:r>
      <w:r>
        <w:rPr>
          <w:rFonts w:ascii="Times New Roman;Times;serif" w:hAnsi="Times New Roman;Times;serif"/>
          <w:sz w:val="20"/>
        </w:rPr>
        <w:t>, and on our website at www.iovance.com.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 Information on our website is not, and should not be considered, part of this prospectus.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principal executive offices are located at 825 Industrial Road, Suite 100, San Carlos, California 94070, and our telephone number is (650) 260-7120.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OFFERING</w:t>
      </w:r>
    </w:p>
    <w:tbl>
      <w:tblPr>
        <w:tblW w:w="10205" w:type="dxa"/>
        <w:jc w:val="center"/>
        <w:tblInd w:w="0" w:type="dxa"/>
        <w:tblLayout w:type="fixed"/>
        <w:tblCellMar>
          <w:top w:w="0" w:type="dxa"/>
          <w:left w:w="0" w:type="dxa"/>
          <w:bottom w:w="0" w:type="dxa"/>
          <w:right w:w="0" w:type="dxa"/>
        </w:tblCellMar>
      </w:tblPr>
      <w:tblGrid>
        <w:gridCol w:w="1688"/>
        <w:gridCol w:w="346"/>
        <w:gridCol w:w="8171"/>
      </w:tblGrid>
      <w:tr>
        <w:trPr/>
        <w:tc>
          <w:tcPr>
            <w:tcW w:w="1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71" w:type="dxa"/>
            <w:tcBorders/>
            <w:vAlign w:val="center"/>
          </w:tcPr>
          <w:p>
            <w:pPr>
              <w:pStyle w:val="TableContents"/>
              <w:bidi w:val="0"/>
              <w:spacing w:before="0" w:after="0"/>
              <w:ind w:left="0" w:right="0" w:hanging="0"/>
              <w:jc w:val="left"/>
              <w:rPr/>
            </w:pPr>
            <w:r>
              <w:rPr/>
              <w:t>​</w:t>
            </w:r>
          </w:p>
        </w:tc>
      </w:tr>
      <w:tr>
        <w:trPr/>
        <w:tc>
          <w:tcPr>
            <w:tcW w:w="16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Issuer</w:t>
            </w:r>
          </w:p>
        </w:tc>
        <w:tc>
          <w:tcPr>
            <w:tcW w:w="346" w:type="dxa"/>
            <w:tcBorders/>
            <w:vAlign w:val="center"/>
          </w:tcPr>
          <w:p>
            <w:pPr>
              <w:pStyle w:val="TableContents"/>
              <w:bidi w:val="0"/>
              <w:spacing w:before="0" w:after="0"/>
              <w:ind w:left="0" w:right="0" w:hanging="0"/>
              <w:jc w:val="left"/>
              <w:rPr/>
            </w:pPr>
            <w:r>
              <w:rPr/>
              <w:t>  ​ ​ ​</w:t>
            </w:r>
          </w:p>
        </w:tc>
        <w:tc>
          <w:tcPr>
            <w:tcW w:w="8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Iovance Biotherapeutics, Inc.</w:t>
            </w:r>
          </w:p>
        </w:tc>
      </w:tr>
      <w:tr>
        <w:trPr/>
        <w:tc>
          <w:tcPr>
            <w:tcW w:w="1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71" w:type="dxa"/>
            <w:tcBorders/>
            <w:vAlign w:val="center"/>
          </w:tcPr>
          <w:p>
            <w:pPr>
              <w:pStyle w:val="TableContents"/>
              <w:bidi w:val="0"/>
              <w:spacing w:before="0" w:after="0"/>
              <w:ind w:left="0" w:right="0" w:hanging="0"/>
              <w:jc w:val="left"/>
              <w:rPr/>
            </w:pPr>
            <w:r>
              <w:rPr/>
              <w:t>​</w:t>
            </w:r>
          </w:p>
        </w:tc>
      </w:tr>
      <w:tr>
        <w:trPr/>
        <w:tc>
          <w:tcPr>
            <w:tcW w:w="16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Common stock offered by us</w:t>
            </w:r>
          </w:p>
        </w:tc>
        <w:tc>
          <w:tcPr>
            <w:tcW w:w="346" w:type="dxa"/>
            <w:tcBorders/>
            <w:vAlign w:val="center"/>
          </w:tcPr>
          <w:p>
            <w:pPr>
              <w:pStyle w:val="TableContents"/>
              <w:bidi w:val="0"/>
              <w:spacing w:before="0" w:after="0"/>
              <w:ind w:left="0" w:right="0" w:hanging="0"/>
              <w:jc w:val="left"/>
              <w:rPr/>
            </w:pPr>
            <w:r>
              <w:rPr/>
              <w:t>​</w:t>
            </w:r>
          </w:p>
        </w:tc>
        <w:tc>
          <w:tcPr>
            <w:tcW w:w="8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our common stock having an aggregate offering price of $89,650,167.</w:t>
            </w:r>
          </w:p>
        </w:tc>
      </w:tr>
      <w:tr>
        <w:trPr/>
        <w:tc>
          <w:tcPr>
            <w:tcW w:w="1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71" w:type="dxa"/>
            <w:tcBorders/>
            <w:vAlign w:val="center"/>
          </w:tcPr>
          <w:p>
            <w:pPr>
              <w:pStyle w:val="TableContents"/>
              <w:bidi w:val="0"/>
              <w:spacing w:before="0" w:after="0"/>
              <w:ind w:left="0" w:right="0" w:hanging="0"/>
              <w:jc w:val="left"/>
              <w:rPr/>
            </w:pPr>
            <w:r>
              <w:rPr/>
              <w:t>​</w:t>
            </w:r>
          </w:p>
        </w:tc>
      </w:tr>
      <w:tr>
        <w:trPr/>
        <w:tc>
          <w:tcPr>
            <w:tcW w:w="16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Common stock outstanding after this offering</w:t>
            </w:r>
          </w:p>
        </w:tc>
        <w:tc>
          <w:tcPr>
            <w:tcW w:w="346" w:type="dxa"/>
            <w:tcBorders/>
            <w:vAlign w:val="center"/>
          </w:tcPr>
          <w:p>
            <w:pPr>
              <w:pStyle w:val="TableContents"/>
              <w:bidi w:val="0"/>
              <w:spacing w:before="0" w:after="0"/>
              <w:ind w:left="0" w:right="0" w:hanging="0"/>
              <w:jc w:val="left"/>
              <w:rPr/>
            </w:pPr>
            <w:r>
              <w:rPr/>
              <w:t>​</w:t>
            </w:r>
          </w:p>
        </w:tc>
        <w:tc>
          <w:tcPr>
            <w:tcW w:w="8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460,918,284 shares of our common stock (as more fully described in the notes following this table), assuming sales of 22,811,747 shares of our common stock in this offering at an offering price of $3.93 per share, the last reported sale price of our common stock on The Nasdaq Global Market on June 17, 2026. The actual number of shares issued will vary depending on the sales price under this offering.</w:t>
            </w:r>
          </w:p>
        </w:tc>
      </w:tr>
      <w:tr>
        <w:trPr/>
        <w:tc>
          <w:tcPr>
            <w:tcW w:w="1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71" w:type="dxa"/>
            <w:tcBorders/>
            <w:vAlign w:val="center"/>
          </w:tcPr>
          <w:p>
            <w:pPr>
              <w:pStyle w:val="TableContents"/>
              <w:bidi w:val="0"/>
              <w:spacing w:before="0" w:after="0"/>
              <w:ind w:left="0" w:right="0" w:hanging="0"/>
              <w:jc w:val="left"/>
              <w:rPr/>
            </w:pPr>
            <w:r>
              <w:rPr/>
              <w:t>​</w:t>
            </w:r>
          </w:p>
        </w:tc>
      </w:tr>
      <w:tr>
        <w:trPr/>
        <w:tc>
          <w:tcPr>
            <w:tcW w:w="16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Plan of Distribution</w:t>
            </w:r>
          </w:p>
        </w:tc>
        <w:tc>
          <w:tcPr>
            <w:tcW w:w="346" w:type="dxa"/>
            <w:tcBorders/>
            <w:vAlign w:val="center"/>
          </w:tcPr>
          <w:p>
            <w:pPr>
              <w:pStyle w:val="TableContents"/>
              <w:bidi w:val="0"/>
              <w:spacing w:before="0" w:after="0"/>
              <w:ind w:left="0" w:right="0" w:hanging="0"/>
              <w:jc w:val="left"/>
              <w:rPr/>
            </w:pPr>
            <w:r>
              <w:rPr/>
              <w:t>​</w:t>
            </w:r>
          </w:p>
        </w:tc>
        <w:tc>
          <w:tcPr>
            <w:tcW w:w="817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At the market” offering that may be made from time to time through our sales agent, Jefferies. See “Plan of Distribution” on page S-6 of this prospectus supplement.</w:t>
            </w:r>
          </w:p>
        </w:tc>
      </w:tr>
      <w:tr>
        <w:trPr/>
        <w:tc>
          <w:tcPr>
            <w:tcW w:w="1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71" w:type="dxa"/>
            <w:tcBorders/>
            <w:vAlign w:val="center"/>
          </w:tcPr>
          <w:p>
            <w:pPr>
              <w:pStyle w:val="TableContents"/>
              <w:bidi w:val="0"/>
              <w:spacing w:before="0" w:after="0"/>
              <w:ind w:left="0" w:right="0" w:hanging="0"/>
              <w:jc w:val="left"/>
              <w:rPr/>
            </w:pPr>
            <w:r>
              <w:rPr/>
              <w:t>​</w:t>
            </w:r>
          </w:p>
        </w:tc>
      </w:tr>
      <w:tr>
        <w:trPr/>
        <w:tc>
          <w:tcPr>
            <w:tcW w:w="16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Use of Proceeds</w:t>
            </w:r>
          </w:p>
        </w:tc>
        <w:tc>
          <w:tcPr>
            <w:tcW w:w="346" w:type="dxa"/>
            <w:tcBorders/>
            <w:vAlign w:val="center"/>
          </w:tcPr>
          <w:p>
            <w:pPr>
              <w:pStyle w:val="TableContents"/>
              <w:bidi w:val="0"/>
              <w:spacing w:before="0" w:after="0"/>
              <w:ind w:left="0" w:right="0" w:hanging="0"/>
              <w:jc w:val="left"/>
              <w:rPr/>
            </w:pPr>
            <w:r>
              <w:rPr/>
              <w:t>​</w:t>
            </w:r>
          </w:p>
        </w:tc>
        <w:tc>
          <w:tcPr>
            <w:tcW w:w="8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intend to use the net proceeds from this offering to further the commercial launch of Amtagvi®, to fund ongoing clinical programs, including our NSCLC registrational study, IOV-LUN-202, and our frontline advanced melanoma Phase 3 confirmatory trial, TILVANCE-301, to support additional clinical programs, to continue the development of our pipeline candidates, and for other general corporate purposes. See “Use of Proceeds.”</w:t>
            </w:r>
          </w:p>
        </w:tc>
      </w:tr>
      <w:tr>
        <w:trPr/>
        <w:tc>
          <w:tcPr>
            <w:tcW w:w="1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71" w:type="dxa"/>
            <w:tcBorders/>
            <w:vAlign w:val="center"/>
          </w:tcPr>
          <w:p>
            <w:pPr>
              <w:pStyle w:val="TableContents"/>
              <w:bidi w:val="0"/>
              <w:spacing w:before="0" w:after="0"/>
              <w:ind w:left="0" w:right="0" w:hanging="0"/>
              <w:jc w:val="left"/>
              <w:rPr/>
            </w:pPr>
            <w:r>
              <w:rPr/>
              <w:t>​</w:t>
            </w:r>
          </w:p>
        </w:tc>
      </w:tr>
      <w:tr>
        <w:trPr/>
        <w:tc>
          <w:tcPr>
            <w:tcW w:w="16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p>
        </w:tc>
        <w:tc>
          <w:tcPr>
            <w:tcW w:w="346" w:type="dxa"/>
            <w:tcBorders/>
            <w:vAlign w:val="center"/>
          </w:tcPr>
          <w:p>
            <w:pPr>
              <w:pStyle w:val="TableContents"/>
              <w:bidi w:val="0"/>
              <w:spacing w:before="0" w:after="0"/>
              <w:ind w:left="0" w:right="0" w:hanging="0"/>
              <w:jc w:val="left"/>
              <w:rPr/>
            </w:pPr>
            <w:r>
              <w:rPr/>
              <w:t>​</w:t>
            </w:r>
          </w:p>
        </w:tc>
        <w:tc>
          <w:tcPr>
            <w:tcW w:w="8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should read the “Risk Factors” section beginning on page S-3 of this prospectus supplement, page 4 of the accompanying prospectus and the documents incorporated by reference into this prospectus supplement for a discussion of factors to consider carefully before deciding to invest in shares of our common stock.</w:t>
            </w:r>
          </w:p>
        </w:tc>
      </w:tr>
      <w:tr>
        <w:trPr/>
        <w:tc>
          <w:tcPr>
            <w:tcW w:w="1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71" w:type="dxa"/>
            <w:tcBorders/>
            <w:vAlign w:val="center"/>
          </w:tcPr>
          <w:p>
            <w:pPr>
              <w:pStyle w:val="TableContents"/>
              <w:bidi w:val="0"/>
              <w:spacing w:before="0" w:after="0"/>
              <w:ind w:left="0" w:right="0" w:hanging="0"/>
              <w:jc w:val="left"/>
              <w:rPr/>
            </w:pPr>
            <w:r>
              <w:rPr/>
              <w:t>​</w:t>
            </w:r>
          </w:p>
        </w:tc>
      </w:tr>
      <w:tr>
        <w:trPr/>
        <w:tc>
          <w:tcPr>
            <w:tcW w:w="16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Nasdaq Global Market symbol</w:t>
            </w:r>
          </w:p>
        </w:tc>
        <w:tc>
          <w:tcPr>
            <w:tcW w:w="346" w:type="dxa"/>
            <w:tcBorders/>
            <w:vAlign w:val="center"/>
          </w:tcPr>
          <w:p>
            <w:pPr>
              <w:pStyle w:val="TableContents"/>
              <w:bidi w:val="0"/>
              <w:spacing w:before="0" w:after="0"/>
              <w:ind w:left="0" w:right="0" w:hanging="0"/>
              <w:jc w:val="left"/>
              <w:rPr/>
            </w:pPr>
            <w:r>
              <w:rPr/>
              <w:t>​</w:t>
            </w:r>
          </w:p>
        </w:tc>
        <w:tc>
          <w:tcPr>
            <w:tcW w:w="8171" w:type="dxa"/>
            <w:tcBorders/>
            <w:vAlign w:val="center"/>
          </w:tcPr>
          <w:p>
            <w:pPr>
              <w:pStyle w:val="TableContents"/>
              <w:bidi w:val="0"/>
              <w:spacing w:before="0" w:after="0"/>
              <w:ind w:left="0" w:right="0" w:hanging="0"/>
              <w:jc w:val="left"/>
              <w:rPr/>
            </w:pPr>
            <w:r>
              <w:rPr/>
              <w:t>“</w:t>
            </w:r>
            <w:r>
              <w:rPr>
                <w:rFonts w:ascii="Times New Roman;Times;serif" w:hAnsi="Times New Roman;Times;serif"/>
                <w:sz w:val="20"/>
              </w:rPr>
              <w:t>IOVA.”</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number of shares of our common stock to be outstanding after this offering is based on 438,106,537 shares of our common stock outstanding as of March 31, 2026, and excludes: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17,713,664 shares of common stock issuable upon the exercise of stock options outstanding as of March 31, 2026, at a weighted average exercise price of $14.99 per share;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13,932,884 shares of common stock issuable upon the vesting of restricted stock units, or RSUs, outstanding as of March 31, 2026, with a weighted average grant date fair value of $6.70 per share;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97,000 shares of common stock issuable upon the conversion of shares of Series A Convertible Preferred Stock outstanding as of March 31,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1,932,667 shares of common stock issuable upon the conversion of shares of Series B Convertible Preferred Stock outstanding as of March 31,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12,036,556 shares of common stock reserved for future issuance under our 2018 Equity Incentive Plan as of March 31, 2026;</w:t>
            </w:r>
          </w:p>
        </w:tc>
      </w:tr>
    </w:tbl>
    <w:tbl>
      <w:tblPr>
        <w:tblW w:w="9978" w:type="dxa"/>
        <w:jc w:val="left"/>
        <w:tblInd w:w="0" w:type="dxa"/>
        <w:tblLayout w:type="fixed"/>
        <w:tblCellMar>
          <w:top w:w="0" w:type="dxa"/>
          <w:left w:w="0" w:type="dxa"/>
          <w:bottom w:w="0" w:type="dxa"/>
          <w:right w:w="0" w:type="dxa"/>
        </w:tblCellMar>
      </w:tblPr>
      <w:tblGrid>
        <w:gridCol w:w="23"/>
        <w:gridCol w:w="170"/>
        <w:gridCol w:w="9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123,786 shares of common stock reserved for future issuance under our 2021 Inducement Plan as of March 31, 2026;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814,246 shares of common stock reserved for future issuance under our 2020 Employee Stock Purchase Plan as of March 31, 2026.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RISKFACTORS1"/>
      <w:bookmarkEnd w:id="25"/>
      <w:r>
        <w:rPr>
          <w:rFonts w:ascii="Times New Roman;Times;serif" w:hAnsi="Times New Roman;Times;serif"/>
          <w:b/>
          <w:sz w:val="20"/>
        </w:rPr>
        <w:t>RISK FACTORS</w:t>
      </w:r>
    </w:p>
    <w:p>
      <w:pPr>
        <w:pStyle w:val="TextBody"/>
        <w:bidi w:val="0"/>
        <w:spacing w:before="0" w:after="240"/>
        <w:ind w:left="0" w:right="0" w:firstLine="360"/>
        <w:jc w:val="left"/>
        <w:rPr/>
      </w:pPr>
      <w:r>
        <w:rPr>
          <w:rFonts w:ascii="Times New Roman;Times;serif" w:hAnsi="Times New Roman;Times;serif"/>
          <w:i/>
          <w:sz w:val="20"/>
        </w:rPr>
        <w:t xml:space="preserve">An investment in our common stock involves a high degree of risk. Before deciding whether to invest in our common stock, you should carefully consider the risks described below and those discussed under the Sections captioned “Risk Factors” contained in our </w:t>
      </w:r>
      <w:hyperlink r:id="rId14">
        <w:r>
          <w:rPr>
            <w:rStyle w:val="InternetLink"/>
            <w:rFonts w:ascii="Times New Roman;Times;serif" w:hAnsi="Times New Roman;Times;serif"/>
            <w:b w:val="false"/>
            <w:i/>
            <w:sz w:val="20"/>
          </w:rPr>
          <w:t>Annual Report on Form 10-K for the year ended December 31, 2025</w:t>
        </w:r>
      </w:hyperlink>
      <w:r>
        <w:rPr>
          <w:rFonts w:ascii="Times New Roman;Times;serif" w:hAnsi="Times New Roman;Times;serif"/>
          <w:sz w:val="20"/>
        </w:rPr>
        <w:t xml:space="preserve"> </w:t>
      </w:r>
      <w:r>
        <w:rPr>
          <w:rFonts w:ascii="Times New Roman;Times;serif" w:hAnsi="Times New Roman;Times;serif"/>
          <w:i/>
          <w:sz w:val="20"/>
        </w:rPr>
        <w:t xml:space="preserve">and in our Quarterly Report on Form 10-Q for the quarter ended </w:t>
      </w:r>
      <w:hyperlink r:id="rId15">
        <w:r>
          <w:rPr>
            <w:rStyle w:val="InternetLink"/>
            <w:rFonts w:ascii="Times New Roman;Times;serif" w:hAnsi="Times New Roman;Times;serif"/>
            <w:b w:val="false"/>
            <w:i/>
            <w:sz w:val="20"/>
          </w:rPr>
          <w:t>March 31, 2026</w:t>
        </w:r>
      </w:hyperlink>
      <w:r>
        <w:rPr>
          <w:rFonts w:ascii="Times New Roman;Times;serif" w:hAnsi="Times New Roman;Times;serif"/>
          <w:i/>
          <w:sz w:val="20"/>
        </w:rPr>
        <w:t>, each of which is incorporated by reference in this prospectus supplement and the accompanying prospectus, together with other information in this prospectus supplement, the accompanying prospectus, and the information and documents incorporated by reference herein and therein. If any of these risks actually occur, our business, financial condition, results of operations or cash flow could be seriously harmed. This could cause the trading price of our common stock to decline, resulting in a loss of all or part of your investment.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This Offering and Our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You will experience immediate and substantial dilution in the net tangible book value per share of the common stock you purchase. You may also experience future dilution as a result of future equity offerings.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public offering price of our common stock may exceed the net tangible book value per share of our common stock before giving effect to this offering. Therefore, if you purchase common stock in this offering, you may pay a price per share that exceeds our as adjusted net tangible book value per share of common stock. Our historical net tangible book value at March 31, 2026, was approximately $425.7 million, or approximately $0.97 per share of our common stock. Assuming that an aggregate of 22,811,747 shares of our common stock are sold at an assumed offering price of $3.93 per share, the last reported sale price of our common stock on The Nasdaq Global Market on June 17, 2026, for aggregate gross proceeds of $89,650,167, and after deducting commissions and estimated offering expenses payable by us, our adjusted net tangible book value as of March 31, 2026, would have been approximately $513.3 million, or approximately $1.11 per share of our common stock. This represents an immediate increase in the net tangible book value of approximately $0.14 per share of our common stock to our existing stockholders and an immediate dilution in net tangible book value of approximately $2.82 per share of our common stock to new investors, representing the difference between the public offering price and our as adjusted net tangible book value as of March 31, 2026, after giving effect to this offering, and the assumed offering price. Furthermore, if outstanding options or warrants are exercised, you could experience further dilution. Because the sales of shares offered hereby will be made directly into the market, the prices at which we sell these shares will vary and these variations may be significant. Purchasers of the shares we sell, as well as our existing stockholders, will experience significant dilution if we sell at prices significantly below the price at which they invested.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we have a significant number of stock options and restricted stock units outstanding, and, in order to raise additional capital, we may in the future offer additional shares of our common stock or other securities convertible into or exchangeable for our common stock at prices that may not be the same as the price per share in this offering. In the event that the outstanding options or restricted stock units are exercised or settled, or that we make additional issuances of common stock or other convertible or exchangeable securities, you could experience additional dilution.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including investors who purchase shares of common stock in this offering. The price per share at which we sell additional shares of our common stock or securities convertible into common stock in future transactions may be higher or lower than the price per share in this offering.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substantial number of shares of common stock may be sold in the market following this offering, which may depress the market price for our common stock.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shares of common stock sold in this offering may be resold in the public market at any time. In addition, as of March 31, 2026, the following securities initially issued in a private placement, consisting of (i) up to 12,822,361 shares of common stock, (ii) 1,932,667 shares of common stock issuable upon the conversion of outstanding shares of our Series B Convertible Preferred Stock and (iii) 97,000 shares of our common stock issuable upon the conversion of currently outstanding shares of our Series A Convertible Preferred Stock, may be resold in the public market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future. Further, certain shares of our common stock that are currently outstanding but have not been registered for resale may currently be sold under Rule 144 under the Securities Act. Sales of a substantial number of these shares in the public market following this offering, or the perception that those sales may occur, could cause the market price of our common stock to decline.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broad discretion to determine how to use the funds raised in this offering and may use them in ways that may not enhance our operating results or the price of our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will have broad discretion over the use of proceeds from this offering, and we could spend the proceeds from this offering in ways our stockholders may not agree with or that do not yield a favorable return, if at all. We intend to use the net proceeds from this offering to further the commercial launch of Amtagvi®, to fund ongoing clinical programs, including our NSCLC registrational study, IOV-LUN-202, and our frontline advanced melanoma Phase 3 confirmatory trial, TILVANCE-301, to support additional clinical programs, to continue the development of our pipeline candidates, and for other general corporate purposes. However, our use of these proceeds may differ substantially from our current plans. If we do not invest or apply the proceeds of this offering in ways that improve our operating results, we may fail to achieve expected financial results, which could cause our stock price to decline.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It is not possible to predict the actual number of shares we will sell under the Sale Agreement, or the gross proceeds resulting from those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certain limitations in the Sale Agreement and compliance with applicable law, we have the discretion to deliver instruction to Jefferies to sell shares of our common stock at any time throughout the term of the Sale Agreement. The number of shares, if any, that are sold through Jefferies after our instruction will fluctuate based on a number of factors, including the market price of our common stock during the sales period, the limits we set with Jefferies in any instruction to sell shares, and the demand for our common stock during the sales period. Because the price per share of each share sold, if any, will fluctuate during this offering, it is not currently possible to predict the number of shares that will be sold or the gross proceeds to be raised in connection with those sales.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common stock offered hereby will be sold in “at the market offerings,” and investors who buy shares at different times will likely pay different prices.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 addition, subject to the final determination by our board of directors, there is no minimum or maximum sales price for shares to be sold in this offering. Investors may experience a decline in the value of the shares they purchase in this offering as a result of sales made at prices lower than the prices they paid.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6" w:name="USEOFPROCEEDS1"/>
      <w:bookmarkEnd w:id="26"/>
      <w:r>
        <w:rPr>
          <w:rFonts w:ascii="Times New Roman;Times;serif" w:hAnsi="Times New Roman;Times;serif"/>
          <w:b/>
          <w:sz w:val="20"/>
        </w:rPr>
        <w:t>USE OF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issue and sell shares of our common stock having aggregate gross proceeds of up to $89,650,167 from time to time. Because there is no minimum offering price for the shares that we may offer from time to time, the actual total public offering amount, commissions paid and proceeds to us, if any, are not determinable at this time. There can be no assurance that we will sell any shares under or fully utilize the Sale Agreement with Jefferies as a source of financing.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intend to use the net proceeds from this offering to further the commercial launch of Amtagvi®, to fund ongoing clinical programs, including our NSCLC registrational study, IOV-LUN-202, and our frontline advanced melanoma Phase 3 confirmatory trial, TILVANCE-301, to support additional clinical programs, to continue the development of our pipeline candidates, and for other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expected uses represent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and any unforeseen cash needs. As a result, our management will have broad discretion in the application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PLAN OF DIST</w:t>
      </w:r>
      <w:bookmarkStart w:id="27" w:name="PLANOFDISTRIBUTION1"/>
      <w:bookmarkEnd w:id="27"/>
      <w:r>
        <w:rPr>
          <w:rFonts w:ascii="Times New Roman;Times;serif" w:hAnsi="Times New Roman;Times;serif"/>
          <w:b/>
          <w:sz w:val="20"/>
        </w:rPr>
        <w:t>RIBUTION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previously entered into the Sale Agreement with Jefferies pursuant to which we may offer and sell shares of our common stock from time to time through Jefferies acting as our sales agent. As of the date of this prospectus supplement, we have issued and sold shares of our common stock having an aggregate offering price of approximately $260,349,833 pursuant to the Sale Agreement and prospectus supplement dated August 22, 2025, or the prior prospectus supplement, under our shelf registration statement on Form S-3 (Registration Statement No. 333-272718), or the prior prospectus. We have suspended and will not make any further offers or sales of our common stock pursuant to the prior prospectus supplement or the prior prospectus. The $89,650,167 of shares of our common stock which may be offered and sold pursuant to the Sale Agreement will be offered and sold under this prospectus supplement. Sales of our shares of common stock, if any, under this prospectus supplement and the accompanying prospectus will be made by any method that is deemed to be an “at the market offering” as defined in Rule 415(a)(4)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time we wish to issue and sell shares of common stock under the Sale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 Agreement to sell our shares of common stock are subject to a number of conditions that we must meet.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settlement of sales of shares between us and Jefferies is generally anticipated to occur on the first trading day (or such shorter period as may be required under the Exchange Act)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which was payable upon execution of the Sale Agreement, in an amount not to exceed $100,000, in addition to certain ongoing disbursements of its legal counsel not to exceed $25,000 in connection with each diligence bring-down thereafter. We estimate that the total expenses for the offering, excluding any commissions or expense reimbursement payable to Jefferies under the terms of the Sale Agreement, will be approximately $125,000. The remaining sale proceeds, after deducting any other transaction fees, will equal our net proceeds from the sale of such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Jefferies will provide written confirmation to us before the open on The Nasdaq Global Market on the day following each day on which our shares of common stock are sold under the Sale Agreement. Each confirmation will include the number of shares sold on that day, the aggregate gross proceeds of such sales and the proceeds to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offering of our shares of common stock pursuant to the Sale Agreement will terminate upon the earlier of (i) the sale of all shares of common stock subject to the Sale Agreement and (ii) the termination of the Sale Agreement as permitted therein. We and Jefferies may each terminate the Sale Agreement at any time upon ten days’ prior notice.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This summary of the material provisions of the Sale Agreement does not purport to be a complete statement of its terms and conditions. A copy of the Sale Agreement is filed as an exhibit to our Current Report on Form 8-K filed with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SEC on August 22, 2025 under the Securities Exchange Act of 1934, as amended, and incorporated by reference in this prospectus supplement.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 For example, Jefferies acted as an underwriter in our follow-on offering of common stock consummated in June 2020, for which it received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prospectus supplement and the accompanying prospectus in electronic format may be made available on a website maintained by Jefferies, and Jefferies may distribute the prospectus supplement and the accompanying prospectus electronically.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8" w:name="LEGALMATTERS1"/>
      <w:bookmarkEnd w:id="28"/>
      <w:r>
        <w:rPr>
          <w:rFonts w:ascii="Times New Roman;Times;serif" w:hAnsi="Times New Roman;Times;serif"/>
          <w:b/>
          <w:sz w:val="20"/>
        </w:rPr>
        <w:t>LEGAL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validity of the common stock being offered in this offering will be passed upon for us by DLA Piper LLP (US), Short Hills, New Jersey. Certain legal matters related to this offering will be passed upon for Jefferies by Latham &amp; Watkins LLP, San Diego, California.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9" w:name="EXPERTS1"/>
      <w:bookmarkEnd w:id="29"/>
      <w:r>
        <w:rPr>
          <w:rFonts w:ascii="Times New Roman;Times;serif" w:hAnsi="Times New Roman;Times;serif"/>
          <w:b/>
          <w:sz w:val="20"/>
        </w:rPr>
        <w:t>EXPERTS</w:t>
      </w:r>
    </w:p>
    <w:p>
      <w:pPr>
        <w:pStyle w:val="TextBody"/>
        <w:bidi w:val="0"/>
        <w:spacing w:before="0" w:after="240"/>
        <w:ind w:left="0" w:right="0" w:hanging="0"/>
        <w:jc w:val="left"/>
        <w:rPr/>
      </w:pPr>
      <w:r>
        <w:rPr>
          <w:rFonts w:ascii="Times New Roman;Times;serif" w:hAnsi="Times New Roman;Times;serif"/>
          <w:sz w:val="20"/>
        </w:rPr>
        <w:t xml:space="preserve">Ernst &amp; Young LLP, independent registered public accounting firm, has audited our consolidated financial statements included in our </w:t>
      </w:r>
      <w:hyperlink r:id="rId16">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0" w:name="WHERE1"/>
      <w:bookmarkEnd w:id="30"/>
      <w:r>
        <w:rPr>
          <w:rFonts w:ascii="Times New Roman;Times;serif" w:hAnsi="Times New Roman;Times;serif"/>
          <w:b/>
          <w:sz w:val="20"/>
        </w:rPr>
        <w:t>WHERE YOU CAN FIND MORE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prospectus supplement and the accompanying prospectus form part of an automatic “shelf” registration statement on Form S-3ASR that we filed with the SEC. This prospectus supplement and the accompanying prospectus do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we refer you to the registration statement and the exhibits and schedules filed as a part of the registration statement and the documents incorporated by reference herein and therein. You should rely only on the information contained in this prospectus supplement or the accompanying prospectus or incorporated by reference herein or therein.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supplement, regardless of the time of delivery of this prospectus supplement or any sale of the securities offered hereby. The SEC maintains a website that contains reports, proxy statements and other information regarding issuers that file electronically with the SEC, including Iovance Biotherapeutics, Inc. The address of the SEC website is www.sec.gov.</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file annual, quarterly and current reports, proxy statements and other information with the SEC. You may read and copy the registration statement, as well as any other document filed by us with the SEC at the website of the SEC referred to above. We maintain a website at www.iovance.com where you may access these materials free of charge as soon as reasonably practicable after they are electronically filed with, or furnished to, the SEC. Information contained in or accessible through our website does not constitute a part of this prospectus supplement.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S-10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1" w:name="INCORPORATION1"/>
      <w:bookmarkEnd w:id="31"/>
      <w:r>
        <w:rPr>
          <w:rFonts w:ascii="Times New Roman;Times;serif" w:hAnsi="Times New Roman;Times;serif"/>
          <w:b/>
          <w:sz w:val="20"/>
        </w:rPr>
        <w:t>INCORPORATION OF CERTAIN INFORMATION BY REFERENCE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SEC allows us to “incorporate by reference” information into this prospectus supplement, which means that we can disclose important information to you by referring you to another document filed separately with the SEC. The SEC file number for the documents incorporated by reference in this prospectus is 001-36860. The documents incorporated by reference into this prospectus supplement contain important information that you should read about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documents are incorporated by reference into this document (other than the portions of these documents deemed to be “furnished” or not deemed to be “filed,” including the portions of these documents that are furnished under Item 2.02 or Item 7.01 of a Current Report on Form 8-K, including any exhibits included with such Items):</w:t>
      </w:r>
    </w:p>
    <w:tbl>
      <w:tblPr>
        <w:tblW w:w="9438" w:type="dxa"/>
        <w:jc w:val="left"/>
        <w:tblInd w:w="0" w:type="dxa"/>
        <w:tblLayout w:type="fixed"/>
        <w:tblCellMar>
          <w:top w:w="0" w:type="dxa"/>
          <w:left w:w="0" w:type="dxa"/>
          <w:bottom w:w="0" w:type="dxa"/>
          <w:right w:w="0" w:type="dxa"/>
        </w:tblCellMar>
      </w:tblPr>
      <w:tblGrid>
        <w:gridCol w:w="23"/>
        <w:gridCol w:w="170"/>
        <w:gridCol w:w="9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left"/>
              <w:rPr/>
            </w:pPr>
            <w:hyperlink r:id="rId17">
              <w:r>
                <w:rPr>
                  <w:rStyle w:val="InternetLink"/>
                  <w:rFonts w:ascii="Times New Roman;Times;serif" w:hAnsi="Times New Roman;Times;serif"/>
                  <w:b w:val="false"/>
                  <w:i w:val="false"/>
                  <w:caps w:val="false"/>
                  <w:smallCaps w:val="false"/>
                  <w:sz w:val="20"/>
                </w:rPr>
                <w:t>our Annual Report on Form 10-K for the year ended December 31, 2025, filed with the SEC on February 24, 2026</w:t>
              </w:r>
            </w:hyperlink>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information included in </w:t>
            </w:r>
            <w:hyperlink r:id="rId18">
              <w:r>
                <w:rPr>
                  <w:rStyle w:val="InternetLink"/>
                  <w:rFonts w:ascii="Times New Roman;Times;serif" w:hAnsi="Times New Roman;Times;serif"/>
                  <w:b w:val="false"/>
                  <w:i w:val="false"/>
                  <w:caps w:val="false"/>
                  <w:smallCaps w:val="false"/>
                  <w:sz w:val="20"/>
                </w:rPr>
                <w:t>our definitive proxy statement on Schedule 14A for our 2026 Annual Meeting of Stockholders, filed with the SEC on April 28, 2026</w:t>
              </w:r>
            </w:hyperlink>
            <w:r>
              <w:rPr>
                <w:rFonts w:ascii="Times New Roman;Times;serif" w:hAnsi="Times New Roman;Times;serif"/>
                <w:b w:val="false"/>
                <w:i w:val="false"/>
                <w:caps w:val="false"/>
                <w:smallCaps w:val="false"/>
                <w:sz w:val="20"/>
              </w:rPr>
              <w:t xml:space="preserve">, to the extent incorporated by reference in Part III of </w:t>
            </w:r>
            <w:hyperlink r:id="rId19">
              <w:r>
                <w:rPr>
                  <w:rStyle w:val="InternetLink"/>
                  <w:rFonts w:ascii="Times New Roman;Times;serif" w:hAnsi="Times New Roman;Times;serif"/>
                  <w:b w:val="false"/>
                  <w:i w:val="false"/>
                  <w:caps w:val="false"/>
                  <w:smallCaps w:val="false"/>
                  <w:sz w:val="20"/>
                </w:rPr>
                <w:t>our Annual Report on Form 10-K for the year ended December 31, 2025</w:t>
              </w:r>
            </w:hyperlink>
            <w:r>
              <w:rPr>
                <w:rFonts w:ascii="Times New Roman;Times;serif" w:hAnsi="Times New Roman;Times;serif"/>
                <w:b w:val="false"/>
                <w:i w:val="false"/>
                <w:caps w:val="false"/>
                <w:smallCaps w:val="false"/>
                <w:sz w:val="20"/>
              </w:rPr>
              <w:t>;</w:t>
            </w:r>
          </w:p>
        </w:tc>
      </w:tr>
    </w:tbl>
    <w:tbl>
      <w:tblPr>
        <w:tblW w:w="9093" w:type="dxa"/>
        <w:jc w:val="left"/>
        <w:tblInd w:w="0" w:type="dxa"/>
        <w:tblLayout w:type="fixed"/>
        <w:tblCellMar>
          <w:top w:w="0" w:type="dxa"/>
          <w:left w:w="0" w:type="dxa"/>
          <w:bottom w:w="0" w:type="dxa"/>
          <w:right w:w="0" w:type="dxa"/>
        </w:tblCellMar>
      </w:tblPr>
      <w:tblGrid>
        <w:gridCol w:w="23"/>
        <w:gridCol w:w="170"/>
        <w:gridCol w:w="8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left"/>
              <w:rPr/>
            </w:pPr>
            <w:hyperlink r:id="rId20">
              <w:r>
                <w:rPr>
                  <w:rStyle w:val="InternetLink"/>
                  <w:rFonts w:ascii="Times New Roman;Times;serif" w:hAnsi="Times New Roman;Times;serif"/>
                  <w:b w:val="false"/>
                  <w:i w:val="false"/>
                  <w:caps w:val="false"/>
                  <w:smallCaps w:val="false"/>
                  <w:sz w:val="20"/>
                </w:rPr>
                <w:t>our Quarterly Report on Form 10-Q for the quarter ended March 31, 2026, filed with the SEC on May 7, 2026</w:t>
              </w:r>
            </w:hyperlink>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Current Reports on Form 8-K filed with the SEC on </w:t>
            </w:r>
            <w:hyperlink r:id="rId21">
              <w:r>
                <w:rPr>
                  <w:rStyle w:val="InternetLink"/>
                  <w:rFonts w:ascii="Times New Roman;Times;serif" w:hAnsi="Times New Roman;Times;serif"/>
                  <w:b w:val="false"/>
                  <w:i w:val="false"/>
                  <w:caps w:val="false"/>
                  <w:smallCaps w:val="false"/>
                  <w:sz w:val="20"/>
                </w:rPr>
                <w:t>January 9, 2026</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February 24, 2026</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March 20, 2026</w:t>
              </w:r>
            </w:hyperlink>
            <w:r>
              <w:rPr>
                <w:rFonts w:ascii="Times New Roman;Times;serif" w:hAnsi="Times New Roman;Times;serif"/>
                <w:b w:val="false"/>
                <w:i w:val="false"/>
                <w:caps w:val="false"/>
                <w:smallCaps w:val="false"/>
                <w:sz w:val="20"/>
              </w:rPr>
              <w:t xml:space="preserve">, and </w:t>
            </w:r>
            <w:hyperlink r:id="rId24">
              <w:r>
                <w:rPr>
                  <w:rStyle w:val="InternetLink"/>
                  <w:rFonts w:ascii="Times New Roman;Times;serif" w:hAnsi="Times New Roman;Times;serif"/>
                  <w:b w:val="false"/>
                  <w:i w:val="false"/>
                  <w:caps w:val="false"/>
                  <w:smallCaps w:val="false"/>
                  <w:sz w:val="20"/>
                </w:rPr>
                <w:t>June 10, 2026</w:t>
              </w:r>
            </w:hyperlink>
            <w:r>
              <w:rPr>
                <w:rFonts w:ascii="Times New Roman;Times;serif" w:hAnsi="Times New Roman;Times;serif"/>
                <w:b w:val="false"/>
                <w:i w:val="false"/>
                <w:caps w:val="false"/>
                <w:smallCaps w:val="false"/>
                <w:sz w:val="20"/>
              </w:rPr>
              <w:t>;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description of our common stock contained in our registration statement on </w:t>
            </w:r>
            <w:hyperlink r:id="rId25">
              <w:r>
                <w:rPr>
                  <w:rStyle w:val="InternetLink"/>
                  <w:rFonts w:ascii="Times New Roman;Times;serif" w:hAnsi="Times New Roman;Times;serif"/>
                  <w:b w:val="false"/>
                  <w:i w:val="false"/>
                  <w:caps w:val="false"/>
                  <w:smallCaps w:val="false"/>
                  <w:sz w:val="20"/>
                </w:rPr>
                <w:t>Form 8-A filed on February 25, 2015</w:t>
              </w:r>
            </w:hyperlink>
            <w:r>
              <w:rPr>
                <w:caps w:val="false"/>
                <w:smallCaps w:val="false"/>
              </w:rPr>
              <w:t> </w:t>
            </w:r>
            <w:r>
              <w:rPr>
                <w:rFonts w:ascii="Times New Roman;Times;serif" w:hAnsi="Times New Roman;Times;serif"/>
                <w:b w:val="false"/>
                <w:i w:val="false"/>
                <w:caps w:val="false"/>
                <w:smallCaps w:val="false"/>
                <w:sz w:val="20"/>
              </w:rPr>
              <w:t>pursuant to Section 12 of the Exchange Act, as amended by a </w:t>
            </w:r>
            <w:hyperlink r:id="rId26">
              <w:r>
                <w:rPr>
                  <w:rStyle w:val="InternetLink"/>
                  <w:rFonts w:ascii="Times New Roman;Times;serif" w:hAnsi="Times New Roman;Times;serif"/>
                  <w:b w:val="false"/>
                  <w:i w:val="false"/>
                  <w:caps w:val="false"/>
                  <w:smallCaps w:val="false"/>
                  <w:sz w:val="20"/>
                </w:rPr>
                <w:t>Form 8-A/A filed on July 27, 2017</w:t>
              </w:r>
            </w:hyperlink>
            <w:r>
              <w:rPr>
                <w:caps w:val="false"/>
                <w:smallCaps w:val="false"/>
              </w:rPr>
              <w:t> </w:t>
            </w:r>
            <w:r>
              <w:rPr>
                <w:rFonts w:ascii="Times New Roman;Times;serif" w:hAnsi="Times New Roman;Times;serif"/>
                <w:b w:val="false"/>
                <w:i w:val="false"/>
                <w:caps w:val="false"/>
                <w:smallCaps w:val="false"/>
                <w:sz w:val="20"/>
              </w:rPr>
              <w:t>and including any amendment or report filed for the purpose of updating such description.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incorporate by reference into this prospectus all documents (other than the portions of such documents deemed to be “furnished” or not deemed to be “filed,” including the portions of these documents that are furnished under Item 2.02 or Item 7.01 of a Current Report on Form 8-K, including any exhibits included with such Items) that are filed by us with the SEC pursuant to Sections 13(a), 13(c), 14 or 15(d) of the Exchange Act after the date of this prospectus supplement but prior to the termination of the offering. These documents include periodic reports, such as Annual Reports on Form 10-K, Quarterly Reports on Form 10-Q and Current Reports on Form 8-K, as well as proxy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Requests should be directed to: Iovance Biotherapeutics, Inc., Attn: Investor Relations, 825 Industrial Road, Suite 100, San Carlos, California 94070.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S-11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8"/>
        </w:rPr>
      </w:pPr>
      <w:r>
        <w:rPr>
          <w:rFonts w:ascii="Times New Roman;Times;serif" w:hAnsi="Times New Roman;Times;serif"/>
          <w:b/>
          <w:sz w:val="28"/>
        </w:rPr>
        <w:t>Up to $89,650,167</w:t>
      </w:r>
    </w:p>
    <w:p>
      <w:pPr>
        <w:pStyle w:val="TextBody"/>
        <w:bidi w:val="0"/>
        <w:spacing w:before="0" w:after="240"/>
        <w:ind w:left="0" w:right="0" w:hanging="0"/>
        <w:jc w:val="center"/>
        <w:rPr/>
      </w:pPr>
      <w:r>
        <w:rPr/>
        <w:drawing>
          <wp:inline distT="0" distB="0" distL="0" distR="0">
            <wp:extent cx="2971800" cy="8667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27"/>
                    <a:stretch>
                      <a:fillRect/>
                    </a:stretch>
                  </pic:blipFill>
                  <pic:spPr bwMode="auto">
                    <a:xfrm>
                      <a:off x="0" y="0"/>
                      <a:ext cx="2971800" cy="866775"/>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8"/>
        </w:rPr>
      </w:pPr>
      <w:r>
        <w:rPr>
          <w:rFonts w:ascii="Times New Roman;Times;serif" w:hAnsi="Times New Roman;Times;serif"/>
          <w:b/>
          <w:sz w:val="28"/>
        </w:rPr>
        <w:t>Common Stock</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PROSPECTUS SUPPLEMENT</w:t>
      </w:r>
    </w:p>
    <w:p>
      <w:pPr>
        <w:pStyle w:val="TextBody"/>
        <w:bidi w:val="0"/>
        <w:spacing w:before="0" w:after="240"/>
        <w:ind w:left="0" w:right="0" w:hanging="0"/>
        <w:jc w:val="center"/>
        <w:rPr>
          <w:rFonts w:ascii="Times New Roman;Times;serif" w:hAnsi="Times New Roman;Times;serif"/>
          <w:b/>
          <w:sz w:val="36"/>
        </w:rPr>
      </w:pPr>
      <w:r>
        <w:rPr>
          <w:rFonts w:ascii="Times New Roman;Times;serif" w:hAnsi="Times New Roman;Times;serif"/>
          <w:b/>
          <w:sz w:val="36"/>
        </w:rPr>
        <w:t>Jefferies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June 18, 2026</w:t>
      </w:r>
    </w:p>
    <w:p>
      <w:pPr>
        <w:pStyle w:val="HorizontalLine"/>
        <w:pBdr>
          <w:bottom w:val="single" w:sz="6" w:space="0" w:color="000000"/>
        </w:pBdr>
        <w:bidi w:val="0"/>
        <w:spacing w:before="0" w:after="0"/>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INFORMATION NOT REQUIRED IN PROSPECTUS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14. Other Expenses of Issuance and Distribution</w:t>
      </w:r>
      <w:r>
        <w:rPr>
          <w:rFonts w:ascii="Times New Roman;Times;serif" w:hAnsi="Times New Roman;Times;serif"/>
          <w:b/>
          <w:i/>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the expenses to be paid by us, other than underwriting discounts and commissions, in connection with the offering of the securities described in this registration statement.</w:t>
      </w:r>
    </w:p>
    <w:tbl>
      <w:tblPr>
        <w:tblW w:w="5520" w:type="dxa"/>
        <w:jc w:val="center"/>
        <w:tblInd w:w="0" w:type="dxa"/>
        <w:tblLayout w:type="fixed"/>
        <w:tblCellMar>
          <w:top w:w="0" w:type="dxa"/>
          <w:left w:w="0" w:type="dxa"/>
          <w:bottom w:w="0" w:type="dxa"/>
          <w:right w:w="0" w:type="dxa"/>
        </w:tblCellMar>
      </w:tblPr>
      <w:tblGrid>
        <w:gridCol w:w="4441"/>
        <w:gridCol w:w="346"/>
        <w:gridCol w:w="211"/>
        <w:gridCol w:w="331"/>
        <w:gridCol w:w="191"/>
      </w:tblGrid>
      <w:tr>
        <w:trPr/>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820035" cy="29210"/>
                      <wp:effectExtent l="0" t="0" r="0" b="0"/>
                      <wp:wrapNone/>
                      <wp:docPr id="11" name="Frame9"/>
                      <a:graphic xmlns:a="http://schemas.openxmlformats.org/drawingml/2006/main">
                        <a:graphicData uri="http://schemas.microsoft.com/office/word/2010/wordprocessingShape">
                          <wps:wsp>
                            <wps:cNvSpPr txBox="1"/>
                            <wps:spPr>
                              <a:xfrm>
                                <a:off x="0" y="0"/>
                                <a:ext cx="2820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29210"/>
                      <wp:effectExtent l="0" t="0" r="0" b="0"/>
                      <wp:wrapNone/>
                      <wp:docPr id="12" name="Frame1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0185" cy="29210"/>
                      <wp:effectExtent l="0" t="0" r="0" b="0"/>
                      <wp:wrapNone/>
                      <wp:docPr id="14" name="Frame12"/>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1920" cy="29210"/>
                      <wp:effectExtent l="0" t="0" r="0" b="0"/>
                      <wp:wrapNone/>
                      <wp:docPr id="15" name="Frame13"/>
                      <a:graphic xmlns:a="http://schemas.openxmlformats.org/drawingml/2006/main">
                        <a:graphicData uri="http://schemas.microsoft.com/office/word/2010/wordprocessingShape">
                          <wps:wsp>
                            <wps:cNvSpPr txBox="1"/>
                            <wps:spPr>
                              <a:xfrm>
                                <a:off x="0" y="0"/>
                                <a:ext cx="1219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and Exchange Commission registration fee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44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FINRA filing fee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Printing and engraving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Nasdaq Global Market listing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fees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Accounting fees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agent and registrar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456(b) and Rule 457(r) under the Securities Act, the registrant is deferring payment of all of the registration fee.</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fees and expenses will be based upon the number of securities offerings and the amount of securities offered and accordingly cannot be estimated at this time.</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15. Indemnification of Directors and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certificate of incorporation provides that, to the maximum extent permitted under applicable law, none of our directors will have any personal liability to us or our stockholders for damages for breach of fiduciary duty as a director.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Section 102(b)(7) of the Delaware General Corporation Law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for this limitation of liability.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Section 145 of the Delaware General Corporation Law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indemnify him or her against the expenses (including attorneys’ fees) which such officer or director has actually and reasonably incurred.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certificate of incorporation and bylaws provide for indemnification of our officers and directors to the fullest extent permitted by the Delaware General Corporation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have entered into indemnification agreements with certain of our directors and certain of our officers, or have relied on similar indemnification provisions contained in our bylaws, in which we agree, among other things, to indemnify them against certain liabilities that may arise by reason of their status or service as officers or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maintain a general liability insurance policy that covers certain liabilities of our officers and directors arising out of claims based on acts or omissions in their capacities as such.</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exhibits listed on the Exhibit Index immediately following the signature page hereto are filed herewith or incorporated by reference herein, and such exhibit list is incorporated in this Item 16 by reference.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17. Undertakings.</w:t>
      </w:r>
    </w:p>
    <w:tbl>
      <w:tblPr>
        <w:tblW w:w="4038" w:type="dxa"/>
        <w:jc w:val="left"/>
        <w:tblInd w:w="0" w:type="dxa"/>
        <w:tblLayout w:type="fixed"/>
        <w:tblCellMar>
          <w:top w:w="0" w:type="dxa"/>
          <w:left w:w="0" w:type="dxa"/>
          <w:bottom w:w="0" w:type="dxa"/>
          <w:right w:w="0" w:type="dxa"/>
        </w:tblCellMar>
      </w:tblPr>
      <w:tblGrid>
        <w:gridCol w:w="23"/>
        <w:gridCol w:w="230"/>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tc>
      </w:tr>
    </w:tbl>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tbl>
      <w:tblPr>
        <w:tblW w:w="7128" w:type="dxa"/>
        <w:jc w:val="left"/>
        <w:tblInd w:w="0" w:type="dxa"/>
        <w:tblLayout w:type="fixed"/>
        <w:tblCellMar>
          <w:top w:w="0" w:type="dxa"/>
          <w:left w:w="0" w:type="dxa"/>
          <w:bottom w:w="0" w:type="dxa"/>
          <w:right w:w="0" w:type="dxa"/>
        </w:tblCellMar>
      </w:tblPr>
      <w:tblGrid>
        <w:gridCol w:w="23"/>
        <w:gridCol w:w="200"/>
        <w:gridCol w:w="69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w:t>
            </w:r>
          </w:p>
        </w:tc>
      </w:tr>
    </w:tbl>
    <w:tbl>
      <w:tblPr>
        <w:tblW w:w="10205" w:type="dxa"/>
        <w:jc w:val="left"/>
        <w:tblInd w:w="0" w:type="dxa"/>
        <w:tblLayout w:type="fixed"/>
        <w:tblCellMar>
          <w:top w:w="0" w:type="dxa"/>
          <w:left w:w="0" w:type="dxa"/>
          <w:bottom w:w="0" w:type="dxa"/>
          <w:right w:w="0" w:type="dxa"/>
        </w:tblCellMar>
      </w:tblPr>
      <w:tblGrid>
        <w:gridCol w:w="23"/>
        <w:gridCol w:w="207"/>
        <w:gridCol w:w="9975"/>
      </w:tblGrid>
      <w:tr>
        <w:trPr/>
        <w:tc>
          <w:tcPr>
            <w:tcW w:w="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tc>
      </w:tr>
    </w:tbl>
    <w:tbl>
      <w:tblPr>
        <w:tblW w:w="10205" w:type="dxa"/>
        <w:jc w:val="left"/>
        <w:tblInd w:w="0" w:type="dxa"/>
        <w:tblLayout w:type="fixed"/>
        <w:tblCellMar>
          <w:top w:w="0" w:type="dxa"/>
          <w:left w:w="0" w:type="dxa"/>
          <w:bottom w:w="0" w:type="dxa"/>
          <w:right w:w="0" w:type="dxa"/>
        </w:tblCellMar>
      </w:tblPr>
      <w:tblGrid>
        <w:gridCol w:w="23"/>
        <w:gridCol w:w="294"/>
        <w:gridCol w:w="9888"/>
      </w:tblGrid>
      <w:tr>
        <w:trPr/>
        <w:tc>
          <w:tcPr>
            <w:tcW w:w="2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provided, however</w:t>
      </w:r>
      <w:r>
        <w:rPr>
          <w:rFonts w:ascii="Times New Roman;Times;serif" w:hAnsi="Times New Roman;Times;serif"/>
          <w:sz w:val="20"/>
        </w:rPr>
        <w:t>, that paragraphs (a)(1)(i), (a)(1)(ii) and (a)(1)(iii)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this registration statement, or is contained in a form of prospectus filed pursuant to Rule 424(b) that is part of this registration statement.</w:t>
      </w:r>
    </w:p>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tbl>
      <w:tblPr>
        <w:tblW w:w="8013" w:type="dxa"/>
        <w:jc w:val="left"/>
        <w:tblInd w:w="0" w:type="dxa"/>
        <w:tblLayout w:type="fixed"/>
        <w:tblCellMar>
          <w:top w:w="0" w:type="dxa"/>
          <w:left w:w="0" w:type="dxa"/>
          <w:bottom w:w="0" w:type="dxa"/>
          <w:right w:w="0" w:type="dxa"/>
        </w:tblCellMar>
      </w:tblPr>
      <w:tblGrid>
        <w:gridCol w:w="23"/>
        <w:gridCol w:w="245"/>
        <w:gridCol w:w="77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of 1933 to any purchaser:</w:t>
            </w:r>
          </w:p>
        </w:tc>
      </w:tr>
    </w:tbl>
    <w:tbl>
      <w:tblPr>
        <w:tblW w:w="10205" w:type="dxa"/>
        <w:jc w:val="left"/>
        <w:tblInd w:w="0" w:type="dxa"/>
        <w:tblLayout w:type="fixed"/>
        <w:tblCellMar>
          <w:top w:w="0" w:type="dxa"/>
          <w:left w:w="0" w:type="dxa"/>
          <w:bottom w:w="0" w:type="dxa"/>
          <w:right w:w="0" w:type="dxa"/>
        </w:tblCellMar>
      </w:tblPr>
      <w:tblGrid>
        <w:gridCol w:w="23"/>
        <w:gridCol w:w="171"/>
        <w:gridCol w:w="10011"/>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filed by the registrant pursuant to Rule 424(b)(3) shall be deemed to be part of this registration statement as of the date the filed prospectus was deemed part of and included in this registration statement;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this registration statement relating to the securities in this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a part of this registration statement will, as to a purchaser with a time of contract sale prior to such effective date, supersede or modify any statement that was made in this registration statement or prospectus that was a part of this registration statement or made in any such document immediately prior to such effective date.</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of 1933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tbl>
      <w:tblPr>
        <w:tblW w:w="10205" w:type="dxa"/>
        <w:jc w:val="left"/>
        <w:tblInd w:w="0" w:type="dxa"/>
        <w:tblLayout w:type="fixed"/>
        <w:tblCellMar>
          <w:top w:w="0" w:type="dxa"/>
          <w:left w:w="0" w:type="dxa"/>
          <w:bottom w:w="0" w:type="dxa"/>
          <w:right w:w="0" w:type="dxa"/>
        </w:tblCellMar>
      </w:tblPr>
      <w:tblGrid>
        <w:gridCol w:w="23"/>
        <w:gridCol w:w="292"/>
        <w:gridCol w:w="9890"/>
      </w:tblGrid>
      <w:tr>
        <w:trPr/>
        <w:tc>
          <w:tcPr>
            <w:tcW w:w="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bl>
    <w:tbl>
      <w:tblPr>
        <w:tblW w:w="9153" w:type="dxa"/>
        <w:jc w:val="left"/>
        <w:tblInd w:w="0" w:type="dxa"/>
        <w:tblLayout w:type="fixed"/>
        <w:tblCellMar>
          <w:top w:w="0" w:type="dxa"/>
          <w:left w:w="0" w:type="dxa"/>
          <w:bottom w:w="0" w:type="dxa"/>
          <w:right w:w="0" w:type="dxa"/>
        </w:tblCellMar>
      </w:tblPr>
      <w:tblGrid>
        <w:gridCol w:w="23"/>
        <w:gridCol w:w="305"/>
        <w:gridCol w:w="882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registrant hereby undertakes that, for purposes of determining any liability under the Securities Act of 1933, each filing of the registrant’s annual report pursuant to Section 13(a) or 15(d) of the Securities Exchange Act of 1934 and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246" w:type="dxa"/>
        <w:jc w:val="left"/>
        <w:tblInd w:w="0" w:type="dxa"/>
        <w:tblLayout w:type="fixed"/>
        <w:tblCellMar>
          <w:top w:w="0" w:type="dxa"/>
          <w:left w:w="0" w:type="dxa"/>
          <w:bottom w:w="0" w:type="dxa"/>
          <w:right w:w="0" w:type="dxa"/>
        </w:tblCellMar>
      </w:tblPr>
      <w:tblGrid>
        <w:gridCol w:w="23"/>
        <w:gridCol w:w="23"/>
        <w:gridCol w:w="9200"/>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20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therein, and the offering of such securities at that time shall be deemed to be the initial </w:t>
            </w:r>
            <w:r>
              <w:rPr>
                <w:rFonts w:ascii="Times New Roman;Times;serif" w:hAnsi="Times New Roman;Times;serif"/>
                <w:b w:val="false"/>
                <w:i/>
                <w:sz w:val="20"/>
              </w:rPr>
              <w:t>bona fide</w:t>
            </w:r>
            <w:r>
              <w:rPr>
                <w:caps w:val="false"/>
                <w:smallCaps w:val="false"/>
              </w:rPr>
              <w:t xml:space="preserve"> </w:t>
            </w:r>
            <w:r>
              <w:rPr>
                <w:rFonts w:ascii="Times New Roman;Times;serif" w:hAnsi="Times New Roman;Times;serif"/>
                <w:b w:val="false"/>
                <w:i w:val="false"/>
                <w:caps w:val="false"/>
                <w:smallCaps w:val="false"/>
                <w:sz w:val="20"/>
              </w:rPr>
              <w:t>offering thereof.</w:t>
            </w:r>
          </w:p>
        </w:tc>
      </w:tr>
    </w:tbl>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Securities and Exchange Commission under section 305(b)(2) of the Act.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bookmarkStart w:id="32" w:name="SIGNATURES_725322"/>
      <w:bookmarkEnd w:id="32"/>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Carlos, State of California, on June 18, 2026.</w:t>
      </w:r>
    </w:p>
    <w:tbl>
      <w:tblPr>
        <w:tblW w:w="6186" w:type="dxa"/>
        <w:jc w:val="left"/>
        <w:tblInd w:w="0" w:type="dxa"/>
        <w:tblLayout w:type="fixed"/>
        <w:tblCellMar>
          <w:top w:w="0" w:type="dxa"/>
          <w:left w:w="0" w:type="dxa"/>
          <w:bottom w:w="0" w:type="dxa"/>
          <w:right w:w="0" w:type="dxa"/>
        </w:tblCellMar>
      </w:tblPr>
      <w:tblGrid>
        <w:gridCol w:w="124"/>
        <w:gridCol w:w="436"/>
        <w:gridCol w:w="562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8740" cy="175260"/>
                      <wp:effectExtent l="0" t="0" r="0" b="0"/>
                      <wp:wrapNone/>
                      <wp:docPr id="16" name="Frame1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76860" cy="175260"/>
                      <wp:effectExtent l="0" t="0" r="0" b="0"/>
                      <wp:wrapNone/>
                      <wp:docPr id="17" name="Frame1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572510" cy="175260"/>
                      <wp:effectExtent l="0" t="0" r="0" b="0"/>
                      <wp:wrapNone/>
                      <wp:docPr id="18" name="Frame16"/>
                      <a:graphic xmlns:a="http://schemas.openxmlformats.org/drawingml/2006/main">
                        <a:graphicData uri="http://schemas.microsoft.com/office/word/2010/wordprocessingShape">
                          <wps:wsp>
                            <wps:cNvSpPr txBox="1"/>
                            <wps:spPr>
                              <a:xfrm>
                                <a:off x="0" y="0"/>
                                <a:ext cx="3572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06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IOVANCE BIOTHERAPEUTICS, INC.</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6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FREDERICK G. VOGT</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56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r>
      <w:tr>
        <w:trPr/>
        <w:tc>
          <w:tcPr>
            <w:tcW w:w="124"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 and President, and General Counsel</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KNOW ALL PERSONS BY THESE PRESENTS, that each individual whose signature appears below constitutes and appoints Frederick G. Vogt, Ph.D., J.D. and Corleen Roche,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promulgated under the Securities Act of 1933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any of them, or their or his or her or their substitute or substitutes, may lawfully do or cause to be done by virtue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Act of 1933, this registration statement has been signed by the following persons in the capacities indicated on June 18, 2026.</w:t>
      </w:r>
    </w:p>
    <w:tbl>
      <w:tblPr>
        <w:tblW w:w="8688" w:type="dxa"/>
        <w:jc w:val="center"/>
        <w:tblInd w:w="0" w:type="dxa"/>
        <w:tblLayout w:type="fixed"/>
        <w:tblCellMar>
          <w:top w:w="0" w:type="dxa"/>
          <w:left w:w="0" w:type="dxa"/>
          <w:bottom w:w="0" w:type="dxa"/>
          <w:right w:w="0" w:type="dxa"/>
        </w:tblCellMar>
      </w:tblPr>
      <w:tblGrid>
        <w:gridCol w:w="2716"/>
        <w:gridCol w:w="346"/>
        <w:gridCol w:w="5626"/>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724660" cy="175260"/>
                      <wp:effectExtent l="0" t="0" r="0" b="0"/>
                      <wp:wrapNone/>
                      <wp:docPr id="19" name="Frame17"/>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573145" cy="175260"/>
                      <wp:effectExtent l="0" t="0" r="0" b="0"/>
                      <wp:wrapNone/>
                      <wp:docPr id="21" name="Frame19"/>
                      <a:graphic xmlns:a="http://schemas.openxmlformats.org/drawingml/2006/main">
                        <a:graphicData uri="http://schemas.microsoft.com/office/word/2010/wordprocessingShape">
                          <wps:wsp>
                            <wps:cNvSpPr txBox="1"/>
                            <wps:spPr>
                              <a:xfrm>
                                <a:off x="0" y="0"/>
                                <a:ext cx="3573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r>
      <w:tr>
        <w:trPr/>
        <w:tc>
          <w:tcPr>
            <w:tcW w:w="271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Frederick G. Vogt, Ph.D., J.D.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Interim Chief Executive Officer and President, and General Counsel</w:t>
            </w:r>
          </w:p>
        </w:tc>
      </w:tr>
      <w:tr>
        <w:trPr/>
        <w:tc>
          <w:tcPr>
            <w:tcW w:w="2716"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c>
          <w:tcPr>
            <w:tcW w:w="34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center"/>
              <w:rPr/>
            </w:pPr>
            <w:r>
              <w:rPr/>
              <w:t>​</w:t>
            </w:r>
          </w:p>
        </w:tc>
      </w:tr>
      <w:tr>
        <w:trPr/>
        <w:tc>
          <w:tcPr>
            <w:tcW w:w="271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Corleen Roche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r>
        <w:trPr/>
        <w:tc>
          <w:tcPr>
            <w:tcW w:w="2716"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Corleen Roche</w:t>
            </w:r>
          </w:p>
        </w:tc>
        <w:tc>
          <w:tcPr>
            <w:tcW w:w="34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center"/>
              <w:rPr/>
            </w:pPr>
            <w:r>
              <w:rPr/>
              <w:t>​</w:t>
            </w:r>
          </w:p>
        </w:tc>
      </w:tr>
      <w:tr>
        <w:trPr/>
        <w:tc>
          <w:tcPr>
            <w:tcW w:w="271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Athena Countouriotis, M.D.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2716"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Athena Countouriotis, M.D.</w:t>
            </w:r>
          </w:p>
        </w:tc>
        <w:tc>
          <w:tcPr>
            <w:tcW w:w="34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center"/>
              <w:rPr/>
            </w:pPr>
            <w:r>
              <w:rPr/>
              <w:t>​</w:t>
            </w:r>
          </w:p>
        </w:tc>
      </w:tr>
      <w:tr>
        <w:trPr/>
        <w:tc>
          <w:tcPr>
            <w:tcW w:w="271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Iain Dukes, D. Phil.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2716"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Iain Dukes, D. Phil.</w:t>
            </w:r>
          </w:p>
        </w:tc>
        <w:tc>
          <w:tcPr>
            <w:tcW w:w="34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center"/>
              <w:rPr/>
            </w:pPr>
            <w:r>
              <w:rPr/>
              <w:t>​</w:t>
            </w:r>
          </w:p>
        </w:tc>
      </w:tr>
      <w:tr>
        <w:trPr/>
        <w:tc>
          <w:tcPr>
            <w:tcW w:w="271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Maynard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2716"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Maynard</w:t>
            </w:r>
          </w:p>
        </w:tc>
        <w:tc>
          <w:tcPr>
            <w:tcW w:w="34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center"/>
              <w:rPr/>
            </w:pPr>
            <w:r>
              <w:rPr/>
              <w:t>​</w:t>
            </w:r>
          </w:p>
        </w:tc>
      </w:tr>
      <w:tr>
        <w:trPr/>
        <w:tc>
          <w:tcPr>
            <w:tcW w:w="271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Wayne Rothbaum</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2716"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Rothbaum</w:t>
            </w:r>
          </w:p>
        </w:tc>
        <w:tc>
          <w:tcPr>
            <w:tcW w:w="34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center"/>
              <w:rPr/>
            </w:pPr>
            <w:r>
              <w:rPr/>
              <w:t>​</w:t>
            </w:r>
          </w:p>
        </w:tc>
      </w:tr>
      <w:tr>
        <w:trPr/>
        <w:tc>
          <w:tcPr>
            <w:tcW w:w="271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Weiser, M.D., Ph.D.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2716"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Weiser, M.D., Ph.D.</w:t>
            </w:r>
          </w:p>
        </w:tc>
        <w:tc>
          <w:tcPr>
            <w:tcW w:w="34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center"/>
        <w:tblInd w:w="0" w:type="dxa"/>
        <w:tblLayout w:type="fixed"/>
        <w:tblCellMar>
          <w:top w:w="0" w:type="dxa"/>
          <w:left w:w="0" w:type="dxa"/>
          <w:bottom w:w="0" w:type="dxa"/>
          <w:right w:w="0" w:type="dxa"/>
        </w:tblCellMar>
      </w:tblPr>
      <w:tblGrid>
        <w:gridCol w:w="706"/>
        <w:gridCol w:w="346"/>
        <w:gridCol w:w="9153"/>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48310" cy="175260"/>
                      <wp:effectExtent l="0" t="0" r="0" b="0"/>
                      <wp:wrapNone/>
                      <wp:docPr id="22" name="Frame2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812155" cy="175260"/>
                      <wp:effectExtent l="0" t="0" r="0" b="0"/>
                      <wp:wrapNone/>
                      <wp:docPr id="24" name="Frame22"/>
                      <a:graphic xmlns:a="http://schemas.openxmlformats.org/drawingml/2006/main">
                        <a:graphicData uri="http://schemas.microsoft.com/office/word/2010/wordprocessingShape">
                          <wps:wsp>
                            <wps:cNvSpPr txBox="1"/>
                            <wps:spPr>
                              <a:xfrm>
                                <a:off x="0" y="0"/>
                                <a:ext cx="5812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1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706"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915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Underwriting Agreement.*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Amended and Restated Open Market Sale Agreement, dated August 22, 2025, by and between Iovance Biotherapeutics, Inc. and Jefferies LLC (incorporated herein by reference to Exhibit 1.1 of the Registrant’s Current Report on Form 8-K filed with the Commission on August 22, 2025).</w:t>
              </w:r>
            </w:hyperlink>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w:anchor="iova-20260618xex3d1.htm">
              <w:r>
                <w:rPr>
                  <w:rStyle w:val="InternetLink"/>
                  <w:rFonts w:ascii="Times New Roman;Times;serif" w:hAnsi="Times New Roman;Times;serif"/>
                  <w:b w:val="false"/>
                  <w:i w:val="false"/>
                  <w:caps w:val="false"/>
                  <w:smallCaps w:val="false"/>
                  <w:sz w:val="20"/>
                </w:rPr>
                <w:t>Certificate of Incorporation, as amended, of Registrant (filed herewith).</w:t>
              </w:r>
            </w:hyperlink>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Fourth Amended and Restated Bylaws (incorporated herein by reference to Exhibit 3.1 to the Registrant’s Current Report on Form 8-K filed with the Commission on March 29, 2024).</w:t>
              </w:r>
            </w:hyperlink>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w:anchor="iova-20260618xex4d1.htm">
              <w:r>
                <w:rPr>
                  <w:rStyle w:val="InternetLink"/>
                  <w:rFonts w:ascii="Times New Roman;Times;serif" w:hAnsi="Times New Roman;Times;serif"/>
                  <w:b w:val="false"/>
                  <w:i w:val="false"/>
                  <w:caps w:val="false"/>
                  <w:smallCaps w:val="false"/>
                  <w:sz w:val="20"/>
                </w:rPr>
                <w:t>Form of Indenture (filed herewith).</w:t>
              </w:r>
            </w:hyperlink>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Specimen of Stock Certificate (incorporated herein by reference to Exhibit 4.2 to the Registrant’s Annual Report on Form 10-K filed with the Commission on March 12, 2018).</w:t>
              </w:r>
            </w:hyperlink>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Warrant Certificate.*</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Warrant Agreement.*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Certificate of Designation with respect to any Preferred Stock issued hereunder and the related form of Preferred Stock Certificate.*</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Debt Security.*</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Unit Agreement.*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Unit Certificate.*</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Rights Certificate.*</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w:anchor="iova-20260618xex5d1.htm">
              <w:r>
                <w:rPr>
                  <w:rStyle w:val="InternetLink"/>
                  <w:rFonts w:ascii="Times New Roman;Times;serif" w:hAnsi="Times New Roman;Times;serif"/>
                  <w:b w:val="false"/>
                  <w:i w:val="false"/>
                  <w:caps w:val="false"/>
                  <w:smallCaps w:val="false"/>
                  <w:sz w:val="20"/>
                </w:rPr>
                <w:t>Opinion of DLA Piper LLP (US) (filed herewith).</w:t>
              </w:r>
            </w:hyperlink>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w:anchor="iova-20260618xex23d1.htm">
              <w:r>
                <w:rPr>
                  <w:rStyle w:val="InternetLink"/>
                  <w:rFonts w:ascii="Times New Roman;Times;serif" w:hAnsi="Times New Roman;Times;serif"/>
                  <w:b w:val="false"/>
                  <w:i w:val="false"/>
                  <w:caps w:val="false"/>
                  <w:smallCaps w:val="false"/>
                  <w:sz w:val="20"/>
                </w:rPr>
                <w:t>Consent of Ernst &amp; Young LLP, Independent Registered Public Accounting Firm (filed herewith).</w:t>
              </w:r>
            </w:hyperlink>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w:anchor="iova-20260618xex5d1.htm">
              <w:r>
                <w:rPr>
                  <w:rStyle w:val="InternetLink"/>
                  <w:rFonts w:ascii="Times New Roman;Times;serif" w:hAnsi="Times New Roman;Times;serif"/>
                  <w:b w:val="false"/>
                  <w:i w:val="false"/>
                  <w:caps w:val="false"/>
                  <w:smallCaps w:val="false"/>
                  <w:sz w:val="20"/>
                </w:rPr>
                <w:t>Consent of DLA Piper LLP (US) (included in Exhibit 5.1).</w:t>
              </w:r>
            </w:hyperlink>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w:anchor="SIGNATURES_725322">
              <w:r>
                <w:rPr>
                  <w:rStyle w:val="InternetLink"/>
                  <w:rFonts w:ascii="Times New Roman;Times;serif" w:hAnsi="Times New Roman;Times;serif"/>
                  <w:b w:val="false"/>
                  <w:i w:val="false"/>
                  <w:caps w:val="false"/>
                  <w:smallCaps w:val="false"/>
                  <w:sz w:val="20"/>
                </w:rPr>
                <w:t>Power of Attorney (included on the signature page hereto).</w:t>
              </w:r>
            </w:hyperlink>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25.1</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Statement of Eligibility of Trustee on Form T-1 under the Trust Indenture Act of 1939, as amended.**</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hyperlink w:anchor="iova-20260618xexfees.htm">
              <w:r>
                <w:rPr>
                  <w:rStyle w:val="InternetLink"/>
                  <w:rFonts w:ascii="Times New Roman;Times;serif" w:hAnsi="Times New Roman;Times;serif"/>
                  <w:b w:val="false"/>
                  <w:i w:val="false"/>
                  <w:caps w:val="false"/>
                  <w:smallCaps w:val="false"/>
                  <w:sz w:val="20"/>
                </w:rPr>
                <w:t>Filing Fee Table (filed herewith).</w:t>
              </w:r>
            </w:hyperlink>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If applicable, to be filed subsequent to the effectiveness of this registration statement as an (1) amendment to this registration statement or (2) exhibit to a Current Report on Form 8-K and incorporated herein by reference.</w:t>
            </w:r>
          </w:p>
        </w:tc>
      </w:tr>
    </w:tbl>
    <w:p>
      <w:pPr>
        <w:pStyle w:val="TextBody"/>
        <w:pBdr/>
        <w:bidi w:val="0"/>
        <w:spacing w:before="0" w:after="24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01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If applicable, to be filed subsequent to the effectiveness of this registration statement under the electronic form type 305B2 pursuant to Section 305(b)(2) of the Trust Indenture Act of 1939, as amended.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3" w:name="iova-20260618xex3d1.htm"/>
      <w:bookmarkStart w:id="34" w:name="ksiova20260618xex3d1"/>
      <w:bookmarkEnd w:id="33"/>
      <w:bookmarkEnd w:id="34"/>
      <w:r>
        <w:rPr>
          <w:rFonts w:ascii="Times New Roman;Times;serif" w:hAnsi="Times New Roman;Times;serif"/>
          <w:b/>
          <w:sz w:val="20"/>
        </w:rPr>
        <w:t>Exhibit 3.1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OF DELAWARE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CONVERSION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FROM A NON-DELAWARE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 A DELAWARE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265 OF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 GENERAL CORPORATION LAW</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The jurisdiction where the Non-Delaware corporation first formed is Nevada.</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The jurisdiction immediately prior to filing this Certificate is Nevada.</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3. The date the Non-Delaware Corporation first formed is September 17, 2007.</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4. The name of the Non-Delaware Corporation immediately prior to filing this Certificate is Lion Biotechnologies, Inc.</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5. The name of the Corporation as set forth in the Certificate of Incorporation is Lion Biotechnologies, Inc.</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WITNESS WHEREOF, the undersigned, being duly authorized to sign on behalf of the converting Non-Delaware Corporation, has executed this Certificate on the 1st day of June, 2017.</w:t>
      </w:r>
    </w:p>
    <w:p>
      <w:pPr>
        <w:pStyle w:val="TextBody"/>
        <w:bidi w:val="0"/>
        <w:spacing w:before="0" w:after="0"/>
        <w:ind w:left="0" w:right="0" w:hanging="0"/>
        <w:jc w:val="left"/>
        <w:rPr/>
      </w:pPr>
      <w:r>
        <w:rPr/>
        <w:t>​</w:t>
      </w:r>
    </w:p>
    <w:tbl>
      <w:tblPr>
        <w:tblW w:w="4003" w:type="dxa"/>
        <w:jc w:val="center"/>
        <w:tblInd w:w="0" w:type="dxa"/>
        <w:tblLayout w:type="fixed"/>
        <w:tblCellMar>
          <w:top w:w="0" w:type="dxa"/>
          <w:left w:w="0" w:type="dxa"/>
          <w:bottom w:w="0" w:type="dxa"/>
          <w:right w:w="0" w:type="dxa"/>
        </w:tblCellMar>
      </w:tblPr>
      <w:tblGrid>
        <w:gridCol w:w="161"/>
        <w:gridCol w:w="631"/>
        <w:gridCol w:w="3211"/>
      </w:tblGrid>
      <w:tr>
        <w:trPr/>
        <w:tc>
          <w:tcPr>
            <w:tcW w:w="161" w:type="dxa"/>
            <w:tcBorders/>
            <w:vAlign w:val="center"/>
          </w:tcPr>
          <w:p>
            <w:pPr>
              <w:pStyle w:val="TableContents"/>
              <w:bidi w:val="0"/>
              <w:spacing w:before="0" w:after="0"/>
              <w:ind w:left="0" w:right="0" w:hanging="0"/>
              <w:jc w:val="left"/>
              <w:rPr/>
            </w:pPr>
            <w:r>
              <w:rPr/>
              <w:t> </w:t>
            </w:r>
          </w:p>
        </w:tc>
        <w:tc>
          <w:tcPr>
            <w:tcW w:w="38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LION BIOTECHNOLOGIES, INC.</w:t>
            </w:r>
          </w:p>
        </w:tc>
      </w:tr>
      <w:tr>
        <w:trPr/>
        <w:tc>
          <w:tcPr>
            <w:tcW w:w="161" w:type="dxa"/>
            <w:tcBorders/>
            <w:vAlign w:val="center"/>
          </w:tcPr>
          <w:p>
            <w:pPr>
              <w:pStyle w:val="TableContents"/>
              <w:bidi w:val="0"/>
              <w:spacing w:before="0" w:after="0"/>
              <w:ind w:left="0" w:right="0" w:hanging="0"/>
              <w:jc w:val="left"/>
              <w:rPr/>
            </w:pPr>
            <w:r>
              <w:rPr/>
              <w:t> </w:t>
            </w:r>
          </w:p>
        </w:tc>
        <w:tc>
          <w:tcPr>
            <w:tcW w:w="384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Nevada corporation</w:t>
            </w:r>
          </w:p>
        </w:tc>
      </w:tr>
      <w:tr>
        <w:trPr/>
        <w:tc>
          <w:tcPr>
            <w:tcW w:w="161" w:type="dxa"/>
            <w:tcBorders/>
            <w:vAlign w:val="center"/>
          </w:tcPr>
          <w:p>
            <w:pPr>
              <w:pStyle w:val="TableContents"/>
              <w:bidi w:val="0"/>
              <w:spacing w:before="0" w:after="0"/>
              <w:ind w:left="0" w:right="0" w:hanging="0"/>
              <w:jc w:val="left"/>
              <w:rPr/>
            </w:pPr>
            <w:r>
              <w:rPr/>
              <w:t> </w:t>
            </w:r>
          </w:p>
        </w:tc>
        <w:tc>
          <w:tcPr>
            <w:tcW w:w="3842" w:type="dxa"/>
            <w:gridSpan w:val="2"/>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Maria Fardis</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Maria Fardis</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INCORPORATION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LION BIOTECHNOLOGIES, INC.</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undersigned, for the purpose of creating and organizing a corporation under the provisions of and subject to the requirements of the Delaware General Corporation Law (the “</w:t>
      </w:r>
      <w:r>
        <w:rPr>
          <w:rFonts w:ascii="Times New Roman;Times;serif" w:hAnsi="Times New Roman;Times;serif"/>
          <w:sz w:val="20"/>
          <w:u w:val="single"/>
        </w:rPr>
        <w:t>DGCL</w:t>
      </w:r>
      <w:r>
        <w:rPr>
          <w:rFonts w:ascii="Times New Roman;Times;serif" w:hAnsi="Times New Roman;Times;serif"/>
          <w:sz w:val="20"/>
        </w:rPr>
        <w:t>”), certify as follows: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name of the Corporation is Lion Biotechnologies, Inc. (the “</w:t>
      </w:r>
      <w:r>
        <w:rPr>
          <w:rFonts w:ascii="Times New Roman;Times;serif" w:hAnsi="Times New Roman;Times;serif"/>
          <w:sz w:val="20"/>
          <w:u w:val="single"/>
        </w:rPr>
        <w:t>Corporation</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II</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address of the registered office of the Corporation in the State of Delaware is 2140 S. Dupont Highway, Camden, Delaware 19934, County of Kent. The name of its registered agent at such address is Paracorp Incorporated.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III</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nature of the business or purposes to be conducted or promoted by the Corporation is to engage in any lawful act or activity for which corporations may be organized under the DGCL.</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IV</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number of shares of all classes of stock which the Corporation shall have authority to issue is Two Hundred Million (200,000,000), consisting of (a) One Hundred Fifty Million (150,000,000) shares of Common Stock, $0.000041666 par value per share (“</w:t>
      </w:r>
      <w:r>
        <w:rPr>
          <w:rFonts w:ascii="Times New Roman;Times;serif" w:hAnsi="Times New Roman;Times;serif"/>
          <w:sz w:val="20"/>
          <w:u w:val="single"/>
        </w:rPr>
        <w:t>Common Stock</w:t>
      </w:r>
      <w:r>
        <w:rPr>
          <w:rFonts w:ascii="Times New Roman;Times;serif" w:hAnsi="Times New Roman;Times;serif"/>
          <w:sz w:val="20"/>
        </w:rPr>
        <w:t>”), and (b) Fifty Million (50,000,000) shares of Preferred Stock, $0.001 par value per share (“</w:t>
      </w:r>
      <w:r>
        <w:rPr>
          <w:rFonts w:ascii="Times New Roman;Times;serif" w:hAnsi="Times New Roman;Times;serif"/>
          <w:sz w:val="20"/>
          <w:u w:val="single"/>
        </w:rPr>
        <w:t>Preferred Stock</w:t>
      </w:r>
      <w:r>
        <w:rPr>
          <w:rFonts w:ascii="Times New Roman;Times;serif" w:hAnsi="Times New Roman;Times;serif"/>
          <w:sz w:val="20"/>
        </w:rPr>
        <w:t>”).</w:t>
      </w:r>
    </w:p>
    <w:p>
      <w:pPr>
        <w:pStyle w:val="TextBody"/>
        <w:bidi w:val="0"/>
        <w:spacing w:before="0" w:after="0"/>
        <w:ind w:left="9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statement of the designations and the powers, privileges and rights, and the qualifications, limitations or restrictions thereof in respect of each class of capital stock of the Corporation.</w:t>
      </w:r>
    </w:p>
    <w:p>
      <w:pPr>
        <w:pStyle w:val="TextBody"/>
        <w:bidi w:val="0"/>
        <w:spacing w:before="0" w:after="0"/>
        <w:ind w:left="0" w:right="0" w:hanging="0"/>
        <w:jc w:val="left"/>
        <w:rPr/>
      </w:pPr>
      <w:r>
        <w:rPr/>
        <w:t>​</w:t>
      </w:r>
    </w:p>
    <w:tbl>
      <w:tblPr>
        <w:tblW w:w="1818" w:type="dxa"/>
        <w:jc w:val="left"/>
        <w:tblInd w:w="0" w:type="dxa"/>
        <w:tblLayout w:type="fixed"/>
        <w:tblCellMar>
          <w:top w:w="0" w:type="dxa"/>
          <w:left w:w="0" w:type="dxa"/>
          <w:bottom w:w="0" w:type="dxa"/>
          <w:right w:w="0" w:type="dxa"/>
        </w:tblCellMar>
      </w:tblPr>
      <w:tblGrid>
        <w:gridCol w:w="23"/>
        <w:gridCol w:w="200"/>
        <w:gridCol w:w="15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5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COMMON STOCK</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u w:val="single"/>
              </w:rPr>
              <w:t>General</w:t>
            </w:r>
            <w:r>
              <w:rPr>
                <w:rFonts w:ascii="Times New Roman;Times;serif" w:hAnsi="Times New Roman;Times;serif"/>
                <w:sz w:val="20"/>
              </w:rPr>
              <w:t>. The voting, dividend and liquidation rights of the holders of the Common Stock are subject to and qualified by the rights of the holders of the Preferred Stock of any series as may be designated by the board of directors of the Corporation (the “</w:t>
            </w:r>
            <w:r>
              <w:rPr>
                <w:rFonts w:ascii="Times New Roman;Times;serif" w:hAnsi="Times New Roman;Times;serif"/>
                <w:sz w:val="20"/>
                <w:u w:val="single"/>
              </w:rPr>
              <w:t>Board of Directors</w:t>
            </w:r>
            <w:r>
              <w:rPr>
                <w:rFonts w:ascii="Times New Roman;Times;serif" w:hAnsi="Times New Roman;Times;serif"/>
                <w:sz w:val="20"/>
              </w:rPr>
              <w:t>”) upon any issuance of the Preferred Stock of any series.</w:t>
            </w:r>
          </w:p>
        </w:tc>
      </w:tr>
    </w:tbl>
    <w:p>
      <w:pPr>
        <w:pStyle w:val="TextBody"/>
        <w:bidi w:val="0"/>
        <w:spacing w:before="0" w:after="0"/>
        <w:ind w:left="0" w:right="0" w:hanging="0"/>
        <w:jc w:val="left"/>
        <w:rPr/>
      </w:pPr>
      <w:r>
        <w:rPr/>
        <w:t>​</w:t>
      </w:r>
    </w:p>
    <w:tbl>
      <w:tblPr>
        <w:tblW w:w="843" w:type="dxa"/>
        <w:jc w:val="left"/>
        <w:tblInd w:w="0" w:type="dxa"/>
        <w:tblLayout w:type="fixed"/>
        <w:tblCellMar>
          <w:top w:w="0" w:type="dxa"/>
          <w:left w:w="0" w:type="dxa"/>
          <w:bottom w:w="0" w:type="dxa"/>
          <w:right w:w="0" w:type="dxa"/>
        </w:tblCellMar>
      </w:tblPr>
      <w:tblGrid>
        <w:gridCol w:w="23"/>
        <w:gridCol w:w="185"/>
        <w:gridCol w:w="6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6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u w:val="single"/>
              </w:rPr>
              <w:t>Voting</w:t>
            </w: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holders of the Common Stock shall have voting rights at all meetings of stockholders, each such holder being entitled to one vote for each share thereof held by such holder; provided, however, that, except as otherwise required by law, holders of Common Stock shall not be entitled to vote on any amendment to this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w:t>
            </w:r>
          </w:p>
        </w:tc>
      </w:tr>
    </w:tbl>
    <w:p>
      <w:pPr>
        <w:pStyle w:val="TextBody"/>
        <w:pBdr/>
        <w:bidi w:val="0"/>
        <w:spacing w:before="0" w:after="0"/>
        <w:ind w:left="1440" w:right="0" w:hanging="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entitled, either separately or together as a class with the holders of one or more other such series, to vote thereon pursuant to this Certificate of Incorporation or the DGCL. There shall be no cumulative voting in the election of directors or on any other matter.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Except as may otherwise be provided by applicable law, in this Certificate of Incorporation or in a Preferred Stock Designation (as defined below), the holders of shares of Common Stock shall have the exclusive right to vote for the election of directors and for all other purposes, and holders of shares of Preferred Stock and any series thereof shall not be entitled to receive notice of any meeting of stockholders at which they are not otherwise entitled to vote.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number of authorized shares of Common Stock may be increased or decreased (but not below the number of shares thereof then outstanding) by the affirmative vote of the holders of a majority of the voting power of the capital stock of the Corporation entitled to vote thereon, voting as a single class, irrespective of the provisions of Section 242(b)(2) of the DGCL.</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3"/>
        <w:gridCol w:w="10049"/>
      </w:tblGrid>
      <w:tr>
        <w:trPr/>
        <w:tc>
          <w:tcPr>
            <w:tcW w:w="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4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u w:val="single"/>
              </w:rPr>
              <w:t>Dividends</w:t>
            </w:r>
            <w:r>
              <w:rPr>
                <w:rFonts w:ascii="Times New Roman;Times;serif" w:hAnsi="Times New Roman;Times;serif"/>
                <w:sz w:val="20"/>
              </w:rPr>
              <w:t>. Dividends may be declared and paid on the Common Stock from funds lawfully available therefor as and when determined by the Board of Directors and subject to any preferential dividend or other rights of any then outstanding Preferred Stock and to the requirements of applicable law.</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3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u w:val="single"/>
              </w:rPr>
              <w:t>Liquidation</w:t>
            </w:r>
            <w:r>
              <w:rPr>
                <w:rFonts w:ascii="Times New Roman;Times;serif" w:hAnsi="Times New Roman;Times;serif"/>
                <w:sz w:val="20"/>
              </w:rPr>
              <w:t>. Upon the dissolution or liquidation of the Corporation, whether voluntary or involuntary, holders of Common Stock will be entitled to receive all assets of the Corporation available for distribution to its stockholders, subject to any preferential or other rights of any then-outstanding Preferred Stock.</w:t>
            </w:r>
          </w:p>
        </w:tc>
      </w:tr>
    </w:tbl>
    <w:p>
      <w:pPr>
        <w:pStyle w:val="TextBody"/>
        <w:bidi w:val="0"/>
        <w:spacing w:before="0" w:after="0"/>
        <w:ind w:left="0" w:right="0" w:hanging="0"/>
        <w:jc w:val="left"/>
        <w:rPr/>
      </w:pPr>
      <w:r>
        <w:rPr/>
        <w:t>​</w:t>
      </w:r>
    </w:p>
    <w:tbl>
      <w:tblPr>
        <w:tblW w:w="2028" w:type="dxa"/>
        <w:jc w:val="left"/>
        <w:tblInd w:w="0" w:type="dxa"/>
        <w:tblLayout w:type="fixed"/>
        <w:tblCellMar>
          <w:top w:w="0" w:type="dxa"/>
          <w:left w:w="0" w:type="dxa"/>
          <w:bottom w:w="0" w:type="dxa"/>
          <w:right w:w="0" w:type="dxa"/>
        </w:tblCellMar>
      </w:tblPr>
      <w:tblGrid>
        <w:gridCol w:w="23"/>
        <w:gridCol w:w="200"/>
        <w:gridCol w:w="18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8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PREFERRED STOCK</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1005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Preferred Stock may be issued from time to time in one or more series. The Board of Directors is expressly authorized to provide for the issuance of shares of Preferred Stock in one or more series and, by filing a certificate pursuant to the applicable law of the State of Delaware (hereinafter referred to as a “</w:t>
            </w:r>
            <w:r>
              <w:rPr>
                <w:rFonts w:ascii="Times New Roman;Times;serif" w:hAnsi="Times New Roman;Times;serif"/>
                <w:sz w:val="20"/>
                <w:u w:val="single"/>
              </w:rPr>
              <w:t>Preferred Stock Designation</w:t>
            </w:r>
            <w:r>
              <w:rPr>
                <w:rFonts w:ascii="Times New Roman;Times;serif" w:hAnsi="Times New Roman;Times;serif"/>
                <w:sz w:val="20"/>
              </w:rPr>
              <w:t>”), to establish from time to time the number of shares to be included in each such series, to determine the designations, powers, preferences and voting and other rights, and the qualifications, limitations and restrictions granted to or imposed upon the Preferred Stock or any wholly unissued series thereof or any holders thereof, and to increase or decrease, within the limits stated in any resolution of the Board of Directors originally fixing the number of shares constituting any series (but not below the number of such shares then outstanding), the number of shares of any such series subsequent to the issuance of shares of that series. The authority of the Board of Directors with respect to each series shall include, but not be limited to, determination of the following:</w:t>
            </w:r>
          </w:p>
        </w:tc>
      </w:tr>
    </w:tbl>
    <w:p>
      <w:pPr>
        <w:pStyle w:val="TextBody"/>
        <w:bidi w:val="0"/>
        <w:spacing w:before="0" w:after="0"/>
        <w:ind w:left="0" w:right="0" w:hanging="0"/>
        <w:jc w:val="left"/>
        <w:rPr/>
      </w:pPr>
      <w:r>
        <w:rPr/>
        <w:t>​</w:t>
      </w:r>
    </w:p>
    <w:tbl>
      <w:tblPr>
        <w:tblW w:w="6948" w:type="dxa"/>
        <w:jc w:val="left"/>
        <w:tblInd w:w="0" w:type="dxa"/>
        <w:tblLayout w:type="fixed"/>
        <w:tblCellMar>
          <w:top w:w="0" w:type="dxa"/>
          <w:left w:w="0" w:type="dxa"/>
          <w:bottom w:w="0" w:type="dxa"/>
          <w:right w:w="0" w:type="dxa"/>
        </w:tblCellMar>
      </w:tblPr>
      <w:tblGrid>
        <w:gridCol w:w="23"/>
        <w:gridCol w:w="125"/>
        <w:gridCol w:w="680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68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designation of the series, which may be by distinguishing number, letter or title;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number of shares of the series, which number the Board of Directors may thereafter (except where otherwise provided in the Preferred Stock Designation) increase or decrease (but not below the number of shares thereof then outstanding);</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amounts payable on, and the preferences, if any, of shares of the series in respect of dividends, and whether such dividends, if any, shall be cumulative or noncumulative;</w:t>
            </w:r>
          </w:p>
        </w:tc>
      </w:tr>
    </w:tbl>
    <w:p>
      <w:pPr>
        <w:pStyle w:val="TextBody"/>
        <w:bidi w:val="0"/>
        <w:spacing w:before="0" w:after="0"/>
        <w:ind w:left="0" w:right="0" w:hanging="0"/>
        <w:jc w:val="left"/>
        <w:rPr/>
      </w:pPr>
      <w:r>
        <w:rPr/>
        <w:t>​</w:t>
      </w:r>
    </w:p>
    <w:tbl>
      <w:tblPr>
        <w:tblW w:w="7248" w:type="dxa"/>
        <w:jc w:val="left"/>
        <w:tblInd w:w="0" w:type="dxa"/>
        <w:tblLayout w:type="fixed"/>
        <w:tblCellMar>
          <w:top w:w="0" w:type="dxa"/>
          <w:left w:w="0" w:type="dxa"/>
          <w:bottom w:w="0" w:type="dxa"/>
          <w:right w:w="0" w:type="dxa"/>
        </w:tblCellMar>
      </w:tblPr>
      <w:tblGrid>
        <w:gridCol w:w="23"/>
        <w:gridCol w:w="230"/>
        <w:gridCol w:w="699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iv.</w:t>
            </w:r>
          </w:p>
        </w:tc>
        <w:tc>
          <w:tcPr>
            <w:tcW w:w="69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dates on which dividends, if any, shall be payable in respect of shares of the series;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5958" w:type="dxa"/>
        <w:jc w:val="left"/>
        <w:tblInd w:w="0" w:type="dxa"/>
        <w:tblLayout w:type="fixed"/>
        <w:tblCellMar>
          <w:top w:w="0" w:type="dxa"/>
          <w:left w:w="0" w:type="dxa"/>
          <w:bottom w:w="0" w:type="dxa"/>
          <w:right w:w="0" w:type="dxa"/>
        </w:tblCellMar>
      </w:tblPr>
      <w:tblGrid>
        <w:gridCol w:w="23"/>
        <w:gridCol w:w="170"/>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w:t>
            </w:r>
          </w:p>
        </w:tc>
        <w:tc>
          <w:tcPr>
            <w:tcW w:w="57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redemption rights and price or prices, if any, for shares of the series;</w:t>
            </w:r>
          </w:p>
        </w:tc>
      </w:tr>
    </w:tbl>
    <w:p>
      <w:pPr>
        <w:pStyle w:val="TextBody"/>
        <w:bidi w:val="0"/>
        <w:spacing w:before="0" w:after="0"/>
        <w:ind w:left="0" w:right="0" w:hanging="0"/>
        <w:jc w:val="left"/>
        <w:rPr/>
      </w:pPr>
      <w:r>
        <w:rPr/>
        <w:t>​</w:t>
      </w:r>
    </w:p>
    <w:tbl>
      <w:tblPr>
        <w:tblW w:w="8763" w:type="dxa"/>
        <w:jc w:val="left"/>
        <w:tblInd w:w="0" w:type="dxa"/>
        <w:tblLayout w:type="fixed"/>
        <w:tblCellMar>
          <w:top w:w="0" w:type="dxa"/>
          <w:left w:w="0" w:type="dxa"/>
          <w:bottom w:w="0" w:type="dxa"/>
          <w:right w:w="0" w:type="dxa"/>
        </w:tblCellMar>
      </w:tblPr>
      <w:tblGrid>
        <w:gridCol w:w="23"/>
        <w:gridCol w:w="230"/>
        <w:gridCol w:w="85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vi.</w:t>
            </w:r>
          </w:p>
        </w:tc>
        <w:tc>
          <w:tcPr>
            <w:tcW w:w="85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terms and amount of any sinking fund provided for the purchase or redemption of shares of the series;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vii.</w:t>
            </w:r>
          </w:p>
        </w:tc>
        <w:tc>
          <w:tcPr>
            <w:tcW w:w="989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whether the shares of the series shall be convertible into or exchangeable for shares of any other class or series, or any other security, of the Corporation or any other corporation, and, if so, the specification of such other class or series of such other security, the conversion or exchange price or prices or rate or rates, any adjustments thereof, the date or dates at which such shares shall be convertible or exchangeable and all other terms and conditions upon which such conversion or exchange may be made;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50"/>
        <w:gridCol w:w="9832"/>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viii.</w:t>
            </w:r>
          </w:p>
        </w:tc>
        <w:tc>
          <w:tcPr>
            <w:tcW w:w="983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rights of the holders of the shares of such series upon the dissolution of, or upon the subsequent distribution of assets of, the Corporation;</w:t>
            </w:r>
          </w:p>
        </w:tc>
      </w:tr>
    </w:tbl>
    <w:p>
      <w:pPr>
        <w:pStyle w:val="TextBody"/>
        <w:bidi w:val="0"/>
        <w:spacing w:before="0" w:after="0"/>
        <w:ind w:left="0" w:right="0" w:hanging="0"/>
        <w:jc w:val="left"/>
        <w:rPr/>
      </w:pPr>
      <w:r>
        <w:rPr/>
        <w:t>​</w:t>
      </w:r>
    </w:p>
    <w:tbl>
      <w:tblPr>
        <w:tblW w:w="7098" w:type="dxa"/>
        <w:jc w:val="left"/>
        <w:tblInd w:w="0" w:type="dxa"/>
        <w:tblLayout w:type="fixed"/>
        <w:tblCellMar>
          <w:top w:w="0" w:type="dxa"/>
          <w:left w:w="0" w:type="dxa"/>
          <w:bottom w:w="0" w:type="dxa"/>
          <w:right w:w="0" w:type="dxa"/>
        </w:tblCellMar>
      </w:tblPr>
      <w:tblGrid>
        <w:gridCol w:w="23"/>
        <w:gridCol w:w="230"/>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ix.</w:t>
            </w:r>
          </w:p>
        </w:tc>
        <w:tc>
          <w:tcPr>
            <w:tcW w:w="68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restrictions on the issuance of shares of the same series or of any other class or series;</w:t>
            </w:r>
          </w:p>
        </w:tc>
      </w:tr>
    </w:tbl>
    <w:p>
      <w:pPr>
        <w:pStyle w:val="TextBody"/>
        <w:bidi w:val="0"/>
        <w:spacing w:before="0" w:after="0"/>
        <w:ind w:left="0" w:right="0" w:hanging="0"/>
        <w:jc w:val="left"/>
        <w:rPr/>
      </w:pPr>
      <w:r>
        <w:rPr/>
        <w:t>​</w:t>
      </w:r>
    </w:p>
    <w:tbl>
      <w:tblPr>
        <w:tblW w:w="7953" w:type="dxa"/>
        <w:jc w:val="left"/>
        <w:tblInd w:w="0" w:type="dxa"/>
        <w:tblLayout w:type="fixed"/>
        <w:tblCellMar>
          <w:top w:w="0" w:type="dxa"/>
          <w:left w:w="0" w:type="dxa"/>
          <w:bottom w:w="0" w:type="dxa"/>
          <w:right w:w="0" w:type="dxa"/>
        </w:tblCellMar>
      </w:tblPr>
      <w:tblGrid>
        <w:gridCol w:w="23"/>
        <w:gridCol w:w="170"/>
        <w:gridCol w:w="7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x.</w:t>
            </w:r>
          </w:p>
        </w:tc>
        <w:tc>
          <w:tcPr>
            <w:tcW w:w="77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voting powers, full or limited, or no voting powers, of the holders of shares of the series;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xi.</w:t>
            </w:r>
          </w:p>
        </w:tc>
        <w:tc>
          <w:tcPr>
            <w:tcW w:w="995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manner in which any facts ascertainable outside of this Certificate of Incorporation or the resolution or resolutions providing for the issuance of such series shall operate upon the voting powers, designations, preferences, rights, and qualifications, limitations, or restrictions of such series.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9"/>
        <w:gridCol w:w="10043"/>
      </w:tblGrid>
      <w:tr>
        <w:trPr/>
        <w:tc>
          <w:tcPr>
            <w:tcW w:w="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number of authorized shares of Preferred Stock may be increased or decreased (but not below the number of shares then outstanding) by the affirmative vote of the holders of a majority of the voting power of the capital stock of the Corporation entitled to vote thereon, voting as a single class, irrespective of the provisions of Section 242(b)(2) of the DGCL</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8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REGISTERED OWNERS. 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V</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The name and address of the incorporator is as follows:</w:t>
      </w:r>
    </w:p>
    <w:p>
      <w:pPr>
        <w:pStyle w:val="TextBody"/>
        <w:pBdr/>
        <w:bidi w:val="0"/>
        <w:spacing w:before="0" w:after="0"/>
        <w:ind w:left="720" w:right="0" w:hanging="720"/>
        <w:jc w:val="left"/>
        <w:rPr/>
      </w:pPr>
      <w:r>
        <w:rPr/>
        <w:t>​</w:t>
      </w:r>
    </w:p>
    <w:p>
      <w:pPr>
        <w:pStyle w:val="TextBody"/>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Barbara J. Gillham</w:t>
        <w:br/>
        <w:t>TroyGould PC</w:t>
        <w:br/>
        <w:t>1801 Century Park East, Suite 1600</w:t>
        <w:br/>
        <w:t>Los Angeles, CA 90067</w:t>
      </w:r>
    </w:p>
    <w:p>
      <w:pPr>
        <w:pStyle w:val="TextBody"/>
        <w:bidi w:val="0"/>
        <w:spacing w:before="0" w:after="0"/>
        <w:ind w:left="216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VI</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Unless and except to the extent that the bylaws of the Corporation (the “</w:t>
      </w:r>
      <w:r>
        <w:rPr>
          <w:rFonts w:ascii="Times New Roman;Times;serif" w:hAnsi="Times New Roman;Times;serif"/>
          <w:sz w:val="20"/>
          <w:u w:val="single"/>
        </w:rPr>
        <w:t>Bylaws</w:t>
      </w:r>
      <w:r>
        <w:rPr>
          <w:rFonts w:ascii="Times New Roman;Times;serif" w:hAnsi="Times New Roman;Times;serif"/>
          <w:sz w:val="20"/>
        </w:rPr>
        <w:t>”) shall so require, the election of directors of the Corporation need not be by written ballot.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VII</w:t>
      </w:r>
    </w:p>
    <w:p>
      <w:pPr>
        <w:pStyle w:val="TextBody"/>
        <w:bidi w:val="0"/>
        <w:spacing w:before="0" w:after="0"/>
        <w:ind w:left="9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 the fullest extent permitted by law, a director of the Corporation shall not be personally liable to the Corporation or to its stockholders for monetary damages for any breach of fiduciary duty as a director. No amendment to, modification of or repeal of this Article VII shall apply to or have any effect on the liability or alleged liability of any director of the Corporation for or with respect to any acts or omissions of such director occurring prior to such amendment.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VIII</w:t>
      </w:r>
    </w:p>
    <w:p>
      <w:pPr>
        <w:pStyle w:val="TextBody"/>
        <w:bidi w:val="0"/>
        <w:spacing w:before="0" w:after="0"/>
        <w:ind w:left="9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Corporation shall indemnify, advance expenses, and hold harmless, to the fullest extent permitted by applicable law as it presently exists or may hereafter be amended, any person (a “</w:t>
      </w:r>
      <w:r>
        <w:rPr>
          <w:rFonts w:ascii="Times New Roman;Times;serif" w:hAnsi="Times New Roman;Times;serif"/>
          <w:sz w:val="20"/>
          <w:u w:val="single"/>
        </w:rPr>
        <w:t>Covered Person</w:t>
      </w:r>
      <w:r>
        <w:rPr>
          <w:rFonts w:ascii="Times New Roman;Times;serif" w:hAnsi="Times New Roman;Times;serif"/>
          <w:sz w:val="20"/>
        </w:rPr>
        <w:t>”) who was or is made or is threatened to be made a party or is otherwise involved in any action, suit or proceeding, whether civil, criminal, administrative or investigative (a “</w:t>
      </w:r>
      <w:r>
        <w:rPr>
          <w:rFonts w:ascii="Times New Roman;Times;serif" w:hAnsi="Times New Roman;Times;serif"/>
          <w:sz w:val="20"/>
          <w:u w:val="single"/>
        </w:rPr>
        <w:t>Proceeding</w:t>
      </w:r>
      <w:r>
        <w:rPr>
          <w:rFonts w:ascii="Times New Roman;Times;serif" w:hAnsi="Times New Roman;Times;serif"/>
          <w:sz w:val="20"/>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for claims for indemnification (following the final disposition of such Proceeding) or advancement of expenses not paid in full,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Any amendment, repeal or modification of this Article VIII shall not adversely affect any right or protection hereunder of any person in respect of any act or omission occurring prior to the time of such repeal or modification. The rights conferred on any Covered Person by this Article VIII shall not be exclusive of any other rights which such Covered Person may have or hereafter acquire under any statute, any other provision of this Certificate of Incorporation, the Bylaws, or any agreement, vote of stockholders or disinterested directors or otherwise.</w:t>
      </w:r>
    </w:p>
    <w:p>
      <w:pPr>
        <w:pStyle w:val="TextBody"/>
        <w:bidi w:val="0"/>
        <w:spacing w:before="0" w:after="0"/>
        <w:ind w:left="90" w:right="0" w:firstLine="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IX</w:t>
      </w:r>
    </w:p>
    <w:p>
      <w:pPr>
        <w:pStyle w:val="TextBody"/>
        <w:bidi w:val="0"/>
        <w:spacing w:before="0" w:after="0"/>
        <w:ind w:left="9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furtherance and not in limitation of the powers conferred by statute, the Board of Directors is expressly authorized to adopt, amend or repeal the Bylaws or adopt new Bylaws without any action on the part of the stockholders. The stockholders of the Corporation may not adopt, amend or repeal the Bylaws, or adopt any provision inconsistent therewith, unless such action is approved, in addition to any other vote required by this Certificate of Incorporation, by the affirmative vote of the holders of at least two-thirds of the voting power of the capital stock of the Corporation entitled to vote thereon.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X</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Corporation shall have the right, subject to any express provisions or restrictions contained in this Certificate of Incorporation or the Bylaws, from time to time, to amend, alter or repeal any provision of this Certificate of Incorporation or a Preferred Stock Designation in any manner now or hereafter provided by law, and all rights and powers of any kind conferred upon a director or stockholder of the Corporation by this Certificate of Incorporation or any amendment thereof are conferred subject to such right.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XI</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Any action required or permitted to be taken at any annual or special meeting of stockholders of the Corporation must be effected at a duly called annual or special meeting of such stockholders and may not be effected by any consent in writing of stockholders.</w:t>
      </w:r>
    </w:p>
    <w:p>
      <w:pPr>
        <w:pStyle w:val="TextBody"/>
        <w:bidi w:val="0"/>
        <w:spacing w:before="0" w:after="0"/>
        <w:ind w:left="0" w:right="0" w:firstLine="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XII</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Special meetings of stockholders may be called only by the Board of Directors, the chairperson of the Board of Directors, the chief executive officer or the president (in the absence of a chief executive officer), and may not be called by any other person or persons. Business transacted at any special meeting of stockholders shall be limited to matters relating to the purpose or purposes stated in the notice of meeting. Advance notice of stockholder nominations for the election of directors and of the proposal by stockholders of any other action to be taken by the stockholders at a meeting of stockholders shall be given in the manner provided by the Bylaws.</w:t>
      </w:r>
    </w:p>
    <w:p>
      <w:pPr>
        <w:pStyle w:val="TextBody"/>
        <w:bidi w:val="0"/>
        <w:spacing w:before="0" w:after="0"/>
        <w:ind w:left="0" w:right="0" w:firstLine="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XIII</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employee or agent of the Corporation to the Corporation or the Corporation’s stockholders, creditors or other constituents, (c) any action asserting a claim arising pursuant to any provision of the DGCL or this Certificate of Incorporation or the Bylaws, (d) any action to interpret, apply, enforce or determine the validity of this Certificate of Incorporation or the Bylaws or (e) any action asserting a claim governed by the internal affairs doctrine, in each case subject to said Court of Chancery having personal jurisdiction over the indispensable parties named as defendants therein; provided that, if and only if the Court of Chancery of the State of Delaware dismisses any such action for lack of subject matter jurisdiction, such action may be brought in another state or federal court sitting in the State of Delaware. To the fullest extent permitted by applicable law, any person or entity purchasing or otherwise acquiring any interest in shares of capital stock of the Corporation shall be deemed to have notice of and consented to the provisions of this Article XIII. If any provision or provisions of this Article XIII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XIII (including, without limitation, each portion of any sentence of this Article XIII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XIV</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Notwithstanding any other provisions of law, this Certificate of Incorporation or the Bylaws, and notwithstanding the fact that a lesser percentage may be specified by law, the affirmative vote of the holders of at least two-thirds of the voting power of the capital stock of the Corporation entitled to vote thereon shall be required to amend or repeal, or to adopt any provision inconsistent with, this Article XIV or Article VII, VIII, IX, X, XI, XII or XIII of this Certificate of Incorporation.</w:t>
      </w:r>
    </w:p>
    <w:p>
      <w:pPr>
        <w:pStyle w:val="TextBody"/>
        <w:bidi w:val="0"/>
        <w:spacing w:before="0" w:after="0"/>
        <w:ind w:left="0" w:right="0" w:firstLine="81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 the undersigned, for the purpose of forming a corporation pursuant to the DGCL, do make, file and record this Certificate of Incorporation, hereby acknowledging, declaring and certifying that this Certificate of Incorporation is my act and deed and that the facts herein stated are true, and have accordingly hereunto set my hand this 1st day of June, 2017.</w:t>
      </w:r>
    </w:p>
    <w:p>
      <w:pPr>
        <w:pStyle w:val="TextBody"/>
        <w:bidi w:val="0"/>
        <w:spacing w:before="0" w:after="0"/>
        <w:ind w:left="0" w:right="0" w:hanging="0"/>
        <w:jc w:val="left"/>
        <w:rPr/>
      </w:pPr>
      <w:r>
        <w:rPr/>
        <w:t>​</w:t>
      </w:r>
    </w:p>
    <w:tbl>
      <w:tblPr>
        <w:tblW w:w="2907" w:type="dxa"/>
        <w:jc w:val="center"/>
        <w:tblInd w:w="0" w:type="dxa"/>
        <w:tblLayout w:type="fixed"/>
        <w:tblCellMar>
          <w:top w:w="0" w:type="dxa"/>
          <w:left w:w="0" w:type="dxa"/>
          <w:bottom w:w="0" w:type="dxa"/>
          <w:right w:w="0" w:type="dxa"/>
        </w:tblCellMar>
      </w:tblPr>
      <w:tblGrid>
        <w:gridCol w:w="161"/>
        <w:gridCol w:w="2746"/>
      </w:tblGrid>
      <w:tr>
        <w:trPr/>
        <w:tc>
          <w:tcPr>
            <w:tcW w:w="161" w:type="dxa"/>
            <w:tcBorders/>
            <w:vAlign w:val="center"/>
          </w:tcPr>
          <w:p>
            <w:pPr>
              <w:pStyle w:val="TableContents"/>
              <w:bidi w:val="0"/>
              <w:spacing w:before="0" w:after="0"/>
              <w:ind w:left="0" w:right="0" w:hanging="0"/>
              <w:jc w:val="left"/>
              <w:rPr/>
            </w:pPr>
            <w:r>
              <w:rPr/>
              <w:t> </w:t>
            </w:r>
          </w:p>
        </w:tc>
        <w:tc>
          <w:tcPr>
            <w:tcW w:w="27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Barbara J. Gillham</w:t>
            </w:r>
          </w:p>
        </w:tc>
      </w:tr>
      <w:tr>
        <w:trPr/>
        <w:tc>
          <w:tcPr>
            <w:tcW w:w="161" w:type="dxa"/>
            <w:tcBorders/>
            <w:vAlign w:val="center"/>
          </w:tcPr>
          <w:p>
            <w:pPr>
              <w:pStyle w:val="TableContents"/>
              <w:bidi w:val="0"/>
              <w:spacing w:before="0" w:after="0"/>
              <w:ind w:left="0" w:right="0" w:hanging="0"/>
              <w:jc w:val="left"/>
              <w:rPr/>
            </w:pPr>
            <w:r>
              <w:rPr/>
              <w:t> </w:t>
            </w:r>
          </w:p>
        </w:tc>
        <w:tc>
          <w:tcPr>
            <w:tcW w:w="27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Barbara J. Gillham, Incorporator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AMENDMENT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INCORPORATION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LION BIOTECHNOLOGIES, INC.</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Lion Biotechnologies, Inc., a corporation organized and existing under the General Corporation Law of the State of Delaware, hereby certifies as follows: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This Certificate of Amendment (the “</w:t>
      </w:r>
      <w:r>
        <w:rPr>
          <w:rFonts w:ascii="Times New Roman;Times;serif" w:hAnsi="Times New Roman;Times;serif"/>
          <w:sz w:val="20"/>
          <w:u w:val="single"/>
        </w:rPr>
        <w:t>Certificate of Amendment</w:t>
      </w:r>
      <w:r>
        <w:rPr>
          <w:rFonts w:ascii="Times New Roman;Times;serif" w:hAnsi="Times New Roman;Times;serif"/>
          <w:sz w:val="20"/>
        </w:rPr>
        <w:t>”) amends the provisions of the Corporation’s Certificate of Incorporation filed with the Secretary of State of the State of Delaware on June 1, 2017 (the “</w:t>
      </w:r>
      <w:r>
        <w:rPr>
          <w:rFonts w:ascii="Times New Roman;Times;serif" w:hAnsi="Times New Roman;Times;serif"/>
          <w:sz w:val="20"/>
          <w:u w:val="single"/>
        </w:rPr>
        <w:t>Certificate of Incorporation</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Article I of the Certificate of Incorporation is hereby amended and restated in its entirety as follows:</w:t>
      </w:r>
    </w:p>
    <w:p>
      <w:pPr>
        <w:pStyle w:val="TextBody"/>
        <w:bidi w:val="0"/>
        <w:spacing w:before="0" w:after="0"/>
        <w:ind w:left="0" w:right="0" w:firstLine="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I</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name of the Corporation is Iovance Biotherapeutics, Inc. (the “</w:t>
      </w:r>
      <w:r>
        <w:rPr>
          <w:rFonts w:ascii="Times New Roman;Times;serif" w:hAnsi="Times New Roman;Times;serif"/>
          <w:sz w:val="20"/>
          <w:u w:val="single"/>
        </w:rPr>
        <w:t>Corporation</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This amendment was duly adopted in accordance with the provisions of Section 242(b) of the General Corporation Law of the State of Delaware.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All other provisions of the Certificate of Incorporation shall remain in full force and effect.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WITNESS WHEREOF, the Corporation has caused this Certificate of Amendment to be signed by a duly authorized officer on this 27</w:t>
      </w:r>
      <w:r>
        <w:rPr>
          <w:rFonts w:ascii="Times New Roman;Times;serif" w:hAnsi="Times New Roman;Times;serif"/>
          <w:sz w:val="19"/>
        </w:rPr>
        <w:t>th</w:t>
      </w:r>
      <w:r>
        <w:rPr>
          <w:rFonts w:ascii="Times New Roman;Times;serif" w:hAnsi="Times New Roman;Times;serif"/>
          <w:sz w:val="20"/>
        </w:rPr>
        <w:t xml:space="preserve"> day of June, 2017.</w:t>
      </w:r>
    </w:p>
    <w:p>
      <w:pPr>
        <w:pStyle w:val="TextBody"/>
        <w:bidi w:val="0"/>
        <w:spacing w:before="0" w:after="0"/>
        <w:ind w:left="0" w:right="0" w:hanging="0"/>
        <w:jc w:val="left"/>
        <w:rPr/>
      </w:pPr>
      <w:r>
        <w:rPr/>
        <w:t>​</w:t>
      </w:r>
    </w:p>
    <w:tbl>
      <w:tblPr>
        <w:tblW w:w="6274" w:type="dxa"/>
        <w:jc w:val="left"/>
        <w:tblInd w:w="0" w:type="dxa"/>
        <w:tblLayout w:type="fixed"/>
        <w:tblCellMar>
          <w:top w:w="0" w:type="dxa"/>
          <w:left w:w="0" w:type="dxa"/>
          <w:bottom w:w="0" w:type="dxa"/>
          <w:right w:w="0" w:type="dxa"/>
        </w:tblCellMar>
      </w:tblPr>
      <w:tblGrid>
        <w:gridCol w:w="1981"/>
        <w:gridCol w:w="406"/>
        <w:gridCol w:w="676"/>
        <w:gridCol w:w="3211"/>
      </w:tblGrid>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June 27</w:t>
            </w:r>
            <w:r>
              <w:rPr>
                <w:rFonts w:ascii="Times New Roman;Times;serif" w:hAnsi="Times New Roman;Times;serif"/>
                <w:sz w:val="19"/>
              </w:rPr>
              <w:t>th</w:t>
            </w:r>
            <w:r>
              <w:rPr>
                <w:rFonts w:ascii="Times New Roman;Times;serif" w:hAnsi="Times New Roman;Times;serif"/>
                <w:sz w:val="20"/>
              </w:rPr>
              <w:t>, 2017</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8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Maria Fardis</w:t>
            </w:r>
          </w:p>
        </w:tc>
      </w:tr>
      <w:tr>
        <w:trPr/>
        <w:tc>
          <w:tcPr>
            <w:tcW w:w="19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Maria Fardis</w:t>
            </w:r>
          </w:p>
        </w:tc>
      </w:tr>
      <w:tr>
        <w:trPr/>
        <w:tc>
          <w:tcPr>
            <w:tcW w:w="19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INCORPORATION, AS AMENDED,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Iovance Biotherapeutics, Inc., a corporation duly organized and validly existing under and by virtue of the General Corporation Law of the State of Delaware (the “</w:t>
      </w:r>
      <w:r>
        <w:rPr>
          <w:rFonts w:ascii="Times New Roman;Times;serif" w:hAnsi="Times New Roman;Times;serif"/>
          <w:sz w:val="20"/>
          <w:u w:val="single"/>
        </w:rPr>
        <w:t>Company</w:t>
      </w:r>
      <w:r>
        <w:rPr>
          <w:rFonts w:ascii="Times New Roman;Times;serif" w:hAnsi="Times New Roman;Times;serif"/>
          <w:sz w:val="20"/>
        </w:rPr>
        <w:t>”), does hereby certify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FIRST</w:t>
      </w:r>
      <w:r>
        <w:rPr>
          <w:rFonts w:ascii="Times New Roman;Times;serif" w:hAnsi="Times New Roman;Times;serif"/>
          <w:sz w:val="20"/>
        </w:rPr>
        <w:t>: The Certificate of Incorporation of the Company is hereby amended by deleting the first sentence of Article IV thereof in its entirety and inserting the following in lieu thereof:</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rPr>
        <w:t>The total number of shares of all classes of stock which the Corporation shall have authority to issue is Three Hundred Fifty Million (350,000,000), consisting of (a) Three Hundred Million (300,000,000) shares of Common Stock, $0.000041666 par value per share (“</w:t>
      </w:r>
      <w:r>
        <w:rPr>
          <w:rFonts w:ascii="Times New Roman;Times;serif" w:hAnsi="Times New Roman;Times;serif"/>
          <w:sz w:val="20"/>
          <w:u w:val="single"/>
        </w:rPr>
        <w:t>Common Stock</w:t>
      </w:r>
      <w:r>
        <w:rPr>
          <w:rFonts w:ascii="Times New Roman;Times;serif" w:hAnsi="Times New Roman;Times;serif"/>
          <w:sz w:val="20"/>
        </w:rPr>
        <w:t>”), and (b) Fifty Million (50,000,000) shares of Preferred Stock, $0.001 par value per share (“</w:t>
      </w:r>
      <w:r>
        <w:rPr>
          <w:rFonts w:ascii="Times New Roman;Times;serif" w:hAnsi="Times New Roman;Times;serif"/>
          <w:sz w:val="20"/>
          <w:u w:val="single"/>
        </w:rPr>
        <w:t>Preferred Stock</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SECOND:</w:t>
      </w:r>
      <w:r>
        <w:rPr>
          <w:rFonts w:ascii="Times New Roman;Times;serif" w:hAnsi="Times New Roman;Times;serif"/>
          <w:sz w:val="20"/>
        </w:rPr>
        <w:t xml:space="preserve"> Except as explicitly amended by the foregoing amendment, the language of Article IV of the Certificate of Incorporation shall remain unchanged.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THIRD</w:t>
      </w:r>
      <w:r>
        <w:rPr>
          <w:rFonts w:ascii="Times New Roman;Times;serif" w:hAnsi="Times New Roman;Times;serif"/>
          <w:sz w:val="20"/>
        </w:rPr>
        <w:t>: All other provisions of the Certificate of Incorporation shall remain in full force and effect.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FOURTH</w:t>
      </w:r>
      <w:r>
        <w:rPr>
          <w:rFonts w:ascii="Times New Roman;Times;serif" w:hAnsi="Times New Roman;Times;serif"/>
          <w:sz w:val="20"/>
        </w:rPr>
        <w:t>: The foregoing amendment was duly adopted in accordance with the provisions of Section 242(b) of the General Corporation Law of the State of Delaware.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FIFTH:</w:t>
      </w:r>
      <w:r>
        <w:rPr>
          <w:rFonts w:ascii="Times New Roman;Times;serif" w:hAnsi="Times New Roman;Times;serif"/>
          <w:sz w:val="20"/>
        </w:rPr>
        <w:t xml:space="preserve"> That this Certificate of Amendment to the Certificate of Incorporation shall be effective upon filing.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undersigned has duly executed this Certificate of Amendment on this 10th day of June, 2019.</w:t>
      </w:r>
    </w:p>
    <w:p>
      <w:pPr>
        <w:pStyle w:val="TextBody"/>
        <w:bidi w:val="0"/>
        <w:spacing w:before="0" w:after="0"/>
        <w:ind w:left="0" w:right="0" w:hanging="0"/>
        <w:jc w:val="left"/>
        <w:rPr/>
      </w:pPr>
      <w:r>
        <w:rPr/>
        <w:t>​</w:t>
      </w:r>
    </w:p>
    <w:tbl>
      <w:tblPr>
        <w:tblW w:w="3626" w:type="dxa"/>
        <w:jc w:val="center"/>
        <w:tblInd w:w="0" w:type="dxa"/>
        <w:tblLayout w:type="fixed"/>
        <w:tblCellMar>
          <w:top w:w="0" w:type="dxa"/>
          <w:left w:w="0" w:type="dxa"/>
          <w:bottom w:w="0" w:type="dxa"/>
          <w:right w:w="0" w:type="dxa"/>
        </w:tblCellMar>
      </w:tblPr>
      <w:tblGrid>
        <w:gridCol w:w="161"/>
        <w:gridCol w:w="852"/>
        <w:gridCol w:w="2613"/>
      </w:tblGrid>
      <w:tr>
        <w:trPr/>
        <w:tc>
          <w:tcPr>
            <w:tcW w:w="161" w:type="dxa"/>
            <w:tcBorders/>
            <w:vAlign w:val="center"/>
          </w:tcPr>
          <w:p>
            <w:pPr>
              <w:pStyle w:val="TableContents"/>
              <w:bidi w:val="0"/>
              <w:spacing w:before="0" w:after="0"/>
              <w:ind w:left="0" w:right="0" w:hanging="0"/>
              <w:jc w:val="left"/>
              <w:rPr/>
            </w:pPr>
            <w:r>
              <w:rPr/>
              <w:t> </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IOVANCE BIOTHERAPEUTICS, INC.</w:t>
            </w:r>
          </w:p>
        </w:tc>
      </w:tr>
      <w:tr>
        <w:trPr/>
        <w:tc>
          <w:tcPr>
            <w:tcW w:w="161"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left"/>
              <w:rPr/>
            </w:pPr>
            <w:r>
              <w:rPr/>
              <w:t> </w:t>
            </w:r>
          </w:p>
        </w:tc>
        <w:tc>
          <w:tcPr>
            <w:tcW w:w="2613"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Maria Fardis</w:t>
            </w:r>
          </w:p>
        </w:tc>
      </w:tr>
      <w:tr>
        <w:trPr/>
        <w:tc>
          <w:tcPr>
            <w:tcW w:w="161"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Maria Fardis</w:t>
            </w:r>
          </w:p>
        </w:tc>
      </w:tr>
      <w:tr>
        <w:trPr/>
        <w:tc>
          <w:tcPr>
            <w:tcW w:w="161"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6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CORRECTION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INCORPORATION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0"/>
        <w:ind w:left="0" w:right="0" w:hanging="0"/>
        <w:jc w:val="center"/>
        <w:rPr/>
      </w:pPr>
      <w:r>
        <w:rPr/>
        <w:t>​</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Iovance Biotherapeutics, Inc., a corporation organized and existing under the General Corporation Law of the State of Delaware (the “Corporation”), in accordance with the provisions of Section 103 thereof, DOES HEREBY CERTIFY THAT:</w:t>
      </w:r>
    </w:p>
    <w:p>
      <w:pPr>
        <w:pStyle w:val="TextBody"/>
        <w:bidi w:val="0"/>
        <w:spacing w:before="0" w:after="0"/>
        <w:ind w:left="0" w:right="0" w:firstLine="144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name of the Corporation is Iovance Biotherapeutics, Inc. The Corporation was first incorporated under the name “Lion Biotechnologies, Inc.”</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Certificate of Incorporation of the Corporation (the “Certificate of Incorporation”) was filed with the Secretary of State of the State of Delaware on June 1, 2017 in connection with the conversion of Lion Biotechnologies, Inc., a Nevada corporation, to the Corporation. The Certificate of Incorporation requires correction as permitted by subsection (f) of Section 103 of the General Corporation Law of the State of Delaware.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The inaccuracy or defect of the Certificate of Incorporation to be corrected herein is that it inadvertently omitted a reference to the Certificate of Designation of Rights, Powers, Preferences and Privileges of Series A Convertible Preferred Stock of the Corporation and the Certificate of Designation of Rights, Powers, Preferences and Privileges of Series B Preferred Stock of the Corporation.</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Certificate of Incorporation is corrected by adding a new Section 3 in Part B of Article IV to read in its entirety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0"/>
              <w:jc w:val="left"/>
              <w:rPr/>
            </w:pPr>
            <w:r>
              <w:rPr/>
              <w:t>“</w:t>
            </w:r>
            <w:r>
              <w:rPr>
                <w:rFonts w:ascii="Times New Roman;Times;serif" w:hAnsi="Times New Roman;Times;serif"/>
                <w:sz w:val="20"/>
              </w:rPr>
              <w:t>3.</w:t>
            </w:r>
          </w:p>
        </w:tc>
        <w:tc>
          <w:tcPr>
            <w:tcW w:w="1002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A series of 17,000 shares of Preferred Stock is designated as Series A Convertible Preferred Stock (the “Series A Preferred Stock”) and a series of 11,500,000 shares of Preferred Stock is designated as Series B Preferred Stock (the “Series B Preferred Stock”). The voting powers, designations, preferences and relative, participating, optional and other special rights, and qualifications, limitations or restrictions of the Series A Preferred Stock and the Series B Preferred Stock are set forth in </w:t>
            </w:r>
            <w:r>
              <w:rPr>
                <w:rFonts w:ascii="Times New Roman;Times;serif" w:hAnsi="Times New Roman;Times;serif"/>
                <w:sz w:val="20"/>
                <w:u w:val="single"/>
              </w:rPr>
              <w:t>Appendix</w:t>
            </w:r>
            <w:r>
              <w:rPr>
                <w:rFonts w:ascii="Times New Roman;Times;serif" w:hAnsi="Times New Roman;Times;serif"/>
                <w:sz w:val="20"/>
              </w:rPr>
              <w:t xml:space="preserve"> A and </w:t>
            </w:r>
            <w:r>
              <w:rPr>
                <w:rFonts w:ascii="Times New Roman;Times;serif" w:hAnsi="Times New Roman;Times;serif"/>
                <w:sz w:val="20"/>
                <w:u w:val="single"/>
              </w:rPr>
              <w:t>Appendix B</w:t>
            </w:r>
            <w:r>
              <w:rPr>
                <w:rFonts w:ascii="Times New Roman;Times;serif" w:hAnsi="Times New Roman;Times;serif"/>
                <w:sz w:val="20"/>
              </w:rPr>
              <w:t xml:space="preserve"> hereto, respectively, and are incorporated herein by reference.”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 xml:space="preserve">The Certificate of Incorporation is further corrected by attaching </w:t>
      </w:r>
      <w:r>
        <w:rPr>
          <w:rFonts w:ascii="Times New Roman;Times;serif" w:hAnsi="Times New Roman;Times;serif"/>
          <w:sz w:val="20"/>
          <w:u w:val="single"/>
        </w:rPr>
        <w:t>Appendix A</w:t>
      </w:r>
      <w:r>
        <w:rPr>
          <w:rFonts w:ascii="Times New Roman;Times;serif" w:hAnsi="Times New Roman;Times;serif"/>
          <w:sz w:val="20"/>
        </w:rPr>
        <w:t xml:space="preserve"> hereto as </w:t>
      </w:r>
      <w:r>
        <w:rPr>
          <w:rFonts w:ascii="Times New Roman;Times;serif" w:hAnsi="Times New Roman;Times;serif"/>
          <w:sz w:val="20"/>
          <w:u w:val="single"/>
        </w:rPr>
        <w:t>Appendix A</w:t>
      </w:r>
      <w:r>
        <w:rPr>
          <w:rFonts w:ascii="Times New Roman;Times;serif" w:hAnsi="Times New Roman;Times;serif"/>
          <w:sz w:val="20"/>
        </w:rPr>
        <w:t xml:space="preserve"> to the Certificate of Incorporation.</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 xml:space="preserve">The Certificate of Incorporation is further corrected by attaching </w:t>
      </w:r>
      <w:r>
        <w:rPr>
          <w:rFonts w:ascii="Times New Roman;Times;serif" w:hAnsi="Times New Roman;Times;serif"/>
          <w:sz w:val="20"/>
          <w:u w:val="single"/>
        </w:rPr>
        <w:t>Appendix B</w:t>
      </w:r>
      <w:r>
        <w:rPr>
          <w:rFonts w:ascii="Times New Roman;Times;serif" w:hAnsi="Times New Roman;Times;serif"/>
          <w:sz w:val="20"/>
        </w:rPr>
        <w:t xml:space="preserve"> hereto as </w:t>
      </w:r>
      <w:r>
        <w:rPr>
          <w:rFonts w:ascii="Times New Roman;Times;serif" w:hAnsi="Times New Roman;Times;serif"/>
          <w:sz w:val="20"/>
          <w:u w:val="single"/>
        </w:rPr>
        <w:t>Appendix B</w:t>
      </w:r>
      <w:r>
        <w:rPr>
          <w:rFonts w:ascii="Times New Roman;Times;serif" w:hAnsi="Times New Roman;Times;serif"/>
          <w:sz w:val="20"/>
        </w:rPr>
        <w:t xml:space="preserve"> to the Certificate of Incorporation.</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All other provisions of the Certificate of Incorporation remain unchanged.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Corporation has caused this Certificate of Correction to be executed as of the 19</w:t>
      </w:r>
      <w:r>
        <w:rPr>
          <w:rFonts w:ascii="Times New Roman;Times;serif" w:hAnsi="Times New Roman;Times;serif"/>
          <w:sz w:val="19"/>
        </w:rPr>
        <w:t>th</w:t>
      </w:r>
      <w:r>
        <w:rPr>
          <w:rFonts w:ascii="Times New Roman;Times;serif" w:hAnsi="Times New Roman;Times;serif"/>
          <w:sz w:val="20"/>
        </w:rPr>
        <w:t xml:space="preserve"> day of May, 2020.</w:t>
      </w:r>
    </w:p>
    <w:p>
      <w:pPr>
        <w:pStyle w:val="TextBody"/>
        <w:bidi w:val="0"/>
        <w:spacing w:before="0" w:after="0"/>
        <w:ind w:left="0" w:right="0" w:hanging="0"/>
        <w:jc w:val="left"/>
        <w:rPr/>
      </w:pPr>
      <w:r>
        <w:rPr/>
        <w:t>​</w:t>
      </w:r>
    </w:p>
    <w:tbl>
      <w:tblPr>
        <w:tblW w:w="4679" w:type="dxa"/>
        <w:jc w:val="center"/>
        <w:tblInd w:w="0" w:type="dxa"/>
        <w:tblLayout w:type="fixed"/>
        <w:tblCellMar>
          <w:top w:w="0" w:type="dxa"/>
          <w:left w:w="0" w:type="dxa"/>
          <w:bottom w:w="0" w:type="dxa"/>
          <w:right w:w="0" w:type="dxa"/>
        </w:tblCellMar>
      </w:tblPr>
      <w:tblGrid>
        <w:gridCol w:w="161"/>
        <w:gridCol w:w="346"/>
        <w:gridCol w:w="676"/>
        <w:gridCol w:w="3496"/>
      </w:tblGrid>
      <w:tr>
        <w:trPr/>
        <w:tc>
          <w:tcPr>
            <w:tcW w:w="16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41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IOVANCE BIOTHERAPUETICS, INC. </w:t>
            </w:r>
          </w:p>
        </w:tc>
      </w:tr>
      <w:tr>
        <w:trPr/>
        <w:tc>
          <w:tcPr>
            <w:tcW w:w="16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4172" w:type="dxa"/>
            <w:gridSpan w:val="2"/>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/s/Frederick G. Vogt </w:t>
            </w:r>
          </w:p>
        </w:tc>
      </w:tr>
      <w:tr>
        <w:trPr/>
        <w:tc>
          <w:tcPr>
            <w:tcW w:w="16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34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w:t>
            </w:r>
          </w:p>
        </w:tc>
      </w:tr>
      <w:tr>
        <w:trPr/>
        <w:tc>
          <w:tcPr>
            <w:tcW w:w="16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Counsel and Corporate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Appendix 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DESIGNATION OF RIGHTS, PREFERENCES AND PRIVILEGES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SERIES A CONVERTIBLE PREFERRED STOCK</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amount and designation of the Series A Convertible Preferred Stock, $.001 per share and the powers, designations, preferences, limitations, restrictions and relative rights of the Series A Convertible Preferred Stock of the Corporation, in addition to those set forth in the Certificate of Incorporation, are to be in their entirety as follows: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1</w:t>
      </w:r>
      <w:r>
        <w:rPr>
          <w:rFonts w:ascii="Times New Roman;Times;serif" w:hAnsi="Times New Roman;Times;serif"/>
          <w:sz w:val="20"/>
        </w:rPr>
        <w:t xml:space="preserve">. </w:t>
      </w:r>
      <w:r>
        <w:rPr>
          <w:rFonts w:ascii="Times New Roman;Times;serif" w:hAnsi="Times New Roman;Times;serif"/>
          <w:sz w:val="20"/>
          <w:u w:val="single"/>
        </w:rPr>
        <w:t>Definitions</w:t>
      </w:r>
      <w:r>
        <w:rPr>
          <w:rFonts w:ascii="Times New Roman;Times;serif" w:hAnsi="Times New Roman;Times;serif"/>
          <w:sz w:val="20"/>
        </w:rPr>
        <w:t>. For the purposes hereof, the following terms shall have the following meanings:</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Affiliate</w:t>
      </w:r>
      <w:r>
        <w:rPr>
          <w:rFonts w:ascii="Times New Roman;Times;serif" w:hAnsi="Times New Roman;Times;serif"/>
          <w:sz w:val="20"/>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Alternate Consideration</w:t>
      </w:r>
      <w:r>
        <w:rPr>
          <w:rFonts w:ascii="Times New Roman;Times;serif" w:hAnsi="Times New Roman;Times;serif"/>
          <w:sz w:val="20"/>
        </w:rPr>
        <w:t>” shall have the meaning set forth in Section 7(d).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Beneficial Ownership Limitation</w:t>
      </w:r>
      <w:r>
        <w:rPr>
          <w:rFonts w:ascii="Times New Roman;Times;serif" w:hAnsi="Times New Roman;Times;serif"/>
          <w:sz w:val="20"/>
        </w:rPr>
        <w:t>” shall have the meaning set forth in Section 6(d).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Board of Directors</w:t>
      </w:r>
      <w:r>
        <w:rPr>
          <w:rFonts w:ascii="Times New Roman;Times;serif" w:hAnsi="Times New Roman;Times;serif"/>
          <w:sz w:val="20"/>
        </w:rPr>
        <w:t>” means the board of directors of the Corporation.</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Business Day</w:t>
      </w:r>
      <w:r>
        <w:rPr>
          <w:rFonts w:ascii="Times New Roman;Times;serif" w:hAnsi="Times New Roman;Times;serif"/>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Buy-In</w:t>
      </w:r>
      <w:r>
        <w:rPr>
          <w:rFonts w:ascii="Times New Roman;Times;serif" w:hAnsi="Times New Roman;Times;serif"/>
          <w:sz w:val="20"/>
        </w:rPr>
        <w:t>” shall have the meaning set forth in Section 6(c)(iv).</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Certificate of Designation</w:t>
      </w:r>
      <w:r>
        <w:rPr>
          <w:rFonts w:ascii="Times New Roman;Times;serif" w:hAnsi="Times New Roman;Times;serif"/>
          <w:sz w:val="20"/>
        </w:rPr>
        <w:t>” means this Certificate of Designation of Rights, Preferences and Privileges of the Series A Convertible Preferred Stock.</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Change of Control Transaction</w:t>
      </w:r>
      <w:r>
        <w:rPr>
          <w:rFonts w:ascii="Times New Roman;Times;serif" w:hAnsi="Times New Roman;Times;serif"/>
          <w:sz w:val="20"/>
        </w:rPr>
        <w:t>” means the occurrence after the date hereof of any of (a) an acquisition after the date hereof by an individual or legal entity or “group” (as described in Rule 13d-5(b)(1) promulgated under the Exchange Act) of effective control (whether through legal or beneficial ownership of capital stock of the Corporation, by contract or otherwise) of in excess of 50% of the voting securities of the Corporation (other than by means of conversion or exercise of Preferred Stock and the Securities issued together with the Preferred Stock or upon conversion of any currently outstanding convertible securities in accordance with the terms thereof as in effect on the date hereof), (b) the Corporation merges into or consolidates with any other Person, or any Person merges into or consolidates with the Corporation and. after giving effect to such transaction. the stockholders of the Corporation immediately prior to such transaction own less than 51% of the aggregate voting power of the Corporation or the successor entity of such transaction. (c) the Corporation sells or transfers all or substantially all of its assets to another Person and the stockholders of the Corporation immediately prior to such transaction own less than 51% of the aggregate voting power of the acquiring entity immediately after the transaction, (d) a replacement at one time or within a one year period of more than one-half of the members of the Board of Directors which is not approved by a majority of those individuals who are members of the Board of Directors on the Original Issue Date (or by those individuals who are serving as members of the Board of Directors on any date whose nomination to the Board of Directors was approved by a majority of the members of the Board of Directors who are members on the Original Issue Date), or (e) the execution by the Corporation of an agreement to which the Corporation is a party or by which it is bound, providing for any of the events set forth in clauses (a) through (d) above.</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Closing</w:t>
      </w:r>
      <w:r>
        <w:rPr>
          <w:rFonts w:ascii="Times New Roman;Times;serif" w:hAnsi="Times New Roman;Times;serif"/>
          <w:sz w:val="20"/>
        </w:rPr>
        <w:t>” means the closing of the purchase and sale of the Securities pursuant to Section 1.2 of the Purchase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Closing Date</w:t>
      </w:r>
      <w:r>
        <w:rPr>
          <w:rFonts w:ascii="Times New Roman;Times;serif" w:hAnsi="Times New Roman;Times;serif"/>
          <w:sz w:val="20"/>
        </w:rPr>
        <w:t>” means the Trading Day on which all of the ‘Transaction Documents have been executed and delivered by the applicable parties thereto and all conditions precedent to (1) each Holder’s obligations to pay the Purchase Price and (ii) the Corporation’s obligations to deliver the Securities have been satisfied or waived.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Common Stock</w:t>
      </w:r>
      <w:r>
        <w:rPr>
          <w:rFonts w:ascii="Times New Roman;Times;serif" w:hAnsi="Times New Roman;Times;serif"/>
          <w:sz w:val="20"/>
        </w:rPr>
        <w:t>” means the Corporation’s common stock, par value $0.000041666 per share, and stock of any other class of securities into which such securities may hereafter be reclassified or changed.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Common Stock Equivalents</w:t>
      </w:r>
      <w:r>
        <w:rPr>
          <w:rFonts w:ascii="Times New Roman;Times;serif" w:hAnsi="Times New Roman;Times;serif"/>
          <w:sz w:val="20"/>
        </w:rPr>
        <w:t>” means any securities of the Corporation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Conversion Amount”</w:t>
      </w:r>
      <w:r>
        <w:rPr>
          <w:rFonts w:ascii="Times New Roman;Times;serif" w:hAnsi="Times New Roman;Times;serif"/>
          <w:sz w:val="20"/>
        </w:rPr>
        <w:t xml:space="preserve"> means the sum of the Stated Value at issue. “Conversion Date” shall have the meaning set forth in Section 6(a).</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Conversion Price</w:t>
      </w:r>
      <w:r>
        <w:rPr>
          <w:rFonts w:ascii="Times New Roman;Times;serif" w:hAnsi="Times New Roman;Times;serif"/>
          <w:sz w:val="20"/>
        </w:rPr>
        <w:t>” shall have the meaning set forth in Section 6(b).</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Conversion Shares</w:t>
      </w:r>
      <w:r>
        <w:rPr>
          <w:rFonts w:ascii="Times New Roman;Times;serif" w:hAnsi="Times New Roman;Times;serif"/>
          <w:sz w:val="20"/>
        </w:rPr>
        <w:t>” means, collectively, the shares of Common Stock issuable upon conversion of the shares of Preferred Stock in accordance with the terms hereof.</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Conversion Shares Registration Statement</w:t>
      </w:r>
      <w:r>
        <w:rPr>
          <w:rFonts w:ascii="Times New Roman;Times;serif" w:hAnsi="Times New Roman;Times;serif"/>
          <w:sz w:val="20"/>
        </w:rPr>
        <w:t>” means a registration statement that registers the resale of all Conversion Shares, so long as such Conversion Shares are Registrable Securities, of the Holders, who shall be named as “selling stockholders” therein and meets the requirements of the Registration Rights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Corporation</w:t>
      </w:r>
      <w:r>
        <w:rPr>
          <w:rFonts w:ascii="Times New Roman;Times;serif" w:hAnsi="Times New Roman;Times;serif"/>
          <w:sz w:val="20"/>
        </w:rPr>
        <w:t>” means Lion Biotechnologies, Inc., a Delaware corporation.</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Effective Date</w:t>
      </w:r>
      <w:r>
        <w:rPr>
          <w:rFonts w:ascii="Times New Roman;Times;serif" w:hAnsi="Times New Roman;Times;serif"/>
          <w:sz w:val="20"/>
        </w:rPr>
        <w:t>” means the date that the initial Registration Statement filed by the Corporation pursuant to the Registration Rights Agreement is first declared effective by the Commission.</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 and the rules and regulations promulgated thereunder.</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Exempt Issuance</w:t>
      </w:r>
      <w:r>
        <w:rPr>
          <w:rFonts w:ascii="Times New Roman;Times;serif" w:hAnsi="Times New Roman;Times;serif"/>
          <w:sz w:val="20"/>
        </w:rPr>
        <w:t>” means the issuance of (a) shares of Common Stock or options to employees, consultants, officers or directors of the Corporation pursuant to any stock or option plan duly adopted for such purpose, by a majority of the non-employee members of the Board of Directors of the Corporation or a majority of the members of a committee of non-employee directors established for such purpose, (b) securities upon the exercise or exchange of or conversion of any securities issued pursuant to the Purchase Agreement and/or other securities exercisable or exchangeable for or convertible into shares of Common Stock issued and outstanding on the date of the Purchase Agreement or as disclosed in the Corporation’s disclosure schedules to the Purchase Agreement, provided that such securities have not been amended on or after the date of the Purchase Agreement to increase the number of such securities or to decrease the exercise price, exchange price or conversion price of such securities and (c) securities issued pursuant to acquisitions or strategic transactions approved by a majority of the disinterested directors of the Corporation, provided that any such issuance shall only be to a Person (or to the equityholders of a Person) which is, itself or through its subsidiaries, an operating company or an owner of an asset in a business synergistic with the business of the Corporation and shall provide to the Corporation additional benefits in addition to the investment of funds, but shall not include a transaction in which the Corporation is issuing securities primarily for the purpose of raising capital or to an entity whose primary business is investing in securities, (d) Common Stock and/or Common Stock purchase warrants as payment, in full or part, for up to an aggregate of up to $2,000,000 of liabilities and other indebtedness owed by the Corporation as of the date of this Agreement to certain of its vendors, creditors, professionals and other obligees, (e) up to 2,690,000 shares of Common Stock issuable by the Corporation pursuant to the provisions of that certain Agreement and Plan of Merger, dated July 24, 2013, between the Corporation, Lion Biotechnologies, Inc., a Delaware corporation, and Genesis Biopharma Sub, Inc., a Delaware corporation and newly formed merger subsidiary wholly owned by the Corporation and (f) 400,000 shares of Common Stock issuable to Alpha Capital Anstalt which were purchased from the Corporation on May 6, 2013.</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Fundamental Transaction</w:t>
      </w:r>
      <w:r>
        <w:rPr>
          <w:rFonts w:ascii="Times New Roman;Times;serif" w:hAnsi="Times New Roman;Times;serif"/>
          <w:sz w:val="20"/>
        </w:rPr>
        <w:t>” shall have the meaning set forth in Section 7(d).</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pPr>
      <w:r>
        <w:rPr/>
        <w:t>“</w:t>
      </w:r>
      <w:r>
        <w:rPr>
          <w:rFonts w:ascii="Times New Roman;Times;serif" w:hAnsi="Times New Roman;Times;serif"/>
          <w:sz w:val="20"/>
          <w:u w:val="single"/>
        </w:rPr>
        <w:t>GAAP</w:t>
      </w:r>
      <w:r>
        <w:rPr>
          <w:rFonts w:ascii="Times New Roman;Times;serif" w:hAnsi="Times New Roman;Times;serif"/>
          <w:sz w:val="20"/>
        </w:rPr>
        <w:t>” means United States generally accepted accounting principles.</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 “</w:t>
      </w:r>
      <w:r>
        <w:rPr>
          <w:rFonts w:ascii="Times New Roman;Times;serif" w:hAnsi="Times New Roman;Times;serif"/>
          <w:sz w:val="20"/>
          <w:u w:val="single"/>
        </w:rPr>
        <w:t>Holder</w:t>
      </w:r>
      <w:r>
        <w:rPr>
          <w:rFonts w:ascii="Times New Roman;Times;serif" w:hAnsi="Times New Roman;Times;serif"/>
          <w:sz w:val="20"/>
        </w:rPr>
        <w:t>” shall have the meaning given such term in Section 2.</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Issuable Maximum</w:t>
      </w:r>
      <w:r>
        <w:rPr>
          <w:rFonts w:ascii="Times New Roman;Times;serif" w:hAnsi="Times New Roman;Times;serif"/>
          <w:sz w:val="20"/>
        </w:rPr>
        <w:t>” shall have the meaning set forth in Section 6(e).</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Junior Securities</w:t>
      </w:r>
      <w:r>
        <w:rPr>
          <w:rFonts w:ascii="Times New Roman;Times;serif" w:hAnsi="Times New Roman;Times;serif"/>
          <w:sz w:val="20"/>
        </w:rPr>
        <w:t>” means the Common Stock and all other Common Stock Equivalents of</w:t>
      </w:r>
      <w:r>
        <w:rPr>
          <w:rFonts w:ascii="Times New Roman;Times;serif" w:hAnsi="Times New Roman;Times;serif"/>
          <w:sz w:val="19"/>
        </w:rPr>
        <w:t>-</w:t>
      </w:r>
      <w:r>
        <w:rPr>
          <w:rFonts w:ascii="Times New Roman;Times;serif" w:hAnsi="Times New Roman;Times;serif"/>
          <w:sz w:val="20"/>
        </w:rPr>
        <w:t xml:space="preserve">the Corporation other than those securities which are explicitly senior or </w:t>
      </w:r>
      <w:r>
        <w:rPr>
          <w:rFonts w:ascii="Times New Roman;Times;serif" w:hAnsi="Times New Roman;Times;serif"/>
          <w:sz w:val="20"/>
          <w:u w:val="single"/>
        </w:rPr>
        <w:t>pari passu</w:t>
      </w:r>
      <w:r>
        <w:rPr>
          <w:rFonts w:ascii="Times New Roman;Times;serif" w:hAnsi="Times New Roman;Times;serif"/>
          <w:sz w:val="20"/>
        </w:rPr>
        <w:t xml:space="preserve"> to the Preferred Stock in dividend rights or liquidation preference.</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Liquidation</w:t>
      </w:r>
      <w:r>
        <w:rPr>
          <w:rFonts w:ascii="Times New Roman;Times;serif" w:hAnsi="Times New Roman;Times;serif"/>
          <w:sz w:val="20"/>
        </w:rPr>
        <w:t>” shall have the meaning set forth in Section 5.</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Mandatory Conversion Time</w:t>
      </w:r>
      <w:r>
        <w:rPr>
          <w:rFonts w:ascii="Times New Roman;Times;serif" w:hAnsi="Times New Roman;Times;serif"/>
          <w:sz w:val="20"/>
        </w:rPr>
        <w:t>” shall have the meaning set forth in Section 8(a).</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New York Courts</w:t>
      </w:r>
      <w:r>
        <w:rPr>
          <w:rFonts w:ascii="Times New Roman;Times;serif" w:hAnsi="Times New Roman;Times;serif"/>
          <w:sz w:val="20"/>
        </w:rPr>
        <w:t>” shall have the meaning set forth in Section 9(d).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Notice of Conversion</w:t>
      </w:r>
      <w:r>
        <w:rPr>
          <w:rFonts w:ascii="Times New Roman;Times;serif" w:hAnsi="Times New Roman;Times;serif"/>
          <w:sz w:val="20"/>
        </w:rPr>
        <w:t>” shall have the meaning set forth in Section 6(a).</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Original Issue Date</w:t>
      </w:r>
      <w:r>
        <w:rPr>
          <w:rFonts w:ascii="Times New Roman;Times;serif" w:hAnsi="Times New Roman;Times;serif"/>
          <w:sz w:val="20"/>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Person</w:t>
      </w:r>
      <w:r>
        <w:rPr>
          <w:rFonts w:ascii="Times New Roman;Times;serif" w:hAnsi="Times New Roman;Times;serif"/>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Preferred Stock</w:t>
      </w:r>
      <w:r>
        <w:rPr>
          <w:rFonts w:ascii="Times New Roman;Times;serif" w:hAnsi="Times New Roman;Times;serif"/>
          <w:sz w:val="20"/>
        </w:rPr>
        <w:t>” shall have the meaning set forth in Section 2.</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Purchase Agreement</w:t>
      </w:r>
      <w:r>
        <w:rPr>
          <w:rFonts w:ascii="Times New Roman;Times;serif" w:hAnsi="Times New Roman;Times;serif"/>
          <w:sz w:val="20"/>
        </w:rPr>
        <w:t>” means the Securities Purchase Agreement, dated on or about the Original Issue Date, among the Corporation and the original Holders, as amended, modified or supplemented from time to time in accordance with its terms for the purchase and sale of Common Stock, Preferred Stock and Warrants.</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Purchase Price</w:t>
      </w:r>
      <w:r>
        <w:rPr>
          <w:rFonts w:ascii="Times New Roman;Times;serif" w:hAnsi="Times New Roman;Times;serif"/>
          <w:sz w:val="20"/>
        </w:rPr>
        <w:t>” shall mean, as to each Holder, the aggregate amount to be paid for the Preferred Stock purchased pursuant to the Purchase Agreement as specified below such Holder’s name on the signature page of the Purchase Agreement and next to the heading “Purchase Price,” in United States dollars and in immediately available funds.</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Registration Rights Agreement</w:t>
      </w:r>
      <w:r>
        <w:rPr>
          <w:rFonts w:ascii="Times New Roman;Times;serif" w:hAnsi="Times New Roman;Times;serif"/>
          <w:sz w:val="20"/>
        </w:rPr>
        <w:t xml:space="preserve">” means the Registration Rights Agreement, dated as of the date of the Purchase Agreement, among the Corporation and the original Holders, in the form of </w:t>
      </w:r>
      <w:r>
        <w:rPr>
          <w:rFonts w:ascii="Times New Roman;Times;serif" w:hAnsi="Times New Roman;Times;serif"/>
          <w:sz w:val="20"/>
          <w:u w:val="single"/>
        </w:rPr>
        <w:t>Exhibit B</w:t>
      </w:r>
      <w:r>
        <w:rPr>
          <w:rFonts w:ascii="Times New Roman;Times;serif" w:hAnsi="Times New Roman;Times;serif"/>
          <w:sz w:val="20"/>
        </w:rPr>
        <w:t xml:space="preserve"> attached to the Purchase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Registration Statement</w:t>
      </w:r>
      <w:r>
        <w:rPr>
          <w:rFonts w:ascii="Times New Roman;Times;serif" w:hAnsi="Times New Roman;Times;serif"/>
          <w:sz w:val="20"/>
        </w:rPr>
        <w:t>” means a registration statement meeting the requirements set forth in the Registration Rights Agreement and covering the resale of the Registrable Securities by each Holder as provided for in the Registration Rights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Rule 144</w:t>
      </w:r>
      <w:r>
        <w:rPr>
          <w:rFonts w:ascii="Times New Roman;Times;serif" w:hAnsi="Times New Roman;Times;serif"/>
          <w:sz w:val="20"/>
        </w:rPr>
        <w:t>” means Rule 144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Rule 424</w:t>
      </w:r>
      <w:r>
        <w:rPr>
          <w:rFonts w:ascii="Times New Roman;Times;serif" w:hAnsi="Times New Roman;Times;serif"/>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Securities</w:t>
      </w:r>
      <w:r>
        <w:rPr>
          <w:rFonts w:ascii="Times New Roman;Times;serif" w:hAnsi="Times New Roman;Times;serif"/>
          <w:sz w:val="20"/>
        </w:rPr>
        <w:t>” means the Common Stock, Preferred Stock, the Warrants, the Warrant Shares and the Underlying Shares subject to the Purchase Agreement.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Share Delivery Date</w:t>
      </w:r>
      <w:r>
        <w:rPr>
          <w:rFonts w:ascii="Times New Roman;Times;serif" w:hAnsi="Times New Roman;Times;serif"/>
          <w:sz w:val="20"/>
        </w:rPr>
        <w:t>” shall have the meaning set forth in Section 6(c).</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Stated Value</w:t>
      </w:r>
      <w:r>
        <w:rPr>
          <w:rFonts w:ascii="Times New Roman;Times;serif" w:hAnsi="Times New Roman;Times;serif"/>
          <w:sz w:val="20"/>
        </w:rPr>
        <w:t>” shall have the meaning set forth in Section 2, as the same may be increased pursuant to Section 3.</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Subsidiary</w:t>
      </w:r>
      <w:r>
        <w:rPr>
          <w:rFonts w:ascii="Times New Roman;Times;serif" w:hAnsi="Times New Roman;Times;serif"/>
          <w:sz w:val="20"/>
        </w:rPr>
        <w:t>” means any subsidiary of the Corporation as set forth in Section 2.1(a) of the Purchase Agreement and shall, where applicable, also include any direct or indirect subsidiary of the Corporation formed or acquired after the date of the Purchase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Successor Entity</w:t>
      </w:r>
      <w:r>
        <w:rPr>
          <w:rFonts w:ascii="Times New Roman;Times;serif" w:hAnsi="Times New Roman;Times;serif"/>
          <w:sz w:val="20"/>
        </w:rPr>
        <w:t>” shall have the meaning set forth in Section 7(d).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principal Trading Market is open for business.</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MKT LLC, the Nasdaq Capital Market, the Nasdaq Global Market, the Nasdaq Global Select Market, the New York Stock Exchange, OTC Markets, or the OTC Bulletin Board (or any successors to any of the foregoing).</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Transaction Documents</w:t>
      </w:r>
      <w:r>
        <w:rPr>
          <w:rFonts w:ascii="Times New Roman;Times;serif" w:hAnsi="Times New Roman;Times;serif"/>
          <w:sz w:val="20"/>
        </w:rPr>
        <w:t>” means this Certificate of Designation, the Purchase Agreement, the Warrants, the Registration Rights Agreement, all exhibits and schedules thereto and hereto and any other documents or agreements executed in connection with the transactions contemplated pursuant to the Purchase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Transfer Agent</w:t>
      </w:r>
      <w:r>
        <w:rPr>
          <w:rFonts w:ascii="Times New Roman;Times;serif" w:hAnsi="Times New Roman;Times;serif"/>
          <w:sz w:val="20"/>
        </w:rPr>
        <w:t>” means Corporate Stock Transfer, Inc., the current transfer agent of the Corporation with a mailing address of 3200 Cherry Creek South Drive, Suite 430 Denver, Colorado 80209 and a facsimile number of (303) 282-5800, and any successor transfer agent of the Corporation.</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Underlying Shares</w:t>
      </w:r>
      <w:r>
        <w:rPr>
          <w:rFonts w:ascii="Times New Roman;Times;serif" w:hAnsi="Times New Roman;Times;serif"/>
          <w:sz w:val="20"/>
        </w:rPr>
        <w:t>” means the shares of Common Stock issued and issuable upon conversion of the Preferred Stock and upon exercise of the Warrants.</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VWAP</w:t>
      </w:r>
      <w:r>
        <w:rPr>
          <w:rFonts w:ascii="Times New Roman;Times;serif" w:hAnsi="Times New Roman;Times;serif"/>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 Bulletin Board is not a Trading Market, the volume weighted average price of the Common Stock for such date (or the nearest preceding date) on the OTC Bulletin Board, (c) if the Common Stock is not then listed or quoted for trading on the OTC Bulletin Board and if prices for the Common Stock are then reported in the “Pink Sheets” published by Pink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Preferred Stock then outstanding and reasonably acceptable to the Corporation, the fees and expenses of which shall be paid by the Corporation.</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Warrants</w:t>
      </w:r>
      <w:r>
        <w:rPr>
          <w:rFonts w:ascii="Times New Roman;Times;serif" w:hAnsi="Times New Roman;Times;serif"/>
          <w:sz w:val="20"/>
        </w:rPr>
        <w:t xml:space="preserve">” means, collectively, the Common Stock purchase warrants delivered to the Holder at the Closing in accordance with Section 1.3 of the Purchase Agreement, which Warrants shall be exercisable immediately and have a term of exercise equal to five years, in the form of </w:t>
      </w:r>
      <w:r>
        <w:rPr>
          <w:rFonts w:ascii="Times New Roman;Times;serif" w:hAnsi="Times New Roman;Times;serif"/>
          <w:sz w:val="20"/>
          <w:u w:val="single"/>
        </w:rPr>
        <w:t>Exhibit C</w:t>
      </w:r>
      <w:r>
        <w:rPr>
          <w:rFonts w:ascii="Times New Roman;Times;serif" w:hAnsi="Times New Roman;Times;serif"/>
          <w:sz w:val="20"/>
        </w:rPr>
        <w:t xml:space="preserve"> attached to the Purchase Agreement.</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Warrant Shares</w:t>
      </w:r>
      <w:r>
        <w:rPr>
          <w:rFonts w:ascii="Times New Roman;Times;serif" w:hAnsi="Times New Roman;Times;serif"/>
          <w:sz w:val="20"/>
        </w:rPr>
        <w:t>” means the shares of Common Stock issuable upon exercise of the Warrants.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2</w:t>
      </w:r>
      <w:r>
        <w:rPr>
          <w:rFonts w:ascii="Times New Roman;Times;serif" w:hAnsi="Times New Roman;Times;serif"/>
          <w:sz w:val="20"/>
        </w:rPr>
        <w:t xml:space="preserve">. </w:t>
      </w:r>
      <w:r>
        <w:rPr>
          <w:rFonts w:ascii="Times New Roman;Times;serif" w:hAnsi="Times New Roman;Times;serif"/>
          <w:sz w:val="20"/>
          <w:u w:val="single"/>
        </w:rPr>
        <w:t>Designation, Amount and Par Value</w:t>
      </w:r>
      <w:r>
        <w:rPr>
          <w:rFonts w:ascii="Times New Roman;Times;serif" w:hAnsi="Times New Roman;Times;serif"/>
          <w:sz w:val="20"/>
        </w:rPr>
        <w:t>. The series of preferred stock shall be designated as the Corporation’s Series A Convertible Preferred Stock (the “</w:t>
      </w:r>
      <w:r>
        <w:rPr>
          <w:rFonts w:ascii="Times New Roman;Times;serif" w:hAnsi="Times New Roman;Times;serif"/>
          <w:sz w:val="20"/>
          <w:u w:val="single"/>
        </w:rPr>
        <w:t>Preferred Stock</w:t>
      </w:r>
      <w:r>
        <w:rPr>
          <w:rFonts w:ascii="Times New Roman;Times;serif" w:hAnsi="Times New Roman;Times;serif"/>
          <w:sz w:val="20"/>
        </w:rPr>
        <w:t>”) and the number of shares so designated shall be 17,000 (which shall not be subject to increase without the written consent of all of the holders of the Preferred Stock (each, a “</w:t>
      </w:r>
      <w:r>
        <w:rPr>
          <w:rFonts w:ascii="Times New Roman;Times;serif" w:hAnsi="Times New Roman;Times;serif"/>
          <w:sz w:val="20"/>
          <w:u w:val="single"/>
        </w:rPr>
        <w:t>Holder</w:t>
      </w:r>
      <w:r>
        <w:rPr>
          <w:rFonts w:ascii="Times New Roman;Times;serif" w:hAnsi="Times New Roman;Times;serif"/>
          <w:sz w:val="20"/>
        </w:rPr>
        <w:t>” and collectively, the “</w:t>
      </w:r>
      <w:r>
        <w:rPr>
          <w:rFonts w:ascii="Times New Roman;Times;serif" w:hAnsi="Times New Roman;Times;serif"/>
          <w:sz w:val="20"/>
          <w:u w:val="single"/>
        </w:rPr>
        <w:t>Holders</w:t>
      </w:r>
      <w:r>
        <w:rPr>
          <w:rFonts w:ascii="Times New Roman;Times;serif" w:hAnsi="Times New Roman;Times;serif"/>
          <w:sz w:val="20"/>
        </w:rPr>
        <w:t>”)). Each share of Preferred Stock shall have a par value of</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$0.001 per share and a stated value equal to $1,000, subject to increase set forth in Section 3 below (the “Stated Value”).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3</w:t>
      </w:r>
      <w:r>
        <w:rPr>
          <w:rFonts w:ascii="Times New Roman;Times;serif" w:hAnsi="Times New Roman;Times;serif"/>
          <w:sz w:val="20"/>
        </w:rPr>
        <w:t xml:space="preserve">. </w:t>
      </w:r>
      <w:r>
        <w:rPr>
          <w:rFonts w:ascii="Times New Roman;Times;serif" w:hAnsi="Times New Roman;Times;serif"/>
          <w:sz w:val="20"/>
          <w:u w:val="single"/>
        </w:rPr>
        <w:t>Dividends</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Holders shall be entitled to receive, and the Corporation shall pay, dividends on shares of Preferred Stock equal (on an as-if-converted-to-Common-Stock basis) to and in the same form as dividends (other than dividends in the form of Common Stock) actually paid on shares of the Common Stock or other Junior Securities when, as and if such dividends (other than dividends in the form of Common Stock) are paid on shares of the Common Stock or other Junior Securities. Other than as set forth in the previous sentence, no other dividends shall be paid on shares of Preferred Stock; and the Corporation shall pay no dividends (other than dividends in the form of Common Stock) on shares of the Common Stock or other Junior Securities unless it simultaneously complies with the previous sentence. All declared but unpaid dividends on shares of Preferred Stock shall increase the Stated Value of such shares, but when such dividends are actually paid any such increase in the Stated Value shall be rescinded.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So long as any shares of Preferred Stock remain outstanding, neither the Corporation nor any subsidiary thereof shall redeem, purchase or otherwise acquire directly or indirectly any material amount of Junior Securities.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4</w:t>
      </w:r>
      <w:r>
        <w:rPr>
          <w:rFonts w:ascii="Times New Roman;Times;serif" w:hAnsi="Times New Roman;Times;serif"/>
          <w:sz w:val="20"/>
        </w:rPr>
        <w:t xml:space="preserve">. </w:t>
      </w:r>
      <w:r>
        <w:rPr>
          <w:rFonts w:ascii="Times New Roman;Times;serif" w:hAnsi="Times New Roman;Times;serif"/>
          <w:sz w:val="20"/>
          <w:u w:val="single"/>
        </w:rPr>
        <w:t>Voting Rights</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Except as otherwise provided herein or as otherwise required by law, the Preferred Stock shall have no voting rights. However, as long as any shares of Preferred Stock arc outstanding, the Corporation shall not, without the affirmative vote of the Holders of at least a majority in Stated Value of Preferred Stock, except as may be necessary to increase the authorized shares of Common Stock in order to account for any increase in the number of shares issuable upon conversion of the Preferred Stock, (a) alter or change adversely the powers, preferences or rights given to the Preferred Stock or alter or amend this Certificate of Designation, (b) authorize or create any class of stock ranking as to dividends, redemption or distribution of assets upon a Liquidation (as defined in Section 5) senior to, or otherwise </w:t>
      </w:r>
      <w:r>
        <w:rPr>
          <w:rFonts w:ascii="Times New Roman;Times;serif" w:hAnsi="Times New Roman;Times;serif"/>
          <w:sz w:val="20"/>
          <w:u w:val="single"/>
        </w:rPr>
        <w:t>pari passu</w:t>
      </w:r>
      <w:r>
        <w:rPr>
          <w:rFonts w:ascii="Times New Roman;Times;serif" w:hAnsi="Times New Roman;Times;serif"/>
          <w:sz w:val="20"/>
        </w:rPr>
        <w:t xml:space="preserve"> with, the Preferred Stock, (c) amend its certificate of incorporation or other charter documents in any manner that adversely affects any rights of the Holders, (d) increase the number of authorized shares of Preferred Stock, or (e) enter into any agreement with respect to any of the foregoing.</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Until the one (1) year anniversary of the Original Issue Date, neither the Corporation nor any of its subsidiaries shall, without the affirmative vote of the Holders of at least a majority in Stated Value of Preferred Stock, (i) issue, enter into any agreement to issue or announce the issuance or proposed issuance of any shares of Common Stock or Common Stock Equivalents (other than Exempt Issuances) or (ii) obtain any other additional financing.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5</w:t>
      </w:r>
      <w:r>
        <w:rPr>
          <w:rFonts w:ascii="Times New Roman;Times;serif" w:hAnsi="Times New Roman;Times;serif"/>
          <w:sz w:val="20"/>
        </w:rPr>
        <w:t xml:space="preserve">. </w:t>
      </w:r>
      <w:r>
        <w:rPr>
          <w:rFonts w:ascii="Times New Roman;Times;serif" w:hAnsi="Times New Roman;Times;serif"/>
          <w:sz w:val="20"/>
          <w:u w:val="single"/>
        </w:rPr>
        <w:t>Liquidation</w:t>
      </w:r>
      <w:r>
        <w:rPr>
          <w:rFonts w:ascii="Times New Roman;Times;serif" w:hAnsi="Times New Roman;Times;serif"/>
          <w:sz w:val="20"/>
        </w:rPr>
        <w:t>. Upon any liquidation, dissolution or winding-up of the Corporation, whether voluntary or involuntary (a “</w:t>
      </w:r>
      <w:r>
        <w:rPr>
          <w:rFonts w:ascii="Times New Roman;Times;serif" w:hAnsi="Times New Roman;Times;serif"/>
          <w:sz w:val="20"/>
          <w:u w:val="single"/>
        </w:rPr>
        <w:t>Liquidation</w:t>
      </w:r>
      <w:r>
        <w:rPr>
          <w:rFonts w:ascii="Times New Roman;Times;serif" w:hAnsi="Times New Roman;Times;serif"/>
          <w:sz w:val="20"/>
        </w:rPr>
        <w:t>”), the assets of the Corporation available for distribution to its stockholders shall be distributed pad passu among the holders of the shares of Common Stock and Preferred Stock, pro rata based on the number of shares held by each such holder, treating for this purpose all such securities as if they had been converted to Common Stock, pursuant to the terms of the Articles of Incorporation immediately prior to such liquidation, dissolution or winding up of the Corporation. The Corporation shall mail written notice of any such Liquidation. not less than 45 days prior to the payment date stated therein, to each Holder.</w:t>
      </w:r>
    </w:p>
    <w:p>
      <w:pPr>
        <w:pStyle w:val="TextBody"/>
        <w:bidi w:val="0"/>
        <w:spacing w:before="0" w:after="0"/>
        <w:ind w:left="0" w:right="0" w:firstLine="72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u w:val="single"/>
        </w:rPr>
        <w:t>Section 6</w:t>
      </w:r>
      <w:r>
        <w:rPr>
          <w:rFonts w:ascii="Times New Roman;Times;serif" w:hAnsi="Times New Roman;Times;serif"/>
          <w:sz w:val="20"/>
        </w:rPr>
        <w:t xml:space="preserve">. </w:t>
      </w:r>
      <w:r>
        <w:rPr>
          <w:rFonts w:ascii="Times New Roman;Times;serif" w:hAnsi="Times New Roman;Times;serif"/>
          <w:sz w:val="20"/>
          <w:u w:val="single"/>
        </w:rPr>
        <w:t>Conversion</w:t>
      </w:r>
      <w:r>
        <w:rPr>
          <w:rFonts w:ascii="Times New Roman;Times;serif" w:hAnsi="Times New Roman;Times;serif"/>
          <w:sz w:val="20"/>
        </w:rPr>
        <w:t>.</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Conversions at Option of Holder</w:t>
      </w:r>
      <w:r>
        <w:rPr>
          <w:rFonts w:ascii="Times New Roman;Times;serif" w:hAnsi="Times New Roman;Times;serif"/>
          <w:sz w:val="20"/>
        </w:rPr>
        <w:t xml:space="preserve">. Each share of Preferred Stock shall be convertible, at any time and from time to time from and after the Original Issue Date at the option of the Holder thereof, into that number of shares of Common Stock (subject to the limitations set forth in Section 6(d) and Section 6(e)) determined by dividing the Stated Value of such share of Preferred Stock by the Conversion Price. Holders shall effect conversions by providing the Corporation with the form of conversion notice attached hereto as </w:t>
      </w:r>
      <w:r>
        <w:rPr>
          <w:rFonts w:ascii="Times New Roman;Times;serif" w:hAnsi="Times New Roman;Times;serif"/>
          <w:sz w:val="20"/>
          <w:u w:val="single"/>
        </w:rPr>
        <w:t>Annex A</w:t>
      </w:r>
      <w:r>
        <w:rPr>
          <w:rFonts w:ascii="Times New Roman;Times;serif" w:hAnsi="Times New Roman;Times;serif"/>
          <w:sz w:val="20"/>
        </w:rPr>
        <w:t xml:space="preserve"> (a “</w:t>
      </w:r>
      <w:r>
        <w:rPr>
          <w:rFonts w:ascii="Times New Roman;Times;serif" w:hAnsi="Times New Roman;Times;serif"/>
          <w:sz w:val="20"/>
          <w:u w:val="single"/>
        </w:rPr>
        <w:t>Notice of Conversion</w:t>
      </w:r>
      <w:r>
        <w:rPr>
          <w:rFonts w:ascii="Times New Roman;Times;serif" w:hAnsi="Times New Roman;Times;serif"/>
          <w:sz w:val="20"/>
        </w:rPr>
        <w: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facsimile such Notice of Conversion to the Corporation (such date, the “</w:t>
      </w:r>
      <w:r>
        <w:rPr>
          <w:rFonts w:ascii="Times New Roman;Times;serif" w:hAnsi="Times New Roman;Times;serif"/>
          <w:sz w:val="20"/>
          <w:u w:val="single"/>
        </w:rPr>
        <w:t>Conversion Date</w:t>
      </w:r>
      <w:r>
        <w:rPr>
          <w:rFonts w:ascii="Times New Roman;Times;serif" w:hAnsi="Times New Roman;Times;serif"/>
          <w:sz w:val="20"/>
        </w:rPr>
        <w:t>”). If no Conversion Date is specified in a Notice of Conversion, the Conversion Date shall be the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that such Notice of Conversion to the Corporation is deemed delivered hereunder.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(i) the full or remaining number of shares of Preferred Stock represented by such certificate are being converted or (ii) such Holder has provided the Corporation with prior written notice (which notice may be included in a Notice of Conversion) requesting reissuance of a certificate representing the remaining shares of Preferred Stock upon physical surrender of any certificate representing the shares of Preferred Stock being converted. Each Holder and the Corporation shall maintain records showing the number of shares of Preferred Stock so converted by such Holder and the dates of such conversions or shall use such other method, reasonably satisfactory to such Holder and the Corporation, so as not to require physical surrender of the certificate representing the shares of Preferred Stock upon each such conversion. In the event of any dispute or discrepancy, such records of the Corporation establishing the number of shares of Preferred Stock to which the record holder is entitled shall be controlling and determinative in the absence of manifest error. Shares of Preferred Stock converted into Common Stock in accordance with the terms hereof shall be canceled and shall not be reissued.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Conversion Price</w:t>
      </w:r>
      <w:r>
        <w:rPr>
          <w:rFonts w:ascii="Times New Roman;Times;serif" w:hAnsi="Times New Roman;Times;serif"/>
          <w:sz w:val="20"/>
        </w:rPr>
        <w:t>. The conversion price for the Preferred Stock shall equal $2.00, subject to adjustment herein (the “</w:t>
      </w:r>
      <w:r>
        <w:rPr>
          <w:rFonts w:ascii="Times New Roman;Times;serif" w:hAnsi="Times New Roman;Times;serif"/>
          <w:sz w:val="20"/>
          <w:u w:val="single"/>
        </w:rPr>
        <w:t>Conversion Price</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Mechanics of Conversion</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Delivery of Certificate Upon Conversion</w:t>
      </w:r>
      <w:r>
        <w:rPr>
          <w:rFonts w:ascii="Times New Roman;Times;serif" w:hAnsi="Times New Roman;Times;serif"/>
          <w:sz w:val="20"/>
        </w:rPr>
        <w:t>. Not later than three (3) Trading Days after each Conversion Date (the “</w:t>
      </w:r>
      <w:r>
        <w:rPr>
          <w:rFonts w:ascii="Times New Roman;Times;serif" w:hAnsi="Times New Roman;Times;serif"/>
          <w:sz w:val="20"/>
          <w:u w:val="single"/>
        </w:rPr>
        <w:t>Share Delivery Date</w:t>
      </w:r>
      <w:r>
        <w:rPr>
          <w:rFonts w:ascii="Times New Roman;Times;serif" w:hAnsi="Times New Roman;Times;serif"/>
          <w:sz w:val="20"/>
        </w:rPr>
        <w:t>”), the Corporation shall deliver, or cause to be delivered, to the converting Holder (A) a certificate or certificates free of restrictive legends representing the number of Conversion Shares being acquired upon the conversion of the Preferred Stock, and (B) a bank check in the amount of accrued and unpaid dividends. If requested by the Holder, the Corporation shall use its best efforts to deliver any certificate or certificates required to be delivered by the Corporation under this Section 6 electronically through the Depository Trust Company or another established clearing corporation performing similar functions.</w:t>
      </w:r>
    </w:p>
    <w:p>
      <w:pPr>
        <w:pStyle w:val="TextBody"/>
        <w:bidi w:val="0"/>
        <w:spacing w:before="0" w:after="0"/>
        <w:ind w:left="0" w:right="0" w:firstLine="108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Failure to Deliver Certificates</w:t>
      </w:r>
      <w:r>
        <w:rPr>
          <w:rFonts w:ascii="Times New Roman;Times;serif" w:hAnsi="Times New Roman;Times;serif"/>
          <w:sz w:val="20"/>
        </w:rPr>
        <w:t>. It, in the case of any Notice of Conversion, such certificate or certificates are not delivered to or as directed by the applicable Holder by the Share Delivery Date, the Holder shall be entitled to elect by written notice to the Corporation at any time on or before its receipt of such certificate or certificates, to rescind such Conversion, in which event the Corporation shall promptly return to the Holder any original Preferred Stock certificate delivered to the Corporation and the Holder shall promptly return to the Corporation the Common Stock certificates issued to such Holder pursuant to the rescinded Conversion Notice.</w:t>
      </w:r>
    </w:p>
    <w:p>
      <w:pPr>
        <w:pStyle w:val="TextBody"/>
        <w:bidi w:val="0"/>
        <w:spacing w:before="0" w:after="0"/>
        <w:ind w:left="0" w:right="0" w:firstLine="108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u w:val="single"/>
        </w:rPr>
        <w:t>Obligation Absolute; Partial Liquidated Damages</w:t>
      </w:r>
      <w:r>
        <w:rPr>
          <w:rFonts w:ascii="Times New Roman;Times;serif" w:hAnsi="Times New Roman;Times;serif"/>
          <w:sz w:val="20"/>
        </w:rPr>
        <w:t xml:space="preserve">.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such delivery shall not operate as a waiver by the Corporation of any such action that the Corporation may have against such Holder. In the event a Holder shall elect to convert any or all of the Stated Value of its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and the Corporation posts a surety bond for the benefit of such Holder in the amount of 150% of the Stated Value of Preferred Stock which is subject to the injunction, which bond shall remain in effect until the completion of arbitration/litigation of the underlying dispute and the proceeds of which shall be payable to such Holder to the extent it obtains judgment. In the absence of such injunction, the Corporation shall issue Conversion Shares and, if applicable, cash, upon a properly noticed conversion.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shall not prohibit a Holder from seeking to enforce damages pursuant to any other Section hereof or under applicable law.</w:t>
      </w:r>
    </w:p>
    <w:p>
      <w:pPr>
        <w:pStyle w:val="TextBody"/>
        <w:bidi w:val="0"/>
        <w:spacing w:before="0" w:after="0"/>
        <w:ind w:left="0" w:right="0" w:firstLine="108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u w:val="single"/>
        </w:rPr>
        <w:t>Compensation for Buy-In on Failure to Timely Deliver Certificates Upon Conversion</w:t>
      </w:r>
      <w:r>
        <w:rPr>
          <w:rFonts w:ascii="Times New Roman;Times;serif" w:hAnsi="Times New Roman;Times;serif"/>
          <w:sz w:val="20"/>
        </w:rPr>
        <w:t>. In addition to any other rights available to the Holder, if the Corporation fails for any reason to deliver to a Holder the applicable certificate or certificates by the Share Delivery Date pursuant to Section 6(c)(i),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Times;serif" w:hAnsi="Times New Roman;Times;serif"/>
          <w:sz w:val="20"/>
          <w:u w:val="single"/>
        </w:rPr>
        <w:t>Buy-In</w:t>
      </w:r>
      <w:r>
        <w:rPr>
          <w:rFonts w:ascii="Times New Roman;Times;serif" w:hAnsi="Times New Roman;Times;serif"/>
          <w:sz w:val="20"/>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Corporation had timely complied with its delivery requirements under Section 6(c)(i). For example, if a Holder purchases shares of Common Stock having a total purchase price of $11,000 to cover a Buy-In with respect to an attempted conversion of shares of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Preferred Stock as required pursuant to the terms hereof.</w:t>
      </w:r>
    </w:p>
    <w:p>
      <w:pPr>
        <w:pStyle w:val="TextBody"/>
        <w:bidi w:val="0"/>
        <w:spacing w:before="0" w:after="0"/>
        <w:ind w:left="0" w:right="0" w:firstLine="108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u w:val="single"/>
        </w:rPr>
        <w:t>Reservation of Shares Issuable Upon Conversion</w:t>
      </w:r>
      <w:r>
        <w:rPr>
          <w:rFonts w:ascii="Times New Roman;Times;serif" w:hAnsi="Times New Roman;Times;serif"/>
          <w:sz w:val="20"/>
        </w:rPr>
        <w:t>. The Corporation covenants that it will at all times reserve and keep available out of its authorized and unissued shares of Common Stock for the sole purpose of issuance upon conversion of the Preferred Stock as herein provided, free from preemptive rights or any other actual contingent purchase rights of Persons other than the Holder (and the other holders of the Preferred Stock), not less than such aggregate number of shares of the Common Stock as shall (subject to the terms and conditions set forth in the respective Purchase Agreement) be issuable (taking into account the adjustments and restrictions of Section 7) upon the conversion of the then outstanding shares of Preferred Stock. The Corporation covenants that all shares of Common Stock that shall be so issuable shall, upon issue, be duly authorized, validly issued, fully paid and nonassessable and, if the Conversion Shares Registration Statement is then effective under the Securities Act, shall be registered for public resale in accordance with such Conversion Shares Registration Statement (subject to such Holder’s compliance with its obligations under the Registration Rights Agreement).</w:t>
      </w:r>
    </w:p>
    <w:p>
      <w:pPr>
        <w:pStyle w:val="TextBody"/>
        <w:bidi w:val="0"/>
        <w:spacing w:before="0" w:after="0"/>
        <w:ind w:left="0" w:right="0" w:firstLine="108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u w:val="single"/>
        </w:rPr>
        <w:t>Fractional Shares</w:t>
      </w:r>
      <w:r>
        <w:rPr>
          <w:rFonts w:ascii="Times New Roman;Times;serif" w:hAnsi="Times New Roman;Times;serif"/>
          <w:sz w:val="20"/>
        </w:rPr>
        <w:t>. No fractional shares or scrip representing fractional shares shall be issued upon the conversion of the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or round up to the next whole share.</w:t>
      </w:r>
    </w:p>
    <w:p>
      <w:pPr>
        <w:pStyle w:val="TextBody"/>
        <w:bidi w:val="0"/>
        <w:spacing w:before="0" w:after="0"/>
        <w:ind w:left="0" w:right="0" w:firstLine="108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u w:val="single"/>
        </w:rPr>
        <w:t>Transfer Taxes</w:t>
      </w:r>
      <w:r>
        <w:rPr>
          <w:rFonts w:ascii="Times New Roman;Times;serif" w:hAnsi="Times New Roman;Times;serif"/>
          <w:sz w:val="20"/>
        </w:rPr>
        <w:t>. The issuance of certificates for shares of the Common Stock on conversion of this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Holders of such shares of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Beneficial Ownership Limitation</w:t>
      </w:r>
      <w:r>
        <w:rPr>
          <w:rFonts w:ascii="Times New Roman;Times;serif" w:hAnsi="Times New Roman;Times;serif"/>
          <w:sz w:val="20"/>
        </w:rPr>
        <w:t>. The Corporation shall not effect any conversion of the Preferred Stock, and a Holder shall not have the right to convert any portion of the Preferred Stock, to the extent that, after giving effect to the conversion set forth on the applicable Notice of Conversion, such Holder (together with such Holder’s Affiliates, and any Persons acting as a group together with such Holder or any of such Holder’s Affiliates) would beneficially own in excess of the Beneficial Ownership Limitation (as defined below). For purposes of the foregoing sentence, the number of shares of Common Stock beneficially owned by such Holder and its Affiliates shall include the number of shares of Common Stock issuable upon conversion of the Preferred Stock with respect to which such determination is being made, but shall exclude the number of shares of Common Stock which are issuable upon (i) conversion of the remaining, unconverted Stated Value of Preferred Stock beneficially owned by such Holder or any of its Affiliates and (ii) exercise or conversion of the unexercised or unconverted portion of any other securities of the Corporation subject to a limitation on conversion or exercise analogous to the limitation contained herein (including, without limitation, the Preferred Stock or the Warrants) beneficially owned by such Holder or any of its Affiliates. Except as set forth in the preceding sentence, for purposes of this Section 6(d), beneficial ownership shall be calculated in accordance with Section 13(d) of the Exchange Act and the rules and regulations promulgated thereunder. To the extent that the limitation contained in this Section 6(d) applies, the determination of whether the Preferred Stock is convertible (in relation to other securities owned by such Holder together with any Affiliates)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In addition, a determination as to any group status as contemplated above shall be determined in accordance with Section 13(d) of the Exchange Act and the rules and regulations promulgated thereunder</w:t>
      </w:r>
      <w:r>
        <w:rPr>
          <w:rFonts w:ascii="Times New Roman;Times;serif" w:hAnsi="Times New Roman;Times;serif"/>
          <w:sz w:val="19"/>
        </w:rPr>
        <w:t>:</w:t>
      </w:r>
      <w:r>
        <w:rPr>
          <w:rFonts w:ascii="Times New Roman;Times;serif" w:hAnsi="Times New Roman;Times;serif"/>
          <w:sz w:val="20"/>
        </w:rPr>
        <w:t xml:space="preserve"> For purposes of this Section 6(d). in determining the number of outstanding shares of Common Stock, a Holder may rely on the number of outstanding shares of Common Stock as stated in the most recent of the following: (i) the Corporation’s most recent periodic or annual report filed with the Commission, as the case may be, (ii) a more recent public announcement by the Corporation or (iii) a more recent written notice by the Corporation or the Transfer Agent setting forth the number of shares of Common Stock outstanding. Upon the written or oral request of a Holder, the Corporation shall within two Trading Days confirm orally and in writing to such Holder the number of shares of Common Stock then outstanding. In any case, the number of outstanding shares of Common Stock shall be determined after giving effect to the conversion or exercise of securities of the Corporation, including the Preferred Stock, by such Holder or its Affiliates since the date as of which such number of outstanding shares of Common Stock was reported. The “</w:t>
      </w:r>
      <w:r>
        <w:rPr>
          <w:rFonts w:ascii="Times New Roman;Times;serif" w:hAnsi="Times New Roman;Times;serif"/>
          <w:sz w:val="20"/>
          <w:u w:val="single"/>
        </w:rPr>
        <w:t>Beneficial Ownership Limitation</w:t>
      </w:r>
      <w:r>
        <w:rPr>
          <w:rFonts w:ascii="Times New Roman;Times;serif" w:hAnsi="Times New Roman;Times;serif"/>
          <w:sz w:val="20"/>
        </w:rPr>
        <w:t>” shall be 4.99% of the number of shares of the Common Stock outstanding immediately after giving effect to the issuance of shares of Common Stock issuable upon conversion of Preferred Stock held by the applicable Holder. A Holder, upon not less than 61 days’ prior notice to the Corporation, may increase the Beneficial Ownership Limitation provisions of this Section 6(d) applicable to its Preferred Stock provided that the Beneficial Ownership Limitation in no event exceeds 9.99% of the number of shares of the Common Stock outstanding immediately after giving effect to the issuance of shares of Common Stock upon conversion of this Preferred Stock held by the Holder and the provisions of this Section 6(d) shall continue to apply. Any such increase will not be effective until the 61</w:t>
      </w:r>
      <w:r>
        <w:rPr>
          <w:rFonts w:ascii="Times New Roman;Times;serif" w:hAnsi="Times New Roman;Times;serif"/>
          <w:sz w:val="19"/>
        </w:rPr>
        <w:t>st</w:t>
      </w:r>
      <w:r>
        <w:rPr>
          <w:rFonts w:ascii="Times New Roman;Times;serif" w:hAnsi="Times New Roman;Times;serif"/>
          <w:sz w:val="20"/>
        </w:rPr>
        <w:t xml:space="preserve"> day after such notice is delivered to the Corporation and shall only apply to such Holder and no other Holder. The provisions of this paragraph shall be construed and implemented in a manner otherwise than in strict conformity with the terms of this Section 6(d)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7</w:t>
      </w:r>
      <w:r>
        <w:rPr>
          <w:rFonts w:ascii="Times New Roman;Times;serif" w:hAnsi="Times New Roman;Times;serif"/>
          <w:sz w:val="20"/>
        </w:rPr>
        <w:t xml:space="preserve">. </w:t>
      </w:r>
      <w:r>
        <w:rPr>
          <w:rFonts w:ascii="Times New Roman;Times;serif" w:hAnsi="Times New Roman;Times;serif"/>
          <w:sz w:val="20"/>
          <w:u w:val="single"/>
        </w:rPr>
        <w:t>Certain Adjustments</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Stock Dividends and Stock Splits</w:t>
      </w:r>
      <w:r>
        <w:rPr>
          <w:rFonts w:ascii="Times New Roman;Times;serif" w:hAnsi="Times New Roman;Times;serif"/>
          <w:sz w:val="20"/>
        </w:rPr>
        <w:t>. If the Corporation, at any time while this Preferred Stock is outstanding: (i) pays a stock dividend or otherwise makes a distribution or distributions payable in shares of Common Stock on shares of Common Stock or any other Common Stock Equivalents (which, for avoidance of doubt, shall not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 any shares of Common Stock issued by the Corporation upon conversion of this Preferred Stock),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Subsequent Rights Offerings</w:t>
      </w:r>
      <w:r>
        <w:rPr>
          <w:rFonts w:ascii="Times New Roman;Times;serif" w:hAnsi="Times New Roman;Times;serif"/>
          <w:sz w:val="20"/>
        </w:rPr>
        <w:t>. If the Corporation, at any time while the Preferred Stock is outstanding, shall issue rights, options or warrants to all holders of Common Stock (and not proportionately to the Holders) entitling them to subscribe for or purchase shares of Common Stock at a price per share that is lower than the VWAP on the record date for such issuance. and do not offer the same rights to the Holders, then the Holder will be entitled to acquire, upon conversion of the Preferred Stock, such rights, options or warrants which the Holder could have acquired if the Holder had held the number of shares of Common Stock acquirable upon complete conversion of such Holder’s Preferred Stock (without regard to any limitations on the conversion of such Preferred Stock) immediately before the date on which a record is taken for the issuance of such rights, options or warrants, or, if no such record is taken, the date as of which the record holders of shares of Common Stock are to be determined for the issuance of such rights, options or warrants.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Pro Rata Distributions</w:t>
      </w:r>
      <w:r>
        <w:rPr>
          <w:rFonts w:ascii="Times New Roman;Times;serif" w:hAnsi="Times New Roman;Times;serif"/>
          <w:sz w:val="20"/>
        </w:rPr>
        <w:t>. If the Corporation, at any time while this Preferred Stock is outstanding, distributes to all holders of Common Stock (and not to the Holders) evidences of its indebtedness or assets (including cash and cash dividends) or rights or warrants to subscribe for or purchase any security, then in each such case the Conversion Price shall be adjusted by multiplying such Conversion Price in effect immediately prior to the record date fixed for determination of stockholders entitled to receive such distribution by a fraction of which the denominator shall be the VWAP determined as of the record date mentioned above, and of which the numerator shall be such VWAP on such record date less the then fair market value at such record date of the portion of such assets or evidence of indebtedness or rights or warrants so distributed applicable to one outstanding share of the Common Stock as determined by the Board of Directors of the Corporation in good faith. In either case the adjustments shall be described in a statement delivered to the Holders describing the portion of assets or evidences of indebtedness so distributed or such subscription rights applicable to one share of Common Stock. Such adjustment shall be made whenever any such distribution is made and shall become effective immediately after the record date mentioned above.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Fundamental Transaction</w:t>
      </w:r>
      <w:r>
        <w:rPr>
          <w:rFonts w:ascii="Times New Roman;Times;serif" w:hAnsi="Times New Roman;Times;serif"/>
          <w:sz w:val="20"/>
        </w:rPr>
        <w:t>. If, at any time while this Preferred Stock is outstanding, (i) the Corporation, directly or indirectly, in 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and excluding shares acquired upon conversion of any currently outstanding convertible securities in accordance with the terms thereof as in effect on the date hereof) (each a “</w:t>
      </w:r>
      <w:r>
        <w:rPr>
          <w:rFonts w:ascii="Times New Roman;Times;serif" w:hAnsi="Times New Roman;Times;serif"/>
          <w:sz w:val="20"/>
          <w:u w:val="single"/>
        </w:rPr>
        <w:t>Fundamental Transaction</w:t>
      </w:r>
      <w:r>
        <w:rPr>
          <w:rFonts w:ascii="Times New Roman;Times;serif" w:hAnsi="Times New Roman;Times;serif"/>
          <w:sz w:val="20"/>
        </w:rPr>
        <w:t>”), then, upon any subsequent conversion of this Preferred Stock, the Holder shall have the right to receive, for each Conversion Share that would have been issuable upon such conversion immediately prior to the occurrence of such Fundamental Transaction (without regard to any limitation in Section 6(d) and Section 6(e) on the conversion of this Preferred Stock), the number of shares of Common Stock of the successor or acquiring corporation or of the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Corporation, if it is the surviving corporation, and any additional consideration (the “</w:t>
      </w:r>
      <w:r>
        <w:rPr>
          <w:rFonts w:ascii="Times New Roman;Times;serif" w:hAnsi="Times New Roman;Times;serif"/>
          <w:sz w:val="20"/>
          <w:u w:val="single"/>
        </w:rPr>
        <w:t>Alternate Consideration</w:t>
      </w:r>
      <w:r>
        <w:rPr>
          <w:rFonts w:ascii="Times New Roman;Times;serif" w:hAnsi="Times New Roman;Times;serif"/>
          <w:sz w:val="20"/>
        </w:rPr>
        <w:t>”) receivable as a result of such Fundamental Transaction by a holder of the number of shares of Common Stock for which this Preferred Stock is convertible immediately prior to such Fundamental Transaction (without regard to any limitation in Section 6(d) and Section 6(e) on the conversion of this Preferred Stock).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w:t>
      </w:r>
      <w:r>
        <w:rPr>
          <w:rFonts w:ascii="Times New Roman;Times;serif" w:hAnsi="Times New Roman;Times;serif"/>
          <w:sz w:val="20"/>
          <w:u w:val="single"/>
        </w:rPr>
        <w:t>Successor Entity</w:t>
      </w:r>
      <w:r>
        <w:rPr>
          <w:rFonts w:ascii="Times New Roman;Times;serif" w:hAnsi="Times New Roman;Times;serif"/>
          <w:sz w:val="20"/>
        </w:rPr>
        <w:t>”) to assume in writing all of the obligations of the Corporation under this Certificate of Designation and the other Transaction Documents (as defined in the Purchase Agreement) in accordance with the provisions of this Section 7(d) pursuant to written agreements in form and substance reasonably satisfactory to the Holder and approved by the Holder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Calculations</w:t>
      </w:r>
      <w:r>
        <w:rPr>
          <w:rFonts w:ascii="Times New Roman;Times;serif" w:hAnsi="Times New Roman;Times;serif"/>
          <w:sz w:val="20"/>
        </w:rPr>
        <w:t>. All calculations under this Section 7 shall be made to the nearest cent or the nearest 1/100th of a share, as the case may be</w:t>
      </w:r>
      <w:r>
        <w:rPr>
          <w:rFonts w:ascii="Times New Roman;Times;serif" w:hAnsi="Times New Roman;Times;serif"/>
          <w:i/>
          <w:sz w:val="20"/>
        </w:rPr>
        <w:t xml:space="preserve">. </w:t>
      </w:r>
      <w:r>
        <w:rPr>
          <w:rFonts w:ascii="Times New Roman;Times;serif" w:hAnsi="Times New Roman;Times;serif"/>
          <w:sz w:val="20"/>
        </w:rPr>
        <w:t>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 Notice to the Holders.</w:t>
      </w:r>
    </w:p>
    <w:p>
      <w:pPr>
        <w:pStyle w:val="TextBody"/>
        <w:bidi w:val="0"/>
        <w:spacing w:before="0" w:after="0"/>
        <w:ind w:left="0" w:right="0" w:firstLine="720"/>
        <w:jc w:val="left"/>
        <w:rPr/>
      </w:pPr>
      <w:r>
        <w:rPr/>
        <w:t>​</w:t>
      </w:r>
    </w:p>
    <w:p>
      <w:pPr>
        <w:pStyle w:val="TextBody"/>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Adjustment to Conversion Price</w:t>
      </w:r>
      <w:r>
        <w:rPr>
          <w:rFonts w:ascii="Times New Roman;Times;serif" w:hAnsi="Times New Roman;Times;serif"/>
          <w:sz w:val="20"/>
        </w:rPr>
        <w:t>. Whenever the Conversion Price is adjusted pursuant to any provision of this Section 7, the Corporation shall promptly deliver to each Holder a notice setting forth the Conversion Price after such adjustment and setting forth a brief statement of the facts requiring such adjustment.</w:t>
      </w:r>
    </w:p>
    <w:p>
      <w:pPr>
        <w:pStyle w:val="TextBody"/>
        <w:bidi w:val="0"/>
        <w:spacing w:before="0" w:after="0"/>
        <w:ind w:left="0" w:right="0" w:firstLine="1080"/>
        <w:jc w:val="left"/>
        <w:rPr/>
      </w:pPr>
      <w:r>
        <w:rPr/>
        <w:t>​</w:t>
      </w:r>
    </w:p>
    <w:p>
      <w:pPr>
        <w:pStyle w:val="TextBody"/>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Notice to Allow Conversion by Holder</w:t>
      </w:r>
      <w:r>
        <w:rPr>
          <w:rFonts w:ascii="Times New Roman;Times;serif" w:hAnsi="Times New Roman;Times;serif"/>
          <w:sz w:val="20"/>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be filed at each office or agency maintained for the purpose of conversion of this Preferred Stock, and shall cause to be delivered to each Holder at its last address as it shall appear upon the stock books of the Corporation, at least ten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or any of the Subsidiaries, the Corporation shall simultaneously file such notice with the Commission pursuant to a Current Report on Form 8-K. The Holder shall remain entitled to convert the Conversion Amount of this Preferred Stock (or any part hereof) during the 10-day period commencing on the date of such notice through the effective date of the event triggering such notice except as may otherwise be expressly set forth herein.</w:t>
      </w:r>
    </w:p>
    <w:p>
      <w:pPr>
        <w:pStyle w:val="TextBody"/>
        <w:bidi w:val="0"/>
        <w:spacing w:before="0" w:after="0"/>
        <w:ind w:left="0" w:right="0" w:firstLine="108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8</w:t>
      </w:r>
      <w:r>
        <w:rPr>
          <w:rFonts w:ascii="Times New Roman;Times;serif" w:hAnsi="Times New Roman;Times;serif"/>
          <w:sz w:val="20"/>
        </w:rPr>
        <w:t xml:space="preserve">. </w:t>
      </w:r>
      <w:r>
        <w:rPr>
          <w:rFonts w:ascii="Times New Roman;Times;serif" w:hAnsi="Times New Roman;Times;serif"/>
          <w:sz w:val="20"/>
          <w:u w:val="single"/>
        </w:rPr>
        <w:t>Mandatory Conversion</w:t>
      </w:r>
      <w:r>
        <w:rPr>
          <w:rFonts w:ascii="Times New Roman;Times;serif" w:hAnsi="Times New Roman;Times;serif"/>
          <w:sz w:val="20"/>
        </w:rPr>
        <w:t>. Upon either the (a) written election of the Holders of at least a majority in Stated Value of Preferred Stock or (b) issuance of a notice to the Holders than an Uplisting Determination has occurred (the date of such election or issuance of a notice is referred to herein as the “</w:t>
      </w:r>
      <w:r>
        <w:rPr>
          <w:rFonts w:ascii="Times New Roman;Times;serif" w:hAnsi="Times New Roman;Times;serif"/>
          <w:sz w:val="20"/>
          <w:u w:val="single"/>
        </w:rPr>
        <w:t>Mandatory Conversion Time</w:t>
      </w:r>
      <w:r>
        <w:rPr>
          <w:rFonts w:ascii="Times New Roman;Times;serif" w:hAnsi="Times New Roman;Times;serif"/>
          <w:sz w:val="20"/>
        </w:rPr>
        <w:t>”), then (i) all outstanding shares of Preferred Stock shall immediately and automatically be converted into shares of Common Stock, at the then effective Conversion Price as calculated pursuant to Section 6 and (ii) such shares of Preferred Stock may not thereafter be reissued by the Corporation. The term “Uplisting Determination” means a determination by the Corporation, based on consultations with the Corporation’s accountants, that it is necessary for the Preferred Stock to be converted into Common Stock in order for the Common Stock to be listed on a national securities exchange (including any of the Nasdaq markets and the NYSE MKT LLC). All holders of record of shares of Preferred Stock shall be sent written notice of the Mandatory Conversion Time along with instructions for converting the outstanding Preferred Stock certificates. If such election shall have been duly made or notice of mandatory conversion shall have been duly given, then, notwithstanding that the certificate evidencing any shares of Preferred Stock so converted remain outstanding and shall not have been surrendered, all rights pertaining to such shares shall terminate, except only the right of the Holders to receive Common Stock certificates upon surrender of their Preferred Stock certificates; provided, that the rights pertaining to such shares that remain unconverted pursuant to the beneficial ownership limitations set forth in Section 6(d) shall not be affected. Such notice need not be sent in advance of the occurrence of the Mandatory Conversion Time. For purposes of clarification, a conversion effected pursuant to the terms of this Section 8 shall be subject to all of the provisions of Section 6. including, without limitation, the provisions requiring payment of liquidated damages and beneficial ownership limitations.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9</w:t>
      </w:r>
      <w:r>
        <w:rPr>
          <w:rFonts w:ascii="Times New Roman;Times;serif" w:hAnsi="Times New Roman;Times;serif"/>
          <w:sz w:val="20"/>
        </w:rPr>
        <w:t xml:space="preserve">. </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Notices</w:t>
      </w:r>
      <w:r>
        <w:rPr>
          <w:rFonts w:ascii="Times New Roman;Times;serif" w:hAnsi="Times New Roman;Times;serif"/>
          <w:sz w:val="20"/>
        </w:rPr>
        <w:t xml:space="preserve">. Any and all notices or other communications or deliveries to be provided by the Holders hereunder including, without limitation, any Notice of Conversion, shall be in writing and delivered personally, by facsimile, or sent by a nationally recognized overnight courier service, addressed to the Corporation at 21900 Burbank Boulevard, 3rd Floor, Woodland Hills, California 91367, </w:t>
      </w:r>
      <w:r>
        <w:rPr>
          <w:rFonts w:ascii="Times New Roman;Times;serif" w:hAnsi="Times New Roman;Times;serif"/>
          <w:b/>
          <w:sz w:val="20"/>
        </w:rPr>
        <w:t>Attention</w:t>
      </w:r>
      <w:r>
        <w:rPr>
          <w:rFonts w:ascii="Times New Roman;Times;serif" w:hAnsi="Times New Roman;Times;serif"/>
          <w:sz w:val="20"/>
        </w:rPr>
        <w:t>: Chief Executive Officer, facsimile number (818) 475-5194, or such other facsimile number or address as the Corporation may specify for such purposes by notice to the Holders delivered in accordance with this Section 9. Any and all notices or other communications or deliveries to be provided by the Corporation hereunder shall be in writing and delivered personally, by facsimile, or sent by a nationally recognized overnight courier service addressed to each Holder at the facsimile number or address of such Holder appearing on the books of the Corporation, or if no such facsimile number or address appears on the books of the Corporation, at the principal place of business of such Holder, as set forth in the Purchase Agreement. Any notice or other communication or deliveries hereunder shall be deemed given and effective on the earliest of (i) the date of transmission, if such notice or communication is delivered via facsimile at the facsimile number set forth in this Section prior to 5:30 p.m. (New York City time) on any date, (ii) the next Trading Day after the date of transmission, if such notice or communication is delivered via facsimile at the facsimile number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Absolute Obligation</w:t>
      </w:r>
      <w:r>
        <w:rPr>
          <w:rFonts w:ascii="Times New Roman;Times;serif" w:hAnsi="Times New Roman;Times;serif"/>
          <w:sz w:val="20"/>
        </w:rPr>
        <w:t>. Except as expressly provided herein, no provision of this Certificate of Designation shall alter or impair the obligation of the Corporation, which is absolute and unconditional, to pay liquidated damages, accrued dividends and accrued interest, as applicable, on the shares of Preferred Stock at the time, place, and rate, and in the coin or currency, herein prescribed.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Lost or Mutilated Preferred Stock Certificate</w:t>
      </w:r>
      <w:r>
        <w:rPr>
          <w:rFonts w:ascii="Times New Roman;Times;serif" w:hAnsi="Times New Roman;Times;serif"/>
          <w:sz w:val="20"/>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Governing Law</w:t>
      </w:r>
      <w:r>
        <w:rPr>
          <w:rFonts w:ascii="Times New Roman;Times;serif" w:hAnsi="Times New Roman;Times;serif"/>
          <w:sz w:val="20"/>
        </w:rPr>
        <w:t>. All questions concerning the construction, validity, enforcement and interpretation of this Certificate of Designation shall be governed by and construed and enforced in accordance with the internal laws of the State of Delaware,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Times New Roman;Times;serif" w:hAnsi="Times New Roman;Times;serif"/>
          <w:sz w:val="20"/>
          <w:u w:val="single"/>
        </w:rPr>
        <w:t>New York Courts</w:t>
      </w:r>
      <w:r>
        <w:rPr>
          <w:rFonts w:ascii="Times New Roman;Times;serif" w:hAnsi="Times New Roman;Times;serif"/>
          <w:sz w:val="20"/>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Certificate of Designation or the transactions contemplated hereby. If any party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Waiver</w:t>
      </w:r>
      <w:r>
        <w:rPr>
          <w:rFonts w:ascii="Times New Roman;Times;serif" w:hAnsi="Times New Roman;Times;serif"/>
          <w:sz w:val="20"/>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Severability</w:t>
      </w:r>
      <w:r>
        <w:rPr>
          <w:rFonts w:ascii="Times New Roman;Times;serif" w:hAnsi="Times New Roman;Times;serif"/>
          <w:sz w:val="20"/>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Next Business Day</w:t>
      </w:r>
      <w:r>
        <w:rPr>
          <w:rFonts w:ascii="Times New Roman;Times;serif" w:hAnsi="Times New Roman;Times;serif"/>
          <w:sz w:val="20"/>
        </w:rPr>
        <w:t>. Whenever any payment or other obligation hereunder shall be due on a day other than a Business Day, such payment shall be made on the next succeeding Business Day.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Headings</w:t>
      </w:r>
      <w:r>
        <w:rPr>
          <w:rFonts w:ascii="Times New Roman;Times;serif" w:hAnsi="Times New Roman;Times;serif"/>
          <w:sz w:val="20"/>
        </w:rPr>
        <w:t>. The headings contained herein are for convenience only, do not constitute a part of this Certificate of Designation and shall not be deemed to limit or affect any of the provisions hereof.</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Status of Converted Preferred Stock</w:t>
      </w:r>
      <w:r>
        <w:rPr>
          <w:rFonts w:ascii="Times New Roman;Times;serif" w:hAnsi="Times New Roman;Times;serif"/>
          <w:sz w:val="20"/>
        </w:rPr>
        <w:t>. Shares of Preferred Stock may only be issued pursuant to the Purchase Agreement. If any shares of Preferred Stock shall be converted or reacquired by the Corporation, such shares shall resume the status of authorized but unissued shares of preferred stock and shall no longer be designated as Series A Convertible Preferred Stock.</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ANNEX A</w:t>
      </w:r>
    </w:p>
    <w:p>
      <w:pPr>
        <w:pStyle w:val="TextBody"/>
        <w:bidi w:val="0"/>
        <w:spacing w:before="0" w:after="0"/>
        <w:ind w:left="0" w:right="0" w:hanging="0"/>
        <w:jc w:val="center"/>
        <w:rPr/>
      </w:pPr>
      <w:r>
        <w:rPr/>
        <w:t> </w:t>
      </w:r>
      <w:r>
        <w:rPr>
          <w:rFonts w:ascii="Times New Roman;Times;serif" w:hAnsi="Times New Roman;Times;serif"/>
          <w:sz w:val="20"/>
        </w:rPr>
        <w:t>NOTICE OF CONVERSION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 BE EXECUTED BY THE REGISTERED HOLDER IN ORDER TO CONVERT SHARES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PREFERRED STOCK)</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hereby elects to convert the number of shares of Series A Convertible Preferred Stock indicated below into shares (the “Conversion Shares”) of common stock, par value $0.000041666 per share (the “</w:t>
      </w:r>
      <w:r>
        <w:rPr>
          <w:rFonts w:ascii="Times New Roman;Times;serif" w:hAnsi="Times New Roman;Times;serif"/>
          <w:sz w:val="20"/>
          <w:u w:val="single"/>
        </w:rPr>
        <w:t>Common Stock”</w:t>
      </w:r>
      <w:r>
        <w:rPr>
          <w:rFonts w:ascii="Times New Roman;Times;serif" w:hAnsi="Times New Roman;Times;serif"/>
          <w:sz w:val="20"/>
        </w:rPr>
        <w:t>), of Lion Biotechnologies, Inc., a Delaware corporation (the “</w:t>
      </w:r>
      <w:r>
        <w:rPr>
          <w:rFonts w:ascii="Times New Roman;Times;serif" w:hAnsi="Times New Roman;Times;serif"/>
          <w:sz w:val="20"/>
          <w:u w:val="single"/>
        </w:rPr>
        <w:t>Corporation</w:t>
      </w:r>
      <w:r>
        <w:rPr>
          <w:rFonts w:ascii="Times New Roman;Times;serif" w:hAnsi="Times New Roman;Times;serif"/>
          <w:sz w:val="20"/>
        </w:rPr>
        <w:t>”), according to the conditions hereof, as of the date written below. If Conversion Shares are to be issued in the name of a Person other than the undersigned, the undersigned will pay all transfer taxes payable with respect thereto and is delivering herewith such certificates and opinions as may be required by the Corporation in accordance with the Purchase Agreement. No fee will be charged to the Holders for any conversion, except for any such transfer taxes. In order to induce the Corporation to issue the stock certificate representing the Conversion Shares without a restrictive legend, the undersigned hereby agrees to comply with the covenants set forth in Section 5.3 of the Purchase Agreement. If the Conversion Shares are not covered by an effective resale registration statement at the time that the undersigned intends to resell the Conversion Shares, the undersigned will not resell the Conversion Shares unless Rule 144, or another exemption, is applicable, and then only in full compliance with Rule 144, or such other exemption, after receiving an opinion of counsel that the Conversion Shares can be sold under Rule 144, or such other exemption.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calculations: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Date to Effect Conversion:</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Number of shares of Preferred Stock owned prior to Conversion:</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Number of shares of Preferred Stock to be Converted:</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Aggregate Stated Value of Preferred Stock to be Converted:</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Number of shares of Common Stock to be Issued:</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Applicable Conversion Price: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Shares of Preferred Stock owned subsequent to Conversion:</w:t>
      </w:r>
    </w:p>
    <w:p>
      <w:pPr>
        <w:pStyle w:val="TextBody"/>
        <w:bidi w:val="0"/>
        <w:spacing w:before="0" w:after="0"/>
        <w:ind w:left="720" w:right="0" w:hanging="0"/>
        <w:jc w:val="left"/>
        <w:rPr/>
      </w:pPr>
      <w:r>
        <w:rPr/>
        <w:t>​</w:t>
      </w:r>
    </w:p>
    <w:tbl>
      <w:tblPr>
        <w:tblW w:w="4048" w:type="dxa"/>
        <w:jc w:val="center"/>
        <w:tblInd w:w="0" w:type="dxa"/>
        <w:tblLayout w:type="fixed"/>
        <w:tblCellMar>
          <w:top w:w="0" w:type="dxa"/>
          <w:left w:w="0" w:type="dxa"/>
          <w:bottom w:w="0" w:type="dxa"/>
          <w:right w:w="0" w:type="dxa"/>
        </w:tblCellMar>
      </w:tblPr>
      <w:tblGrid>
        <w:gridCol w:w="1846"/>
        <w:gridCol w:w="2011"/>
        <w:gridCol w:w="19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for Delivery:</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or DWAC Instructions: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tbl>
      <w:tblPr>
        <w:tblW w:w="2192" w:type="dxa"/>
        <w:jc w:val="left"/>
        <w:tblInd w:w="0" w:type="dxa"/>
        <w:tblLayout w:type="fixed"/>
        <w:tblCellMar>
          <w:top w:w="0" w:type="dxa"/>
          <w:left w:w="0" w:type="dxa"/>
          <w:bottom w:w="0" w:type="dxa"/>
          <w:right w:w="0" w:type="dxa"/>
        </w:tblCellMar>
      </w:tblPr>
      <w:tblGrid>
        <w:gridCol w:w="1036"/>
        <w:gridCol w:w="1156"/>
      </w:tblGrid>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Broker no: </w:t>
            </w:r>
          </w:p>
        </w:tc>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 no:</w:t>
            </w:r>
          </w:p>
        </w:tc>
      </w:tr>
    </w:tbl>
    <w:p>
      <w:pPr>
        <w:pStyle w:val="TextBody"/>
        <w:bidi w:val="0"/>
        <w:spacing w:before="0" w:after="0"/>
        <w:ind w:left="0" w:right="0" w:hanging="0"/>
        <w:jc w:val="left"/>
        <w:rPr/>
      </w:pPr>
      <w:r>
        <w:rPr/>
        <w:t>​</w:t>
      </w:r>
    </w:p>
    <w:tbl>
      <w:tblPr>
        <w:tblW w:w="1243" w:type="dxa"/>
        <w:jc w:val="center"/>
        <w:tblInd w:w="0" w:type="dxa"/>
        <w:tblLayout w:type="fixed"/>
        <w:tblCellMar>
          <w:top w:w="0" w:type="dxa"/>
          <w:left w:w="0" w:type="dxa"/>
          <w:bottom w:w="0" w:type="dxa"/>
          <w:right w:w="0" w:type="dxa"/>
        </w:tblCellMar>
      </w:tblPr>
      <w:tblGrid>
        <w:gridCol w:w="161"/>
        <w:gridCol w:w="406"/>
        <w:gridCol w:w="676"/>
      </w:tblGrid>
      <w:tr>
        <w:trPr/>
        <w:tc>
          <w:tcPr>
            <w:tcW w:w="161"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Appendix B</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DESIGNATION OF RIGHTS, PREFERENCES AND PRIVILEGES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SERIES B PREFERRED STOCK</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amount and designation of the Series B Preferred Stock, $.001 per share and the powers, designations, preferences, limitations, restrictions and relative rights of the Series B Preferred Stock of the Corporation, in addition to those set forth in the Certificate of Incorporation, are to be in their entirety as follows: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1</w:t>
      </w:r>
      <w:r>
        <w:rPr>
          <w:rFonts w:ascii="Times New Roman;Times;serif" w:hAnsi="Times New Roman;Times;serif"/>
          <w:sz w:val="20"/>
        </w:rPr>
        <w:t xml:space="preserve">. </w:t>
      </w:r>
      <w:r>
        <w:rPr>
          <w:rFonts w:ascii="Times New Roman;Times;serif" w:hAnsi="Times New Roman;Times;serif"/>
          <w:sz w:val="20"/>
          <w:u w:val="single"/>
        </w:rPr>
        <w:t>Definitions</w:t>
      </w:r>
      <w:r>
        <w:rPr>
          <w:rFonts w:ascii="Times New Roman;Times;serif" w:hAnsi="Times New Roman;Times;serif"/>
          <w:sz w:val="20"/>
        </w:rPr>
        <w:t>. For the purposes hereof, the following terms shall have the following meanings:</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Affiliate</w:t>
      </w:r>
      <w:r>
        <w:rPr>
          <w:rFonts w:ascii="Times New Roman;Times;serif" w:hAnsi="Times New Roman;Times;serif"/>
          <w:sz w:val="20"/>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Alternate Consideration</w:t>
      </w:r>
      <w:r>
        <w:rPr>
          <w:rFonts w:ascii="Times New Roman;Times;serif" w:hAnsi="Times New Roman;Times;serif"/>
          <w:sz w:val="20"/>
        </w:rPr>
        <w:t>” shall have the meaning set forth in Section 7(d).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Beneficial Ownership Limitation</w:t>
      </w:r>
      <w:r>
        <w:rPr>
          <w:rFonts w:ascii="Times New Roman;Times;serif" w:hAnsi="Times New Roman;Times;serif"/>
          <w:sz w:val="20"/>
        </w:rPr>
        <w:t>” shall have the meaning set forth in Section 6(d).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Board of Directors</w:t>
      </w:r>
      <w:r>
        <w:rPr>
          <w:rFonts w:ascii="Times New Roman;Times;serif" w:hAnsi="Times New Roman;Times;serif"/>
          <w:sz w:val="20"/>
        </w:rPr>
        <w:t>” means the board of directors of the Corporation.</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Business Day</w:t>
      </w:r>
      <w:r>
        <w:rPr>
          <w:rFonts w:ascii="Times New Roman;Times;serif" w:hAnsi="Times New Roman;Times;serif"/>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Buy-In</w:t>
      </w:r>
      <w:r>
        <w:rPr>
          <w:rFonts w:ascii="Times New Roman;Times;serif" w:hAnsi="Times New Roman;Times;serif"/>
          <w:sz w:val="20"/>
        </w:rPr>
        <w:t>” shall have the meaning set forth in Section 6(c)(iv).</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Certificate of Designation</w:t>
      </w:r>
      <w:r>
        <w:rPr>
          <w:rFonts w:ascii="Times New Roman;Times;serif" w:hAnsi="Times New Roman;Times;serif"/>
          <w:sz w:val="20"/>
        </w:rPr>
        <w:t>” means this Certificate of Designation of Rights, Preferences and Privileges of the Series B Preferred Stock.</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Common Stock</w:t>
      </w:r>
      <w:r>
        <w:rPr>
          <w:rFonts w:ascii="Times New Roman;Times;serif" w:hAnsi="Times New Roman;Times;serif"/>
          <w:sz w:val="20"/>
        </w:rPr>
        <w:t>” means the Corporation’s common stock, par value $0.000041666 per share, and stock of any other class of securities into which such securities may hereafter be reclassified or changed.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Common Stock Equivalents</w:t>
      </w:r>
      <w:r>
        <w:rPr>
          <w:rFonts w:ascii="Times New Roman;Times;serif" w:hAnsi="Times New Roman;Times;serif"/>
          <w:sz w:val="20"/>
        </w:rPr>
        <w:t>” means any securities of the Corporation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Conversion Amount</w:t>
      </w:r>
      <w:r>
        <w:rPr>
          <w:rFonts w:ascii="Times New Roman;Times;serif" w:hAnsi="Times New Roman;Times;serif"/>
          <w:sz w:val="20"/>
        </w:rPr>
        <w:t>” means the sum of the Stated Value at issue.</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Conversion Date</w:t>
      </w:r>
      <w:r>
        <w:rPr>
          <w:rFonts w:ascii="Times New Roman;Times;serif" w:hAnsi="Times New Roman;Times;serif"/>
          <w:sz w:val="20"/>
        </w:rPr>
        <w:t>” shall have the meaning set forth in Section 6(a).</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Conversion Price</w:t>
      </w:r>
      <w:r>
        <w:rPr>
          <w:rFonts w:ascii="Times New Roman;Times;serif" w:hAnsi="Times New Roman;Times;serif"/>
          <w:sz w:val="20"/>
        </w:rPr>
        <w:t>” shall have the meaning set forth in Section 6(b).</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Conversion Shares</w:t>
      </w:r>
      <w:r>
        <w:rPr>
          <w:rFonts w:ascii="Times New Roman;Times;serif" w:hAnsi="Times New Roman;Times;serif"/>
          <w:sz w:val="20"/>
        </w:rPr>
        <w:t>” means, collectively, the shares of Common Stock issuable upon conversion of the shares of Preferred Stock in accordance with the terms hereof.</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Conversion Shares Registration Statement</w:t>
      </w:r>
      <w:r>
        <w:rPr>
          <w:rFonts w:ascii="Times New Roman;Times;serif" w:hAnsi="Times New Roman;Times;serif"/>
          <w:sz w:val="20"/>
        </w:rPr>
        <w:t>” means a Registration Statement that registers the resale of all Conversion Shares, so long as such Conversion Shares are Registrable Securities, of the Holders, who shall be named as “selling stockholders” therein and meets the requirements of the Registration Rights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Corporation</w:t>
      </w:r>
      <w:r>
        <w:rPr>
          <w:rFonts w:ascii="Times New Roman;Times;serif" w:hAnsi="Times New Roman;Times;serif"/>
          <w:sz w:val="20"/>
        </w:rPr>
        <w:t>” means Lion Biotechnologies, Inc., a Delaware corporation.</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pPr>
      <w:r>
        <w:rPr/>
        <w:t>“</w:t>
      </w:r>
      <w:r>
        <w:rPr>
          <w:rFonts w:ascii="Times New Roman;Times;serif" w:hAnsi="Times New Roman;Times;serif"/>
          <w:sz w:val="20"/>
          <w:u w:val="single"/>
        </w:rPr>
        <w:t>Effective Date</w:t>
      </w:r>
      <w:r>
        <w:rPr>
          <w:rFonts w:ascii="Times New Roman;Times;serif" w:hAnsi="Times New Roman;Times;serif"/>
          <w:sz w:val="20"/>
        </w:rPr>
        <w:t>” means the date that the initial Registration Statement filed by the Corporation pursuant to the Registration Rights Agreement is first declared effective by the Commission.</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u w:val="single"/>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 and the rules and regulations promulgated thereunder.</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Fundamental Transaction</w:t>
      </w:r>
      <w:r>
        <w:rPr>
          <w:rFonts w:ascii="Times New Roman;Times;serif" w:hAnsi="Times New Roman;Times;serif"/>
          <w:sz w:val="20"/>
        </w:rPr>
        <w:t>” shall have the meaning set forth in Section 7(d).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Holder</w:t>
      </w:r>
      <w:r>
        <w:rPr>
          <w:rFonts w:ascii="Times New Roman;Times;serif" w:hAnsi="Times New Roman;Times;serif"/>
          <w:sz w:val="20"/>
        </w:rPr>
        <w:t>” shall have the meaning given such term in Section 2.</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Junior Securities</w:t>
      </w:r>
      <w:r>
        <w:rPr>
          <w:rFonts w:ascii="Times New Roman;Times;serif" w:hAnsi="Times New Roman;Times;serif"/>
          <w:sz w:val="20"/>
        </w:rPr>
        <w:t>” means the Common Stock and all other Common Stock Equivalents of the Corporation other than those securities which are explicitly senior or miri passu to the Preferred Stock in dividend rights or liquidation preference.</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Liquidation</w:t>
      </w:r>
      <w:r>
        <w:rPr>
          <w:rFonts w:ascii="Times New Roman;Times;serif" w:hAnsi="Times New Roman;Times;serif"/>
          <w:sz w:val="20"/>
        </w:rPr>
        <w:t>” shall have the meaning set forth in Section 5.</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Mandatory Conversion Time</w:t>
      </w:r>
      <w:r>
        <w:rPr>
          <w:rFonts w:ascii="Times New Roman;Times;serif" w:hAnsi="Times New Roman;Times;serif"/>
          <w:sz w:val="20"/>
        </w:rPr>
        <w:t>” shall have the meaning set forth in Section 8(a).</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New York Courts</w:t>
      </w:r>
      <w:r>
        <w:rPr>
          <w:rFonts w:ascii="Times New Roman;Times;serif" w:hAnsi="Times New Roman;Times;serif"/>
          <w:sz w:val="20"/>
        </w:rPr>
        <w:t>” shall have the meaning set forth in Section 9(d).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Notice of Conversion</w:t>
      </w:r>
      <w:r>
        <w:rPr>
          <w:rFonts w:ascii="Times New Roman;Times;serif" w:hAnsi="Times New Roman;Times;serif"/>
          <w:sz w:val="20"/>
        </w:rPr>
        <w:t>” shall have the meaning set forth in Section 6(a).</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Original Issue Date</w:t>
      </w:r>
      <w:r>
        <w:rPr>
          <w:rFonts w:ascii="Times New Roman;Times;serif" w:hAnsi="Times New Roman;Times;serif"/>
          <w:sz w:val="20"/>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Person</w:t>
      </w:r>
      <w:r>
        <w:rPr>
          <w:rFonts w:ascii="Times New Roman;Times;serif" w:hAnsi="Times New Roman;Times;serif"/>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Purchase Agreement</w:t>
      </w:r>
      <w:r>
        <w:rPr>
          <w:rFonts w:ascii="Times New Roman;Times;serif" w:hAnsi="Times New Roman;Times;serif"/>
          <w:sz w:val="20"/>
        </w:rPr>
        <w:t>” means the Securities Purchase Agreement, dated on or about the Original Issue Date, among the Corporation and the original Holders, as amended, modified or supplemented from time to time in accordance with its terms for the purchase and sale of Common Stock and Preferred Stock.</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Registration Rights Agreement</w:t>
      </w:r>
      <w:r>
        <w:rPr>
          <w:rFonts w:ascii="Times New Roman;Times;serif" w:hAnsi="Times New Roman;Times;serif"/>
          <w:sz w:val="20"/>
        </w:rPr>
        <w:t xml:space="preserve">” means the Registration Rights Agreement, dated as of the date of the Purchase Agreement, among the Corporation and the original Holders, in the form of </w:t>
      </w:r>
      <w:r>
        <w:rPr>
          <w:rFonts w:ascii="Times New Roman;Times;serif" w:hAnsi="Times New Roman;Times;serif"/>
          <w:sz w:val="20"/>
          <w:u w:val="single"/>
        </w:rPr>
        <w:t>Exhibit B</w:t>
      </w:r>
      <w:r>
        <w:rPr>
          <w:rFonts w:ascii="Times New Roman;Times;serif" w:hAnsi="Times New Roman;Times;serif"/>
          <w:sz w:val="20"/>
        </w:rPr>
        <w:t xml:space="preserve"> attached to the Purchase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Registration Statement</w:t>
      </w:r>
      <w:r>
        <w:rPr>
          <w:rFonts w:ascii="Times New Roman;Times;serif" w:hAnsi="Times New Roman;Times;serif"/>
          <w:sz w:val="20"/>
        </w:rPr>
        <w:t>” means a registration statement meeting the requirements set forth in the Registration Rights Agreement and covering the resale of the Registrable Securities by each Holder as provided for in the Registration Rights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Rule 144</w:t>
      </w:r>
      <w:r>
        <w:rPr>
          <w:rFonts w:ascii="Times New Roman;Times;serif" w:hAnsi="Times New Roman;Times;serif"/>
          <w:sz w:val="20"/>
        </w:rPr>
        <w:t>” means Rule 144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Series A Preferred Stock</w:t>
      </w:r>
      <w:r>
        <w:rPr>
          <w:rFonts w:ascii="Times New Roman;Times;serif" w:hAnsi="Times New Roman;Times;serif"/>
          <w:sz w:val="20"/>
        </w:rPr>
        <w:t>” means the Corporation’s Series A Convertible Preferred Stock.</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Series B Preferred Stock</w:t>
      </w:r>
      <w:r>
        <w:rPr>
          <w:rFonts w:ascii="Times New Roman;Times;serif" w:hAnsi="Times New Roman;Times;serif"/>
          <w:sz w:val="20"/>
        </w:rPr>
        <w:t>” shall have the meaning set forth in Section 2.</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Share Delivery Date</w:t>
      </w:r>
      <w:r>
        <w:rPr>
          <w:rFonts w:ascii="Times New Roman;Times;serif" w:hAnsi="Times New Roman;Times;serif"/>
          <w:sz w:val="20"/>
        </w:rPr>
        <w:t>” shall have the meaning set forth in Section 6(c).</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pPr>
      <w:r>
        <w:rPr/>
        <w:t>“</w:t>
      </w:r>
      <w:r>
        <w:rPr>
          <w:rFonts w:ascii="Times New Roman;Times;serif" w:hAnsi="Times New Roman;Times;serif"/>
          <w:sz w:val="20"/>
          <w:u w:val="single"/>
        </w:rPr>
        <w:t>Stated Value</w:t>
      </w:r>
      <w:r>
        <w:rPr>
          <w:rFonts w:ascii="Times New Roman;Times;serif" w:hAnsi="Times New Roman;Times;serif"/>
          <w:sz w:val="20"/>
        </w:rPr>
        <w:t>” shall have the meaning set forth in Section 2, as the same may be increased pursuant to Section 3.</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Subsidiary</w:t>
      </w:r>
      <w:r>
        <w:rPr>
          <w:rFonts w:ascii="Times New Roman;Times;serif" w:hAnsi="Times New Roman;Times;serif"/>
          <w:sz w:val="20"/>
        </w:rPr>
        <w:t>” means any subsidiary of the Corporation as set forth in the Purchase Agreement and shall, where applicable, also include any direct or indirect subsidiary of the Corporation formed or acquired after the date of the Purchase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Successor Entity</w:t>
      </w:r>
      <w:r>
        <w:rPr>
          <w:rFonts w:ascii="Times New Roman;Times;serif" w:hAnsi="Times New Roman;Times;serif"/>
          <w:sz w:val="20"/>
        </w:rPr>
        <w:t>” shall have the meaning set forth in Section 7(d).</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principal Trading Market is open for business.</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Nasdaq Global Market, the Nasdaq Global Select Market. the Nasdaq Capital Market, the New York Stock Exchange, or the NYSE MKT LLC (or any successors to any of the foregoing).</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Transaction Documents</w:t>
      </w:r>
      <w:r>
        <w:rPr>
          <w:rFonts w:ascii="Times New Roman;Times;serif" w:hAnsi="Times New Roman;Times;serif"/>
          <w:sz w:val="20"/>
        </w:rPr>
        <w:t>” means this Certificate of Designation, the Purchase Agreement, the Registration Rights Agreement, all exhibits and schedules thereto and hereto and any other documents or agreements executed in connection with the transactions contemplated pursuant to the Purchase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Transfer Agent</w:t>
      </w:r>
      <w:r>
        <w:rPr>
          <w:rFonts w:ascii="Times New Roman;Times;serif" w:hAnsi="Times New Roman;Times;serif"/>
          <w:sz w:val="20"/>
        </w:rPr>
        <w:t>” means Continental Stock Transfer and Trust Company, the current transfer agent of the Corporation with a mailing address of 17 Battery Place, 8</w:t>
      </w:r>
      <w:r>
        <w:rPr>
          <w:rFonts w:ascii="Times New Roman;Times;serif" w:hAnsi="Times New Roman;Times;serif"/>
          <w:sz w:val="19"/>
        </w:rPr>
        <w:t>th</w:t>
      </w:r>
      <w:r>
        <w:rPr>
          <w:rFonts w:ascii="Times New Roman;Times;serif" w:hAnsi="Times New Roman;Times;serif"/>
          <w:sz w:val="20"/>
        </w:rPr>
        <w:t xml:space="preserve"> Floor, New York, NY 10004 and a telephone number of (212) 509-4000, and any successor transfer agent of the Corporation.</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r>
        <w:rPr>
          <w:rFonts w:ascii="Times New Roman;Times;serif" w:hAnsi="Times New Roman;Times;serif"/>
          <w:sz w:val="20"/>
          <w:u w:val="single"/>
        </w:rPr>
        <w:t>VWAP</w:t>
      </w:r>
      <w:r>
        <w:rPr>
          <w:rFonts w:ascii="Times New Roman;Times;serif" w:hAnsi="Times New Roman;Times;serif"/>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on a Trading Market, the volume weighted average price of the Common Stock for such date (or the nearest preceding date) on the OTC Bulletin Board or OTCQX or OTCQB Markets, (c) if the Common Stock is not then listed or quoted for trading on a Trading Market, the OTC Bulletin Board or either of the OTCQX or OTCQB Markets, and if prices for the Common Stock are then reported in the “Pink Sheets” published by Pink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Series B Preferred Stock then outstanding and reasonably acceptable to the Corporation, the fees and expenses of which shall be paid by the Corporation.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2</w:t>
      </w:r>
      <w:r>
        <w:rPr>
          <w:rFonts w:ascii="Times New Roman;Times;serif" w:hAnsi="Times New Roman;Times;serif"/>
          <w:sz w:val="20"/>
        </w:rPr>
        <w:t xml:space="preserve">. </w:t>
      </w:r>
      <w:r>
        <w:rPr>
          <w:rFonts w:ascii="Times New Roman;Times;serif" w:hAnsi="Times New Roman;Times;serif"/>
          <w:sz w:val="20"/>
          <w:u w:val="single"/>
        </w:rPr>
        <w:t>Designation, Amount and Par Value</w:t>
      </w:r>
      <w:r>
        <w:rPr>
          <w:rFonts w:ascii="Times New Roman;Times;serif" w:hAnsi="Times New Roman;Times;serif"/>
          <w:sz w:val="20"/>
        </w:rPr>
        <w:t>. The series of preferred stock shall be designated as the Corporation’s Series B Preferred Stock (the “</w:t>
      </w:r>
      <w:r>
        <w:rPr>
          <w:rFonts w:ascii="Times New Roman;Times;serif" w:hAnsi="Times New Roman;Times;serif"/>
          <w:sz w:val="20"/>
          <w:u w:val="single"/>
        </w:rPr>
        <w:t>Series B Preferred Stock</w:t>
      </w:r>
      <w:r>
        <w:rPr>
          <w:rFonts w:ascii="Times New Roman;Times;serif" w:hAnsi="Times New Roman;Times;serif"/>
          <w:sz w:val="20"/>
        </w:rPr>
        <w:t>”) and the number of shares so designated shall be 11,500,000 (which number shall not be subject to increase without the written consent of the holders of the Series B Preferred Stock (each, a “</w:t>
      </w:r>
      <w:r>
        <w:rPr>
          <w:rFonts w:ascii="Times New Roman;Times;serif" w:hAnsi="Times New Roman;Times;serif"/>
          <w:sz w:val="20"/>
          <w:u w:val="single"/>
        </w:rPr>
        <w:t>Holder</w:t>
      </w:r>
      <w:r>
        <w:rPr>
          <w:rFonts w:ascii="Times New Roman;Times;serif" w:hAnsi="Times New Roman;Times;serif"/>
          <w:sz w:val="20"/>
        </w:rPr>
        <w:t>” and collectively, the “</w:t>
      </w:r>
      <w:r>
        <w:rPr>
          <w:rFonts w:ascii="Times New Roman;Times;serif" w:hAnsi="Times New Roman;Times;serif"/>
          <w:sz w:val="20"/>
          <w:u w:val="single"/>
        </w:rPr>
        <w:t>Holders</w:t>
      </w:r>
      <w:r>
        <w:rPr>
          <w:rFonts w:ascii="Times New Roman;Times;serif" w:hAnsi="Times New Roman;Times;serif"/>
          <w:sz w:val="20"/>
        </w:rPr>
        <w:t>”)). Each share of Series B Preferred Stock shall have a par value of $0.001 per share and a stated value equal to $4.75 subject to increase as set forth in Section 3 below (the “</w:t>
      </w:r>
      <w:r>
        <w:rPr>
          <w:rFonts w:ascii="Times New Roman;Times;serif" w:hAnsi="Times New Roman;Times;serif"/>
          <w:sz w:val="20"/>
          <w:u w:val="single"/>
        </w:rPr>
        <w:t>Stated Value</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3</w:t>
      </w:r>
      <w:r>
        <w:rPr>
          <w:rFonts w:ascii="Times New Roman;Times;serif" w:hAnsi="Times New Roman;Times;serif"/>
          <w:sz w:val="20"/>
        </w:rPr>
        <w:t xml:space="preserve">. </w:t>
      </w:r>
      <w:r>
        <w:rPr>
          <w:rFonts w:ascii="Times New Roman;Times;serif" w:hAnsi="Times New Roman;Times;serif"/>
          <w:sz w:val="20"/>
          <w:u w:val="single"/>
        </w:rPr>
        <w:t>Dividends</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Holders shall be entitled to receive, and the Corporation shall pay, dividends on shares of Series B Preferred Stock equal (on an as-if-converted-to-Common-Stock basis) to and in the same form as dividends (other than dividends in the form of Common Stock) actually paid on shares of the Series A Preferred Stock, Common Stock or other Junior Securities when, as and if such dividends (other than dividends in the form of Common Stock) are paid on shares of the Series A Preferred Stock, Common Stock or other Junior Securities. Other than as set forth in the previous sentence, no other dividends shall be paid on shares of Series B Preferred Stock; and the Corporation shall pay no dividends (other than dividends in the form of Common Stock) on shares of the Series A Preferred Stock, Common Stock or other Junior Securities unless it simultaneously complies with the previous sentence. All declared but unpaid dividends on shares of Series B Preferred Stock shall increase the Stated Value of such shares, but when such dividends are actually paid any such increase in the Stated Value shall be rescinded.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So long as any shares of Series B Preferred Stock remain outstanding, neither the Corporation nor any subsidiary thereof shall redeem, purchase or otherwise acquire directly or indirectly any material amount of Series A Preferred Stock or Junior Securities.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4</w:t>
      </w:r>
      <w:r>
        <w:rPr>
          <w:rFonts w:ascii="Times New Roman;Times;serif" w:hAnsi="Times New Roman;Times;serif"/>
          <w:sz w:val="20"/>
        </w:rPr>
        <w:t xml:space="preserve">. </w:t>
      </w:r>
      <w:r>
        <w:rPr>
          <w:rFonts w:ascii="Times New Roman;Times;serif" w:hAnsi="Times New Roman;Times;serif"/>
          <w:sz w:val="20"/>
          <w:u w:val="single"/>
        </w:rPr>
        <w:t>Voting Rights</w:t>
      </w:r>
      <w:r>
        <w:rPr>
          <w:rFonts w:ascii="Times New Roman;Times;serif" w:hAnsi="Times New Roman;Times;serif"/>
          <w:sz w:val="20"/>
        </w:rPr>
        <w:t>. Except as otherwise provided herein or as otherwise required by law, the Series B Preferred Stock shall have no voting rights. However, as long as any shares of Series B Preferred Stock are outstanding, the Corporation shall not, without the affirmative vote of the Holders of at least a majority in Stated Value of Series B Preferred Stock, except as may be necessary to increase the authorized shares of Common Stock in order to account for any increase in the number of shares issuable upon conversion of the Series B Preferred Stock, (a) alter or change adversely the powers, preferences or rights given to the Series B Preferred Stock or alter or amend this Certificate of Designation, (b) authorize or create any class of stock ranking as to dividends, redemption or distribution of assets upon a Liquidation senior to the Series B Preferred Stock, (c) amend its certificate of incorporation or other charter documents in any manner that adversely affects any rights of the Holders, (d) increase the number of authorized shares of Series B Preferred Stock, or (e) enter into any agreement with respect to any of the foregoing.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5</w:t>
      </w:r>
      <w:r>
        <w:rPr>
          <w:rFonts w:ascii="Times New Roman;Times;serif" w:hAnsi="Times New Roman;Times;serif"/>
          <w:sz w:val="20"/>
        </w:rPr>
        <w:t xml:space="preserve">. </w:t>
      </w:r>
      <w:r>
        <w:rPr>
          <w:rFonts w:ascii="Times New Roman;Times;serif" w:hAnsi="Times New Roman;Times;serif"/>
          <w:sz w:val="20"/>
          <w:u w:val="single"/>
        </w:rPr>
        <w:t>Liquidation</w:t>
      </w:r>
      <w:r>
        <w:rPr>
          <w:rFonts w:ascii="Times New Roman;Times;serif" w:hAnsi="Times New Roman;Times;serif"/>
          <w:sz w:val="20"/>
        </w:rPr>
        <w:t>. Upon any liquidation, dissolution or winding-up of the Corporation, whether voluntary or involuntary (a “</w:t>
      </w:r>
      <w:r>
        <w:rPr>
          <w:rFonts w:ascii="Times New Roman;Times;serif" w:hAnsi="Times New Roman;Times;serif"/>
          <w:sz w:val="20"/>
          <w:u w:val="single"/>
        </w:rPr>
        <w:t>Liquidation</w:t>
      </w:r>
      <w:r>
        <w:rPr>
          <w:rFonts w:ascii="Times New Roman;Times;serif" w:hAnsi="Times New Roman;Times;serif"/>
          <w:sz w:val="20"/>
        </w:rPr>
        <w:t xml:space="preserve">”), the assets of the Corporation available for distribution to its stockholders shall be distributed </w:t>
      </w:r>
      <w:r>
        <w:rPr>
          <w:rFonts w:ascii="Times New Roman;Times;serif" w:hAnsi="Times New Roman;Times;serif"/>
          <w:sz w:val="20"/>
          <w:u w:val="single"/>
        </w:rPr>
        <w:t>pari passu</w:t>
      </w:r>
      <w:r>
        <w:rPr>
          <w:rFonts w:ascii="Times New Roman;Times;serif" w:hAnsi="Times New Roman;Times;serif"/>
          <w:sz w:val="20"/>
        </w:rPr>
        <w:t xml:space="preserve"> among the holders of the shares of Common Stock, Series A Preferred Stock and Series B Preferred Stock, pro rata based on the number of shares held by each such holder, treating for this purpose all such securities as if they had been converted to Common Stock, pursuant to the terms of the Articles of Incorporation immediately prior to such Liquidation. The Corporation shall mail written notice of any such Liquidation, not less than 45 days prior to the payment date stated therein, to each Holder.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6</w:t>
      </w:r>
      <w:r>
        <w:rPr>
          <w:rFonts w:ascii="Times New Roman;Times;serif" w:hAnsi="Times New Roman;Times;serif"/>
          <w:sz w:val="20"/>
        </w:rPr>
        <w:t xml:space="preserve">. </w:t>
      </w:r>
      <w:r>
        <w:rPr>
          <w:rFonts w:ascii="Times New Roman;Times;serif" w:hAnsi="Times New Roman;Times;serif"/>
          <w:sz w:val="20"/>
          <w:u w:val="single"/>
        </w:rPr>
        <w:t>Conversion</w:t>
      </w:r>
      <w:r>
        <w:rPr>
          <w:rFonts w:ascii="Times New Roman;Times;serif" w:hAnsi="Times New Roman;Times;serif"/>
          <w:sz w:val="20"/>
        </w:rPr>
        <w:t>. The Holders of the Series B Preferred Stock shall not have the right to convert the Series B Preferred Stock into issued and outstanding shares of Common Stock unless, and until the stockholders of the Corporation approve the conversion provisions in Section 6 of this Certificate of Designation, which consent shall be provided in accordance with the rules of the Nasdaq Global Market. If the stockholders of this Corporation approve of the conversion provisions hereof, the shares of Series B Preferred Stock shall, at the time that such approval is obtained (the “</w:t>
      </w:r>
      <w:r>
        <w:rPr>
          <w:rFonts w:ascii="Times New Roman;Times;serif" w:hAnsi="Times New Roman;Times;serif"/>
          <w:sz w:val="20"/>
          <w:u w:val="single"/>
        </w:rPr>
        <w:t>Conversion Consent Date</w:t>
      </w:r>
      <w:r>
        <w:rPr>
          <w:rFonts w:ascii="Times New Roman;Times;serif" w:hAnsi="Times New Roman;Times;serif"/>
          <w:sz w:val="20"/>
        </w:rPr>
        <w:t>”), without any further action of any kind, automatically become convertible in the manner provided in this Certificate of Designation.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Conversions at Option of Holder</w:t>
      </w:r>
      <w:r>
        <w:rPr>
          <w:rFonts w:ascii="Times New Roman;Times;serif" w:hAnsi="Times New Roman;Times;serif"/>
          <w:sz w:val="20"/>
        </w:rPr>
        <w:t xml:space="preserve">. Each share of Series B Preferred Stock shall be convertible, at any time and from time to time from and after the Conversion Consent Date at the option of the Holder thereof, into that number of shares of Common Stock (subject to the limitations set forth in Section 6(d)) determined by dividing the Stated Value of such share of Series B Preferred Stock by the Conversion Price. Holders shall effect conversions by providing the Corporation with the form of conversion notice attached hereto as </w:t>
      </w:r>
      <w:r>
        <w:rPr>
          <w:rFonts w:ascii="Times New Roman;Times;serif" w:hAnsi="Times New Roman;Times;serif"/>
          <w:sz w:val="20"/>
          <w:u w:val="single"/>
        </w:rPr>
        <w:t>Annex A</w:t>
      </w:r>
      <w:r>
        <w:rPr>
          <w:rFonts w:ascii="Times New Roman;Times;serif" w:hAnsi="Times New Roman;Times;serif"/>
          <w:sz w:val="20"/>
        </w:rPr>
        <w:t xml:space="preserve"> (a “</w:t>
      </w:r>
      <w:r>
        <w:rPr>
          <w:rFonts w:ascii="Times New Roman;Times;serif" w:hAnsi="Times New Roman;Times;serif"/>
          <w:sz w:val="20"/>
          <w:u w:val="single"/>
        </w:rPr>
        <w:t>Notice of Conversion</w:t>
      </w:r>
      <w:r>
        <w:rPr>
          <w:rFonts w:ascii="Times New Roman;Times;serif" w:hAnsi="Times New Roman;Times;serif"/>
          <w:sz w:val="20"/>
        </w:rPr>
        <w:t>”). Each Notice of Conversion shall specify the number of shares of Series B Preferred Stock to be converted, the number of shares of Series B Preferred Stock owned prior to the conversion at issue, the number of shares of Series B Preferred Stock owned subsequent to the conversion at issue and the date on which such conversion is to be effected, which date may not be prior to the date the applicable Holder delivers by facsimile or e-mail of a PDF document (with confirmation of transmission) such Notice of Conversion to the Corporation (such date, the “</w:t>
      </w:r>
      <w:r>
        <w:rPr>
          <w:rFonts w:ascii="Times New Roman;Times;serif" w:hAnsi="Times New Roman;Times;serif"/>
          <w:sz w:val="20"/>
          <w:u w:val="single"/>
        </w:rPr>
        <w:t>Conversion Date</w:t>
      </w:r>
      <w:r>
        <w:rPr>
          <w:rFonts w:ascii="Times New Roman;Times;serif" w:hAnsi="Times New Roman;Times;serif"/>
          <w:sz w:val="20"/>
        </w:rPr>
        <w:t>”). If no Conversion Date is specified in a Notice of Conversion, the Conversion Date shall be the date that such Notice of Conversion to the Corporation is deemed delivered hereunder. The calculations and entries set forth in the Notice of Conversion shall control in the absence of manifest or mathematical error. To effect conversions of shares of Series B Preferred Stock, a Holder shall not be required to surrender the certificate(s) representing the shares of Series B Preferred Stock to the Corporation unless (i) the full or remaining number of shares of Series B Preferred Stock represented by such certificate are being converted or (ii) such Holder has provided the Corporation with prior written notice (which notice may be included in a Notice of Conversion) requesting reissuance of a certificate representing the remaining shares of Series B Preferred Stock upon physical surrender of any certificate representing the shares of Series B Preferred Stock being converted. Each Holder and the Corporation shall maintain records showing the number of shares of Series B Preferred Stock so converted by such Holder and the dates of such conversions or shall use such other method, reasonably satisfactory to such Holder and the Corporation, so as not to require physical surrender of the certificate representing the shares of Series B Preferred Stock upon each such conversion. In the event of any dispute or discrepancy, such records of the Corporation establishing the number of shares of Series B Preferred Stock to which the record holder is entitled shall be controlling and determinative in the absence of manifest error. Shares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 Series B Preferred Stock converted into Common Stock in accordance with the terms hereof shall be canceled and shall not be reissued.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Conversion Price</w:t>
      </w:r>
      <w:r>
        <w:rPr>
          <w:rFonts w:ascii="Times New Roman;Times;serif" w:hAnsi="Times New Roman;Times;serif"/>
          <w:sz w:val="20"/>
        </w:rPr>
        <w:t>. The conversion price for the Series B Preferred Stock shall equal $4.75, subject to adjustment herein (the “</w:t>
      </w:r>
      <w:r>
        <w:rPr>
          <w:rFonts w:ascii="Times New Roman;Times;serif" w:hAnsi="Times New Roman;Times;serif"/>
          <w:sz w:val="20"/>
          <w:u w:val="single"/>
        </w:rPr>
        <w:t>Conversion Price</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Mechanics of Conversion</w:t>
      </w:r>
    </w:p>
    <w:p>
      <w:pPr>
        <w:pStyle w:val="TextBody"/>
        <w:bidi w:val="0"/>
        <w:spacing w:before="0" w:after="0"/>
        <w:ind w:left="0" w:right="0" w:firstLine="720"/>
        <w:jc w:val="left"/>
        <w:rPr/>
      </w:pPr>
      <w:r>
        <w:rPr/>
        <w:t>​</w:t>
      </w:r>
    </w:p>
    <w:p>
      <w:pPr>
        <w:pStyle w:val="TextBody"/>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Delivery of Certificate Upon Conversion</w:t>
      </w:r>
      <w:r>
        <w:rPr>
          <w:rFonts w:ascii="Times New Roman;Times;serif" w:hAnsi="Times New Roman;Times;serif"/>
          <w:sz w:val="20"/>
        </w:rPr>
        <w:t>. Not later than three (3) Trading Days after each Conversion Date (the a “</w:t>
      </w:r>
      <w:r>
        <w:rPr>
          <w:rFonts w:ascii="Times New Roman;Times;serif" w:hAnsi="Times New Roman;Times;serif"/>
          <w:sz w:val="20"/>
          <w:u w:val="single"/>
        </w:rPr>
        <w:t>Share Delivery Date</w:t>
      </w:r>
      <w:r>
        <w:rPr>
          <w:rFonts w:ascii="Times New Roman;Times;serif" w:hAnsi="Times New Roman;Times;serif"/>
          <w:sz w:val="20"/>
        </w:rPr>
        <w:t>”), the Corporation shall deliver, or cause to be delivered, to the converting Holder (A) a certificate or certificates free of restrictive legends representing the number of Conversion Shares being acquired upon the conversion of the Series B Preferred Stock, and (B) a bank check in the amount of accrued and unpaid dividends. If requested by the Holder, the Corporation shall use its best efforts to deliver any certificate or certificates required to be delivered by the Corporation under this Section 6 electronically through the Depository Trust Company or another established clearing corporation performing similar functions.</w:t>
      </w:r>
    </w:p>
    <w:p>
      <w:pPr>
        <w:pStyle w:val="TextBody"/>
        <w:bidi w:val="0"/>
        <w:spacing w:before="0" w:after="0"/>
        <w:ind w:left="0" w:right="0" w:firstLine="1080"/>
        <w:jc w:val="left"/>
        <w:rPr/>
      </w:pPr>
      <w:r>
        <w:rPr/>
        <w:t>​</w:t>
      </w:r>
    </w:p>
    <w:p>
      <w:pPr>
        <w:pStyle w:val="TextBody"/>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Failure to Deliver Certificates</w:t>
      </w:r>
      <w:r>
        <w:rPr>
          <w:rFonts w:ascii="Times New Roman;Times;serif" w:hAnsi="Times New Roman;Times;serif"/>
          <w:sz w:val="20"/>
        </w:rPr>
        <w:t>. If, in the case of any Notice of Conversion, such certificate or certificates are not delivered to or as directed by the applicable Holder by the Share Delivery Date, the Holder shall be entitled to elect by written notice to the Corporation at any time on or before its receipt of such certificate or certificates, to rescind such conversion, in which event the Corporation shall promptly return to the Holder any original Series B Preferred Stock certificates delivered to the Corporation and the Holder shall promptly return to the Corporation the Common Stock certificates issued to such Holder pursuant to the rescinded Conversion Notice.</w:t>
      </w:r>
    </w:p>
    <w:p>
      <w:pPr>
        <w:pStyle w:val="TextBody"/>
        <w:bidi w:val="0"/>
        <w:spacing w:before="0" w:after="0"/>
        <w:ind w:left="0" w:right="0" w:firstLine="1080"/>
        <w:jc w:val="left"/>
        <w:rPr/>
      </w:pPr>
      <w:r>
        <w:rPr/>
        <w:t>​</w:t>
      </w:r>
    </w:p>
    <w:p>
      <w:pPr>
        <w:pStyle w:val="TextBody"/>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 xml:space="preserve">iii. </w:t>
      </w:r>
      <w:r>
        <w:rPr>
          <w:rFonts w:ascii="Times New Roman;Times;serif" w:hAnsi="Times New Roman;Times;serif"/>
          <w:sz w:val="20"/>
          <w:u w:val="single"/>
        </w:rPr>
        <w:t>Obligation Absolute; Partial Liquidated Damages</w:t>
      </w:r>
      <w:r>
        <w:rPr>
          <w:rFonts w:ascii="Times New Roman;Times;serif" w:hAnsi="Times New Roman;Times;serif"/>
          <w:sz w:val="20"/>
        </w:rPr>
        <w:t xml:space="preserve">. The Corporation’s obligation to issue and deliver the Conversion Shares upon conversion of Series B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such delivery shall not operate as a waiver by the Corporation of any such action that the Corporation may have against such Holder. In the event a Holder shall elect to convert any or all of its Series B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Preferred Stock of such Holder shall have been sought and obtained, and the Corporation posts a surety bond for the benefit of such Holder in the amount of 150% of the Stated Value of Series B Preferred Stock which is subject to the injunction, which bond shall remain in effect until the completion of arbitration/litigation of the underlying dispute and the proceeds of which shall be payable to such Holder to the extent it obtains judgment. In the absence of such injunction, the Corporation shall issue Conversion Shares and, if applicable, cash, upon a properly noticed conversion.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pStyle w:val="TextBody"/>
        <w:bidi w:val="0"/>
        <w:spacing w:before="0" w:after="0"/>
        <w:ind w:left="0" w:right="0" w:firstLine="1080"/>
        <w:jc w:val="left"/>
        <w:rPr/>
      </w:pPr>
      <w:r>
        <w:rPr/>
        <w:t>​</w:t>
      </w:r>
    </w:p>
    <w:p>
      <w:pPr>
        <w:pStyle w:val="TextBody"/>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 xml:space="preserve">iv. </w:t>
      </w:r>
      <w:r>
        <w:rPr>
          <w:rFonts w:ascii="Times New Roman;Times;serif" w:hAnsi="Times New Roman;Times;serif"/>
          <w:sz w:val="20"/>
          <w:u w:val="single"/>
        </w:rPr>
        <w:t>Compensation for Buy-In on Failure to Timely Deliver Certificates Upon Conversion</w:t>
      </w:r>
      <w:r>
        <w:rPr>
          <w:rFonts w:ascii="Times New Roman;Times;serif" w:hAnsi="Times New Roman;Times;serif"/>
          <w:sz w:val="20"/>
        </w:rPr>
        <w:t>. In addition to any other rights available to the Holder, if the Corporation fails for any reason to deliver to a Holder the applicable certificate or certificates by the Share Delivery Date pursuant to Section 6(c)(i), and if after such Share Delivery Date such I folder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Times;serif" w:hAnsi="Times New Roman;Times;serif"/>
          <w:sz w:val="20"/>
          <w:u w:val="single"/>
        </w:rPr>
        <w:t>Buy-In</w:t>
      </w:r>
      <w:r>
        <w:rPr>
          <w:rFonts w:ascii="Times New Roman;Times;serif" w:hAnsi="Times New Roman;Times;serif"/>
          <w:sz w:val="20"/>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B Preferred Stock equal to the number of shares of Series B Preferred Stock submitted for conversion (in which case, such conversion shall be deemed rescinded) or deliver to such Holder the number of shares of Common Stock that would have been issued if the Corporation had timely complied with its delivery requirements under Section 6(e)(i). For example, if a Holder purchases shares of Common Stock having a total purchase price of $11,000 to cover a Buy-In with respect to an attempted conversion of shares of Series B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I folder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B Preferred Stock as required pursuant to the terms hereof.</w:t>
      </w:r>
    </w:p>
    <w:p>
      <w:pPr>
        <w:pStyle w:val="TextBody"/>
        <w:bidi w:val="0"/>
        <w:spacing w:before="0" w:after="0"/>
        <w:ind w:left="0" w:right="0" w:firstLine="1080"/>
        <w:jc w:val="left"/>
        <w:rPr/>
      </w:pPr>
      <w:r>
        <w:rPr/>
        <w:t>​</w:t>
      </w:r>
    </w:p>
    <w:p>
      <w:pPr>
        <w:pStyle w:val="TextBody"/>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 xml:space="preserve">v. </w:t>
      </w:r>
      <w:r>
        <w:rPr>
          <w:rFonts w:ascii="Times New Roman;Times;serif" w:hAnsi="Times New Roman;Times;serif"/>
          <w:sz w:val="20"/>
          <w:u w:val="single"/>
        </w:rPr>
        <w:t>Reservation of Shares Issuable Upon Conversion</w:t>
      </w:r>
      <w:r>
        <w:rPr>
          <w:rFonts w:ascii="Times New Roman;Times;serif" w:hAnsi="Times New Roman;Times;serif"/>
          <w:sz w:val="20"/>
        </w:rPr>
        <w:t>. The Corporation covenants that it will at all times reserve and keep available out of its authorized and unissued shares of Common Stock for the sole purpose of issuance upon conversion of the Series B Preferred Stock as herein provided, free from preemptive rights or any other actual contingent purchase rights of Persons other than the Holder (and the other holders of the Series B Preferred Stock), not less than such aggregate number of shares of the Common Stock as shall (subject to the terms and conditions set forth in the Purchase Agreement) be issuable (taking into account the adjustments and restrictions of Section 7) upon the conversion of the then outstanding shares of Series B Preferred Stock. The Corporation covenants that all shares of Common Stock that shall be so issuable shall, upon issue, be duly authorized, validly issued, fully paid and nonassessable and, if the Conversion Shares Registration Statement is then effective under the Securities Act, shall be registered for public resale in accordance with such Conversion Shares Registration Statement (subject to such Holder’s compliance with its obligations under the Registration Rights Agreement).</w:t>
      </w:r>
    </w:p>
    <w:p>
      <w:pPr>
        <w:pStyle w:val="TextBody"/>
        <w:bidi w:val="0"/>
        <w:spacing w:before="0" w:after="0"/>
        <w:ind w:left="0" w:right="0" w:firstLine="1080"/>
        <w:jc w:val="left"/>
        <w:rPr/>
      </w:pPr>
      <w:r>
        <w:rPr/>
        <w:t>​</w:t>
      </w:r>
    </w:p>
    <w:p>
      <w:pPr>
        <w:pStyle w:val="TextBody"/>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 xml:space="preserve">vi. </w:t>
      </w:r>
      <w:r>
        <w:rPr>
          <w:rFonts w:ascii="Times New Roman;Times;serif" w:hAnsi="Times New Roman;Times;serif"/>
          <w:sz w:val="20"/>
          <w:u w:val="single"/>
        </w:rPr>
        <w:t>Fractional Shares</w:t>
      </w:r>
      <w:r>
        <w:rPr>
          <w:rFonts w:ascii="Times New Roman;Times;serif" w:hAnsi="Times New Roman;Times;serif"/>
          <w:sz w:val="20"/>
        </w:rPr>
        <w:t>. No fractional shares or scrip representing fractional shares shall be issued upon the conversion of the Series B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or round up to the next whole share.</w:t>
      </w:r>
    </w:p>
    <w:p>
      <w:pPr>
        <w:pStyle w:val="TextBody"/>
        <w:bidi w:val="0"/>
        <w:spacing w:before="0" w:after="0"/>
        <w:ind w:left="0" w:right="0" w:firstLine="1080"/>
        <w:jc w:val="left"/>
        <w:rPr/>
      </w:pPr>
      <w:r>
        <w:rPr/>
        <w:t>​</w:t>
      </w:r>
    </w:p>
    <w:p>
      <w:pPr>
        <w:pStyle w:val="TextBody"/>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 xml:space="preserve">vii. </w:t>
      </w:r>
      <w:r>
        <w:rPr>
          <w:rFonts w:ascii="Times New Roman;Times;serif" w:hAnsi="Times New Roman;Times;serif"/>
          <w:sz w:val="20"/>
          <w:u w:val="single"/>
        </w:rPr>
        <w:t>Transfer Taxes</w:t>
      </w:r>
      <w:r>
        <w:rPr>
          <w:rFonts w:ascii="Times New Roman;Times;serif" w:hAnsi="Times New Roman;Times;serif"/>
          <w:sz w:val="20"/>
        </w:rPr>
        <w:t>. The issuance of certificates for shares of the Common Stock on conversion of the Series B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Holders of such shares of Series B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pStyle w:val="TextBody"/>
        <w:bidi w:val="0"/>
        <w:spacing w:before="0" w:after="0"/>
        <w:ind w:left="0" w:right="0" w:firstLine="108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Beneficial Ownership Limitation</w:t>
      </w:r>
      <w:r>
        <w:rPr>
          <w:rFonts w:ascii="Times New Roman;Times;serif" w:hAnsi="Times New Roman;Times;serif"/>
          <w:sz w:val="20"/>
        </w:rPr>
        <w:t>. The Corporation shall not effect any conversion of the Series B Preferred Stock, and a Holder shall not have the right to convert any portion of the Series B Preferred Stock, to the extent that, after giving effect to the conversion set forth on the applicable Notice of Conversion, such Holder (together with such Holder’s Affiliates, and any Persons acting as a group together with such Holder or any of such Holder’s Affiliates) would beneficially own in excess of the Beneficial Ownership Limitation. For purposes of the foregoing sentence, the number of shares of Common Stock beneficially owned by such Holder and its Affiliates shall include the number of shares of Common Stock issuable upon conversion of the Series B Preferred Stock with respect to which such determination is being made, but shall exclude the number of shares of Common Stock which are issuable upon (i) conversion of the remaining, unconverted Stated Value of Series B Preferred Stock beneficially owned by such Holder or any of its Affiliates and (ii) exercise or conversion of the unexercised or unconverted portion of any other securities of the Corporation subject to a limitation on conversion or exercise analogous to the limitation contained herein (including, without limitation, the Series B Preferred Stock and the Series A Preferred Stock) beneficially owned by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such Holder or any of its Affiliates. Except as set forth in the preceding sentence, for purposes of this Section 6(d), beneficial ownership shall be calculated in accordance with Section 13(d) of the Exchange Act and the rules and regulations promulgated thereunder. To the extent that the limitation contained in this Section 6(d) applies, the determination of whether the Series B Preferred Stock is convertible (in relation to other securities owned by such Holder together with any Affiliates) and of how many shares of Series B Preferred Stock are convertible shall be in the sole discretion of such Holder, and the submission of a Notice of Conversion shall be deemed to be such Holder’s determination of whether the shares of Series B Preferred Stock may be converted (in relation to other securities owned by such Holder together with any Affiliates) and how many shares of the Series B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6(d), in determining the number of outstanding shares of Common Stock, a Holder may rely on the number of outstanding shares of Common Stock as stated in the most recent of the following: (i) the Corporation’s most recent periodic or annual report filed with the Commission, as the case may be, (ii) a more recent public announcement by the Corporation or (iii) a more recent written notice by the Corporation or the Transfer Agent setting forth the number of shares of Common Stock outstanding. Upon the written or oral request of a Holder, the Corporation shall within two Trading Days confirm orally and in writing to such Holder the number of shares of Common Stock then outstanding. In any case, the number of outstanding shares of Common Stock shall be determined after giving effect to the conversion or exercise of securities of the Corporation, including the Series B Preferred Stock, by such Holder or its Affiliates since the date as of which such number of outstanding shares of Common Stock was reported. The “</w:t>
      </w:r>
      <w:r>
        <w:rPr>
          <w:rFonts w:ascii="Times New Roman;Times;serif" w:hAnsi="Times New Roman;Times;serif"/>
          <w:sz w:val="20"/>
          <w:u w:val="single"/>
        </w:rPr>
        <w:t>Beneficial Ownership Limitation</w:t>
      </w:r>
      <w:r>
        <w:rPr>
          <w:rFonts w:ascii="Times New Roman;Times;serif" w:hAnsi="Times New Roman;Times;serif"/>
          <w:sz w:val="20"/>
        </w:rPr>
        <w:t>” shall be 4.99% of the number of shares of the Common Stock outstanding immediately after giving effect to the issuance of shares of Common Stock issuable upon conversion of Series B Preferred Stock held by the applicable Holder. A Holder, upon not less than 61 days’ prior notice to the Corporation, may increase the Beneficial Ownership Limitation provisions of this Section 6(d) applicable to its Series B Preferred Stock provided that the Beneficial Ownership Limitation in no event exceeds 9.99% of the number of shares of the Common Stock outstanding immediately after giving effect to the issuance of shares of Common Stock upon conversion of this Series B Preferred Stock held by the Holder and the provisions of this Section 6(d) shall continue to apply. Any such increase will not be effective until the 61</w:t>
      </w:r>
      <w:r>
        <w:rPr>
          <w:rFonts w:ascii="Times New Roman;Times;serif" w:hAnsi="Times New Roman;Times;serif"/>
          <w:sz w:val="19"/>
        </w:rPr>
        <w:t>st</w:t>
      </w:r>
      <w:r>
        <w:rPr>
          <w:rFonts w:ascii="Times New Roman;Times;serif" w:hAnsi="Times New Roman;Times;serif"/>
          <w:sz w:val="20"/>
        </w:rPr>
        <w:t xml:space="preserve"> day after such notice is delivered to the Corporation and shall only apply to such Holder and no other Holder. The provisions of this paragraph shall be construed and implemented in a manner otherwise than in strict conformity with the terms of this Section 6(d)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Series B Preferred Stock. Notwithstanding anything to the contrary. the limitations contained in this Section 6(d) shall not apply to any Holder that, at the time of the requested conversion of such Holder’s shares of Series B Preferred Stock, certifies to the Corporation that he, she or it or any partner or member of such Purchaser that is deemed to be the indirect beneficial owner of such shares, was, immediately prior to such request, required to report, or exempt from reporting, his, her or its holdings and transactions relating to securities of the Corporation pursuant to Section 16 of the Exchange Act.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7</w:t>
      </w:r>
      <w:r>
        <w:rPr>
          <w:rFonts w:ascii="Times New Roman;Times;serif" w:hAnsi="Times New Roman;Times;serif"/>
          <w:sz w:val="20"/>
        </w:rPr>
        <w:t xml:space="preserve">. </w:t>
      </w:r>
      <w:r>
        <w:rPr>
          <w:rFonts w:ascii="Times New Roman;Times;serif" w:hAnsi="Times New Roman;Times;serif"/>
          <w:sz w:val="20"/>
          <w:u w:val="single"/>
        </w:rPr>
        <w:t>Certain Adjustments</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Stock Dividends and Stock Splits</w:t>
      </w:r>
      <w:r>
        <w:rPr>
          <w:rFonts w:ascii="Times New Roman;Times;serif" w:hAnsi="Times New Roman;Times;serif"/>
          <w:sz w:val="20"/>
        </w:rPr>
        <w:t>. If the Corporation, at any time while this Series B Preferred Stock is outstanding: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this Series B Preferred Stock),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Subsequent Rights Offerings</w:t>
      </w:r>
      <w:r>
        <w:rPr>
          <w:rFonts w:ascii="Times New Roman;Times;serif" w:hAnsi="Times New Roman;Times;serif"/>
          <w:sz w:val="20"/>
        </w:rPr>
        <w:t>. If the Corporation, at any time while the Series B Preferred Stock is outstanding, shall issue rights, options or warrants to all holders of Common Stock (and not proportionately to the Holders) entitling them to subscribe for or purchase shares of Common Stock at a price per share that is lower than the VWAP on the record date for such issuance, and do not offer the same rights to the Holders, then the Holder will be entitled to acquire, upon conversion of the Series B Preferred Stock, such rights, options or warrants which the Holder could have acquired if the Holder had held the number of shares of Common Stock acquirable upon complete conversion of such Holder’s Series B Preferred Stock (without regard to any limitations on the conversion of such Series B Preferred Stock) immediately before the date on which a record is taken for the issuance of such rights, options or warrants, or, if no such record is taken, the date as of which the record holders of shares of Common Stock are to be determined for the issuance of such rights, options or warrants.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Pro Rata Distributions</w:t>
      </w:r>
      <w:r>
        <w:rPr>
          <w:rFonts w:ascii="Times New Roman;Times;serif" w:hAnsi="Times New Roman;Times;serif"/>
          <w:sz w:val="20"/>
        </w:rPr>
        <w:t>. If the Corporation, at any time while this Series B Preferred Stock is outstanding, distributes to all holders of Common Stock (and not to the Holders) evidences of its indebtedness or assets (including cash and cash dividends) or rights or warrants to subscribe for or purchase any security, then in each such case the Conversion Price shall be adjusted by multiplying such Conversion Price in effect immediately prior to the record date fixed for determination of stockholders entitled to receive such distribution by a fraction of which the denominator shall be the VWAP determined as of the record date mentioned above, and of which the numerator shall be such VWAP on such record date less the then fair market value at such record date of the portion of such assets or evidence of indebtedness or rights or warrants so distributed applicable to one outstanding share of the Common Stock as determined by the Board of Directors in good faith. In either case the adjustments shall be described in a statement delivered to the Holders describing the portion of assets or evidences of indebtedness so distributed or such subscription rights applicable to one share of Common Stock. Such adjustment shall be made whenever any such distribution is made and shall become elective immediately after the record date mentioned above.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Fundamental Transaction</w:t>
      </w:r>
      <w:r>
        <w:rPr>
          <w:rFonts w:ascii="Times New Roman;Times;serif" w:hAnsi="Times New Roman;Times;serif"/>
          <w:sz w:val="20"/>
        </w:rPr>
        <w:t>. If, at any time while this Series B Preferred Stock is outstanding, (i) the Corporation, directly or indirectly, in one or more related transactions effects any merger or consolidation of the Corporation with or into another Person, (ii) the Corporation, directly or indirectly, effects any sale, lease</w:t>
      </w:r>
      <w:r>
        <w:rPr>
          <w:rFonts w:ascii="Times New Roman;Times;serif" w:hAnsi="Times New Roman;Times;serif"/>
          <w:i/>
          <w:sz w:val="20"/>
        </w:rPr>
        <w:t xml:space="preserve">, </w:t>
      </w:r>
      <w:r>
        <w:rPr>
          <w:rFonts w:ascii="Times New Roman;Times;serif" w:hAnsi="Times New Roman;Times;serif"/>
          <w:sz w:val="20"/>
        </w:rPr>
        <w:t>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and excluding shares acquired upon conversion of any currently outstanding convertible securities in accordance with the terms thereof as in effect on the date hereof) (each a “</w:t>
      </w:r>
      <w:r>
        <w:rPr>
          <w:rFonts w:ascii="Times New Roman;Times;serif" w:hAnsi="Times New Roman;Times;serif"/>
          <w:sz w:val="20"/>
          <w:u w:val="single"/>
        </w:rPr>
        <w:t>Fundamental Transaction</w:t>
      </w:r>
      <w:r>
        <w:rPr>
          <w:rFonts w:ascii="Times New Roman;Times;serif" w:hAnsi="Times New Roman;Times;serif"/>
          <w:sz w:val="20"/>
        </w:rPr>
        <w:t>”), then, upon any subsequent conversion of this Series B Preferred Stock, the Holder shall have the right to receive, for each Conversion Share that would have been issuable upon such conversion immediately prior to the occurrence of such Fundamental Transaction (without regard to any limitation in Section 6(d) on the conversion of this Series B Preferred Stock), the number of shares of Common Stock of the successor or acquiring corporation or of the Corporation, if it is the surviving corporation, and any additional consideration (the “</w:t>
      </w:r>
      <w:r>
        <w:rPr>
          <w:rFonts w:ascii="Times New Roman;Times;serif" w:hAnsi="Times New Roman;Times;serif"/>
          <w:sz w:val="20"/>
          <w:u w:val="single"/>
        </w:rPr>
        <w:t>Alternate Consideration</w:t>
      </w:r>
      <w:r>
        <w:rPr>
          <w:rFonts w:ascii="Times New Roman;Times;serif" w:hAnsi="Times New Roman;Times;serif"/>
          <w:sz w:val="20"/>
        </w:rPr>
        <w:t>”) receivable as a result of such Fundamental Transaction by a holder of the number of shares of Common Stock for which this Series B Preferred Stock is convertible immediately prior to such Fundamental Transaction (without regard to any limitation in Section 6(d) on the conversion of this Series B Preferred Stock).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Consideration. If holders of Common Stock are given any choice as to the securities, cash or property to be received in a Fundamental Transaction, then the Holder shall be given the same choice as to the Alternate Consideration it receives upon any conversion of this Series B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w:t>
      </w:r>
      <w:r>
        <w:rPr>
          <w:rFonts w:ascii="Times New Roman;Times;serif" w:hAnsi="Times New Roman;Times;serif"/>
          <w:sz w:val="20"/>
          <w:u w:val="single"/>
        </w:rPr>
        <w:t>Successor Entity</w:t>
      </w:r>
      <w:r>
        <w:rPr>
          <w:rFonts w:ascii="Times New Roman;Times;serif" w:hAnsi="Times New Roman;Times;serif"/>
          <w:sz w:val="20"/>
        </w:rPr>
        <w:t>”) to assume in writing all of the obligations of the Corporation under this Certificate of Designation and the other Transaction Documents in accordance with the provisions of this Section 7(d) pursuant to written agreements in form and substance reasonably satisfactory to the Holder and approved by the Holder (without unreasonable delay) prior to such Fundamental Transaction and shall, at the option of the holder of this Series B Preferred Stock, deliver to the Holder in exchange for this Series B Preferred Stock a security of the Successor Entity evidenced by a written instrument substantially similar in form and substance to this Series B Preferred Stock which is convertible for a corresponding number of shares of capital stock of such Successor Entity (or its parent entity) equivalent to the shares of Common Stock acquirable and receivable upon conversion of this Series B Preferred Stock (without regard to any limitations on the conversion of this Series B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Series B Preferred Stock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Calculations</w:t>
      </w:r>
      <w:r>
        <w:rPr>
          <w:rFonts w:ascii="Times New Roman;Times;serif" w:hAnsi="Times New Roman;Times;serif"/>
          <w:sz w:val="20"/>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Notice to the Holders</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Adjustment to Conversion Price</w:t>
      </w:r>
      <w:r>
        <w:rPr>
          <w:rFonts w:ascii="Times New Roman;Times;serif" w:hAnsi="Times New Roman;Times;serif"/>
          <w:sz w:val="20"/>
        </w:rPr>
        <w:t>. Whenever the Conversion Price is adjusted pursuant to any provision of this Section 7, the Corporation shall promptly deliver to each Holder a notice setting forth the Conversion Price after such adjustment and setting forth a brief statement of the facts requiring such adjustment.</w:t>
      </w:r>
    </w:p>
    <w:p>
      <w:pPr>
        <w:pStyle w:val="TextBody"/>
        <w:bidi w:val="0"/>
        <w:spacing w:before="0" w:after="0"/>
        <w:ind w:left="0" w:right="0" w:firstLine="1080"/>
        <w:jc w:val="left"/>
        <w:rPr/>
      </w:pPr>
      <w:r>
        <w:rPr/>
        <w:t>​</w:t>
      </w:r>
    </w:p>
    <w:p>
      <w:pPr>
        <w:pStyle w:val="TextBody"/>
        <w:bidi w:val="0"/>
        <w:spacing w:before="0" w:after="0"/>
        <w:ind w:left="0" w:right="0" w:firstLine="1080"/>
        <w:jc w:val="left"/>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sz w:val="20"/>
          <w:u w:val="single"/>
        </w:rPr>
        <w:t>Notice to Allow Conversion by Holder</w:t>
      </w:r>
      <w:r>
        <w:rPr>
          <w:rFonts w:ascii="Times New Roman;Times;serif" w:hAnsi="Times New Roman;Times;serif"/>
          <w:sz w:val="20"/>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Series B Preferred Stock, and shall cause to be delivered to each Holder at its last address as it shall appear upon the stock books of the Corporation, at least ten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or any of the Subsidiaries, the Corporation shall simultaneously file such notice with the Commission pursuant to a Current Report on Form 8-K. The Holder shall remain entitled to convert the Conversion Amount of the Series B Preferred Stock (or any part hereof) during the 10-day period commencing on the date of such notice through the effective date of the event triggering such notice except as may otherwise be expressly set forth herein.</w:t>
      </w:r>
    </w:p>
    <w:p>
      <w:pPr>
        <w:pStyle w:val="TextBody"/>
        <w:bidi w:val="0"/>
        <w:spacing w:before="0" w:after="0"/>
        <w:ind w:left="0" w:right="0" w:firstLine="108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8</w:t>
      </w:r>
      <w:r>
        <w:rPr>
          <w:rFonts w:ascii="Times New Roman;Times;serif" w:hAnsi="Times New Roman;Times;serif"/>
          <w:sz w:val="20"/>
        </w:rPr>
        <w:t xml:space="preserve">. </w:t>
      </w:r>
      <w:r>
        <w:rPr>
          <w:rFonts w:ascii="Times New Roman;Times;serif" w:hAnsi="Times New Roman;Times;serif"/>
          <w:sz w:val="20"/>
          <w:u w:val="single"/>
        </w:rPr>
        <w:t>Mandatory Conversion</w:t>
      </w:r>
      <w:r>
        <w:rPr>
          <w:rFonts w:ascii="Times New Roman;Times;serif" w:hAnsi="Times New Roman;Times;serif"/>
          <w:sz w:val="20"/>
        </w:rPr>
        <w:t>. Following the Conversion Consent Date, upon the written election of the Holders of a majority of the outstanding number of shares of Series B Preferred Stock (the date of such election or issuance of a notice is referred to herein as the “</w:t>
      </w:r>
      <w:r>
        <w:rPr>
          <w:rFonts w:ascii="Times New Roman;Times;serif" w:hAnsi="Times New Roman;Times;serif"/>
          <w:sz w:val="20"/>
          <w:u w:val="single"/>
        </w:rPr>
        <w:t>Mandatory Conversion Time</w:t>
      </w:r>
      <w:r>
        <w:rPr>
          <w:rFonts w:ascii="Times New Roman;Times;serif" w:hAnsi="Times New Roman;Times;serif"/>
          <w:sz w:val="20"/>
        </w:rPr>
        <w:t>”) all outstanding shares of Series B Preferred Stock shall immediately and automatically be converted into shares of Common Stock, at the then effective Conversion Price as calculated pursuant to Section 6. All holders of record of shares of Series B Preferred Stock shall be sent written notice of the Mandatory Conversion Time along with instructions for converting the outstanding Series B Preferred Stock certificates. If such election shall have been duly made and notice of mandatory conversion shall have been duly given, then, notwithstanding that the certificate evidencing any shares of Series B Preferred Stock so converted remain outstanding and shall not have been surrendered, all rights pertaining to such shares shall terminate, except only the right of the Holders to receive Common Stock certificates upon surrender of their Series B Preferred Stock certificates; provided, that the rights pertaining to such shares that remain unconverted pursuant to the beneficial ownership limitations set forth in Section 6(d) shall not be affected. For purposes of clarification, a conversion effected pursuant to the terms of this Section 8 shall be subject to all of the provisions of Section 6, including, without limitation, the provisions requiring payment of liquidated damages and beneficial ownership limitations.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u w:val="single"/>
        </w:rPr>
        <w:t>Section 9</w:t>
      </w:r>
      <w:r>
        <w:rPr>
          <w:rFonts w:ascii="Times New Roman;Times;serif" w:hAnsi="Times New Roman;Times;serif"/>
          <w:sz w:val="20"/>
        </w:rPr>
        <w:t xml:space="preserve">. </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Notices</w:t>
      </w:r>
      <w:r>
        <w:rPr>
          <w:rFonts w:ascii="Times New Roman;Times;serif" w:hAnsi="Times New Roman;Times;serif"/>
          <w:sz w:val="20"/>
        </w:rPr>
        <w:t>. Any and all notices or other communications or deliveries to be provided by the Holders hereunder including, without limitation, any Notice of Conversion, shall be in writing and delivered personally, by facsimile, e-mail of a PDF document (with confirmation of transmission), or sent by a nationally recognized overnight courier service, addressed to the Corporation at 112 West 34</w:t>
      </w:r>
      <w:r>
        <w:rPr>
          <w:rFonts w:ascii="Times New Roman;Times;serif" w:hAnsi="Times New Roman;Times;serif"/>
          <w:sz w:val="19"/>
        </w:rPr>
        <w:t>th</w:t>
      </w:r>
      <w:r>
        <w:rPr>
          <w:rFonts w:ascii="Times New Roman;Times;serif" w:hAnsi="Times New Roman;Times;serif"/>
          <w:sz w:val="20"/>
        </w:rPr>
        <w:t xml:space="preserve"> Street, 18</w:t>
      </w:r>
      <w:r>
        <w:rPr>
          <w:rFonts w:ascii="Times New Roman;Times;serif" w:hAnsi="Times New Roman;Times;serif"/>
          <w:sz w:val="19"/>
        </w:rPr>
        <w:t>t</w:t>
      </w:r>
      <w:r>
        <w:rPr>
          <w:rFonts w:ascii="Times New Roman;Times;serif" w:hAnsi="Times New Roman;Times;serif"/>
          <w:sz w:val="20"/>
        </w:rPr>
        <w:t>h Floor, New York. New York 10120, Attention: Chief Executive Officer, facsimile number (646) 365-0648, or such other facsimile number or e-mail or street address as the Corporation may specify for such purposes by notice to the Holders delivered in accordance with this Section 9. Any and all notices or other communications or deliveries to be provided by the Corporation hereunder shall be in writing and delivered personally, by facsimile, e-mail of a PDF document (with confirmation of transmission), or sent by a nationally recognized overnight courier service addressed to each Holder at the facsimile number or address of such Holder appearing on the books of the Corporation, or if no such facsimile number or e-mail or street address appears on the books of the Corporation, at the principal place of business of such Holder, as set forth in the Purchase Agreement. Any notice or other communication or deliveries hereunder shall be deemed given and effective on the earliest of (i) the date of transmission, if such notice or communication is delivered via facsimile or e-mail of a PDF document (with confirmation of transmission) prior to 5:30 p.m. (New York City time) on any date, (ii) the next Trading Day after the date of transmission, if such notice or communication is delivered via facsimile or e-mail of a PDF document (with confirmation of transmission)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Absolute Obligation</w:t>
      </w:r>
      <w:r>
        <w:rPr>
          <w:rFonts w:ascii="Times New Roman;Times;serif" w:hAnsi="Times New Roman;Times;serif"/>
          <w:sz w:val="20"/>
        </w:rPr>
        <w:t>. Except as expressly provided herein, no provision of this Certificate of Designation shall alter or impair the obligation of the Corporation, which is absolute and unconditional, to pay liquidated damages, accrued dividends and accrued interest, as applicable, on the shares of Series B Preferred Stock at the time, place, and rate. and in the coin or currency, herein prescribed.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Lost or Mutilated Series B Preferred Stock Certificate</w:t>
      </w:r>
      <w:r>
        <w:rPr>
          <w:rFonts w:ascii="Times New Roman;Times;serif" w:hAnsi="Times New Roman;Times;serif"/>
          <w:sz w:val="20"/>
        </w:rPr>
        <w:t>. If a Holder’s Series B Preferred Stock certificate shall be mutilated, lost, stolen or destroyed, the Corporation shall execute and deliver, in exchange and substitution for and upon cancellation of a mutilated certificate, or in lieu of or in substitution for a lost, stolen or destroyed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 a new certificate for the shares of Series B Preferred Stock so mutilated, lost, stolen or destroyed, but only upon receipt of evidence of such loss, theft or destruction of such certificate, and of the ownership hereof reasonably satisfactory to the Corporation.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Governing Law</w:t>
      </w:r>
      <w:r>
        <w:rPr>
          <w:rFonts w:ascii="Times New Roman;Times;serif" w:hAnsi="Times New Roman;Times;serif"/>
          <w:sz w:val="20"/>
        </w:rPr>
        <w:t>. All questions concerning the construction, validity, enforcement and interpretation of this Certificate of Designation shall be governed by and construed and enforced in accordance with the internal laws of the State of Delaware,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Times New Roman;Times;serif" w:hAnsi="Times New Roman;Times;serif"/>
          <w:sz w:val="20"/>
          <w:u w:val="single"/>
        </w:rPr>
        <w:t>New York Courts</w:t>
      </w:r>
      <w:r>
        <w:rPr>
          <w:rFonts w:ascii="Times New Roman;Times;serif" w:hAnsi="Times New Roman;Times;serif"/>
          <w:sz w:val="20"/>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Certificate of Designation or the transactions contemplated hereby. If any party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Waiver</w:t>
      </w:r>
      <w:r>
        <w:rPr>
          <w:rFonts w:ascii="Times New Roman;Times;serif" w:hAnsi="Times New Roman;Times;serif"/>
          <w:sz w:val="20"/>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Severability</w:t>
      </w:r>
      <w:r>
        <w:rPr>
          <w:rFonts w:ascii="Times New Roman;Times;serif" w:hAnsi="Times New Roman;Times;serif"/>
          <w:sz w:val="20"/>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Next Business Day</w:t>
      </w:r>
      <w:r>
        <w:rPr>
          <w:rFonts w:ascii="Times New Roman;Times;serif" w:hAnsi="Times New Roman;Times;serif"/>
          <w:sz w:val="20"/>
        </w:rPr>
        <w:t>. Whenever any payment or other obligation hereunder shall be due on a day other than a Business Day, such payment shall be made on the next succeeding Business Day.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Headings</w:t>
      </w:r>
      <w:r>
        <w:rPr>
          <w:rFonts w:ascii="Times New Roman;Times;serif" w:hAnsi="Times New Roman;Times;serif"/>
          <w:sz w:val="20"/>
        </w:rPr>
        <w:t>. The headings contained herein are for convenience only, do not constitute a part of this Certificate of Designation and shall not be deemed to limit or affect any of the provisions hereof.</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Status of Converted Series B Preferred Stock</w:t>
      </w:r>
      <w:r>
        <w:rPr>
          <w:rFonts w:ascii="Times New Roman;Times;serif" w:hAnsi="Times New Roman;Times;serif"/>
          <w:sz w:val="20"/>
        </w:rPr>
        <w:t>. Shares of Series B Preferred Stock may only be issued pursuant to the Purchase Agreement. If any shares of Series B Preferred Stock shall be converted or reacquired by the Corporation, such shares shall resume the status of authorized but unissued shares of preferred stock and shall no longer be designated as Series B Preferred Stock.</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ANNEX 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NOTICE OF CONVERSION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 BE EXECUTED BY THE REGISTERED HOLDER IN ORDER TO CONVERT SHARES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SERIES B PREFERRED STOCK)</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hereby elects to convert the number of shares of Series B Preferred Stock indicated below into shares (the “</w:t>
      </w:r>
      <w:r>
        <w:rPr>
          <w:rFonts w:ascii="Times New Roman;Times;serif" w:hAnsi="Times New Roman;Times;serif"/>
          <w:sz w:val="20"/>
          <w:u w:val="single"/>
        </w:rPr>
        <w:t>Conversion Shares</w:t>
      </w:r>
      <w:r>
        <w:rPr>
          <w:rFonts w:ascii="Times New Roman;Times;serif" w:hAnsi="Times New Roman;Times;serif"/>
          <w:sz w:val="20"/>
        </w:rPr>
        <w:t>”) of common stock, par value $0.000041665 per share (the “</w:t>
      </w:r>
      <w:r>
        <w:rPr>
          <w:rFonts w:ascii="Times New Roman;Times;serif" w:hAnsi="Times New Roman;Times;serif"/>
          <w:sz w:val="20"/>
          <w:u w:val="single"/>
        </w:rPr>
        <w:t>Common Stock</w:t>
      </w:r>
      <w:r>
        <w:rPr>
          <w:rFonts w:ascii="Times New Roman;Times;serif" w:hAnsi="Times New Roman;Times;serif"/>
          <w:sz w:val="20"/>
        </w:rPr>
        <w:t>”), of Lion Biotechnologies, Inc., a Delaware corporation (the “</w:t>
      </w:r>
      <w:r>
        <w:rPr>
          <w:rFonts w:ascii="Times New Roman;Times;serif" w:hAnsi="Times New Roman;Times;serif"/>
          <w:sz w:val="20"/>
          <w:u w:val="single"/>
        </w:rPr>
        <w:t>Corporation</w:t>
      </w:r>
      <w:r>
        <w:rPr>
          <w:rFonts w:ascii="Times New Roman;Times;serif" w:hAnsi="Times New Roman;Times;serif"/>
          <w:sz w:val="20"/>
        </w:rPr>
        <w:t>”). according to the conditions hereof, as of the date written below. If Conversion Shares are to be issued in the name of a Person other than the undersigned, the undersigned will pay all transfer taxes payable with respect thereto and is delivering herewith such certificates and opinions as may be required by the Corporation in accordance with the Purchase Agreement. No fee will be charged to the Holders for any conversion, except for any such transfer taxes. In order to induce the Corporation to issue the stock certificate representing the Conversion Shares without a restrictive legend, the undersigned hereby agrees to comply with the covenants set forth in Section 5.3 of the Purchase Agreement. If the Conversion Shares are not covered by an effective resale registration statement at the time that the undersigned intends to resell the Conversion Shares, the undersigned will not resell the Conversion Shares unless Rule 144, or another exemption, is applicable, and then only in full compliance with Rule 144, or such other exemption, after receiving an opinion of counsel that the Conversion Shares can be sold under Rule 144, or such other exemption.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calculations: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Date to Effect Conversion:</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Number of shares of Preferred Stock owned prior to Conversion:</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Number of shares of Preferred Stock to be Converted:</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Aggregate Stated Value of Preferred Stock to be Converted:</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Number of shares of Common Stock to be Issued:</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Applicable Conversion Price: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Shares of Preferred Stock owned subsequent to Conversion:</w:t>
      </w:r>
    </w:p>
    <w:p>
      <w:pPr>
        <w:pStyle w:val="TextBody"/>
        <w:bidi w:val="0"/>
        <w:spacing w:before="0" w:after="0"/>
        <w:ind w:left="0" w:right="0" w:hanging="0"/>
        <w:jc w:val="left"/>
        <w:rPr/>
      </w:pPr>
      <w:r>
        <w:rPr/>
        <w:t>​</w:t>
      </w:r>
    </w:p>
    <w:tbl>
      <w:tblPr>
        <w:tblW w:w="4093" w:type="dxa"/>
        <w:jc w:val="center"/>
        <w:tblInd w:w="0" w:type="dxa"/>
        <w:tblLayout w:type="fixed"/>
        <w:tblCellMar>
          <w:top w:w="0" w:type="dxa"/>
          <w:left w:w="0" w:type="dxa"/>
          <w:bottom w:w="0" w:type="dxa"/>
          <w:right w:w="0" w:type="dxa"/>
        </w:tblCellMar>
      </w:tblPr>
      <w:tblGrid>
        <w:gridCol w:w="1891"/>
        <w:gridCol w:w="2011"/>
        <w:gridCol w:w="191"/>
      </w:tblGrid>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for Delivery: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or DWAC Instructions: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tbl>
      <w:tblPr>
        <w:tblW w:w="2192" w:type="dxa"/>
        <w:jc w:val="center"/>
        <w:tblInd w:w="0" w:type="dxa"/>
        <w:tblLayout w:type="fixed"/>
        <w:tblCellMar>
          <w:top w:w="0" w:type="dxa"/>
          <w:left w:w="0" w:type="dxa"/>
          <w:bottom w:w="0" w:type="dxa"/>
          <w:right w:w="0" w:type="dxa"/>
        </w:tblCellMar>
      </w:tblPr>
      <w:tblGrid>
        <w:gridCol w:w="1036"/>
        <w:gridCol w:w="1156"/>
      </w:tblGrid>
      <w:tr>
        <w:trPr/>
        <w:tc>
          <w:tcPr>
            <w:tcW w:w="1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Broker no: </w:t>
            </w:r>
          </w:p>
        </w:tc>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 no:</w:t>
            </w:r>
          </w:p>
        </w:tc>
      </w:tr>
    </w:tbl>
    <w:p>
      <w:pPr>
        <w:pStyle w:val="TextBody"/>
        <w:bidi w:val="0"/>
        <w:spacing w:before="0" w:after="0"/>
        <w:ind w:left="0" w:right="0" w:hanging="0"/>
        <w:jc w:val="left"/>
        <w:rPr/>
      </w:pPr>
      <w:r>
        <w:rPr/>
        <w:t>​</w:t>
      </w:r>
    </w:p>
    <w:tbl>
      <w:tblPr>
        <w:tblW w:w="1211" w:type="dxa"/>
        <w:jc w:val="center"/>
        <w:tblInd w:w="0" w:type="dxa"/>
        <w:tblLayout w:type="fixed"/>
        <w:tblCellMar>
          <w:top w:w="0" w:type="dxa"/>
          <w:left w:w="0" w:type="dxa"/>
          <w:bottom w:w="0" w:type="dxa"/>
          <w:right w:w="0" w:type="dxa"/>
        </w:tblCellMar>
      </w:tblPr>
      <w:tblGrid>
        <w:gridCol w:w="161"/>
        <w:gridCol w:w="676"/>
        <w:gridCol w:w="374"/>
      </w:tblGrid>
      <w:tr>
        <w:trPr/>
        <w:tc>
          <w:tcPr>
            <w:tcW w:w="161" w:type="dxa"/>
            <w:tcBorders/>
            <w:vAlign w:val="center"/>
          </w:tcPr>
          <w:p>
            <w:pPr>
              <w:pStyle w:val="TableContents"/>
              <w:bidi w:val="0"/>
              <w:spacing w:before="0" w:after="0"/>
              <w:ind w:left="0" w:right="0" w:hanging="0"/>
              <w:jc w:val="left"/>
              <w:rPr/>
            </w:pPr>
            <w:r>
              <w:rPr/>
              <w:t> </w:t>
            </w:r>
          </w:p>
        </w:tc>
        <w:tc>
          <w:tcPr>
            <w:tcW w:w="10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w:t>
            </w:r>
          </w:p>
        </w:tc>
      </w:tr>
      <w:tr>
        <w:trPr/>
        <w:tc>
          <w:tcPr>
            <w:tcW w:w="16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4"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0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61" w:type="dxa"/>
            <w:tcBorders/>
            <w:vAlign w:val="center"/>
          </w:tcPr>
          <w:p>
            <w:pPr>
              <w:pStyle w:val="TableContents"/>
              <w:bidi w:val="0"/>
              <w:spacing w:before="0" w:after="0"/>
              <w:ind w:left="0" w:right="0" w:hanging="0"/>
              <w:jc w:val="left"/>
              <w:rPr/>
            </w:pPr>
            <w:r>
              <w:rPr/>
              <w:t> </w:t>
            </w:r>
          </w:p>
        </w:tc>
        <w:tc>
          <w:tcPr>
            <w:tcW w:w="10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AMENDMENT TO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INCORPORATION, AS AMENDED,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Iovance Biotherapeutics, Inc., a corporation duly organized and validly existing under and by virtue of the General Corporation Law of the State of Delaware (the “Company”), does hereby certify as follows: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FIRST</w:t>
      </w:r>
      <w:r>
        <w:rPr>
          <w:rFonts w:ascii="Times New Roman;Times;serif" w:hAnsi="Times New Roman;Times;serif"/>
          <w:sz w:val="20"/>
        </w:rPr>
        <w:t>: The Certificate of Incorporation of the Company is hereby amended by deleting the first sentence of Article IV thereof in its entirety and inserting the following in lieu thereof:</w:t>
      </w:r>
    </w:p>
    <w:p>
      <w:pPr>
        <w:pStyle w:val="TextBody"/>
        <w:bidi w:val="0"/>
        <w:spacing w:before="0" w:after="0"/>
        <w:ind w:left="0" w:right="0" w:firstLine="720"/>
        <w:jc w:val="left"/>
        <w:rPr/>
      </w:pPr>
      <w:r>
        <w:rPr/>
        <w:t>​</w:t>
      </w:r>
    </w:p>
    <w:p>
      <w:pPr>
        <w:pStyle w:val="TextBody"/>
        <w:bidi w:val="0"/>
        <w:spacing w:before="0" w:after="0"/>
        <w:ind w:left="720" w:right="0" w:hanging="0"/>
        <w:jc w:val="left"/>
        <w:rPr/>
      </w:pPr>
      <w:r>
        <w:rPr/>
        <w:t>“</w:t>
      </w:r>
      <w:r>
        <w:rPr>
          <w:rFonts w:ascii="Times New Roman;Times;serif" w:hAnsi="Times New Roman;Times;serif"/>
          <w:sz w:val="20"/>
        </w:rPr>
        <w:t>The total number of shares of all classes of stock which the Corporation shall have authority to issue is Five Hundred Fifty Million (550,000,000), consisting of (a) Five Hundred Million (500,000,000) shares of Common Stock, $0.000041666 par value per share (“Common Stock”), and (b) Fifty Million (50,000,000) shares of Preferred Stock, $0.001 par value per share (“Preferred Stock”).”</w:t>
      </w:r>
    </w:p>
    <w:p>
      <w:pPr>
        <w:pStyle w:val="TextBody"/>
        <w:bidi w:val="0"/>
        <w:spacing w:before="0" w:after="0"/>
        <w:ind w:left="72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SECOND</w:t>
      </w:r>
      <w:r>
        <w:rPr>
          <w:rFonts w:ascii="Times New Roman;Times;serif" w:hAnsi="Times New Roman;Times;serif"/>
          <w:sz w:val="20"/>
        </w:rPr>
        <w:t>: Except as explicitly amended by the foregoing amendment, the language of Article IV of the Certificate of Incorporation shall remain unchanged.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THIRD</w:t>
      </w:r>
      <w:r>
        <w:rPr>
          <w:rFonts w:ascii="Times New Roman;Times;serif" w:hAnsi="Times New Roman;Times;serif"/>
          <w:sz w:val="20"/>
        </w:rPr>
        <w:t>: All other provisions of the Certificate of Incorporation shall remain in full force and effect.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FOURTH</w:t>
      </w:r>
      <w:r>
        <w:rPr>
          <w:rFonts w:ascii="Times New Roman;Times;serif" w:hAnsi="Times New Roman;Times;serif"/>
          <w:sz w:val="20"/>
        </w:rPr>
        <w:t>: The foregoing amendment was duly adopted in accordance with the provisions of Section 242(b) of the General Corporation Law of the State of Delaware.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FIFTH</w:t>
      </w:r>
      <w:r>
        <w:rPr>
          <w:rFonts w:ascii="Times New Roman;Times;serif" w:hAnsi="Times New Roman;Times;serif"/>
          <w:sz w:val="20"/>
        </w:rPr>
        <w:t>: That this Certificate of Amendment to the Certificate of Incorporation shall be effective upon filing.</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 </w:t>
      </w:r>
      <w:r>
        <w:rPr>
          <w:rFonts w:ascii="Times New Roman;Times;serif" w:hAnsi="Times New Roman;Times;serif"/>
          <w:b/>
          <w:sz w:val="20"/>
        </w:rPr>
        <w:t>IN WITNESS WHEREOF</w:t>
      </w:r>
      <w:r>
        <w:rPr>
          <w:rFonts w:ascii="Times New Roman;Times;serif" w:hAnsi="Times New Roman;Times;serif"/>
          <w:sz w:val="20"/>
        </w:rPr>
        <w:t>, the undersigned has duly executed this Certificate of Amendment on this 9th day of June,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838" w:type="dxa"/>
        <w:jc w:val="center"/>
        <w:tblInd w:w="0" w:type="dxa"/>
        <w:tblLayout w:type="fixed"/>
        <w:tblCellMar>
          <w:top w:w="0" w:type="dxa"/>
          <w:left w:w="0" w:type="dxa"/>
          <w:bottom w:w="0" w:type="dxa"/>
          <w:right w:w="0" w:type="dxa"/>
        </w:tblCellMar>
      </w:tblPr>
      <w:tblGrid>
        <w:gridCol w:w="161"/>
        <w:gridCol w:w="631"/>
        <w:gridCol w:w="3046"/>
      </w:tblGrid>
      <w:tr>
        <w:trPr/>
        <w:tc>
          <w:tcPr>
            <w:tcW w:w="161" w:type="dxa"/>
            <w:tcBorders/>
            <w:vAlign w:val="center"/>
          </w:tcPr>
          <w:p>
            <w:pPr>
              <w:pStyle w:val="TableContents"/>
              <w:bidi w:val="0"/>
              <w:spacing w:before="0" w:after="0"/>
              <w:ind w:left="0" w:right="0" w:hanging="0"/>
              <w:jc w:val="left"/>
              <w:rPr/>
            </w:pPr>
            <w:r>
              <w:rPr/>
              <w:t> </w:t>
            </w:r>
          </w:p>
        </w:tc>
        <w:tc>
          <w:tcPr>
            <w:tcW w:w="36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IOVANCE BIOTHERAPEUTICS, INC.</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304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/s/Frederick G. Vogt, Ph.D., J.D.</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 and</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General Counsel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AMENDMENT TO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 OF INCORPORATION, AS AMENDED,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Iovance Biotherapeutics, Inc., a corporation duly organized and validly existing under and by virtue of the General Corporation Law of the State of Delaware (the “Company”), does hereby certify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FIRST</w:t>
      </w:r>
      <w:r>
        <w:rPr>
          <w:rFonts w:ascii="Times New Roman;Times;serif" w:hAnsi="Times New Roman;Times;serif"/>
          <w:sz w:val="20"/>
        </w:rPr>
        <w:t>: The Certificate of Incorporation of the Company is hereby amended by deleting the first sentence of Article IV thereof in its entirety and inserting the following in lieu thereof:</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Times New Roman;Times;serif" w:hAnsi="Times New Roman;Times;serif"/>
          <w:sz w:val="20"/>
        </w:rPr>
        <w:t>The total number of shares of all classes of stock which the Corporation shall have authority to issue is Seven Hundred Million (700,000,000), consisting of (a) Six Hundred Fifty Million (650,000,000) shares of Common Stock, $0.000041666 par value per share (“Common Stock”), and (b) Fifty Million (50,000,000) shares of Preferred Stock, $0.001 par value per share (“Preferred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SECOND: </w:t>
      </w:r>
      <w:r>
        <w:rPr>
          <w:rFonts w:ascii="Times New Roman;Times;serif" w:hAnsi="Times New Roman;Times;serif"/>
          <w:sz w:val="20"/>
        </w:rPr>
        <w:t>Except as explicitly amended by the foregoing amendment, the language of Article IV of the Certificate of Incorporation shall remain unchanged.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THIRD</w:t>
      </w:r>
      <w:r>
        <w:rPr>
          <w:rFonts w:ascii="Times New Roman;Times;serif" w:hAnsi="Times New Roman;Times;serif"/>
          <w:sz w:val="20"/>
        </w:rPr>
        <w:t>: All other provisions of the Certificate of Incorporation shall remain in full force and effect.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FOURTH</w:t>
      </w:r>
      <w:r>
        <w:rPr>
          <w:rFonts w:ascii="Times New Roman;Times;serif" w:hAnsi="Times New Roman;Times;serif"/>
          <w:sz w:val="20"/>
        </w:rPr>
        <w:t>: The foregoing amendment was duly adopted in accordance with the provisions of Section 242(b) of the General Corporation Law of the State of Delaware.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FIFTH:</w:t>
      </w:r>
      <w:r>
        <w:rPr>
          <w:rFonts w:ascii="Times New Roman;Times;serif" w:hAnsi="Times New Roman;Times;serif"/>
          <w:sz w:val="20"/>
        </w:rPr>
        <w:t xml:space="preserve"> That this Certificate of Amendment to the Certificate of Incorporation shall be effective upon filing.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undersigned has duly executed this Certificate of Amendment on this 10th day of June, 2026.</w:t>
      </w:r>
    </w:p>
    <w:p>
      <w:pPr>
        <w:pStyle w:val="TextBody"/>
        <w:bidi w:val="0"/>
        <w:spacing w:before="0" w:after="0"/>
        <w:ind w:left="0" w:right="0" w:hanging="0"/>
        <w:jc w:val="left"/>
        <w:rPr/>
      </w:pPr>
      <w:r>
        <w:rPr/>
        <w:t>​</w:t>
      </w:r>
    </w:p>
    <w:tbl>
      <w:tblPr>
        <w:tblW w:w="3838" w:type="dxa"/>
        <w:jc w:val="center"/>
        <w:tblInd w:w="0" w:type="dxa"/>
        <w:tblLayout w:type="fixed"/>
        <w:tblCellMar>
          <w:top w:w="0" w:type="dxa"/>
          <w:left w:w="0" w:type="dxa"/>
          <w:bottom w:w="0" w:type="dxa"/>
          <w:right w:w="0" w:type="dxa"/>
        </w:tblCellMar>
      </w:tblPr>
      <w:tblGrid>
        <w:gridCol w:w="161"/>
        <w:gridCol w:w="631"/>
        <w:gridCol w:w="3046"/>
      </w:tblGrid>
      <w:tr>
        <w:trPr/>
        <w:tc>
          <w:tcPr>
            <w:tcW w:w="161" w:type="dxa"/>
            <w:tcBorders/>
            <w:vAlign w:val="center"/>
          </w:tcPr>
          <w:p>
            <w:pPr>
              <w:pStyle w:val="TableContents"/>
              <w:bidi w:val="0"/>
              <w:spacing w:before="0" w:after="0"/>
              <w:ind w:left="0" w:right="0" w:hanging="0"/>
              <w:jc w:val="left"/>
              <w:rPr/>
            </w:pPr>
            <w:r>
              <w:rPr/>
              <w:t> </w:t>
            </w:r>
          </w:p>
        </w:tc>
        <w:tc>
          <w:tcPr>
            <w:tcW w:w="36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IOVANCE BIOTHERAPEUTICS, INC.</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304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/s/Frederick G. Vogt, Ph.D., J.D.</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0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 and</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General Counsel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3400"/>
        <w:ind w:left="0" w:right="0" w:hanging="0"/>
        <w:jc w:val="right"/>
        <w:rPr>
          <w:rFonts w:ascii="Times New Roman;Times;serif" w:hAnsi="Times New Roman;Times;serif"/>
          <w:b/>
          <w:sz w:val="20"/>
        </w:rPr>
      </w:pPr>
      <w:bookmarkStart w:id="35" w:name="iova-20260618xex4d1.htm"/>
      <w:bookmarkStart w:id="36" w:name="ksiova20260618xex4d1"/>
      <w:bookmarkEnd w:id="35"/>
      <w:bookmarkEnd w:id="36"/>
      <w:r>
        <w:rPr>
          <w:rFonts w:ascii="Times New Roman;Times;serif" w:hAnsi="Times New Roman;Times;serif"/>
          <w:b/>
          <w:sz w:val="20"/>
        </w:rPr>
        <w:t>Exhibit 4.1</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IOVANCE BIOTHERAPEUTICS, INC.</w:t>
      </w:r>
    </w:p>
    <w:p>
      <w:pPr>
        <w:pStyle w:val="TextBody"/>
        <w:bidi w:val="0"/>
        <w:spacing w:before="0" w:after="0"/>
        <w:ind w:left="0" w:right="0" w:hanging="0"/>
        <w:jc w:val="center"/>
        <w:rPr/>
      </w:pPr>
      <w:r>
        <w:rPr/>
        <w:t>​</w:t>
      </w:r>
    </w:p>
    <w:p>
      <w:pPr>
        <w:pStyle w:val="HorizontalLine"/>
        <w:pBdr>
          <w:bottom w:val="single" w:sz="6" w:space="0" w:color="000000"/>
        </w:pBdr>
        <w:bidi w:val="0"/>
        <w:spacing w:before="0" w:after="0"/>
        <w:jc w:val="left"/>
        <w:rPr/>
      </w:pPr>
      <w:r>
        <w:rPr/>
      </w:r>
    </w:p>
    <w:p>
      <w:pPr>
        <w:pStyle w:val="TextBody"/>
        <w:bidi w:val="0"/>
        <w:spacing w:before="0" w:after="0"/>
        <w:ind w:left="0" w:right="0" w:hanging="0"/>
        <w:jc w:val="center"/>
        <w:rPr/>
      </w:pPr>
      <w:r>
        <w:rPr/>
        <w:t>​</w:t>
      </w:r>
    </w:p>
    <w:p>
      <w:pPr>
        <w:pStyle w:val="TextBody"/>
        <w:bidi w:val="0"/>
        <w:spacing w:before="0" w:after="360"/>
        <w:ind w:left="0" w:right="0" w:hanging="0"/>
        <w:jc w:val="center"/>
        <w:rPr>
          <w:rFonts w:ascii="Times New Roman;Times;serif" w:hAnsi="Times New Roman;Times;serif"/>
          <w:sz w:val="20"/>
        </w:rPr>
      </w:pPr>
      <w:r>
        <w:rPr>
          <w:rFonts w:ascii="Times New Roman;Times;serif" w:hAnsi="Times New Roman;Times;serif"/>
          <w:sz w:val="20"/>
        </w:rPr>
        <w:t>INDENTURE</w:t>
      </w:r>
    </w:p>
    <w:p>
      <w:pPr>
        <w:pStyle w:val="TextBody"/>
        <w:bidi w:val="0"/>
        <w:spacing w:before="0" w:after="360"/>
        <w:ind w:left="0" w:right="0" w:hanging="0"/>
        <w:jc w:val="center"/>
        <w:rPr>
          <w:rFonts w:ascii="Times New Roman;Times;serif" w:hAnsi="Times New Roman;Times;serif"/>
          <w:sz w:val="20"/>
        </w:rPr>
      </w:pPr>
      <w:r>
        <w:rPr>
          <w:rFonts w:ascii="Times New Roman;Times;serif" w:hAnsi="Times New Roman;Times;serif"/>
          <w:sz w:val="20"/>
        </w:rPr>
        <w:t>Dated as of [●]</w:t>
      </w:r>
    </w:p>
    <w:p>
      <w:pPr>
        <w:pStyle w:val="TextBody"/>
        <w:bidi w:val="0"/>
        <w:spacing w:before="0" w:after="36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Trustee</w:t>
      </w:r>
    </w:p>
    <w:p>
      <w:pPr>
        <w:pStyle w:val="HorizontalLine"/>
        <w:pBdr>
          <w:bottom w:val="single" w:sz="6" w:space="0" w:color="000000"/>
        </w:pBdr>
        <w:bidi w:val="0"/>
        <w:spacing w:before="0" w:after="0"/>
        <w:jc w:val="left"/>
        <w:rPr/>
      </w:pPr>
      <w:r>
        <w:rPr/>
      </w:r>
    </w:p>
    <w:p>
      <w:pPr>
        <w:pStyle w:val="TextBody"/>
        <w:bidi w:val="0"/>
        <w:spacing w:before="0" w:after="0"/>
        <w:ind w:left="0" w:right="0" w:hanging="0"/>
        <w:jc w:val="center"/>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8675" w:type="dxa"/>
        <w:jc w:val="center"/>
        <w:tblInd w:w="0" w:type="dxa"/>
        <w:tblLayout w:type="fixed"/>
        <w:tblCellMar>
          <w:top w:w="0" w:type="dxa"/>
          <w:left w:w="0" w:type="dxa"/>
          <w:bottom w:w="0" w:type="dxa"/>
          <w:right w:w="0" w:type="dxa"/>
        </w:tblCellMar>
      </w:tblPr>
      <w:tblGrid>
        <w:gridCol w:w="1186"/>
        <w:gridCol w:w="346"/>
        <w:gridCol w:w="6256"/>
        <w:gridCol w:w="346"/>
        <w:gridCol w:w="541"/>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53110" cy="175260"/>
                      <wp:effectExtent l="0" t="0" r="0" b="0"/>
                      <wp:wrapNone/>
                      <wp:docPr id="25" name="Frame2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972560" cy="175260"/>
                      <wp:effectExtent l="0" t="0" r="0" b="0"/>
                      <wp:wrapNone/>
                      <wp:docPr id="26" name="Frame24"/>
                      <a:graphic xmlns:a="http://schemas.openxmlformats.org/drawingml/2006/main">
                        <a:graphicData uri="http://schemas.microsoft.com/office/word/2010/wordprocessingShape">
                          <wps:wsp>
                            <wps:cNvSpPr txBox="1"/>
                            <wps:spPr>
                              <a:xfrm>
                                <a:off x="0" y="0"/>
                                <a:ext cx="397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43535" cy="175260"/>
                      <wp:effectExtent l="0" t="0" r="0" b="0"/>
                      <wp:wrapNone/>
                      <wp:docPr id="27" name="Frame2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1</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DEFINITIONS</w:t>
            </w:r>
          </w:p>
        </w:tc>
        <w:tc>
          <w:tcPr>
            <w:tcW w:w="346" w:type="dxa"/>
            <w:tcBorders/>
            <w:vAlign w:val="center"/>
          </w:tcPr>
          <w:p>
            <w:pPr>
              <w:pStyle w:val="TableContents"/>
              <w:bidi w:val="0"/>
              <w:spacing w:before="0" w:after="0"/>
              <w:ind w:left="0" w:right="0" w:hanging="0"/>
              <w:jc w:val="right"/>
              <w:rPr/>
            </w:pPr>
            <w:r>
              <w:rPr/>
              <w:t>​</w:t>
            </w:r>
          </w:p>
        </w:tc>
        <w:tc>
          <w:tcPr>
            <w:tcW w:w="54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Terms Defined</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1.02.</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Definitions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1.03.</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Rules of Construction</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2</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FORMS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2.01.</w:t>
            </w:r>
          </w:p>
        </w:tc>
        <w:tc>
          <w:tcPr>
            <w:tcW w:w="346" w:type="dxa"/>
            <w:tcBorders/>
            <w:vAlign w:val="center"/>
          </w:tcPr>
          <w:p>
            <w:pPr>
              <w:pStyle w:val="TableContents"/>
              <w:bidi w:val="0"/>
              <w:spacing w:before="0" w:after="5"/>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Forms Generally</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2.02.</w:t>
            </w:r>
          </w:p>
        </w:tc>
        <w:tc>
          <w:tcPr>
            <w:tcW w:w="346" w:type="dxa"/>
            <w:tcBorders/>
            <w:vAlign w:val="center"/>
          </w:tcPr>
          <w:p>
            <w:pPr>
              <w:pStyle w:val="TableContents"/>
              <w:bidi w:val="0"/>
              <w:spacing w:before="0" w:after="5"/>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Guarantees by Guarantor; Form of Guarantee; Release of Guarantee</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2.03.</w:t>
            </w:r>
          </w:p>
        </w:tc>
        <w:tc>
          <w:tcPr>
            <w:tcW w:w="346" w:type="dxa"/>
            <w:tcBorders/>
            <w:vAlign w:val="center"/>
          </w:tcPr>
          <w:p>
            <w:pPr>
              <w:pStyle w:val="TableContents"/>
              <w:bidi w:val="0"/>
              <w:spacing w:before="0" w:after="5"/>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Trustee’s Certificate of Authentication</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3</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 EXECUTION, FORM AND REGISTRATION OF SECURITIES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3.01.</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Unlimited; Issuable in Series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3.02.</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Authentication and Delivery of Securities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3.03.</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Execution of Securities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3.04.</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 of Authentication</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3.05.</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Denomination, Currency and Date of Securities; Payments of Interest</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3.06.</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Security Legend</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3.07.</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Registration, Transfer and Exchange</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3.08.</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Book-Entry Provisions for Global Securities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3.09.</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Mutilated, Defaced, Destroyed, Lost and Stolen Securities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3.10.</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Cancellation of Securities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3.11.</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Temporary Securities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3.12.</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CUSIP and ISIN Numbers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4</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COVENANTS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4.01.</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Principal, Premium and Interest on Securities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4.02.</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Maintenance of Office or Agency</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4.03.</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for Securities Payments to be Held in Trust</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4.04.</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Existence</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4.05.</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Statement by Officers as to Default</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4.06.</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 of Certain Covenants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5</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REMEDIES OF THE TRUSTEE AND HOLDERS ON EVENT OF DEFAULT</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5.01.</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Events of Default</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5.02.</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Acceleration</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5.03.</w:t>
            </w:r>
          </w:p>
        </w:tc>
        <w:tc>
          <w:tcPr>
            <w:tcW w:w="346" w:type="dxa"/>
            <w:tcBorders/>
            <w:vAlign w:val="center"/>
          </w:tcPr>
          <w:p>
            <w:pPr>
              <w:pStyle w:val="TableContents"/>
              <w:bidi w:val="0"/>
              <w:spacing w:before="0" w:after="0"/>
              <w:ind w:left="0" w:right="0" w:hanging="0"/>
              <w:jc w:val="left"/>
              <w:rPr/>
            </w:pPr>
            <w:r>
              <w:rPr/>
              <w:t>​</w:t>
            </w:r>
          </w:p>
        </w:tc>
        <w:tc>
          <w:tcPr>
            <w:tcW w:w="6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Remedies</w:t>
            </w:r>
          </w:p>
        </w:tc>
        <w:tc>
          <w:tcPr>
            <w:tcW w:w="34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tbl>
      <w:tblPr>
        <w:tblW w:w="9806" w:type="dxa"/>
        <w:jc w:val="center"/>
        <w:tblInd w:w="0" w:type="dxa"/>
        <w:tblLayout w:type="fixed"/>
        <w:tblCellMar>
          <w:top w:w="0" w:type="dxa"/>
          <w:left w:w="0" w:type="dxa"/>
          <w:bottom w:w="0" w:type="dxa"/>
          <w:right w:w="0" w:type="dxa"/>
        </w:tblCellMar>
      </w:tblPr>
      <w:tblGrid>
        <w:gridCol w:w="1186"/>
        <w:gridCol w:w="109"/>
        <w:gridCol w:w="8041"/>
        <w:gridCol w:w="109"/>
        <w:gridCol w:w="361"/>
      </w:tblGrid>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5.04.</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 of Past Defaults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5.05.</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 by Majority</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5.06.</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Limitation on Suits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5.07.</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Rights of Holders to Receive Payment</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5.08.</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 Suit by Trustee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5.09.</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Trustee May File Proofs of Claim</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5.10.</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Priorities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5.11.</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Undertaking for Costs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5.12.</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Restoration of Rights and Remedies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5.13.</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Rights and Remedies Cumulative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5.14.</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Delay or Omission Not Waiver</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6</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TRUSTEE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6.01.</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Duties and Responsibilities of the Trustee; During Default; Prior to Default</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6.02.</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Rights of the Trustee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6.03.</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Trustee Not Responsible for Recitals, Disposition of Securities or Application of Proceeds Thereof</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6.04.</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Trustee and Agents May Hold Securities; Collections, Etc</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6.05.</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Moneys Held by Trustee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6.06.</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of Default</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6.07.</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Indemnification of Trustee and Its Prior Claim</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6.08.</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Trustee to Rely on Officers’ Certificate, Etc</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6.09.</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Persons Eligible for Appointment as Trustee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6.10.</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Resignation and Removal; Appointment of Successor Trustee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6.11.</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Acceptance of Appointment by Successor</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6.12.</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Merger, Conversion, Consolidation or Succession to Business of Trustee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6.13.</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Preferential Collection of Claims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6.14.</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Communications with the Trustee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6.15.</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Paying Agent/Registrar</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7</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CONCERNING THE HOLDERS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7.01.</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Evidence of Action Taken by Holders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7.02.</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Proof of Execution of Instruments and of Holding of Securities; Record Date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7.03.</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Who May Be Deemed Owners of Securities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7.04.</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Owned by Company Deemed Not Outstanding</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7.05.</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Record Date for Action by Holders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HorizontalLine"/>
        <w:pBdr>
          <w:bottom w:val="double" w:sz="2" w:space="0" w:color="808080"/>
        </w:pBdr>
        <w:bidi w:val="0"/>
        <w:spacing w:before="0" w:after="283"/>
        <w:jc w:val="left"/>
        <w:rPr/>
      </w:pPr>
      <w:r>
        <w:rPr/>
      </w:r>
    </w:p>
    <w:tbl>
      <w:tblPr>
        <w:tblW w:w="9911" w:type="dxa"/>
        <w:jc w:val="center"/>
        <w:tblInd w:w="0" w:type="dxa"/>
        <w:tblLayout w:type="fixed"/>
        <w:tblCellMar>
          <w:top w:w="0" w:type="dxa"/>
          <w:left w:w="0" w:type="dxa"/>
          <w:bottom w:w="0" w:type="dxa"/>
          <w:right w:w="0" w:type="dxa"/>
        </w:tblCellMar>
      </w:tblPr>
      <w:tblGrid>
        <w:gridCol w:w="1291"/>
        <w:gridCol w:w="109"/>
        <w:gridCol w:w="8041"/>
        <w:gridCol w:w="109"/>
        <w:gridCol w:w="361"/>
      </w:tblGrid>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7.06.</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Revocation of Action Taken</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8</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MEETINGS OF HOLDERS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8.01.</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Purposes for Which Meeting May Be Called</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8.02.</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Manner of Calling Meetings; Record Date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8.03.</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Call of Meeting by Company or Holders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8.04.</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Who May Attend and Vote at Meeting</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8.05.</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Regulations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8.06.</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Manner of Voting at Meetings and Record to be Kept</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8.07.</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Rights of Trustee and Holders Not to be Hindered or Delayed</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9</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INDENTURES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9.01.</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Indentures Without Consent of Holders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9.02.</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Consent of Holders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9.03.</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Supplemental Indenture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9.04.</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Documents to Be Given to Trustee; Compliance with TIA</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9.05.</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Notation on Securities in Respect of Supplemental Indentures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10</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CONSOLIDATION, MERGER OR SALE OF ASSETS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10.01.</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When the Company May Merge, Etc</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10.02.</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Successor Person Substituted</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10.03.</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Opinion of Counsel to Trustee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11</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REDEMPTION OF SECURITIES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11.01.</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Applicability of Article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11.02.</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 of Redemption; Partial Redemptions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11.03.</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Securities Called for Redemption</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12</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DEFEASANCE AND COVENANT DEFEASANCE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12.01.</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Applicability of the Article; Company’s Option to Effect Defeasance or Covenant Defeasance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12.02.</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Defeasance and Discharge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12.03.</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Covenant Defeasance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12.04.</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to Legal or Covenant Defeasance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12.05.</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Deposited Money and Government Securities to be Held in Trust; Other Miscellaneous Provisions</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12.06.</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to the Company or Guarantor</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12.07.</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Reinstatement</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13</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SATISFACTION AND DISCHARGE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13.01.</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Satisfaction and Discharge of Indenture</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13.02.</w:t>
            </w:r>
          </w:p>
        </w:tc>
        <w:tc>
          <w:tcPr>
            <w:tcW w:w="109"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Application of Trust Money</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1174"/>
        <w:gridCol w:w="109"/>
        <w:gridCol w:w="8451"/>
        <w:gridCol w:w="109"/>
        <w:gridCol w:w="362"/>
      </w:tblGrid>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14</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HOLDERS’ LISTS AND REPORTS BY TRUSTEE, COMPANY AND GUARANTORS</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14.01.</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to Furnish Trustee Names and Addresses of Holders</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14.02.</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Preservation of Information; Communications to Holders</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14.03.</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Reports by the Trustee</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14.04.</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Reports by the Company and Guarantors</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15</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PROVISIONS</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15.01.</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Incorporators, Stockholders, Members, Partners, Officers, Managers and Directors of Company or any Guarantor Exempt from Individual Liability</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15.02.</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 of Indenture for the Sole Benefit of Parties and Holders</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15.03.</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Successors and Assigns of Company or Guarantor Bound by Indenture</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15.04.</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Notices, Etc., to Trustee, the Company and Guarantors</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15.05.</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Notices to Holders</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15.06.</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Officers’ Certificates and Opinions of Counsel; Statements to Be Contained Therein</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15.07.</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Due on Saturdays, Sundays and Holidays</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15.08.</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Conflict of Any Provision of Indenture with Trust Indenture Act</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15.09.</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Conflict of Any Provision of Securities with Indenture</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15.10.</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Law to Govern</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15.11.</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 of Jury Trial</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15.12.</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Consent to Jurisdiction and Service</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15.13.</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Third Party Beneficiaries</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15.14.</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Counterparts</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15.15.</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Headings, Table of Contents</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15.16.</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Adverse Interpretation of Other Agreements</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15.17.</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Severability</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15.18.</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Patriot Act Compliance</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1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15.19.</w:t>
            </w:r>
          </w:p>
        </w:tc>
        <w:tc>
          <w:tcPr>
            <w:tcW w:w="109" w:type="dxa"/>
            <w:tcBorders/>
            <w:vAlign w:val="center"/>
          </w:tcPr>
          <w:p>
            <w:pPr>
              <w:pStyle w:val="TableContents"/>
              <w:bidi w:val="0"/>
              <w:spacing w:before="0" w:after="0"/>
              <w:ind w:left="0" w:right="0" w:hanging="0"/>
              <w:jc w:val="left"/>
              <w:rPr/>
            </w:pPr>
            <w:r>
              <w:rPr/>
              <w:t>​</w:t>
            </w:r>
          </w:p>
        </w:tc>
        <w:tc>
          <w:tcPr>
            <w:tcW w:w="8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Force Majeure</w:t>
            </w:r>
          </w:p>
        </w:tc>
        <w:tc>
          <w:tcPr>
            <w:tcW w:w="109"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Reconciliation and tie between Trust Indenture Act of 1939, as amended,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and this Indenture</w:t>
      </w:r>
    </w:p>
    <w:p>
      <w:pPr>
        <w:pStyle w:val="TextBody"/>
        <w:bidi w:val="0"/>
        <w:spacing w:before="0" w:after="0"/>
        <w:ind w:left="0" w:right="0" w:hanging="0"/>
        <w:jc w:val="left"/>
        <w:rPr/>
      </w:pPr>
      <w:r>
        <w:rPr/>
        <w:t>​</w:t>
      </w:r>
    </w:p>
    <w:tbl>
      <w:tblPr>
        <w:tblW w:w="9453" w:type="dxa"/>
        <w:jc w:val="center"/>
        <w:tblInd w:w="0" w:type="dxa"/>
        <w:tblLayout w:type="fixed"/>
        <w:tblCellMar>
          <w:top w:w="0" w:type="dxa"/>
          <w:left w:w="0" w:type="dxa"/>
          <w:bottom w:w="0" w:type="dxa"/>
          <w:right w:w="0" w:type="dxa"/>
        </w:tblCellMar>
      </w:tblPr>
      <w:tblGrid>
        <w:gridCol w:w="7471"/>
        <w:gridCol w:w="346"/>
        <w:gridCol w:w="1636"/>
      </w:tblGrid>
      <w:tr>
        <w:trPr/>
        <w:tc>
          <w:tcPr>
            <w:tcW w:w="7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744085" cy="175260"/>
                      <wp:effectExtent l="0" t="0" r="0" b="0"/>
                      <wp:wrapNone/>
                      <wp:docPr id="28" name="Frame26"/>
                      <a:graphic xmlns:a="http://schemas.openxmlformats.org/drawingml/2006/main">
                        <a:graphicData uri="http://schemas.microsoft.com/office/word/2010/wordprocessingShape">
                          <wps:wsp>
                            <wps:cNvSpPr txBox="1"/>
                            <wps:spPr>
                              <a:xfrm>
                                <a:off x="0" y="0"/>
                                <a:ext cx="474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038860" cy="175260"/>
                      <wp:effectExtent l="0" t="0" r="0" b="0"/>
                      <wp:wrapNone/>
                      <wp:docPr id="29" name="Frame27"/>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Trust Indenture Act</w:t>
            </w:r>
            <w:r>
              <w:rPr>
                <w:rFonts w:ascii="Times New Roman;Times;serif" w:hAnsi="Times New Roman;Times;serif"/>
                <w:sz w:val="20"/>
              </w:rPr>
              <w:t xml:space="preserve"> </w:t>
            </w:r>
            <w:r>
              <w:rPr>
                <w:rFonts w:ascii="Times New Roman;Times;serif" w:hAnsi="Times New Roman;Times;serif"/>
                <w:b/>
                <w:sz w:val="20"/>
              </w:rPr>
              <w:t>Section</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  ​ ​ ​</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Indenture Section</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§310(a)(1)</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6.09</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(a)(2)</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6.09</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(a)(3)</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(a)(4)</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(a)(5)</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6.09</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6.04, 6.10</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§311(a)</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6.13</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6.13</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§312(a)</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14.01, 14.02(a)</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14.02(b)</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5"/>
              </w:rPr>
              <w:t>(c)</w:t>
            </w:r>
            <w:r>
              <w:rPr>
                <w:rFonts w:ascii="Times New Roman;Times;serif" w:hAnsi="Times New Roman;Times;serif"/>
                <w:sz w:val="20"/>
              </w:rPr>
              <w:t>​</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14.02(c)</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§313(a)</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14.03(a)</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14.03(a)</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14.03(a), 14.03(b)</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14.03(b)</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§314(a)</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4.05, 14.04</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(c)(1)</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15.06</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(c)(2)</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15.06</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(c)(3)</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15.06</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§315(a)</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6.01</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6.06, 14.03(a)</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5"/>
              </w:rPr>
              <w:t>(c)</w:t>
            </w:r>
            <w:r>
              <w:rPr>
                <w:rFonts w:ascii="Times New Roman;Times;serif" w:hAnsi="Times New Roman;Times;serif"/>
                <w:sz w:val="20"/>
              </w:rPr>
              <w:t>​</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6.01</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6.01</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5.11</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§316(a)(1)(A)</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5.05</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(a)(1)(B)</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5.02, 5.04</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(a)(2)</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5.07</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5"/>
              </w:rPr>
              <w:t>(c)</w:t>
            </w:r>
            <w:r>
              <w:rPr>
                <w:rFonts w:ascii="Times New Roman;Times;serif" w:hAnsi="Times New Roman;Times;serif"/>
                <w:sz w:val="20"/>
              </w:rPr>
              <w:t>​</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7.02, 8.03</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§317(a)(1)</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5.08</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(a)(2)</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5.09</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4.03</w:t>
            </w:r>
          </w:p>
        </w:tc>
      </w:tr>
      <w:tr>
        <w:trPr/>
        <w:tc>
          <w:tcPr>
            <w:tcW w:w="747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318 (a)</w:t>
            </w:r>
          </w:p>
        </w:tc>
        <w:tc>
          <w:tcPr>
            <w:tcW w:w="34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15.08</w:t>
            </w:r>
          </w:p>
        </w:tc>
      </w:tr>
      <w:tr>
        <w:trPr/>
        <w:tc>
          <w:tcPr>
            <w:tcW w:w="7471" w:type="dxa"/>
            <w:tcBorders>
              <w:top w:val="single" w:sz="2" w:space="0" w:color="000000"/>
              <w:left w:val="single" w:sz="2" w:space="0" w:color="000000"/>
              <w:bottom w:val="single" w:sz="2" w:space="0" w:color="000000"/>
            </w:tcBorders>
            <w:shd w:fill="CCEEFF" w:val="clear"/>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cross-reference table shall not, for any purpose, be deemed to be part of this Indenture.</w:t>
            </w:r>
          </w:p>
        </w:tc>
        <w:tc>
          <w:tcPr>
            <w:tcW w:w="34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0"/>
              <w:ind w:left="0" w:right="0" w:hanging="0"/>
              <w:jc w:val="left"/>
              <w:rPr/>
            </w:pPr>
            <w:r>
              <w:rPr/>
              <w:t>​</w:t>
            </w:r>
          </w:p>
        </w:tc>
        <w:tc>
          <w:tcPr>
            <w:tcW w:w="163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INDENTURE</w:t>
      </w:r>
      <w:r>
        <w:rPr>
          <w:rFonts w:ascii="Times New Roman;Times;serif" w:hAnsi="Times New Roman;Times;serif"/>
          <w:sz w:val="20"/>
        </w:rPr>
        <w:t xml:space="preserve"> dated as of [●] between </w:t>
      </w:r>
      <w:r>
        <w:rPr>
          <w:rFonts w:ascii="Times New Roman;Times;serif" w:hAnsi="Times New Roman;Times;serif"/>
          <w:b/>
          <w:sz w:val="20"/>
        </w:rPr>
        <w:t>Iovance Biotherapeutics, Inc.</w:t>
      </w:r>
      <w:r>
        <w:rPr>
          <w:rFonts w:ascii="Times New Roman;Times;serif" w:hAnsi="Times New Roman;Times;serif"/>
          <w:sz w:val="20"/>
        </w:rPr>
        <w:t>, a Delaware corporation (the “</w:t>
      </w:r>
      <w:r>
        <w:rPr>
          <w:rFonts w:ascii="Times New Roman;Times;serif" w:hAnsi="Times New Roman;Times;serif"/>
          <w:b/>
          <w:sz w:val="20"/>
        </w:rPr>
        <w:t>Company</w:t>
      </w:r>
      <w:r>
        <w:rPr>
          <w:rFonts w:ascii="Times New Roman;Times;serif" w:hAnsi="Times New Roman;Times;serif"/>
          <w:sz w:val="20"/>
        </w:rPr>
        <w:t>”), the Guarantors (as defined herein) and [●], as trustee (the “</w:t>
      </w:r>
      <w:r>
        <w:rPr>
          <w:rFonts w:ascii="Times New Roman;Times;serif" w:hAnsi="Times New Roman;Times;serif"/>
          <w:b/>
          <w:sz w:val="20"/>
        </w:rPr>
        <w:t>Trustee</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WITNESSETH: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and the Guarantors have duly authorized the execution and delivery of this Indenture to provide for the issuance from time to time of its unsecured debentures, notes or other evidences of indebtedness (herein called the “</w:t>
      </w:r>
      <w:r>
        <w:rPr>
          <w:rFonts w:ascii="Times New Roman;Times;serif" w:hAnsi="Times New Roman;Times;serif"/>
          <w:b/>
          <w:sz w:val="20"/>
        </w:rPr>
        <w:t>Securities</w:t>
      </w:r>
      <w:r>
        <w:rPr>
          <w:rFonts w:ascii="Times New Roman;Times;serif" w:hAnsi="Times New Roman;Times;serif"/>
          <w:sz w:val="20"/>
        </w:rPr>
        <w:t>”), to be issued in one or more series as in this Indenture provided;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all things necessary to make the Indenture a valid indenture and agreement according to its terms, have been done.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consideration of the premises and the purchases of the Securities by the Holders thereof, the Company, the Guarantors and the Trustee mutually covenant and agree for the equal and proportionate benefit of the respective Holders from time to time of the Securities as follows: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w:t>
      </w:r>
    </w:p>
    <w:p>
      <w:pPr>
        <w:pStyle w:val="TextBody"/>
        <w:bidi w:val="0"/>
        <w:spacing w:before="0" w:after="0"/>
        <w:ind w:left="0" w:right="0" w:hanging="0"/>
        <w:jc w:val="center"/>
        <w:rPr/>
      </w:pPr>
      <w:r>
        <w:rPr/>
        <w:t>​</w:t>
      </w:r>
    </w:p>
    <w:p>
      <w:pPr>
        <w:pStyle w:val="TextBody"/>
        <w:bidi w:val="0"/>
        <w:spacing w:before="0" w:after="182"/>
        <w:ind w:left="0" w:right="0" w:hanging="0"/>
        <w:jc w:val="center"/>
        <w:rPr>
          <w:rFonts w:ascii="Times New Roman;Times;serif" w:hAnsi="Times New Roman;Times;serif"/>
          <w:b/>
          <w:caps/>
          <w:sz w:val="20"/>
        </w:rPr>
      </w:pPr>
      <w:r>
        <w:rPr>
          <w:rFonts w:ascii="Times New Roman;Times;serif" w:hAnsi="Times New Roman;Times;serif"/>
          <w:b/>
          <w:caps/>
          <w:sz w:val="20"/>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1.01.</w:t>
      </w:r>
      <w:r>
        <w:rPr>
          <w:rFonts w:ascii="Times New Roman;Times;serif" w:hAnsi="Times New Roman;Times;serif"/>
          <w:sz w:val="20"/>
          <w:u w:val="single"/>
        </w:rPr>
        <w:t>Certain Terms Defined</w:t>
      </w:r>
      <w:r>
        <w:rPr>
          <w:rFonts w:ascii="Times New Roman;Times;serif" w:hAnsi="Times New Roman;Times;serif"/>
          <w:sz w:val="20"/>
        </w:rPr>
        <w:t>.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which are defined in the Trust Indenture Act or the definitions of which in the Securities Act are referred to in the Trust Indenture Act (except as herein otherwise expressly provided or unless the context otherwise clearly requires), shall have the meanings assigned to such terms in the Trust Indenture Act and in the Securities Act as in force at the date of this Indenture. All accounting terms used herein and not expressly defined shall have the meanings given to them in accordance with generally accepted accounting principles in the United States (whether or not such is indicated herein). The words “herein,” “hereof” and “hereunder” and other words of similar import refer to this Indenture as a whole and not to any particular Article, Section or other subdivision. The terms defined in this Article include the plural as well as the singular.</w:t>
      </w:r>
    </w:p>
    <w:p>
      <w:pPr>
        <w:pStyle w:val="TextBody"/>
        <w:bidi w:val="0"/>
        <w:spacing w:before="0" w:after="240"/>
        <w:ind w:left="0" w:right="0" w:firstLine="720"/>
        <w:jc w:val="both"/>
        <w:rPr/>
      </w:pPr>
      <w:r>
        <w:rPr/>
        <w:t>“</w:t>
      </w:r>
      <w:r>
        <w:rPr>
          <w:rFonts w:ascii="Times New Roman;Times;serif" w:hAnsi="Times New Roman;Times;serif"/>
          <w:sz w:val="20"/>
          <w:u w:val="single"/>
        </w:rPr>
        <w:t>Agent Members</w:t>
      </w:r>
      <w:r>
        <w:rPr>
          <w:rFonts w:ascii="Times New Roman;Times;serif" w:hAnsi="Times New Roman;Times;serif"/>
          <w:sz w:val="20"/>
        </w:rPr>
        <w:t xml:space="preserve">” has the meaning provided in </w:t>
      </w:r>
      <w:r>
        <w:rPr>
          <w:rFonts w:ascii="Times New Roman;Times;serif" w:hAnsi="Times New Roman;Times;serif"/>
          <w:sz w:val="20"/>
          <w:u w:val="single"/>
        </w:rPr>
        <w:t>Section 3.08(a)</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Board of Directors</w:t>
      </w:r>
      <w:r>
        <w:rPr>
          <w:rFonts w:ascii="Times New Roman;Times;serif" w:hAnsi="Times New Roman;Times;serif"/>
          <w:sz w:val="20"/>
        </w:rPr>
        <w:t>” means, with respect to any Person, the board of directors or board of managers of such Person, or any authorized committee of the board of directors or board of managers of such Person or any officer of such Person duly authorized by the board of directors or board of managers of such Person to take a specific action.</w:t>
      </w:r>
    </w:p>
    <w:p>
      <w:pPr>
        <w:pStyle w:val="TextBody"/>
        <w:bidi w:val="0"/>
        <w:spacing w:before="0" w:after="240"/>
        <w:ind w:left="0" w:right="0" w:firstLine="720"/>
        <w:jc w:val="both"/>
        <w:rPr/>
      </w:pPr>
      <w:r>
        <w:rPr/>
        <w:t>“</w:t>
      </w:r>
      <w:r>
        <w:rPr>
          <w:rFonts w:ascii="Times New Roman;Times;serif" w:hAnsi="Times New Roman;Times;serif"/>
          <w:sz w:val="20"/>
          <w:u w:val="single"/>
        </w:rPr>
        <w:t>Board Resolution</w:t>
      </w:r>
      <w:r>
        <w:rPr>
          <w:rFonts w:ascii="Times New Roman;Times;serif" w:hAnsi="Times New Roman;Times;serif"/>
          <w:sz w:val="20"/>
        </w:rPr>
        <w:t>” means, with respect to the Company or any Guarantor, a copy of a resolution certified by the Secretary or an Assistant Secretary of the Company or such Guarantor, respectively, to have been duly adopted by the Board of Directors of the Company or such</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Guarantor, respectively, and to be in full force and effect on the date of such certification, and delivered to the Trustee.</w:t>
      </w:r>
    </w:p>
    <w:p>
      <w:pPr>
        <w:pStyle w:val="TextBody"/>
        <w:bidi w:val="0"/>
        <w:spacing w:before="0" w:after="240"/>
        <w:ind w:left="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xml:space="preserve">” means any day except a Saturday, Sunday or other day on which banking institutions or trust companies located in the same jurisdiction as the Payment Office specified pursuant to </w:t>
      </w:r>
      <w:r>
        <w:rPr>
          <w:rFonts w:ascii="Times New Roman;Times;serif" w:hAnsi="Times New Roman;Times;serif"/>
          <w:sz w:val="20"/>
          <w:u w:val="single"/>
        </w:rPr>
        <w:t>Section 3.01</w:t>
      </w:r>
      <w:r>
        <w:rPr>
          <w:rFonts w:ascii="Times New Roman;Times;serif" w:hAnsi="Times New Roman;Times;serif"/>
          <w:sz w:val="20"/>
        </w:rPr>
        <w:t xml:space="preserve"> are authorized or obligated by law or executive order to close, except as otherwise specified pursuant to </w:t>
      </w:r>
      <w:r>
        <w:rPr>
          <w:rFonts w:ascii="Times New Roman;Times;serif" w:hAnsi="Times New Roman;Times;serif"/>
          <w:sz w:val="20"/>
          <w:u w:val="single"/>
        </w:rPr>
        <w:t>Section 3.01</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240"/>
        <w:ind w:left="0" w:right="0" w:firstLine="720"/>
        <w:jc w:val="both"/>
        <w:rPr/>
      </w:pPr>
      <w:r>
        <w:rPr/>
        <w:t>“</w:t>
      </w:r>
      <w:r>
        <w:rPr>
          <w:rFonts w:ascii="Times New Roman;Times;serif" w:hAnsi="Times New Roman;Times;serif"/>
          <w:sz w:val="20"/>
          <w:u w:val="single"/>
        </w:rPr>
        <w:t>Company</w:t>
      </w:r>
      <w:r>
        <w:rPr>
          <w:rFonts w:ascii="Times New Roman;Times;serif" w:hAnsi="Times New Roman;Times;serif"/>
          <w:sz w:val="20"/>
        </w:rPr>
        <w:t>” means the Person named as the “</w:t>
      </w:r>
      <w:r>
        <w:rPr>
          <w:rFonts w:ascii="Times New Roman;Times;serif" w:hAnsi="Times New Roman;Times;serif"/>
          <w:b/>
          <w:sz w:val="20"/>
        </w:rPr>
        <w:t>Company</w:t>
      </w:r>
      <w:r>
        <w:rPr>
          <w:rFonts w:ascii="Times New Roman;Times;serif" w:hAnsi="Times New Roman;Times;serif"/>
          <w:sz w:val="20"/>
        </w:rPr>
        <w:t>” in the first paragraph of this Indenture until a successor shall have become such pursuant to the applicable provisions of this Indenture, and thereafter “</w:t>
      </w:r>
      <w:r>
        <w:rPr>
          <w:rFonts w:ascii="Times New Roman;Times;serif" w:hAnsi="Times New Roman;Times;serif"/>
          <w:b/>
          <w:sz w:val="20"/>
        </w:rPr>
        <w:t>Company</w:t>
      </w:r>
      <w:r>
        <w:rPr>
          <w:rFonts w:ascii="Times New Roman;Times;serif" w:hAnsi="Times New Roman;Times;serif"/>
          <w:sz w:val="20"/>
        </w:rPr>
        <w:t>” shall mean such successor.</w:t>
      </w:r>
    </w:p>
    <w:p>
      <w:pPr>
        <w:pStyle w:val="TextBody"/>
        <w:bidi w:val="0"/>
        <w:spacing w:before="0" w:after="240"/>
        <w:ind w:left="0" w:right="0" w:firstLine="720"/>
        <w:jc w:val="both"/>
        <w:rPr/>
      </w:pPr>
      <w:r>
        <w:rPr/>
        <w:t>“</w:t>
      </w:r>
      <w:r>
        <w:rPr>
          <w:rFonts w:ascii="Times New Roman;Times;serif" w:hAnsi="Times New Roman;Times;serif"/>
          <w:sz w:val="20"/>
          <w:u w:val="single"/>
        </w:rPr>
        <w:t>Company Request</w:t>
      </w:r>
      <w:r>
        <w:rPr>
          <w:rFonts w:ascii="Times New Roman;Times;serif" w:hAnsi="Times New Roman;Times;serif"/>
          <w:sz w:val="20"/>
        </w:rPr>
        <w:t>” or “</w:t>
      </w:r>
      <w:r>
        <w:rPr>
          <w:rFonts w:ascii="Times New Roman;Times;serif" w:hAnsi="Times New Roman;Times;serif"/>
          <w:sz w:val="20"/>
          <w:u w:val="single"/>
        </w:rPr>
        <w:t>Company Order</w:t>
      </w:r>
      <w:r>
        <w:rPr>
          <w:rFonts w:ascii="Times New Roman;Times;serif" w:hAnsi="Times New Roman;Times;serif"/>
          <w:sz w:val="20"/>
        </w:rPr>
        <w:t>” means a written request or order signed in the name of the Company by its Chairman of the Board of Directors, its President, its Chief Executive Officer, its Chief Financial Officer, its Treasurer, its Controller, its Secretary or an Assistant Secretary, and delivered to the Trustee.</w:t>
      </w:r>
    </w:p>
    <w:p>
      <w:pPr>
        <w:pStyle w:val="TextBody"/>
        <w:bidi w:val="0"/>
        <w:spacing w:before="0" w:after="240"/>
        <w:ind w:left="0" w:right="0" w:firstLine="720"/>
        <w:jc w:val="both"/>
        <w:rPr/>
      </w:pPr>
      <w:r>
        <w:rPr/>
        <w:t>“</w:t>
      </w:r>
      <w:r>
        <w:rPr>
          <w:rFonts w:ascii="Times New Roman;Times;serif" w:hAnsi="Times New Roman;Times;serif"/>
          <w:sz w:val="20"/>
          <w:u w:val="single"/>
        </w:rPr>
        <w:t>Corporate Trust Office</w:t>
      </w:r>
      <w:r>
        <w:rPr>
          <w:rFonts w:ascii="Times New Roman;Times;serif" w:hAnsi="Times New Roman;Times;serif"/>
          <w:sz w:val="20"/>
        </w:rPr>
        <w:t>” means the corporate trust office of the Trustee at which the corporate trust business of the Trustee shall, at any particular time, be principally administered, which office is, at the date as of which this Indenture is dated, located at [●].</w:t>
      </w:r>
    </w:p>
    <w:p>
      <w:pPr>
        <w:pStyle w:val="TextBody"/>
        <w:bidi w:val="0"/>
        <w:spacing w:before="0" w:after="240"/>
        <w:ind w:left="0" w:right="0" w:firstLine="720"/>
        <w:jc w:val="both"/>
        <w:rPr/>
      </w:pPr>
      <w:r>
        <w:rPr/>
        <w:t>“</w:t>
      </w:r>
      <w:r>
        <w:rPr>
          <w:rFonts w:ascii="Times New Roman;Times;serif" w:hAnsi="Times New Roman;Times;serif"/>
          <w:sz w:val="20"/>
          <w:u w:val="single"/>
        </w:rPr>
        <w:t>Default</w:t>
      </w:r>
      <w:r>
        <w:rPr>
          <w:rFonts w:ascii="Times New Roman;Times;serif" w:hAnsi="Times New Roman;Times;serif"/>
          <w:sz w:val="20"/>
        </w:rPr>
        <w:t>” means any event that is or with the passage of time or the giving of notice or both would be an Event of Default.</w:t>
      </w:r>
    </w:p>
    <w:p>
      <w:pPr>
        <w:pStyle w:val="TextBody"/>
        <w:bidi w:val="0"/>
        <w:spacing w:before="0" w:after="240"/>
        <w:ind w:left="0" w:right="0" w:firstLine="720"/>
        <w:jc w:val="both"/>
        <w:rPr/>
      </w:pPr>
      <w:r>
        <w:rPr/>
        <w:t>“</w:t>
      </w:r>
      <w:r>
        <w:rPr>
          <w:rFonts w:ascii="Times New Roman;Times;serif" w:hAnsi="Times New Roman;Times;serif"/>
          <w:sz w:val="20"/>
          <w:u w:val="single"/>
        </w:rPr>
        <w:t>Depositary</w:t>
      </w:r>
      <w:r>
        <w:rPr>
          <w:rFonts w:ascii="Times New Roman;Times;serif" w:hAnsi="Times New Roman;Times;serif"/>
          <w:sz w:val="20"/>
        </w:rPr>
        <w:t>” means The Depository Trust Company, its nominees, and their respective successors.</w:t>
      </w:r>
    </w:p>
    <w:p>
      <w:pPr>
        <w:pStyle w:val="TextBody"/>
        <w:bidi w:val="0"/>
        <w:spacing w:before="0" w:after="240"/>
        <w:ind w:left="0" w:right="0" w:firstLine="720"/>
        <w:jc w:val="both"/>
        <w:rPr/>
      </w:pPr>
      <w:r>
        <w:rPr/>
        <w:t>“</w:t>
      </w:r>
      <w:r>
        <w:rPr>
          <w:rFonts w:ascii="Times New Roman;Times;serif" w:hAnsi="Times New Roman;Times;serif"/>
          <w:sz w:val="20"/>
          <w:u w:val="single"/>
        </w:rPr>
        <w:t>Dollar</w:t>
      </w:r>
      <w:r>
        <w:rPr>
          <w:rFonts w:ascii="Times New Roman;Times;serif" w:hAnsi="Times New Roman;Times;serif"/>
          <w:sz w:val="20"/>
        </w:rPr>
        <w:t>” or “</w:t>
      </w:r>
      <w:r>
        <w:rPr>
          <w:rFonts w:ascii="Times New Roman;Times;serif" w:hAnsi="Times New Roman;Times;serif"/>
          <w:sz w:val="20"/>
          <w:u w:val="single"/>
        </w:rPr>
        <w:t>$</w:t>
      </w:r>
      <w:r>
        <w:rPr>
          <w:rFonts w:ascii="Times New Roman;Times;serif" w:hAnsi="Times New Roman;Times;serif"/>
          <w:sz w:val="20"/>
        </w:rPr>
        <w:t>” means a dollar or other equivalent unit in such coin or currency of the United States as at the time shall be legal tender for the payment of public and private debt.</w:t>
      </w:r>
    </w:p>
    <w:p>
      <w:pPr>
        <w:pStyle w:val="TextBody"/>
        <w:bidi w:val="0"/>
        <w:spacing w:before="0" w:after="240"/>
        <w:ind w:left="0" w:right="0" w:firstLine="720"/>
        <w:jc w:val="both"/>
        <w:rPr/>
      </w:pPr>
      <w:r>
        <w:rPr/>
        <w:t>“</w:t>
      </w:r>
      <w:r>
        <w:rPr>
          <w:rFonts w:ascii="Times New Roman;Times;serif" w:hAnsi="Times New Roman;Times;serif"/>
          <w:sz w:val="20"/>
          <w:u w:val="single"/>
        </w:rPr>
        <w:t>Event of Default</w:t>
      </w:r>
      <w:r>
        <w:rPr>
          <w:rFonts w:ascii="Times New Roman;Times;serif" w:hAnsi="Times New Roman;Times;serif"/>
          <w:sz w:val="20"/>
        </w:rPr>
        <w:t xml:space="preserve">” means any event or condition specified as such in </w:t>
      </w:r>
      <w:r>
        <w:rPr>
          <w:rFonts w:ascii="Times New Roman;Times;serif" w:hAnsi="Times New Roman;Times;serif"/>
          <w:sz w:val="20"/>
          <w:u w:val="single"/>
        </w:rPr>
        <w:t>Section 5.01</w:t>
      </w:r>
      <w:r>
        <w:rPr>
          <w:rFonts w:ascii="Times New Roman;Times;serif" w:hAnsi="Times New Roman;Times;serif"/>
          <w:sz w:val="20"/>
        </w:rPr>
        <w:t xml:space="preserve"> which shall have continued for the period of time, if any, therein designated.</w:t>
      </w:r>
    </w:p>
    <w:p>
      <w:pPr>
        <w:pStyle w:val="TextBody"/>
        <w:bidi w:val="0"/>
        <w:spacing w:before="0" w:after="240"/>
        <w:ind w:left="0" w:right="0" w:firstLine="720"/>
        <w:jc w:val="both"/>
        <w:rPr/>
      </w:pPr>
      <w:r>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w:t>
      </w:r>
    </w:p>
    <w:p>
      <w:pPr>
        <w:pStyle w:val="TextBody"/>
        <w:bidi w:val="0"/>
        <w:spacing w:before="0" w:after="240"/>
        <w:ind w:left="0" w:right="0" w:firstLine="720"/>
        <w:jc w:val="both"/>
        <w:rPr/>
      </w:pPr>
      <w:r>
        <w:rPr/>
        <w:t>“</w:t>
      </w:r>
      <w:r>
        <w:rPr>
          <w:rFonts w:ascii="Times New Roman;Times;serif" w:hAnsi="Times New Roman;Times;serif"/>
          <w:sz w:val="20"/>
          <w:u w:val="single"/>
        </w:rPr>
        <w:t>GAAP</w:t>
      </w:r>
      <w:r>
        <w:rPr>
          <w:rFonts w:ascii="Times New Roman;Times;serif" w:hAnsi="Times New Roman;Times;serif"/>
          <w:sz w:val="20"/>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 At any time after the Issue Date with respect to a series of Securities, the Company may elect to apply IFRS in lieu of GAAP and, upon any such election, references in this Indenture to GAAP</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shall thereafter be construed to mean IFRS as in effect from time to time. The Company shall give notice of any such election to the Trustee.</w:t>
      </w:r>
    </w:p>
    <w:p>
      <w:pPr>
        <w:pStyle w:val="TextBody"/>
        <w:bidi w:val="0"/>
        <w:spacing w:before="0" w:after="240"/>
        <w:ind w:left="0" w:right="0" w:firstLine="720"/>
        <w:jc w:val="both"/>
        <w:rPr/>
      </w:pPr>
      <w:r>
        <w:rPr/>
        <w:t>“</w:t>
      </w:r>
      <w:r>
        <w:rPr>
          <w:rFonts w:ascii="Times New Roman;Times;serif" w:hAnsi="Times New Roman;Times;serif"/>
          <w:sz w:val="20"/>
          <w:u w:val="single"/>
        </w:rPr>
        <w:t>Global Security</w:t>
      </w:r>
      <w:r>
        <w:rPr>
          <w:rFonts w:ascii="Times New Roman;Times;serif" w:hAnsi="Times New Roman;Times;serif"/>
          <w:sz w:val="20"/>
        </w:rPr>
        <w:t xml:space="preserve">” means a Security, and any Guarantees endorsed thereon, evidencing all or part of a series of Securities and the corresponding Guarantees, if any, issued to the Depositary for that series in accordance with </w:t>
      </w:r>
      <w:r>
        <w:rPr>
          <w:rFonts w:ascii="Times New Roman;Times;serif" w:hAnsi="Times New Roman;Times;serif"/>
          <w:sz w:val="20"/>
          <w:u w:val="single"/>
        </w:rPr>
        <w:t>Section 3.05</w:t>
      </w:r>
      <w:r>
        <w:rPr>
          <w:rFonts w:ascii="Times New Roman;Times;serif" w:hAnsi="Times New Roman;Times;serif"/>
          <w:sz w:val="20"/>
        </w:rPr>
        <w:t xml:space="preserve"> and bearing the appropriate legend prescribed in </w:t>
      </w:r>
      <w:r>
        <w:rPr>
          <w:rFonts w:ascii="Times New Roman;Times;serif" w:hAnsi="Times New Roman;Times;serif"/>
          <w:sz w:val="20"/>
          <w:u w:val="single"/>
        </w:rPr>
        <w:t>Section 3.06</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Government Securities</w:t>
      </w:r>
      <w:r>
        <w:rPr>
          <w:rFonts w:ascii="Times New Roman;Times;serif" w:hAnsi="Times New Roman;Times;serif"/>
          <w:sz w:val="20"/>
        </w:rPr>
        <w:t>” means direct obligations of, or obligations guaranteed by, the United States of America, and the payment for which the United States pledges its full faith and credit.</w:t>
      </w:r>
    </w:p>
    <w:p>
      <w:pPr>
        <w:pStyle w:val="TextBody"/>
        <w:bidi w:val="0"/>
        <w:spacing w:before="0" w:after="240"/>
        <w:ind w:left="0" w:right="0" w:firstLine="720"/>
        <w:jc w:val="both"/>
        <w:rPr/>
      </w:pPr>
      <w:r>
        <w:rPr/>
        <w:t>“</w:t>
      </w:r>
      <w:r>
        <w:rPr>
          <w:rFonts w:ascii="Times New Roman;Times;serif" w:hAnsi="Times New Roman;Times;serif"/>
          <w:sz w:val="20"/>
          <w:u w:val="single"/>
        </w:rPr>
        <w:t>Guarantee</w:t>
      </w:r>
      <w:r>
        <w:rPr>
          <w:rFonts w:ascii="Times New Roman;Times;serif" w:hAnsi="Times New Roman;Times;serif"/>
          <w:sz w:val="20"/>
        </w:rPr>
        <w:t xml:space="preserve">” means with respect to the Securities of any series, the Guarantee with respect to the Securities of such series by the applicable Guarantor or Guarantors pursuant to </w:t>
      </w:r>
      <w:r>
        <w:rPr>
          <w:rFonts w:ascii="Times New Roman;Times;serif" w:hAnsi="Times New Roman;Times;serif"/>
          <w:sz w:val="20"/>
          <w:u w:val="single"/>
        </w:rPr>
        <w:t>Section 2.02</w:t>
      </w:r>
      <w:r>
        <w:rPr>
          <w:rFonts w:ascii="Times New Roman;Times;serif" w:hAnsi="Times New Roman;Times;serif"/>
          <w:sz w:val="20"/>
        </w:rPr>
        <w:t xml:space="preserve"> hereof and a supplemental indenture.</w:t>
      </w:r>
    </w:p>
    <w:p>
      <w:pPr>
        <w:pStyle w:val="TextBody"/>
        <w:bidi w:val="0"/>
        <w:spacing w:before="0" w:after="240"/>
        <w:ind w:left="0" w:right="0" w:firstLine="720"/>
        <w:jc w:val="both"/>
        <w:rPr/>
      </w:pPr>
      <w:r>
        <w:rPr/>
        <w:t>“</w:t>
      </w:r>
      <w:r>
        <w:rPr>
          <w:rFonts w:ascii="Times New Roman;Times;serif" w:hAnsi="Times New Roman;Times;serif"/>
          <w:sz w:val="20"/>
          <w:u w:val="single"/>
        </w:rPr>
        <w:t>Guarantor</w:t>
      </w:r>
      <w:r>
        <w:rPr>
          <w:rFonts w:ascii="Times New Roman;Times;serif" w:hAnsi="Times New Roman;Times;serif"/>
          <w:sz w:val="20"/>
        </w:rPr>
        <w:t xml:space="preserve">” means, with respect to Securities of any series, any of the Company’s direct and indirect Subsidiaries, but only if such entity has guaranteed the Company’s obligations under this Indenture and with respect to such series of Securities pursuant to </w:t>
      </w:r>
      <w:r>
        <w:rPr>
          <w:rFonts w:ascii="Times New Roman;Times;serif" w:hAnsi="Times New Roman;Times;serif"/>
          <w:sz w:val="20"/>
          <w:u w:val="single"/>
        </w:rPr>
        <w:t>Section 2.01</w:t>
      </w:r>
      <w:r>
        <w:rPr>
          <w:rFonts w:ascii="Times New Roman;Times;serif" w:hAnsi="Times New Roman;Times;serif"/>
          <w:sz w:val="20"/>
        </w:rPr>
        <w:t xml:space="preserve"> hereof; </w:t>
      </w:r>
      <w:r>
        <w:rPr>
          <w:rFonts w:ascii="Times New Roman;Times;serif" w:hAnsi="Times New Roman;Times;serif"/>
          <w:sz w:val="20"/>
          <w:u w:val="single"/>
        </w:rPr>
        <w:t>provided</w:t>
      </w:r>
      <w:r>
        <w:rPr>
          <w:rFonts w:ascii="Times New Roman;Times;serif" w:hAnsi="Times New Roman;Times;serif"/>
          <w:sz w:val="20"/>
        </w:rPr>
        <w:t xml:space="preserve"> that upon the release and discharge of any Person from its Guarantee in accordance with this Indenture or as specified pursuant to </w:t>
      </w:r>
      <w:r>
        <w:rPr>
          <w:rFonts w:ascii="Times New Roman;Times;serif" w:hAnsi="Times New Roman;Times;serif"/>
          <w:sz w:val="20"/>
          <w:u w:val="single"/>
        </w:rPr>
        <w:t>Section 3.01</w:t>
      </w:r>
      <w:r>
        <w:rPr>
          <w:rFonts w:ascii="Times New Roman;Times;serif" w:hAnsi="Times New Roman;Times;serif"/>
          <w:sz w:val="20"/>
        </w:rPr>
        <w:t>, such Person shall cease to be a Guarantor.</w:t>
      </w:r>
    </w:p>
    <w:p>
      <w:pPr>
        <w:pStyle w:val="TextBody"/>
        <w:bidi w:val="0"/>
        <w:spacing w:before="0" w:after="240"/>
        <w:ind w:left="0" w:right="0" w:firstLine="720"/>
        <w:jc w:val="both"/>
        <w:rPr/>
      </w:pPr>
      <w:r>
        <w:rPr/>
        <w:t>“</w:t>
      </w:r>
      <w:r>
        <w:rPr>
          <w:rFonts w:ascii="Times New Roman;Times;serif" w:hAnsi="Times New Roman;Times;serif"/>
          <w:sz w:val="20"/>
          <w:u w:val="single"/>
        </w:rPr>
        <w:t>Holder</w:t>
      </w:r>
      <w:r>
        <w:rPr>
          <w:rFonts w:ascii="Times New Roman;Times;serif" w:hAnsi="Times New Roman;Times;serif"/>
          <w:sz w:val="20"/>
        </w:rPr>
        <w:t>,” “</w:t>
      </w:r>
      <w:r>
        <w:rPr>
          <w:rFonts w:ascii="Times New Roman;Times;serif" w:hAnsi="Times New Roman;Times;serif"/>
          <w:sz w:val="20"/>
          <w:u w:val="single"/>
        </w:rPr>
        <w:t>Holder of Securities</w:t>
      </w:r>
      <w:r>
        <w:rPr>
          <w:rFonts w:ascii="Times New Roman;Times;serif" w:hAnsi="Times New Roman;Times;serif"/>
          <w:sz w:val="20"/>
        </w:rPr>
        <w:t>” or other similar terms mean the registered holder of any Security.</w:t>
      </w:r>
    </w:p>
    <w:p>
      <w:pPr>
        <w:pStyle w:val="TextBody"/>
        <w:bidi w:val="0"/>
        <w:spacing w:before="0" w:after="240"/>
        <w:ind w:left="0" w:right="0" w:firstLine="720"/>
        <w:jc w:val="both"/>
        <w:rPr/>
      </w:pPr>
      <w:r>
        <w:rPr/>
        <w:t>“</w:t>
      </w:r>
      <w:r>
        <w:rPr>
          <w:rFonts w:ascii="Times New Roman;Times;serif" w:hAnsi="Times New Roman;Times;serif"/>
          <w:sz w:val="20"/>
          <w:u w:val="single"/>
        </w:rPr>
        <w:t>IFRS</w:t>
      </w:r>
      <w:r>
        <w:rPr>
          <w:rFonts w:ascii="Times New Roman;Times;serif" w:hAnsi="Times New Roman;Times;serif"/>
          <w:sz w:val="20"/>
        </w:rPr>
        <w:t>” means International Financial Reporting Standards promulgated by the International Accounting Standards Board (or any successor board or agency) and as adopted by the European Union, as in effect from time to time.</w:t>
      </w:r>
    </w:p>
    <w:p>
      <w:pPr>
        <w:pStyle w:val="TextBody"/>
        <w:bidi w:val="0"/>
        <w:spacing w:before="0" w:after="240"/>
        <w:ind w:left="0" w:right="0" w:firstLine="720"/>
        <w:jc w:val="both"/>
        <w:rPr/>
      </w:pPr>
      <w:r>
        <w:rPr/>
        <w:t>“</w:t>
      </w:r>
      <w:r>
        <w:rPr>
          <w:rFonts w:ascii="Times New Roman;Times;serif" w:hAnsi="Times New Roman;Times;serif"/>
          <w:sz w:val="20"/>
          <w:u w:val="single"/>
        </w:rPr>
        <w:t>Indenture</w:t>
      </w:r>
      <w:r>
        <w:rPr>
          <w:rFonts w:ascii="Times New Roman;Times;serif" w:hAnsi="Times New Roman;Times;serif"/>
          <w:sz w:val="20"/>
        </w:rPr>
        <w:t>” means this indenture as originally executed or as it may from time to time be supplemented or amended by one or more indentures supplemental hereto entered into pursuant to the applicable provisions hereof and shall include the terms of particular series of Securities established as contemplated hereunder.</w:t>
      </w:r>
    </w:p>
    <w:p>
      <w:pPr>
        <w:pStyle w:val="TextBody"/>
        <w:bidi w:val="0"/>
        <w:spacing w:before="0" w:after="240"/>
        <w:ind w:left="0" w:right="0" w:firstLine="720"/>
        <w:jc w:val="both"/>
        <w:rPr/>
      </w:pPr>
      <w:r>
        <w:rPr/>
        <w:t>“</w:t>
      </w:r>
      <w:r>
        <w:rPr>
          <w:rFonts w:ascii="Times New Roman;Times;serif" w:hAnsi="Times New Roman;Times;serif"/>
          <w:sz w:val="20"/>
          <w:u w:val="single"/>
        </w:rPr>
        <w:t>Interest Payment Date</w:t>
      </w:r>
      <w:r>
        <w:rPr>
          <w:rFonts w:ascii="Times New Roman;Times;serif" w:hAnsi="Times New Roman;Times;serif"/>
          <w:sz w:val="20"/>
        </w:rPr>
        <w:t>” means, when used with respect to any Security, the Stated Maturity of an installment of interest on such Security.</w:t>
      </w:r>
    </w:p>
    <w:p>
      <w:pPr>
        <w:pStyle w:val="TextBody"/>
        <w:bidi w:val="0"/>
        <w:spacing w:before="0" w:after="240"/>
        <w:ind w:left="0" w:right="0" w:firstLine="720"/>
        <w:jc w:val="both"/>
        <w:rPr/>
      </w:pPr>
      <w:r>
        <w:rPr/>
        <w:t>“</w:t>
      </w:r>
      <w:r>
        <w:rPr>
          <w:rFonts w:ascii="Times New Roman;Times;serif" w:hAnsi="Times New Roman;Times;serif"/>
          <w:sz w:val="20"/>
          <w:u w:val="single"/>
        </w:rPr>
        <w:t>Issue Date</w:t>
      </w:r>
      <w:r>
        <w:rPr>
          <w:rFonts w:ascii="Times New Roman;Times;serif" w:hAnsi="Times New Roman;Times;serif"/>
          <w:sz w:val="20"/>
        </w:rPr>
        <w:t>” means, with respect to Securities of a series, the first date on which the Securities of such series are originally issued under this Indenture.</w:t>
      </w:r>
    </w:p>
    <w:p>
      <w:pPr>
        <w:pStyle w:val="TextBody"/>
        <w:bidi w:val="0"/>
        <w:spacing w:before="0" w:after="240"/>
        <w:ind w:left="0" w:right="0" w:firstLine="720"/>
        <w:jc w:val="both"/>
        <w:rPr/>
      </w:pPr>
      <w:r>
        <w:rPr/>
        <w:t>“</w:t>
      </w:r>
      <w:r>
        <w:rPr>
          <w:rFonts w:ascii="Times New Roman;Times;serif" w:hAnsi="Times New Roman;Times;serif"/>
          <w:sz w:val="20"/>
          <w:u w:val="single"/>
        </w:rPr>
        <w:t>Maturity</w:t>
      </w:r>
      <w:r>
        <w:rPr>
          <w:rFonts w:ascii="Times New Roman;Times;serif" w:hAnsi="Times New Roman;Times;serif"/>
          <w:sz w:val="20"/>
        </w:rPr>
        <w:t>,” means, when used with respect to any Security, the date on which the principal of such Security or an installment of principal becomes due and payable as therein or herein provided, whether at the Stated Maturity or by declaration of acceleration, call for redemption or otherwise.</w:t>
      </w:r>
    </w:p>
    <w:p>
      <w:pPr>
        <w:pStyle w:val="TextBody"/>
        <w:bidi w:val="0"/>
        <w:spacing w:before="0" w:after="240"/>
        <w:ind w:left="0" w:right="0" w:firstLine="720"/>
        <w:jc w:val="both"/>
        <w:rPr/>
      </w:pPr>
      <w:r>
        <w:rPr/>
        <w:t>“</w:t>
      </w:r>
      <w:r>
        <w:rPr>
          <w:rFonts w:ascii="Times New Roman;Times;serif" w:hAnsi="Times New Roman;Times;serif"/>
          <w:sz w:val="20"/>
          <w:u w:val="single"/>
        </w:rPr>
        <w:t>Notice of Default</w:t>
      </w:r>
      <w:r>
        <w:rPr>
          <w:rFonts w:ascii="Times New Roman;Times;serif" w:hAnsi="Times New Roman;Times;serif"/>
          <w:sz w:val="20"/>
        </w:rPr>
        <w:t xml:space="preserve">” has the meaning provided in </w:t>
      </w:r>
      <w:r>
        <w:rPr>
          <w:rFonts w:ascii="Times New Roman;Times;serif" w:hAnsi="Times New Roman;Times;serif"/>
          <w:sz w:val="20"/>
          <w:u w:val="single"/>
        </w:rPr>
        <w:t>Section 6.06</w:t>
      </w:r>
      <w:r>
        <w:rPr>
          <w:rFonts w:ascii="Times New Roman;Times;serif" w:hAnsi="Times New Roman;Times;serif"/>
          <w:sz w:val="20"/>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Officers’ Certificate</w:t>
      </w:r>
      <w:r>
        <w:rPr>
          <w:rFonts w:ascii="Times New Roman;Times;serif" w:hAnsi="Times New Roman;Times;serif"/>
          <w:sz w:val="20"/>
        </w:rPr>
        <w:t xml:space="preserve">” means a certificate signed on behalf of the Company by an officer of the Company (or on behalf of a Guarantor by an officer of such Guarantor, as the case may be) that meets the requirements of </w:t>
      </w:r>
      <w:r>
        <w:rPr>
          <w:rFonts w:ascii="Times New Roman;Times;serif" w:hAnsi="Times New Roman;Times;serif"/>
          <w:sz w:val="20"/>
          <w:u w:val="single"/>
        </w:rPr>
        <w:t>Section 15.06</w:t>
      </w:r>
      <w:r>
        <w:rPr>
          <w:rFonts w:ascii="Times New Roman;Times;serif" w:hAnsi="Times New Roman;Times;serif"/>
          <w:sz w:val="20"/>
        </w:rPr>
        <w:t xml:space="preserve"> hereof.</w:t>
      </w:r>
    </w:p>
    <w:p>
      <w:pPr>
        <w:pStyle w:val="TextBody"/>
        <w:bidi w:val="0"/>
        <w:spacing w:before="0" w:after="240"/>
        <w:ind w:left="0" w:right="0" w:firstLine="720"/>
        <w:jc w:val="both"/>
        <w:rPr/>
      </w:pPr>
      <w:r>
        <w:rPr/>
        <w:t>“</w:t>
      </w:r>
      <w:r>
        <w:rPr>
          <w:rFonts w:ascii="Times New Roman;Times;serif" w:hAnsi="Times New Roman;Times;serif"/>
          <w:sz w:val="20"/>
          <w:u w:val="single"/>
        </w:rPr>
        <w:t>Opinion of Counsel</w:t>
      </w:r>
      <w:r>
        <w:rPr>
          <w:rFonts w:ascii="Times New Roman;Times;serif" w:hAnsi="Times New Roman;Times;serif"/>
          <w:sz w:val="20"/>
        </w:rPr>
        <w:t>” means an opinion in writing signed by legal counsel who may be an employee of or counsel to the Company or a Guarantor or who may be other counsel satisfactory to the Trustee.</w:t>
      </w:r>
    </w:p>
    <w:p>
      <w:pPr>
        <w:pStyle w:val="TextBody"/>
        <w:bidi w:val="0"/>
        <w:spacing w:before="0" w:after="240"/>
        <w:ind w:left="0" w:right="0" w:firstLine="720"/>
        <w:jc w:val="both"/>
        <w:rPr/>
      </w:pPr>
      <w:r>
        <w:rPr/>
        <w:t>“</w:t>
      </w:r>
      <w:r>
        <w:rPr>
          <w:rFonts w:ascii="Times New Roman;Times;serif" w:hAnsi="Times New Roman;Times;serif"/>
          <w:sz w:val="20"/>
          <w:u w:val="single"/>
        </w:rPr>
        <w:t>outstanding</w:t>
      </w:r>
      <w:r>
        <w:rPr>
          <w:rFonts w:ascii="Times New Roman;Times;serif" w:hAnsi="Times New Roman;Times;serif"/>
          <w:sz w:val="20"/>
        </w:rPr>
        <w:t>” means, when used with reference to Securities, subject to the provisions of Article 7, as of any particular time, all Securities authenticated and delivered by the Trustee under this Indenture, except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Securities theretofore canceled by the Trustee or delivered to the Trustee for cancellation;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Securities, or portions thereof, for the payment or redemption of which moneys in the necessary amount shall have been deposited in trust with the Trustee or with any Paying Agent (other than the Company or a Guarantor) or shall have been set aside, segregated and held in trust by the Company or a Guarantor (if the Company or a Guarantor shall act as Paying Agent); </w:t>
      </w:r>
      <w:r>
        <w:rPr>
          <w:rFonts w:ascii="Times New Roman;Times;serif" w:hAnsi="Times New Roman;Times;serif"/>
          <w:sz w:val="20"/>
          <w:u w:val="single"/>
        </w:rPr>
        <w:t>provided</w:t>
      </w:r>
      <w:r>
        <w:rPr>
          <w:rFonts w:ascii="Times New Roman;Times;serif" w:hAnsi="Times New Roman;Times;serif"/>
          <w:sz w:val="20"/>
        </w:rPr>
        <w:t xml:space="preserve"> that if such Securities are to be redeemed prior to the maturity thereof, notice of such redemption shall have been given as herein provided, or provision satisfactory to a Responsible Officer of the Trustee shall have been made for giving such notice;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Securities in substitution for which other Securities shall have been authenticated and delivered, or which shall have been paid, pursuant to the terms of </w:t>
      </w:r>
      <w:r>
        <w:rPr>
          <w:rFonts w:ascii="Times New Roman;Times;serif" w:hAnsi="Times New Roman;Times;serif"/>
          <w:sz w:val="20"/>
          <w:u w:val="single"/>
        </w:rPr>
        <w:t>Section 3.09</w:t>
      </w:r>
      <w:r>
        <w:rPr>
          <w:rFonts w:ascii="Times New Roman;Times;serif" w:hAnsi="Times New Roman;Times;serif"/>
          <w:sz w:val="20"/>
        </w:rPr>
        <w:t xml:space="preserve"> (unless proof satisfactory to the Trustee and the Company is presented that any of such Securities is held by a person in whose hands such Security is a legal, valid and binding obligation of the Company);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Securities that have been defeased pursuant to </w:t>
      </w:r>
      <w:r>
        <w:rPr>
          <w:rFonts w:ascii="Times New Roman;Times;serif" w:hAnsi="Times New Roman;Times;serif"/>
          <w:sz w:val="20"/>
          <w:u w:val="single"/>
        </w:rPr>
        <w:t>Section 12.01</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Paying Agent</w:t>
      </w:r>
      <w:r>
        <w:rPr>
          <w:rFonts w:ascii="Times New Roman;Times;serif" w:hAnsi="Times New Roman;Times;serif"/>
          <w:sz w:val="20"/>
        </w:rPr>
        <w:t>” means any Person authorized by the Company to pay the principal of (and premium, if any) and interest, if any, on any Securities on behalf of the Company. The Company or a Guarantor may act as Paying Agent with respect to any Securities issued hereunder.</w:t>
      </w:r>
    </w:p>
    <w:p>
      <w:pPr>
        <w:pStyle w:val="TextBody"/>
        <w:bidi w:val="0"/>
        <w:spacing w:before="0" w:after="240"/>
        <w:ind w:left="0" w:right="0" w:firstLine="720"/>
        <w:jc w:val="both"/>
        <w:rPr/>
      </w:pPr>
      <w:r>
        <w:rPr/>
        <w:t>“</w:t>
      </w:r>
      <w:r>
        <w:rPr>
          <w:rFonts w:ascii="Times New Roman;Times;serif" w:hAnsi="Times New Roman;Times;serif"/>
          <w:sz w:val="20"/>
          <w:u w:val="single"/>
        </w:rPr>
        <w:t>Payment Office</w:t>
      </w:r>
      <w:r>
        <w:rPr>
          <w:rFonts w:ascii="Times New Roman;Times;serif" w:hAnsi="Times New Roman;Times;serif"/>
          <w:sz w:val="20"/>
        </w:rPr>
        <w:t xml:space="preserve">” means, when used with respect to the Securities of or within any series, the place or places where the principal of (and premium, if any) and interest on such Securities are payable as specified pursuant to </w:t>
      </w:r>
      <w:r>
        <w:rPr>
          <w:rFonts w:ascii="Times New Roman;Times;serif" w:hAnsi="Times New Roman;Times;serif"/>
          <w:sz w:val="20"/>
          <w:u w:val="single"/>
        </w:rPr>
        <w:t>Section 3.01</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any individual, corporation, partnership, joint stock company, business trust, trust, unincorporated association, joint venture or other entity or organization, including a government or political subdivision or an agency or instrumentality thereof.</w:t>
      </w:r>
    </w:p>
    <w:p>
      <w:pPr>
        <w:pStyle w:val="TextBody"/>
        <w:bidi w:val="0"/>
        <w:spacing w:before="0" w:after="240"/>
        <w:ind w:left="0" w:right="0" w:firstLine="720"/>
        <w:jc w:val="both"/>
        <w:rPr/>
      </w:pPr>
      <w:r>
        <w:rPr/>
        <w:t>“</w:t>
      </w:r>
      <w:r>
        <w:rPr>
          <w:rFonts w:ascii="Times New Roman;Times;serif" w:hAnsi="Times New Roman;Times;serif"/>
          <w:sz w:val="20"/>
          <w:u w:val="single"/>
        </w:rPr>
        <w:t>Physical Securities</w:t>
      </w:r>
      <w:r>
        <w:rPr>
          <w:rFonts w:ascii="Times New Roman;Times;serif" w:hAnsi="Times New Roman;Times;serif"/>
          <w:sz w:val="20"/>
        </w:rPr>
        <w:t xml:space="preserve">” means Securities issued pursuant to </w:t>
      </w:r>
      <w:r>
        <w:rPr>
          <w:rFonts w:ascii="Times New Roman;Times;serif" w:hAnsi="Times New Roman;Times;serif"/>
          <w:sz w:val="20"/>
          <w:u w:val="single"/>
        </w:rPr>
        <w:t>Section 3.02</w:t>
      </w:r>
      <w:r>
        <w:rPr>
          <w:rFonts w:ascii="Times New Roman;Times;serif" w:hAnsi="Times New Roman;Times;serif"/>
          <w:sz w:val="20"/>
        </w:rPr>
        <w:t xml:space="preserve"> in exchange for interest in the Global Security or pursuant to </w:t>
      </w:r>
      <w:r>
        <w:rPr>
          <w:rFonts w:ascii="Times New Roman;Times;serif" w:hAnsi="Times New Roman;Times;serif"/>
          <w:sz w:val="20"/>
          <w:u w:val="single"/>
        </w:rPr>
        <w:t>Section 3.08(b)</w:t>
      </w:r>
      <w:r>
        <w:rPr>
          <w:rFonts w:ascii="Times New Roman;Times;serif" w:hAnsi="Times New Roman;Times;serif"/>
          <w:sz w:val="20"/>
        </w:rPr>
        <w:t xml:space="preserve"> in registered form substantially in the form hereinabove recited.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0"/>
          <w:u w:val="single"/>
        </w:rPr>
        <w:t>Principal Amount</w:t>
      </w:r>
      <w:r>
        <w:rPr>
          <w:rFonts w:ascii="Times New Roman;Times;serif" w:hAnsi="Times New Roman;Times;serif"/>
          <w:sz w:val="20"/>
        </w:rPr>
        <w:t xml:space="preserve">” means, when used with respect to any Security, the amount of principal of such Security that could then be declared due and payable pursuant to </w:t>
      </w:r>
      <w:r>
        <w:rPr>
          <w:rFonts w:ascii="Times New Roman;Times;serif" w:hAnsi="Times New Roman;Times;serif"/>
          <w:sz w:val="20"/>
          <w:u w:val="single"/>
        </w:rPr>
        <w:t>Section 5.02</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Registrar</w:t>
      </w:r>
      <w:r>
        <w:rPr>
          <w:rFonts w:ascii="Times New Roman;Times;serif" w:hAnsi="Times New Roman;Times;serif"/>
          <w:sz w:val="20"/>
        </w:rPr>
        <w:t xml:space="preserve">” has the meaning provided in </w:t>
      </w:r>
      <w:r>
        <w:rPr>
          <w:rFonts w:ascii="Times New Roman;Times;serif" w:hAnsi="Times New Roman;Times;serif"/>
          <w:sz w:val="20"/>
          <w:u w:val="single"/>
        </w:rPr>
        <w:t>Section 3.07</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Regular Record Date</w:t>
      </w:r>
      <w:r>
        <w:rPr>
          <w:rFonts w:ascii="Times New Roman;Times;serif" w:hAnsi="Times New Roman;Times;serif"/>
          <w:sz w:val="20"/>
        </w:rPr>
        <w:t xml:space="preserve">” for the interest payable on any Interest Payment Date on the Securities of any series means the date specified for that purpose as contemplated by </w:t>
      </w:r>
      <w:r>
        <w:rPr>
          <w:rFonts w:ascii="Times New Roman;Times;serif" w:hAnsi="Times New Roman;Times;serif"/>
          <w:sz w:val="20"/>
          <w:u w:val="single"/>
        </w:rPr>
        <w:t>Section 3.01</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Responsible Officer</w:t>
      </w:r>
      <w:r>
        <w:rPr>
          <w:rFonts w:ascii="Times New Roman;Times;serif" w:hAnsi="Times New Roman;Times;serif"/>
          <w:sz w:val="20"/>
        </w:rPr>
        <w:t>” means, when used with respect to the Trustee, any officer within the Corporate Trust Office of the Trustee including any vice president, any trust officer, any assistant vice president, any assistant secretary, any assistant treasurer, or any other officer of the Trustee customarily performing functions similar to those performed by the persons who at the time shall be such officers, respectively, or to whom any corporate trust matter is referred because of his or her knowledge of and familiarity with the particular subject and who shall have direct responsibility for the administration of this Indenture.</w:t>
      </w:r>
    </w:p>
    <w:p>
      <w:pPr>
        <w:pStyle w:val="TextBody"/>
        <w:bidi w:val="0"/>
        <w:spacing w:before="0" w:after="240"/>
        <w:ind w:left="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w:t>
      </w:r>
    </w:p>
    <w:p>
      <w:pPr>
        <w:pStyle w:val="TextBody"/>
        <w:bidi w:val="0"/>
        <w:spacing w:before="0" w:after="240"/>
        <w:ind w:left="0" w:right="0" w:firstLine="720"/>
        <w:jc w:val="both"/>
        <w:rPr/>
      </w:pPr>
      <w:r>
        <w:rPr/>
        <w:t>“</w:t>
      </w:r>
      <w:r>
        <w:rPr>
          <w:rFonts w:ascii="Times New Roman;Times;serif" w:hAnsi="Times New Roman;Times;serif"/>
          <w:sz w:val="20"/>
          <w:u w:val="single"/>
        </w:rPr>
        <w:t>Security</w:t>
      </w:r>
      <w:r>
        <w:rPr>
          <w:rFonts w:ascii="Times New Roman;Times;serif" w:hAnsi="Times New Roman;Times;serif"/>
          <w:sz w:val="20"/>
        </w:rPr>
        <w:t>” or “</w:t>
      </w:r>
      <w:r>
        <w:rPr>
          <w:rFonts w:ascii="Times New Roman;Times;serif" w:hAnsi="Times New Roman;Times;serif"/>
          <w:sz w:val="20"/>
          <w:u w:val="single"/>
        </w:rPr>
        <w:t>Securities</w:t>
      </w:r>
      <w:r>
        <w:rPr>
          <w:rFonts w:ascii="Times New Roman;Times;serif" w:hAnsi="Times New Roman;Times;serif"/>
          <w:sz w:val="20"/>
        </w:rPr>
        <w:t>” means any Security or Securities, as the case may be, authenticated and delivered under this Indenture.</w:t>
      </w:r>
    </w:p>
    <w:p>
      <w:pPr>
        <w:pStyle w:val="TextBody"/>
        <w:bidi w:val="0"/>
        <w:spacing w:before="0" w:after="240"/>
        <w:ind w:left="0" w:right="0" w:firstLine="720"/>
        <w:jc w:val="both"/>
        <w:rPr/>
      </w:pPr>
      <w:r>
        <w:rPr/>
        <w:t>“</w:t>
      </w:r>
      <w:r>
        <w:rPr>
          <w:rFonts w:ascii="Times New Roman;Times;serif" w:hAnsi="Times New Roman;Times;serif"/>
          <w:sz w:val="20"/>
          <w:u w:val="single"/>
        </w:rPr>
        <w:t>Security Register</w:t>
      </w:r>
      <w:r>
        <w:rPr>
          <w:rFonts w:ascii="Times New Roman;Times;serif" w:hAnsi="Times New Roman;Times;serif"/>
          <w:sz w:val="20"/>
        </w:rPr>
        <w:t xml:space="preserve">” has the meaning provided in </w:t>
      </w:r>
      <w:r>
        <w:rPr>
          <w:rFonts w:ascii="Times New Roman;Times;serif" w:hAnsi="Times New Roman;Times;serif"/>
          <w:sz w:val="20"/>
          <w:u w:val="single"/>
        </w:rPr>
        <w:t>Section 3.07</w:t>
      </w:r>
      <w:r>
        <w:rPr>
          <w:rFonts w:ascii="Times New Roman;Times;serif" w:hAnsi="Times New Roman;Times;serif"/>
          <w:sz w:val="20"/>
        </w:rPr>
        <w:t>.</w:t>
      </w:r>
    </w:p>
    <w:p>
      <w:pPr>
        <w:pStyle w:val="TextBody"/>
        <w:bidi w:val="0"/>
        <w:spacing w:before="0" w:after="240"/>
        <w:ind w:left="0" w:right="0" w:firstLine="720"/>
        <w:jc w:val="both"/>
        <w:rPr/>
      </w:pPr>
      <w:r>
        <w:rPr/>
        <w:t>“</w:t>
      </w:r>
      <w:r>
        <w:rPr>
          <w:rFonts w:ascii="Times New Roman;Times;serif" w:hAnsi="Times New Roman;Times;serif"/>
          <w:sz w:val="20"/>
          <w:u w:val="single"/>
        </w:rPr>
        <w:t>Stated Maturity</w:t>
      </w:r>
      <w:r>
        <w:rPr>
          <w:rFonts w:ascii="Times New Roman;Times;serif" w:hAnsi="Times New Roman;Times;serif"/>
          <w:sz w:val="20"/>
        </w:rPr>
        <w:t>” means, when used with respect to any Security or any installment of principal thereof or interest thereon, the date specified in such Security or a coupon representing such installment of interest as the fixed date on which the principal of such Security or such installment of principal or interest is due and payable.</w:t>
      </w:r>
    </w:p>
    <w:p>
      <w:pPr>
        <w:pStyle w:val="TextBody"/>
        <w:bidi w:val="0"/>
        <w:spacing w:before="0" w:after="240"/>
        <w:ind w:left="0" w:right="0" w:firstLine="720"/>
        <w:jc w:val="both"/>
        <w:rPr/>
      </w:pPr>
      <w:r>
        <w:rPr/>
        <w:t>“</w:t>
      </w:r>
      <w:r>
        <w:rPr>
          <w:rFonts w:ascii="Times New Roman;Times;serif" w:hAnsi="Times New Roman;Times;serif"/>
          <w:sz w:val="20"/>
          <w:u w:val="single"/>
        </w:rPr>
        <w:t>Subsidiary</w:t>
      </w:r>
      <w:r>
        <w:rPr>
          <w:rFonts w:ascii="Times New Roman;Times;serif" w:hAnsi="Times New Roman;Times;serif"/>
          <w:sz w:val="20"/>
        </w:rPr>
        <w:t>” means, as applied, with respect to any Person, any corporation, partnership or other legal entity of which, in the case of a corporation, more than 50% of the issued and outstanding capital stock having ordinary voting power to elect a majority of the board of directors of such corporation (irrespective of whether at the time capital stock of any other class or classes of such corporation has or might have voting power upon the occurrence of any contingency), or, in the case of any partnership or other legal entity, more than 50% of the ordinary equity capital interests, is at the time directly or indirectly owned or controlled by such Person, by such Person and one or more of its other Subsidiaries or by one or more of such Person’s other Subsidiaries.</w:t>
      </w:r>
    </w:p>
    <w:p>
      <w:pPr>
        <w:pStyle w:val="TextBody"/>
        <w:bidi w:val="0"/>
        <w:spacing w:before="0" w:after="240"/>
        <w:ind w:left="0" w:right="0" w:firstLine="720"/>
        <w:jc w:val="both"/>
        <w:rPr/>
      </w:pPr>
      <w:r>
        <w:rPr/>
        <w:t>“</w:t>
      </w:r>
      <w:r>
        <w:rPr>
          <w:rFonts w:ascii="Times New Roman;Times;serif" w:hAnsi="Times New Roman;Times;serif"/>
          <w:sz w:val="20"/>
          <w:u w:val="single"/>
        </w:rPr>
        <w:t>Trust Indenture Act</w:t>
      </w:r>
      <w:r>
        <w:rPr>
          <w:rFonts w:ascii="Times New Roman;Times;serif" w:hAnsi="Times New Roman;Times;serif"/>
          <w:sz w:val="20"/>
        </w:rPr>
        <w:t>” means the Trust Indenture Act of 1939, as amended, as in force at the date as of which this Indenture was originally executed, and “</w:t>
      </w:r>
      <w:r>
        <w:rPr>
          <w:rFonts w:ascii="Times New Roman;Times;serif" w:hAnsi="Times New Roman;Times;serif"/>
          <w:b/>
          <w:sz w:val="20"/>
        </w:rPr>
        <w:t>TIA</w:t>
      </w:r>
      <w:r>
        <w:rPr>
          <w:rFonts w:ascii="Times New Roman;Times;serif" w:hAnsi="Times New Roman;Times;serif"/>
          <w:sz w:val="20"/>
        </w:rPr>
        <w:t>” means, when used in respect of an indenture supplemental hereto, such Act as in force at the time such indenture supplemental hereto becomes effective.</w:t>
      </w:r>
    </w:p>
    <w:p>
      <w:pPr>
        <w:pStyle w:val="TextBody"/>
        <w:bidi w:val="0"/>
        <w:spacing w:before="0" w:after="240"/>
        <w:ind w:left="0" w:right="0" w:firstLine="720"/>
        <w:jc w:val="both"/>
        <w:rPr/>
      </w:pPr>
      <w:r>
        <w:rPr/>
        <w:t>“</w:t>
      </w:r>
      <w:r>
        <w:rPr>
          <w:rFonts w:ascii="Times New Roman;Times;serif" w:hAnsi="Times New Roman;Times;serif"/>
          <w:sz w:val="20"/>
          <w:u w:val="single"/>
        </w:rPr>
        <w:t>Trustee</w:t>
      </w:r>
      <w:r>
        <w:rPr>
          <w:rFonts w:ascii="Times New Roman;Times;serif" w:hAnsi="Times New Roman;Times;serif"/>
          <w:sz w:val="20"/>
        </w:rPr>
        <w:t>” means the Person named as the “</w:t>
      </w:r>
      <w:r>
        <w:rPr>
          <w:rFonts w:ascii="Times New Roman;Times;serif" w:hAnsi="Times New Roman;Times;serif"/>
          <w:b/>
          <w:sz w:val="20"/>
        </w:rPr>
        <w:t>Trustee</w:t>
      </w:r>
      <w:r>
        <w:rPr>
          <w:rFonts w:ascii="Times New Roman;Times;serif" w:hAnsi="Times New Roman;Times;serif"/>
          <w:sz w:val="20"/>
        </w:rPr>
        <w:t>” in the first paragraph of this Indenture until a successor Trustee shall have become such pursuant to the applicable provisions of this Indenture, and thereafter “</w:t>
      </w:r>
      <w:r>
        <w:rPr>
          <w:rFonts w:ascii="Times New Roman;Times;serif" w:hAnsi="Times New Roman;Times;serif"/>
          <w:b/>
          <w:sz w:val="20"/>
        </w:rPr>
        <w:t>Trustee</w:t>
      </w:r>
      <w:r>
        <w:rPr>
          <w:rFonts w:ascii="Times New Roman;Times;serif" w:hAnsi="Times New Roman;Times;serif"/>
          <w:sz w:val="20"/>
        </w:rPr>
        <w:t xml:space="preserve">” shall mean or include each Person who is then a Trustee hereunder; </w:t>
      </w:r>
      <w:r>
        <w:rPr>
          <w:rFonts w:ascii="Times New Roman;Times;serif" w:hAnsi="Times New Roman;Times;serif"/>
          <w:sz w:val="20"/>
          <w:u w:val="single"/>
        </w:rPr>
        <w:t>provided</w:t>
      </w:r>
      <w:r>
        <w:rPr>
          <w:rFonts w:ascii="Times New Roman;Times;serif" w:hAnsi="Times New Roman;Times;serif"/>
          <w:sz w:val="20"/>
        </w:rPr>
        <w:t xml:space="preserve"> that if at any time there is more than one such Person, “</w:t>
      </w:r>
      <w:r>
        <w:rPr>
          <w:rFonts w:ascii="Times New Roman;Times;serif" w:hAnsi="Times New Roman;Times;serif"/>
          <w:b/>
          <w:sz w:val="20"/>
        </w:rPr>
        <w:t>Trustee</w:t>
      </w:r>
      <w:r>
        <w:rPr>
          <w:rFonts w:ascii="Times New Roman;Times;serif" w:hAnsi="Times New Roman;Times;serif"/>
          <w:sz w:val="20"/>
        </w:rPr>
        <w:t>” as used with respect to the Securities of any series shall mean only the Trustee with respect to Securities of that series.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1.02.</w:t>
      </w:r>
      <w:r>
        <w:rPr>
          <w:rFonts w:ascii="Times New Roman;Times;serif" w:hAnsi="Times New Roman;Times;serif"/>
          <w:sz w:val="20"/>
          <w:u w:val="single"/>
        </w:rPr>
        <w:t>Other Definitions</w:t>
      </w:r>
      <w:r>
        <w:rPr>
          <w:rFonts w:ascii="Times New Roman;Times;serif" w:hAnsi="Times New Roman;Times;serif"/>
          <w:sz w:val="20"/>
        </w:rPr>
        <w:t>.</w:t>
      </w:r>
    </w:p>
    <w:p>
      <w:pPr>
        <w:pStyle w:val="TextBody"/>
        <w:bidi w:val="0"/>
        <w:spacing w:before="0" w:after="0"/>
        <w:ind w:left="0" w:right="0" w:hanging="0"/>
        <w:jc w:val="left"/>
        <w:rPr/>
      </w:pPr>
      <w:r>
        <w:rPr/>
        <w:t>​</w:t>
      </w:r>
    </w:p>
    <w:tbl>
      <w:tblPr>
        <w:tblW w:w="4229" w:type="dxa"/>
        <w:jc w:val="center"/>
        <w:tblInd w:w="0" w:type="dxa"/>
        <w:tblLayout w:type="fixed"/>
        <w:tblCellMar>
          <w:top w:w="0" w:type="dxa"/>
          <w:left w:w="0" w:type="dxa"/>
          <w:bottom w:w="0" w:type="dxa"/>
          <w:right w:w="0" w:type="dxa"/>
        </w:tblCellMar>
      </w:tblPr>
      <w:tblGrid>
        <w:gridCol w:w="2071"/>
        <w:gridCol w:w="346"/>
        <w:gridCol w:w="1621"/>
        <w:gridCol w:w="19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15085" cy="175260"/>
                      <wp:effectExtent l="0" t="0" r="0" b="0"/>
                      <wp:wrapNone/>
                      <wp:docPr id="30" name="Frame28"/>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029335" cy="175260"/>
                      <wp:effectExtent l="0" t="0" r="0" b="0"/>
                      <wp:wrapNone/>
                      <wp:docPr id="32" name="Frame30"/>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1285" cy="175260"/>
                      <wp:effectExtent l="0" t="0" r="0" b="0"/>
                      <wp:wrapNone/>
                      <wp:docPr id="33" name="Frame3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Term</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Defined in Section</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207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pPr>
            <w:r>
              <w:rPr/>
              <w:t>“</w:t>
            </w:r>
            <w:r>
              <w:rPr>
                <w:rFonts w:ascii="Times New Roman;Times;serif" w:hAnsi="Times New Roman;Times;serif"/>
                <w:sz w:val="20"/>
              </w:rPr>
              <w:t>Authorized Agent”</w:t>
            </w:r>
          </w:p>
        </w:tc>
        <w:tc>
          <w:tcPr>
            <w:tcW w:w="34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62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15.12</w:t>
            </w:r>
          </w:p>
        </w:tc>
        <w:tc>
          <w:tcPr>
            <w:tcW w:w="19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Covenant Defeasance”</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12.03</w:t>
            </w:r>
          </w:p>
        </w:tc>
        <w:tc>
          <w:tcPr>
            <w:tcW w:w="191" w:type="dxa"/>
            <w:tcBorders/>
            <w:vAlign w:val="center"/>
          </w:tcPr>
          <w:p>
            <w:pPr>
              <w:pStyle w:val="TableContents"/>
              <w:bidi w:val="0"/>
              <w:spacing w:before="0" w:after="0"/>
              <w:ind w:left="0" w:right="0" w:hanging="0"/>
              <w:jc w:val="left"/>
              <w:rPr/>
            </w:pPr>
            <w:r>
              <w:rPr/>
              <w:t>​</w:t>
            </w:r>
          </w:p>
        </w:tc>
      </w:tr>
      <w:tr>
        <w:trPr/>
        <w:tc>
          <w:tcPr>
            <w:tcW w:w="2071" w:type="dxa"/>
            <w:tcBorders/>
            <w:shd w:fill="CCEEFF" w:val="clear"/>
            <w:vAlign w:val="center"/>
          </w:tcPr>
          <w:p>
            <w:pPr>
              <w:pStyle w:val="TableContents"/>
              <w:pBdr/>
              <w:bidi w:val="0"/>
              <w:spacing w:before="0" w:after="0"/>
              <w:ind w:left="0" w:right="0" w:hanging="0"/>
              <w:jc w:val="left"/>
              <w:rPr/>
            </w:pPr>
            <w:r>
              <w:rPr/>
              <w:t>“</w:t>
            </w:r>
            <w:r>
              <w:rPr>
                <w:rFonts w:ascii="Times New Roman;Times;serif" w:hAnsi="Times New Roman;Times;serif"/>
                <w:sz w:val="20"/>
              </w:rPr>
              <w:t>Legal Defeasance”</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Specified Courts”</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15.12</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1.03.</w:t>
      </w:r>
      <w:r>
        <w:rPr>
          <w:rFonts w:ascii="Times New Roman;Times;serif" w:hAnsi="Times New Roman;Times;serif"/>
          <w:sz w:val="20"/>
          <w:u w:val="single"/>
        </w:rPr>
        <w:t>Rules of Construction</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the context otherwise requires: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 term has the meaning assigned to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 accounting term not otherwise defined has the meaning assigned to it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 “or” is not exclusive;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words in the singular include the plural, and in the plural include the singular;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provisions apply to successive events and transactions;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all references in this instrument to Articles and Sections are references to the corresponding Articles and Sections in and of this instrument unless the context requires otherwise.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2</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SECURITY FORMS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2.01.</w:t>
      </w:r>
      <w:r>
        <w:rPr>
          <w:rFonts w:ascii="Times New Roman;Times;serif" w:hAnsi="Times New Roman;Times;serif"/>
          <w:sz w:val="20"/>
          <w:u w:val="single"/>
        </w:rPr>
        <w:t>Forms Generall</w:t>
      </w:r>
      <w:r>
        <w:rPr>
          <w:rFonts w:ascii="Times New Roman;Times;serif" w:hAnsi="Times New Roman;Times;serif"/>
          <w:sz w:val="20"/>
        </w:rPr>
        <w:t xml:space="preserve">y.  The Securities of each series, and all Guarantees endorsed thereon, if any, shall be in substantially the forms as shall be established by or pursuant to a Board Resolution of the Company (and a Board Resolution of each Guarantor with respect to the Guarantees, if any)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and Guarantees, if any, as evidenced by their execution of the Securities and Guarantees. If the form of Securities of any series, and any Guarantees endorsed thereon, is established by action taken pursuant to a Board Resolution, a copy of an appropriate record of such action shall be certified by the Secretary or an Assistant Secretary of the Company, and by the Secretary or Assistant Secretary of the Guarantors, if any, and delivered to the Trustee at or prior to the delivery of the Company Order contemplated by </w:t>
      </w:r>
      <w:r>
        <w:rPr>
          <w:rFonts w:ascii="Times New Roman;Times;serif" w:hAnsi="Times New Roman;Times;serif"/>
          <w:sz w:val="20"/>
          <w:u w:val="single"/>
        </w:rPr>
        <w:t>Section 3.02</w:t>
      </w:r>
      <w:r>
        <w:rPr>
          <w:rFonts w:ascii="Times New Roman;Times;serif" w:hAnsi="Times New Roman;Times;serif"/>
          <w:sz w:val="20"/>
        </w:rPr>
        <w:t xml:space="preserve"> for the authentication and delivery of such Securities.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Trustee’s certificate of authentication on all Securities shall be in substantially the form set forth in this Article.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definitive Securities of any series shall be printed, lithographed or engraved on steel-engraved borders or may be produced in any other manner, all as determined by the officers executing such Securities, as evidenced by their execution of such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2.02.</w:t>
      </w:r>
      <w:r>
        <w:rPr>
          <w:rFonts w:ascii="Times New Roman;Times;serif" w:hAnsi="Times New Roman;Times;serif"/>
          <w:sz w:val="20"/>
          <w:u w:val="single"/>
        </w:rPr>
        <w:t>Guarantees by Guarantor; Form of Guarantee; Release of Guarantee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Except as otherwise specified in or pursuant to the Officers’ Certificate or supplemental indenture contemplated by </w:t>
      </w:r>
      <w:r>
        <w:rPr>
          <w:rFonts w:ascii="Times New Roman;Times;serif" w:hAnsi="Times New Roman;Times;serif"/>
          <w:sz w:val="20"/>
          <w:u w:val="single"/>
        </w:rPr>
        <w:t>Section 3.01(b)</w:t>
      </w:r>
      <w:r>
        <w:rPr>
          <w:rFonts w:ascii="Times New Roman;Times;serif" w:hAnsi="Times New Roman;Times;serif"/>
          <w:sz w:val="20"/>
        </w:rPr>
        <w:t xml:space="preserve">, the provisions of this </w:t>
      </w:r>
      <w:r>
        <w:rPr>
          <w:rFonts w:ascii="Times New Roman;Times;serif" w:hAnsi="Times New Roman;Times;serif"/>
          <w:sz w:val="20"/>
          <w:u w:val="single"/>
        </w:rPr>
        <w:t>Section 2.02</w:t>
      </w:r>
      <w:r>
        <w:rPr>
          <w:rFonts w:ascii="Times New Roman;Times;serif" w:hAnsi="Times New Roman;Times;serif"/>
          <w:sz w:val="20"/>
        </w:rPr>
        <w:t xml:space="preserve"> will be applicable to any series of Securities that is to be guaranteed by one or more Guarantors.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Guarantor by its execution of this Indenture hereby agrees with each Holder of a Security of each series that is guaranteed by such Guarantor and authenticated and delivered by the Trustee and with the Trustee on behalf of each such Holder, to be unconditionally bound by the terms and provisions of the Guarantee set forth below and authorizes the Trustee to confirm such Guarantee to the Holder of each such Security by its execution and delivery of each such Security, with such Guarantee endorsed thereon, authenticated and delivered by the Trustee.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Guarantees to be endorsed on the Securities shall, subject to this </w:t>
      </w:r>
      <w:r>
        <w:rPr>
          <w:rFonts w:ascii="Times New Roman;Times;serif" w:hAnsi="Times New Roman;Times;serif"/>
          <w:sz w:val="20"/>
          <w:u w:val="single"/>
        </w:rPr>
        <w:t>Section 2.02</w:t>
      </w:r>
      <w:r>
        <w:rPr>
          <w:rFonts w:ascii="Times New Roman;Times;serif" w:hAnsi="Times New Roman;Times;serif"/>
          <w:sz w:val="20"/>
        </w:rPr>
        <w:t>, be in substantially the form set forth below:</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GUARANTEE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[GUARANTOR]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value received, [●] (the “</w:t>
      </w:r>
      <w:r>
        <w:rPr>
          <w:rFonts w:ascii="Times New Roman;Times;serif" w:hAnsi="Times New Roman;Times;serif"/>
          <w:b/>
          <w:sz w:val="20"/>
        </w:rPr>
        <w:t>Guarantor</w:t>
      </w:r>
      <w:r>
        <w:rPr>
          <w:rFonts w:ascii="Times New Roman;Times;serif" w:hAnsi="Times New Roman;Times;serif"/>
          <w:sz w:val="20"/>
        </w:rPr>
        <w:t>”) hereby unconditionally and irrevocably guarantees, jointly and severally, to the Holder of the Security upon which this Guarantee is endorsed and to the Trustee on behalf of each such Holder the due and punctual payment of the principal of, premium, if any, interest and additional amounts, if any, on such Security and the due and punctual payment of any sinking fund or analogous payments referred to therein, if any, when and as the same shall become due and payable, whether on the Stated Maturity, by declaration of acceleration, call for redemption or otherwise, according to the terms thereof and of the Indenture dated as of [●] among Iovance Biotherapeutics, Inc. (hereinafter called the “</w:t>
      </w:r>
      <w:r>
        <w:rPr>
          <w:rFonts w:ascii="Times New Roman;Times;serif" w:hAnsi="Times New Roman;Times;serif"/>
          <w:b/>
          <w:sz w:val="20"/>
        </w:rPr>
        <w:t>Company</w:t>
      </w:r>
      <w:r>
        <w:rPr>
          <w:rFonts w:ascii="Times New Roman;Times;serif" w:hAnsi="Times New Roman;Times;serif"/>
          <w:sz w:val="20"/>
        </w:rPr>
        <w:t>,” which term includes any successor Person thereto under the Indenture), the Guarantors (as defined therein) and [●], as trustee (the “</w:t>
      </w:r>
      <w:r>
        <w:rPr>
          <w:rFonts w:ascii="Times New Roman;Times;serif" w:hAnsi="Times New Roman;Times;serif"/>
          <w:b/>
          <w:sz w:val="20"/>
        </w:rPr>
        <w:t>Indenture</w:t>
      </w:r>
      <w:r>
        <w:rPr>
          <w:rFonts w:ascii="Times New Roman;Times;serif" w:hAnsi="Times New Roman;Times;serif"/>
          <w:sz w:val="20"/>
        </w:rPr>
        <w:t>” and as supplemented by any applicable supplemental indenture, the “</w:t>
      </w:r>
      <w:r>
        <w:rPr>
          <w:rFonts w:ascii="Times New Roman;Times;serif" w:hAnsi="Times New Roman;Times;serif"/>
          <w:b/>
          <w:sz w:val="20"/>
        </w:rPr>
        <w:t>Indenture</w:t>
      </w:r>
      <w:r>
        <w:rPr>
          <w:rFonts w:ascii="Times New Roman;Times;serif" w:hAnsi="Times New Roman;Times;serif"/>
          <w:sz w:val="20"/>
        </w:rPr>
        <w:t>”). In case of the failure of the Company punctually to make any such payment of principal, premium, if any, or interest, and additional amounts, if any, or any sinking fund or analogous payment, the Guarantor, for so long as this Guarantee shall be in effect, hereby agrees to cause any such payment to be made to or to the order of the Trustee punctually when and as the same shall become due and payable, whether on the Stated Maturity or by declaration of acceleration, call for redemption or otherwise, and as if such payment were made by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Guarantor hereby agrees, to the extent permitted by law, that its obligations hereunder shall be as if it were the principal debtor and not merely surety, and shall be absolute and unconditional, irrespective of, and shall be unaffected by, any invalidity, irregularity or unenforceability of such Security or the Indenture, any failure to enforce the provisions of such</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Security or the Indenture, or any waiver, modification or indulgence granted to the Company with respect thereto, by the Holder of such Security or the Trustee or any other circumstance which may otherwise constitute a legal or equitable discharge of a surety or guarantor. The Guarantor hereby waives, to the extent permitted by law, diligence, presentment, demand of payment, filing of claims with a court in the event of merger or bankruptcy of the Company, any right to require a proceeding first against the Company, protest or notice with respect to such Security or the indebtedness evidenced thereby or with respect to any sinking fund or analogous payment required under such Security and all demands whatsoever, and covenants that this Guarantee will not be discharged except by payment in full of the principal of, premium, if any, and interest on such Security or as otherwise described in </w:t>
      </w:r>
      <w:r>
        <w:rPr>
          <w:rFonts w:ascii="Times New Roman;Times;serif" w:hAnsi="Times New Roman;Times;serif"/>
          <w:sz w:val="20"/>
          <w:u w:val="single"/>
        </w:rPr>
        <w:t>Section 2.02</w:t>
      </w:r>
      <w:r>
        <w:rPr>
          <w:rFonts w:ascii="Times New Roman;Times;serif" w:hAnsi="Times New Roman;Times;serif"/>
          <w:sz w:val="20"/>
        </w:rPr>
        <w:t xml:space="preserve"> of the Indenture.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Guarantee shall be automatically and unconditionally released on the terms set forth in </w:t>
      </w:r>
      <w:r>
        <w:rPr>
          <w:rFonts w:ascii="Times New Roman;Times;serif" w:hAnsi="Times New Roman;Times;serif"/>
          <w:sz w:val="20"/>
          <w:u w:val="single"/>
        </w:rPr>
        <w:t>Section 2.02(c)</w:t>
      </w:r>
      <w:r>
        <w:rPr>
          <w:rFonts w:ascii="Times New Roman;Times;serif" w:hAnsi="Times New Roman;Times;serif"/>
          <w:sz w:val="20"/>
        </w:rPr>
        <w:t xml:space="preserve"> of the Indenture and such terms as have been specified pursuant to </w:t>
      </w:r>
      <w:r>
        <w:rPr>
          <w:rFonts w:ascii="Times New Roman;Times;serif" w:hAnsi="Times New Roman;Times;serif"/>
          <w:sz w:val="20"/>
          <w:u w:val="single"/>
        </w:rPr>
        <w:t>Section 3.01</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Guarantor shall be subrogated to all rights of the Holder of such Security and the Trustee against the Company in respect of any amounts paid to such Holder by the Guarantor pursuant to the provisions of this Guarantee; </w:t>
      </w:r>
      <w:r>
        <w:rPr>
          <w:rFonts w:ascii="Times New Roman;Times;serif" w:hAnsi="Times New Roman;Times;serif"/>
          <w:sz w:val="20"/>
          <w:u w:val="single"/>
        </w:rPr>
        <w:t>provided</w:t>
      </w:r>
      <w:r>
        <w:rPr>
          <w:rFonts w:ascii="Times New Roman;Times;serif" w:hAnsi="Times New Roman;Times;serif"/>
          <w:sz w:val="20"/>
        </w:rPr>
        <w:t xml:space="preserve"> that the Guarantor shall not be entitled to enforce, or to receive any payments arising out of or based upon such right of subrogation until the principal of, premium, if any, and interest on all Securities of the same series issued under the Indenture shall have been paid in full.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Guarantor hereby agrees that its obligations hereunder shall be direct, unconditioned and unsubordinated and will rank equally and ratably without preference and at least equally with other senior unsecured and unsubordinated obligations of the Guarantor, except to the extent prescribed by law. The Holder of a guaranteed Security will be entitled to payment under the Guarantee without taking any action whatsoever against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reference herein to the Indenture and no provision of this Guarantee or of the Indenture shall alter or impair the guarantee of the Guarantor, which is absolute and unconditional, of the due and punctual payment of the principal of, premium, if any, and interest on, any additional amounts, and any sinking fund or analogous payments with respect to, the Security upon which this Guarantee is endorsed.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Guarantee shall not be valid or obligatory for any purpose until the certificate of authentication of such Security shall have been manually executed by or on behalf of the Trustee under the Indenture.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terms used in this Guarantee that are defined in the Indenture shall have the meanings assigned to them in the Indenture.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Guarantee shall be governed by and construed in accordance with the laws of the State of New York, but without giving effect to applicable principles of conflicts of law to the extent that the application of the law of another jurisdiction would be required thereby.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182"/>
        <w:ind w:left="0" w:right="0" w:hanging="0"/>
        <w:jc w:val="left"/>
        <w:rPr>
          <w:rFonts w:ascii="Times New Roman;Times;serif" w:hAnsi="Times New Roman;Times;serif"/>
          <w:sz w:val="20"/>
        </w:rPr>
      </w:pPr>
      <w:r>
        <w:rPr>
          <w:rFonts w:ascii="Times New Roman;Times;serif" w:hAnsi="Times New Roman;Times;serif"/>
          <w:sz w:val="20"/>
        </w:rPr>
        <w:t>Executed and dated the date on the face hereof.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[GUARANTOR]</w:t>
      </w:r>
    </w:p>
    <w:p>
      <w:pPr>
        <w:pStyle w:val="TextBody"/>
        <w:bidi w:val="0"/>
        <w:spacing w:before="0" w:after="0"/>
        <w:ind w:left="0" w:right="0" w:hanging="0"/>
        <w:jc w:val="left"/>
        <w:rPr/>
      </w:pPr>
      <w:r>
        <w:rPr/>
        <w:t>​</w:t>
      </w:r>
    </w:p>
    <w:tbl>
      <w:tblPr>
        <w:tblW w:w="1315" w:type="dxa"/>
        <w:jc w:val="left"/>
        <w:tblInd w:w="0" w:type="dxa"/>
        <w:tblLayout w:type="fixed"/>
        <w:tblCellMar>
          <w:top w:w="0" w:type="dxa"/>
          <w:left w:w="0" w:type="dxa"/>
          <w:bottom w:w="0" w:type="dxa"/>
          <w:right w:w="0" w:type="dxa"/>
        </w:tblCellMar>
      </w:tblPr>
      <w:tblGrid>
        <w:gridCol w:w="421"/>
        <w:gridCol w:w="631"/>
        <w:gridCol w:w="109"/>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Release of Guarantee</w:t>
      </w:r>
      <w:r>
        <w:rPr>
          <w:rFonts w:ascii="Times New Roman;Times;serif" w:hAnsi="Times New Roman;Times;serif"/>
          <w:sz w:val="20"/>
        </w:rPr>
        <w:t>.</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(i)The Guarantee of a Guarantor relating to a series of Securities shall be released automatically and unconditionally, and such Guarantor shall be relieved of all of its obligations under its Guarantee of such Securities, (A) upon defeasance or discharge of such series of Securities as provided in Article 12 or Article 13 of this Indenture, (B) if for any reason, such Guarantor ceases to be a Subsidiary of the Company, or (C) in connection with any sale, disposition or transfer of all or substantially all of the assets of that Guarantor (including by way of merger or consolidation) to a Person that is not (either before or after giving effect to such transaction) the Company or a Subsidiary of the Company.</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(ii)The Guarantee of a Guarantor relating to a series of Securities shall be released automatically and unconditionally, and such Guarantor shall be relieved of all of its obligations under its Guarantee of such Securities, in any additional circumstances provided in the terms of the Securities of such series established pursuant to </w:t>
      </w:r>
      <w:r>
        <w:rPr>
          <w:rFonts w:ascii="Times New Roman;Times;serif" w:hAnsi="Times New Roman;Times;serif"/>
          <w:sz w:val="20"/>
          <w:u w:val="single"/>
        </w:rPr>
        <w:t>Section 3.01</w:t>
      </w:r>
      <w:r>
        <w:rPr>
          <w:rFonts w:ascii="Times New Roman;Times;serif" w:hAnsi="Times New Roman;Times;serif"/>
          <w:sz w:val="20"/>
        </w:rPr>
        <w:t xml:space="preserve"> of this Indenture and any relevant supplemental indenture.</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(iii)At such time as a Guarantor’s Guarantee is released with respect to any series of Securities, such Guarantor will no longer be considered a “</w:t>
      </w:r>
      <w:r>
        <w:rPr>
          <w:rFonts w:ascii="Times New Roman;Times;serif" w:hAnsi="Times New Roman;Times;serif"/>
          <w:b/>
          <w:sz w:val="20"/>
        </w:rPr>
        <w:t>Guarantor</w:t>
      </w:r>
      <w:r>
        <w:rPr>
          <w:rFonts w:ascii="Times New Roman;Times;serif" w:hAnsi="Times New Roman;Times;serif"/>
          <w:sz w:val="20"/>
        </w:rPr>
        <w:t>” of such series of Securities.</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(iv)The Trustee shall promptly execute any documents reasonably requested by the Company or applicable Guarantor relating to a series of Securities in order to evidence the release of such Guarantor from its obligations under its Guarantee of the Securities of such series; </w:t>
      </w:r>
      <w:r>
        <w:rPr>
          <w:rFonts w:ascii="Times New Roman;Times;serif" w:hAnsi="Times New Roman;Times;serif"/>
          <w:sz w:val="20"/>
          <w:u w:val="single"/>
        </w:rPr>
        <w:t>provided</w:t>
      </w:r>
      <w:r>
        <w:rPr>
          <w:rFonts w:ascii="Times New Roman;Times;serif" w:hAnsi="Times New Roman;Times;serif"/>
          <w:sz w:val="20"/>
        </w:rPr>
        <w:t xml:space="preserve"> that the Trustee shall not be obligated to execute or deliver any document evidencing the release of a Guarantee pursuant to this </w:t>
      </w:r>
      <w:r>
        <w:rPr>
          <w:rFonts w:ascii="Times New Roman;Times;serif" w:hAnsi="Times New Roman;Times;serif"/>
          <w:sz w:val="20"/>
          <w:u w:val="single"/>
        </w:rPr>
        <w:t>Section 2.02(c)</w:t>
      </w:r>
      <w:r>
        <w:rPr>
          <w:rFonts w:ascii="Times New Roman;Times;serif" w:hAnsi="Times New Roman;Times;serif"/>
          <w:sz w:val="20"/>
        </w:rPr>
        <w:t xml:space="preserve"> unless the Company has delivered an Officers’ Certificate or an Opinion of Counsel to the effect that such release is in accordance with the provisions of this Indenture.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2.03.</w:t>
      </w:r>
      <w:r>
        <w:rPr>
          <w:rFonts w:ascii="Times New Roman;Times;serif" w:hAnsi="Times New Roman;Times;serif"/>
          <w:sz w:val="20"/>
          <w:u w:val="single"/>
        </w:rPr>
        <w:t>Form of Trustee’s Certificate of Authentication</w:t>
      </w:r>
      <w:r>
        <w:rPr>
          <w:rFonts w:ascii="Times New Roman;Times;serif" w:hAnsi="Times New Roman;Times;serif"/>
          <w:sz w:val="20"/>
        </w:rPr>
        <w:t>.  The Trustee’s certificate of authentication shall be substantially in the following form:</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is one of the Securities of the series designated therein referred to in the within-mentioned Indenture.</w:t>
      </w:r>
    </w:p>
    <w:p>
      <w:pPr>
        <w:pStyle w:val="TextBody"/>
        <w:bidi w:val="0"/>
        <w:spacing w:before="0" w:after="0"/>
        <w:ind w:left="0" w:right="0" w:hanging="0"/>
        <w:jc w:val="center"/>
        <w:rPr/>
      </w:pPr>
      <w:r>
        <w:rPr/>
        <w:t>​</w:t>
      </w:r>
    </w:p>
    <w:tbl>
      <w:tblPr>
        <w:tblW w:w="2436" w:type="dxa"/>
        <w:jc w:val="left"/>
        <w:tblInd w:w="0" w:type="dxa"/>
        <w:tblLayout w:type="fixed"/>
        <w:tblCellMar>
          <w:top w:w="0" w:type="dxa"/>
          <w:left w:w="0" w:type="dxa"/>
          <w:bottom w:w="0" w:type="dxa"/>
          <w:right w:w="0" w:type="dxa"/>
        </w:tblCellMar>
      </w:tblPr>
      <w:tblGrid>
        <w:gridCol w:w="124"/>
        <w:gridCol w:w="406"/>
        <w:gridCol w:w="1906"/>
      </w:tblGrid>
      <w:tr>
        <w:trPr/>
        <w:tc>
          <w:tcPr>
            <w:tcW w:w="124" w:type="dxa"/>
            <w:tcBorders/>
            <w:vAlign w:val="center"/>
          </w:tcPr>
          <w:p>
            <w:pPr>
              <w:pStyle w:val="TableContents"/>
              <w:bidi w:val="0"/>
              <w:spacing w:before="0" w:after="0"/>
              <w:ind w:left="0" w:right="0" w:hanging="0"/>
              <w:jc w:val="left"/>
              <w:rPr/>
            </w:pPr>
            <w:r>
              <w:rPr/>
              <w:t>​</w:t>
            </w:r>
          </w:p>
        </w:tc>
        <w:tc>
          <w:tcPr>
            <w:tcW w:w="23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u w:val="single"/>
              </w:rPr>
              <w:t>                                    </w:t>
            </w: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23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Trustee</w:t>
            </w:r>
          </w:p>
        </w:tc>
      </w:tr>
      <w:tr>
        <w:trPr/>
        <w:tc>
          <w:tcPr>
            <w:tcW w:w="124" w:type="dxa"/>
            <w:tcBorders/>
            <w:vAlign w:val="center"/>
          </w:tcPr>
          <w:p>
            <w:pPr>
              <w:pStyle w:val="TableContents"/>
              <w:bidi w:val="0"/>
              <w:spacing w:before="0" w:after="0"/>
              <w:ind w:left="0" w:right="0" w:hanging="0"/>
              <w:jc w:val="left"/>
              <w:rPr/>
            </w:pPr>
            <w:r>
              <w:rPr/>
              <w:t>​</w:t>
            </w:r>
          </w:p>
        </w:tc>
        <w:tc>
          <w:tcPr>
            <w:tcW w:w="231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3</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ISSUE, EXECUTION, FORM AND REGISTRATION OF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3.01.</w:t>
      </w:r>
      <w:r>
        <w:rPr>
          <w:rFonts w:ascii="Times New Roman;Times;serif" w:hAnsi="Times New Roman;Times;serif"/>
          <w:sz w:val="20"/>
          <w:u w:val="single"/>
        </w:rPr>
        <w:t>Amount Unlimited; Issuable in Series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aggregate principal amount of Securities which may be authenticated and delivered under this Indenture is unlimited.</w:t>
      </w:r>
    </w:p>
    <w:p>
      <w:pPr>
        <w:pStyle w:val="TextBody"/>
        <w:bidi w:val="0"/>
        <w:spacing w:before="0" w:after="182"/>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The Securities may be issued from time to time in one or more series. Prior to the issuance of Securities of any series, there shall be established in or pursuant to (i) a Board Resolution of the Company and each Guarantor, if any, of the Securities of such series, (ii) action taken pursuant to a Board Resolution and (subject to </w:t>
      </w:r>
      <w:r>
        <w:rPr>
          <w:rFonts w:ascii="Times New Roman;Times;serif" w:hAnsi="Times New Roman;Times;serif"/>
          <w:sz w:val="20"/>
          <w:u w:val="single"/>
        </w:rPr>
        <w:t>Sections 3.03</w:t>
      </w:r>
      <w:r>
        <w:rPr>
          <w:rFonts w:ascii="Times New Roman;Times;serif" w:hAnsi="Times New Roman;Times;serif"/>
          <w:sz w:val="20"/>
        </w:rPr>
        <w:t xml:space="preserve"> and </w:t>
      </w:r>
      <w:r>
        <w:rPr>
          <w:rFonts w:ascii="Times New Roman;Times;serif" w:hAnsi="Times New Roman;Times;serif"/>
          <w:sz w:val="20"/>
          <w:u w:val="single"/>
        </w:rPr>
        <w:t>3.04</w:t>
      </w:r>
      <w:r>
        <w:rPr>
          <w:rFonts w:ascii="Times New Roman;Times;serif" w:hAnsi="Times New Roman;Times;serif"/>
          <w:sz w:val="20"/>
        </w:rPr>
        <w:t>) set forth, or determined in the manner provided, in an Officers’ Certificate of the Company and each Guarantor, if any, of the Securities of such series, or (iii) one or more indentures supplemental hereto:</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(1)the title of the Securities of the series (which shall distinguish the Securities of the series from all other Securities);</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(2)whether or not such Securities are to be guaranteed pursuant to </w:t>
      </w:r>
      <w:r>
        <w:rPr>
          <w:rFonts w:ascii="Times New Roman;Times;serif" w:hAnsi="Times New Roman;Times;serif"/>
          <w:sz w:val="20"/>
          <w:u w:val="single"/>
        </w:rPr>
        <w:t>Section 2.02</w:t>
      </w:r>
      <w:r>
        <w:rPr>
          <w:rFonts w:ascii="Times New Roman;Times;serif" w:hAnsi="Times New Roman;Times;serif"/>
          <w:sz w:val="20"/>
        </w:rPr>
        <w:t xml:space="preserve"> and, if so, the Guarantor or Guarantors thereof;</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(3)the purchase price, denomination and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w:t>
      </w:r>
      <w:r>
        <w:rPr>
          <w:rFonts w:ascii="Times New Roman;Times;serif" w:hAnsi="Times New Roman;Times;serif"/>
          <w:sz w:val="20"/>
          <w:u w:val="single"/>
        </w:rPr>
        <w:t>Sections 3.07</w:t>
      </w:r>
      <w:r>
        <w:rPr>
          <w:rFonts w:ascii="Times New Roman;Times;serif" w:hAnsi="Times New Roman;Times;serif"/>
          <w:sz w:val="20"/>
        </w:rPr>
        <w:t xml:space="preserve">, </w:t>
      </w:r>
      <w:r>
        <w:rPr>
          <w:rFonts w:ascii="Times New Roman;Times;serif" w:hAnsi="Times New Roman;Times;serif"/>
          <w:sz w:val="20"/>
          <w:u w:val="single"/>
        </w:rPr>
        <w:t>3.09</w:t>
      </w:r>
      <w:r>
        <w:rPr>
          <w:rFonts w:ascii="Times New Roman;Times;serif" w:hAnsi="Times New Roman;Times;serif"/>
          <w:sz w:val="20"/>
        </w:rPr>
        <w:t xml:space="preserve">, </w:t>
      </w:r>
      <w:r>
        <w:rPr>
          <w:rFonts w:ascii="Times New Roman;Times;serif" w:hAnsi="Times New Roman;Times;serif"/>
          <w:sz w:val="20"/>
          <w:u w:val="single"/>
        </w:rPr>
        <w:t>3.11</w:t>
      </w:r>
      <w:r>
        <w:rPr>
          <w:rFonts w:ascii="Times New Roman;Times;serif" w:hAnsi="Times New Roman;Times;serif"/>
          <w:sz w:val="20"/>
        </w:rPr>
        <w:t xml:space="preserve">, </w:t>
      </w:r>
      <w:r>
        <w:rPr>
          <w:rFonts w:ascii="Times New Roman;Times;serif" w:hAnsi="Times New Roman;Times;serif"/>
          <w:sz w:val="20"/>
          <w:u w:val="single"/>
        </w:rPr>
        <w:t>9.05</w:t>
      </w:r>
      <w:r>
        <w:rPr>
          <w:rFonts w:ascii="Times New Roman;Times;serif" w:hAnsi="Times New Roman;Times;serif"/>
          <w:sz w:val="20"/>
        </w:rPr>
        <w:t xml:space="preserve"> or </w:t>
      </w:r>
      <w:r>
        <w:rPr>
          <w:rFonts w:ascii="Times New Roman;Times;serif" w:hAnsi="Times New Roman;Times;serif"/>
          <w:sz w:val="20"/>
          <w:u w:val="single"/>
        </w:rPr>
        <w:t>11.03</w:t>
      </w:r>
      <w:r>
        <w:rPr>
          <w:rFonts w:ascii="Times New Roman;Times;serif" w:hAnsi="Times New Roman;Times;serif"/>
          <w:sz w:val="20"/>
        </w:rPr>
        <w:t>);</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(4)the date or dates on which the principal of and premium, if any, on the Securities of the series is payable or the method of determination thereof;</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(5)the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 and the Regular Record Date, if any, for the interest payable on any Interest Payment Date;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(6)the place or places where the principal of (and premium, if any) and interest, if any, on Securities of the series shall be payable;</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(7)the place or places where the Securities may be exchanged or transferred;</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(8)the period or periods within which, the price or prices at which, the currency or currencies (including currency unit or units) in which, and the other terms and conditions upon which Securities of the series may be redeemed, in whole or in part, at the option of the Company, if the Company is to have that option, and, if other than as provided in </w:t>
      </w:r>
      <w:r>
        <w:rPr>
          <w:rFonts w:ascii="Times New Roman;Times;serif" w:hAnsi="Times New Roman;Times;serif"/>
          <w:sz w:val="20"/>
          <w:u w:val="single"/>
        </w:rPr>
        <w:t>Section 11.02</w:t>
      </w:r>
      <w:r>
        <w:rPr>
          <w:rFonts w:ascii="Times New Roman;Times;serif" w:hAnsi="Times New Roman;Times;serif"/>
          <w:sz w:val="20"/>
        </w:rPr>
        <w:t>, the manner in which the particular Securities of such series (if less than all Securities of such series are to be redeemed) are to be selected for redemption;</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(9)the obligation, if any, of the Company to redeem or purchase Securities of the series in whole or in part pursuant to any sinking fund or analogous provisions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(10)if other than denominations of $2,000 and multiples of $1,000 in excess thereof, the denominations in which Securities of the series shall be issuable;</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(11)if other than Dollars, the currency or currencies (including currency unit or units) in which payments of principal of (and premium, if any) and interest, if any, on the Securities of the series shall or may by payable, or in which the Securities of the series shall be denominated, and the particular provisions applicable thereto;</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(12)if the payments of principal of (and premium, if any) and interest, if any, on the Securities of the series are to be made, at the election of the Company or a Holder, in a currency or currencies (including currency unit or units) other than that in which such Securities are denominated or designated to be payable, the currency or currencies (including currency unit or units) in which such payments are to be made, the terms and conditions of such payments and the manner in which the exchange rate with respect to such payments shall be determined, and the particular provisions applicable thereto;</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(13)if the amount of payments of principal of (and premium, if any) and interest, if any, on the Securities of the series shall be determined with reference to any commodities, currencies or indices, values, rates or prices or any other index, formula or method (which index, formula or method may be based, without limitation, on a currency or currencies (including currency unit or units) other than that in which the Securities of the series are denominated or designated to be payable), the manner in which such amounts shall be determined;</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(14)if other than the principal amount thereof, the portion of the principal amount of Securities of the series which shall be payable upon declaration of</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acceleration of the Maturity thereof pursuant to </w:t>
      </w:r>
      <w:r>
        <w:rPr>
          <w:rFonts w:ascii="Times New Roman;Times;serif" w:hAnsi="Times New Roman;Times;serif"/>
          <w:sz w:val="20"/>
          <w:u w:val="single"/>
        </w:rPr>
        <w:t>Section 5.02</w:t>
      </w:r>
      <w:r>
        <w:rPr>
          <w:rFonts w:ascii="Times New Roman;Times;serif" w:hAnsi="Times New Roman;Times;serif"/>
          <w:sz w:val="20"/>
        </w:rPr>
        <w:t xml:space="preserve"> or the method by which such portion shall be determined;</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(15)any modifications of or additions to the Events of Default set forth in </w:t>
      </w:r>
      <w:r>
        <w:rPr>
          <w:rFonts w:ascii="Times New Roman;Times;serif" w:hAnsi="Times New Roman;Times;serif"/>
          <w:sz w:val="20"/>
          <w:u w:val="single"/>
        </w:rPr>
        <w:t>Section 5.01</w:t>
      </w:r>
      <w:r>
        <w:rPr>
          <w:rFonts w:ascii="Times New Roman;Times;serif" w:hAnsi="Times New Roman;Times;serif"/>
          <w:sz w:val="20"/>
        </w:rPr>
        <w:t xml:space="preserve"> or the covenants of the Company set forth in Article 4 or Article 10 with respect to Securities of the series; and whether such additional or modified Events of Default or covenants are subject to covenant defeasance pursuant to </w:t>
      </w:r>
      <w:r>
        <w:rPr>
          <w:rFonts w:ascii="Times New Roman;Times;serif" w:hAnsi="Times New Roman;Times;serif"/>
          <w:sz w:val="20"/>
          <w:u w:val="single"/>
        </w:rPr>
        <w:t>Section 12.03</w:t>
      </w:r>
      <w:r>
        <w:rPr>
          <w:rFonts w:ascii="Times New Roman;Times;serif" w:hAnsi="Times New Roman;Times;serif"/>
          <w:sz w:val="20"/>
        </w:rPr>
        <w:t>;</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(16)if either or both of </w:t>
      </w:r>
      <w:r>
        <w:rPr>
          <w:rFonts w:ascii="Times New Roman;Times;serif" w:hAnsi="Times New Roman;Times;serif"/>
          <w:sz w:val="20"/>
          <w:u w:val="single"/>
        </w:rPr>
        <w:t>Section 12.02</w:t>
      </w:r>
      <w:r>
        <w:rPr>
          <w:rFonts w:ascii="Times New Roman;Times;serif" w:hAnsi="Times New Roman;Times;serif"/>
          <w:sz w:val="20"/>
        </w:rPr>
        <w:t xml:space="preserve"> and </w:t>
      </w:r>
      <w:r>
        <w:rPr>
          <w:rFonts w:ascii="Times New Roman;Times;serif" w:hAnsi="Times New Roman;Times;serif"/>
          <w:sz w:val="20"/>
          <w:u w:val="single"/>
        </w:rPr>
        <w:t>Section 12.03</w:t>
      </w:r>
      <w:r>
        <w:rPr>
          <w:rFonts w:ascii="Times New Roman;Times;serif" w:hAnsi="Times New Roman;Times;serif"/>
          <w:sz w:val="20"/>
        </w:rPr>
        <w:t xml:space="preserve"> shall be inapplicable to the Securities of the series ( provided that if no such inapplicability shall be specified and the Securities of such series are not convertible into or their value is not determined with reference to the Company’s equity securities, then both </w:t>
      </w:r>
      <w:r>
        <w:rPr>
          <w:rFonts w:ascii="Times New Roman;Times;serif" w:hAnsi="Times New Roman;Times;serif"/>
          <w:sz w:val="20"/>
          <w:u w:val="single"/>
        </w:rPr>
        <w:t>Section 12.02</w:t>
      </w:r>
      <w:r>
        <w:rPr>
          <w:rFonts w:ascii="Times New Roman;Times;serif" w:hAnsi="Times New Roman;Times;serif"/>
          <w:sz w:val="20"/>
        </w:rPr>
        <w:t xml:space="preserve"> and </w:t>
      </w:r>
      <w:r>
        <w:rPr>
          <w:rFonts w:ascii="Times New Roman;Times;serif" w:hAnsi="Times New Roman;Times;serif"/>
          <w:sz w:val="20"/>
          <w:u w:val="single"/>
        </w:rPr>
        <w:t>Section 12.03</w:t>
      </w:r>
      <w:r>
        <w:rPr>
          <w:rFonts w:ascii="Times New Roman;Times;serif" w:hAnsi="Times New Roman;Times;serif"/>
          <w:sz w:val="20"/>
        </w:rPr>
        <w:t xml:space="preserve"> shall be applicable to the Securities of such series; provided further that if no such inapplicability shall be specified and the Securities of such series are convertible into or their value is determined with reference to the Company’s equity securities, then neither </w:t>
      </w:r>
      <w:r>
        <w:rPr>
          <w:rFonts w:ascii="Times New Roman;Times;serif" w:hAnsi="Times New Roman;Times;serif"/>
          <w:sz w:val="20"/>
          <w:u w:val="single"/>
        </w:rPr>
        <w:t>Section 12.02</w:t>
      </w:r>
      <w:r>
        <w:rPr>
          <w:rFonts w:ascii="Times New Roman;Times;serif" w:hAnsi="Times New Roman;Times;serif"/>
          <w:sz w:val="20"/>
        </w:rPr>
        <w:t xml:space="preserve"> nor </w:t>
      </w:r>
      <w:r>
        <w:rPr>
          <w:rFonts w:ascii="Times New Roman;Times;serif" w:hAnsi="Times New Roman;Times;serif"/>
          <w:sz w:val="20"/>
          <w:u w:val="single"/>
        </w:rPr>
        <w:t>Section 12.03</w:t>
      </w:r>
      <w:r>
        <w:rPr>
          <w:rFonts w:ascii="Times New Roman;Times;serif" w:hAnsi="Times New Roman;Times;serif"/>
          <w:sz w:val="20"/>
        </w:rPr>
        <w:t xml:space="preserve"> shall be applicable to the Securities of such series) and any other terms upon which the Securities of such series will be defeasible;</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(17)if other than the Trustee, the identity of the Registrar and any Paying Agent;</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(18)if the Securities of the series shall be issued in whole or in part in global form, (i) the Depositary for such global Securities, (ii) the form of any legend in addition to or in lieu of that in </w:t>
      </w:r>
      <w:r>
        <w:rPr>
          <w:rFonts w:ascii="Times New Roman;Times;serif" w:hAnsi="Times New Roman;Times;serif"/>
          <w:sz w:val="20"/>
          <w:u w:val="single"/>
        </w:rPr>
        <w:t>Section 3.06</w:t>
      </w:r>
      <w:r>
        <w:rPr>
          <w:rFonts w:ascii="Times New Roman;Times;serif" w:hAnsi="Times New Roman;Times;serif"/>
          <w:sz w:val="20"/>
        </w:rPr>
        <w:t xml:space="preserve"> which shall be borne by such global Security, (iii) whether beneficial owners of interests in any Securities of the series in global form may exchange such interests for certificated Securities of such series and of like tenor of any authorized form and denomination, and (iv) if other than as provided in </w:t>
      </w:r>
      <w:r>
        <w:rPr>
          <w:rFonts w:ascii="Times New Roman;Times;serif" w:hAnsi="Times New Roman;Times;serif"/>
          <w:sz w:val="20"/>
          <w:u w:val="single"/>
        </w:rPr>
        <w:t>Section 3.08</w:t>
      </w:r>
      <w:r>
        <w:rPr>
          <w:rFonts w:ascii="Times New Roman;Times;serif" w:hAnsi="Times New Roman;Times;serif"/>
          <w:sz w:val="20"/>
        </w:rPr>
        <w:t>, the circumstances under which any such exchange may occur;</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(19)if, and the terms and conditions upon which, the Securities of such series may or must be converted into securities of the Company or exchanged for securities of the Company or another enterprise; and</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(20)any other terms of the series or any Guarantees endorsed thereon (which terms shall not adversely affect a prior series of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All Securities of any one series shall be substantially identical except as to denomination and except as may otherwise be provided (i) by a Board Resolution of the Company, (ii) by action taken pursuant to a Board Resolution of the Company and (subject to </w:t>
      </w:r>
      <w:r>
        <w:rPr>
          <w:rFonts w:ascii="Times New Roman;Times;serif" w:hAnsi="Times New Roman;Times;serif"/>
          <w:sz w:val="20"/>
          <w:u w:val="single"/>
        </w:rPr>
        <w:t>Sections 3.02</w:t>
      </w:r>
      <w:r>
        <w:rPr>
          <w:rFonts w:ascii="Times New Roman;Times;serif" w:hAnsi="Times New Roman;Times;serif"/>
          <w:sz w:val="20"/>
        </w:rPr>
        <w:t>-</w:t>
      </w:r>
      <w:r>
        <w:rPr>
          <w:rFonts w:ascii="Times New Roman;Times;serif" w:hAnsi="Times New Roman;Times;serif"/>
          <w:sz w:val="20"/>
          <w:u w:val="single"/>
        </w:rPr>
        <w:t>3.05</w:t>
      </w:r>
      <w:r>
        <w:rPr>
          <w:rFonts w:ascii="Times New Roman;Times;serif" w:hAnsi="Times New Roman;Times;serif"/>
          <w:sz w:val="20"/>
        </w:rPr>
        <w:t>) set forth, or determined in the manner provided, in an Officers’ Certificate or (iii) in any such indenture supplemental hereto. All Securities of any one series need not be issued at the same time and, unless otherwise provided, a series may be reopened, without the consent of the Holders, for issuances of additional Securities of such series.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any of the terms of the Securities of any series, and any Guarantees endorsed thereon, are established by action taken pursuant to a Board Resolution of the Company and the Guarantors, if any, a copy of an appropriate record of such action shall be certified by the Secretary or an Assistant Secretary of the Company and the Guarantors, if any, and delivered to the Trustee at or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delivery of the Officers’ Certificate setting forth, or providing the manner for determining, the terms of the Securities of such series, and an appropriate record of any action taken pursuant thereto in connection with the issuance of any Securities of such series shall be delivered to the Trustee prior to the authentication and delivery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3.02.</w:t>
      </w:r>
      <w:r>
        <w:rPr>
          <w:rFonts w:ascii="Times New Roman;Times;serif" w:hAnsi="Times New Roman;Times;serif"/>
          <w:sz w:val="20"/>
          <w:u w:val="single"/>
        </w:rPr>
        <w:t>Authentication and Delivery of Securities</w:t>
      </w:r>
      <w:r>
        <w:rPr>
          <w:rFonts w:ascii="Times New Roman;Times;serif" w:hAnsi="Times New Roman;Times;serif"/>
          <w:sz w:val="20"/>
        </w:rPr>
        <w:t>.  Upon the execution and delivery of this Indenture, or from time to time thereafter, Securities of any series and any Guarantees endorsed thereon may be executed by the Company and the Guarantors, if any, and delivered by the Company to the Trustee for authentication, together with a Company Order, and upon delivery to the Trustee of all documents and certificates as required by this Indenture, the Trustee shall thereupon, in accordance with such Company Order, authenticate and make available for delivery said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3.03.</w:t>
      </w:r>
      <w:r>
        <w:rPr>
          <w:rFonts w:ascii="Times New Roman;Times;serif" w:hAnsi="Times New Roman;Times;serif"/>
          <w:sz w:val="20"/>
          <w:u w:val="single"/>
        </w:rPr>
        <w:t>Execution of Securities</w:t>
      </w:r>
      <w:r>
        <w:rPr>
          <w:rFonts w:ascii="Times New Roman;Times;serif" w:hAnsi="Times New Roman;Times;serif"/>
          <w:sz w:val="20"/>
        </w:rPr>
        <w:t>.  The Securities of each series shall be executed on behalf of the Company, and each of the Guarantees, if any, shall be executed on behalf of the applicable Guarantor, by the Chairman of the Board of Directors, the President, the Chief Executive Officer, the Chief Financial Officer, the Treasurer, the Controller, the Secretary or any Assistant Secretary of the Company or of such Guarantor, as the case may be. The signatures of any of such officers on the Securities or the Guarantees may be the manual or facsimile signatures of the present or any future such officers. In case any officer of the Company or of each Guarantor, if any, who shall have signed any of the Securities and Guarantees, if any, shall cease to be such officer before the Security so signed or to which the Guarantee relates shall be authenticated and delivered by the Trustee or disposed of by the Company, such Security nevertheless may be authenticated and delivered or disposed of as though the person who signed such Security or Guarantee had not ceased to be such officer of the Company or of such Guarantor, as the case may be; and any Security or Guarantee may be signed on behalf of the Company or of a Guarantor, if any, by such persons as shall be the proper officers of the Company or of such Guarantor, as the case may be, at the actual date of the execution of such Security or Guarantee even though any such person was not such officer at the date of the execution and delivery of this Indenture.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3.04.</w:t>
      </w:r>
      <w:r>
        <w:rPr>
          <w:rFonts w:ascii="Times New Roman;Times;serif" w:hAnsi="Times New Roman;Times;serif"/>
          <w:sz w:val="20"/>
          <w:u w:val="single"/>
        </w:rPr>
        <w:t>Certificate of Authentication</w:t>
      </w:r>
      <w:r>
        <w:rPr>
          <w:rFonts w:ascii="Times New Roman;Times;serif" w:hAnsi="Times New Roman;Times;serif"/>
          <w:sz w:val="20"/>
        </w:rPr>
        <w:t>.  Only such Securities or Guarantees endorsed thereon, if any, as shall bear thereon a certificate of authentication substantially in the form hereinabove recited, executed by the Trustee by manual signature of one of its authorized signatories, shall be entitled to the benefits of this Indenture or be valid or obligatory for any purpose. Such certificate by the Trustee upon any Security executed by the Company shall be conclusive evidence that the Security so authenticated has been duly authenticated and delivered hereunder and that the Holder is entitled to the benefits of this Indenture.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3.05.</w:t>
      </w:r>
      <w:r>
        <w:rPr>
          <w:rFonts w:ascii="Times New Roman;Times;serif" w:hAnsi="Times New Roman;Times;serif"/>
          <w:sz w:val="20"/>
          <w:u w:val="single"/>
        </w:rPr>
        <w:t>Denomination, Currency and Date of Securities; Payments of Interest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The Securities shall be issuable in such denominations and currency as shall be specified as contemplated by </w:t>
      </w:r>
      <w:r>
        <w:rPr>
          <w:rFonts w:ascii="Times New Roman;Times;serif" w:hAnsi="Times New Roman;Times;serif"/>
          <w:sz w:val="20"/>
          <w:u w:val="single"/>
        </w:rPr>
        <w:t>Section 3.01</w:t>
      </w:r>
      <w:r>
        <w:rPr>
          <w:rFonts w:ascii="Times New Roman;Times;serif" w:hAnsi="Times New Roman;Times;serif"/>
          <w:sz w:val="20"/>
        </w:rPr>
        <w:t xml:space="preserve">.  In the absence of any specification pursuant to </w:t>
      </w:r>
      <w:r>
        <w:rPr>
          <w:rFonts w:ascii="Times New Roman;Times;serif" w:hAnsi="Times New Roman;Times;serif"/>
          <w:sz w:val="20"/>
          <w:u w:val="single"/>
        </w:rPr>
        <w:t>Section 3.01</w:t>
      </w:r>
      <w:r>
        <w:rPr>
          <w:rFonts w:ascii="Times New Roman;Times;serif" w:hAnsi="Times New Roman;Times;serif"/>
          <w:sz w:val="20"/>
        </w:rPr>
        <w:t xml:space="preserve"> with respect to Securities of any series, the Securities of such series shall be denominated in Dollars, issuable only as Securities in denominations of $2,000 and multiples of $1,000 in excess thereof and payable only in Dollars. The Securities shall be numbered, lettered, or otherwise distinguished in such manner or in accordance with such plans as the officers of the Company executing the same may determine with the approval of the Trustee.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Any of the Securities and Guarantees, if any, may be issued with appropriate insertions, omissions, substitutions and variations, and may have imprinted or otherwise reproduced thereon such legend or legends, not inconsistent with the provisions of this Indenture, as may be required to comply with any law or with any rules or regulations pursuant thereto, including those required by </w:t>
      </w:r>
      <w:r>
        <w:rPr>
          <w:rFonts w:ascii="Times New Roman;Times;serif" w:hAnsi="Times New Roman;Times;serif"/>
          <w:sz w:val="20"/>
          <w:u w:val="single"/>
        </w:rPr>
        <w:t>Section 3.06</w:t>
      </w:r>
      <w:r>
        <w:rPr>
          <w:rFonts w:ascii="Times New Roman;Times;serif" w:hAnsi="Times New Roman;Times;serif"/>
          <w:sz w:val="20"/>
        </w:rPr>
        <w:t>, or with the rules of any securities market in which the Securities are admitted to trading, or to conform to general usage.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Each Security shall be dated the date of its authentication, shall bear interest from the applicable date and shall be payable on the dates specified on the face of the form of Security above. Except as otherwise specified as contemplated by </w:t>
      </w:r>
      <w:r>
        <w:rPr>
          <w:rFonts w:ascii="Times New Roman;Times;serif" w:hAnsi="Times New Roman;Times;serif"/>
          <w:sz w:val="20"/>
          <w:u w:val="single"/>
        </w:rPr>
        <w:t>Section 3.01</w:t>
      </w:r>
      <w:r>
        <w:rPr>
          <w:rFonts w:ascii="Times New Roman;Times;serif" w:hAnsi="Times New Roman;Times;serif"/>
          <w:sz w:val="20"/>
        </w:rPr>
        <w:t xml:space="preserve"> for Securities of any series, interest on the Securities of each series shall be computed on the basis of a 360-day year of twelve 30-day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Global Securities</w:t>
      </w:r>
      <w:r>
        <w:rPr>
          <w:rFonts w:ascii="Times New Roman;Times;serif" w:hAnsi="Times New Roman;Times;serif"/>
          <w:sz w:val="20"/>
        </w:rPr>
        <w:t>. If Securities of or within a series are issuable in whole or in part in global form, then any such Security of such series shall be deposited with the Trustee as custodian for the Depositary and registered in the name of Cede &amp; Co., as nominee for the Depositary. The Global Security shall be deposited on behalf of the purchasers of the Securities represented thereby with the Trustee, as custodian for the Depositary (or with such other custodian as the Depositary may direct), and registered in the name of the Depositary or a nominee of the Depositary, duly executed by the Company and each Guarantor, if any, and authenticated by the Trustee as hereinafter provided. The aggregate principal amount of the Global Securities may from time to time be increased or decreased by adjustments made on the records of the Trustee and the Depositary or its nominee as hereinafter provided.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person in whose name any Security is registered at the close of business on any Regular Record Date with respect to any Interest Payment Date shall be entitled to receive the interest, if any, payable on such Interest Payment Date notwithstanding any transfer or exchange of such Security subsequent to the Regular Record Date and prior to such Interest Payment Date, except if and to the extent the Company or a Guarantor, if any, shall default in the payment of the interest due on such Interest Payment Date, in which case such defaulted interest, plus (to the extent lawful) any interest payable on the defaulted interest, shall be paid to the persons in whose names outstanding Securities are registered at the close of business on a subsequent record date (which shall be not less than five Business Days prior to the date of such payment) established by notice given by mail by or on behalf of the Company or such Guarantor to the Holders of Securities not less than 15 calendar days preceding such subsequent record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3.06.</w:t>
      </w:r>
      <w:r>
        <w:rPr>
          <w:rFonts w:ascii="Times New Roman;Times;serif" w:hAnsi="Times New Roman;Times;serif"/>
          <w:sz w:val="20"/>
          <w:u w:val="single"/>
        </w:rPr>
        <w:t>Global Security Le</w:t>
      </w:r>
      <w:r>
        <w:rPr>
          <w:rFonts w:ascii="Times New Roman;Times;serif" w:hAnsi="Times New Roman;Times;serif"/>
          <w:sz w:val="20"/>
        </w:rPr>
        <w:t>gend.  Any Security in global form authenticated and delivered hereunder shall bear a legend in substantially the following form, or in such other form as may be necessary or appropriate to reflect the arrangements with or to comply with the requirements of any Depositary: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TRANSFERS OF THIS GLOBAL SECURITY SHALL BE LIMITED TO TRANSFERS IN WHOLE, BUT NOT IN PART, TO NOMINEES OF THE DEPOSITORY TRUST COMPANY OR TO A SUCCESSOR THEREOF OR SUCH SUCCESSOR’S NOMINEE.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3.07.</w:t>
      </w:r>
      <w:r>
        <w:rPr>
          <w:rFonts w:ascii="Times New Roman;Times;serif" w:hAnsi="Times New Roman;Times;serif"/>
          <w:sz w:val="20"/>
          <w:u w:val="single"/>
        </w:rPr>
        <w:t>Re</w:t>
      </w:r>
      <w:r>
        <w:rPr>
          <w:rFonts w:ascii="Times New Roman;Times;serif" w:hAnsi="Times New Roman;Times;serif"/>
          <w:sz w:val="20"/>
        </w:rPr>
        <w:t>g</w:t>
      </w:r>
      <w:r>
        <w:rPr>
          <w:rFonts w:ascii="Times New Roman;Times;serif" w:hAnsi="Times New Roman;Times;serif"/>
          <w:sz w:val="20"/>
          <w:u w:val="single"/>
        </w:rPr>
        <w:t>istration</w:t>
      </w:r>
      <w:r>
        <w:rPr>
          <w:rFonts w:ascii="Times New Roman;Times;serif" w:hAnsi="Times New Roman;Times;serif"/>
          <w:sz w:val="20"/>
        </w:rPr>
        <w:t>,</w:t>
      </w:r>
      <w:r>
        <w:rPr>
          <w:rFonts w:ascii="Times New Roman;Times;serif" w:hAnsi="Times New Roman;Times;serif"/>
          <w:sz w:val="20"/>
          <w:u w:val="single"/>
        </w:rPr>
        <w:t xml:space="preserve"> Transfer and Exchan</w:t>
      </w:r>
      <w:r>
        <w:rPr>
          <w:rFonts w:ascii="Times New Roman;Times;serif" w:hAnsi="Times New Roman;Times;serif"/>
          <w:sz w:val="20"/>
        </w:rPr>
        <w:t>ge.  The Securities are issuable only in registered form. The Company will keep at each office or agency (the “</w:t>
      </w:r>
      <w:r>
        <w:rPr>
          <w:rFonts w:ascii="Times New Roman;Times;serif" w:hAnsi="Times New Roman;Times;serif"/>
          <w:b/>
          <w:sz w:val="20"/>
        </w:rPr>
        <w:t>Registrar</w:t>
      </w:r>
      <w:r>
        <w:rPr>
          <w:rFonts w:ascii="Times New Roman;Times;serif" w:hAnsi="Times New Roman;Times;serif"/>
          <w:sz w:val="20"/>
        </w:rPr>
        <w:t>”) for each series of Securities a register or registers (the “</w:t>
      </w:r>
      <w:r>
        <w:rPr>
          <w:rFonts w:ascii="Times New Roman;Times;serif" w:hAnsi="Times New Roman;Times;serif"/>
          <w:b/>
          <w:sz w:val="20"/>
        </w:rPr>
        <w:t>Security Register(s)</w:t>
      </w:r>
      <w:r>
        <w:rPr>
          <w:rFonts w:ascii="Times New Roman;Times;serif" w:hAnsi="Times New Roman;Times;serif"/>
          <w:sz w:val="20"/>
        </w:rPr>
        <w:t>”) in which, subject to such reasonable regulations as it may prescribe, it will register, and will register the transfer of Securities as provided in this Article. Such Security Register or Security Registers shall be in written form in the English language or in any other form capable of being converted into such form within a reasonable time. At all reasonable times such Security Register or Security Registers shall be open for inspection by the Trustee. The initial Registrar shall be the Trustee.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due presentation for registration of transfer of any Security of any series at each such office or agency, the Company shall execute a new Security or Securities of the same series, in each case, of any authorized denominations and of a like aggregate Principal Amount in the name of the designated transferee or transferees, the applicable Guarantors, if any, shall execute the Guarantees endorsed thereon and, upon receipt of a Company Order, the Trustee shall authenticate and make available for delivery such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option of the Holder, Securities of any series (except a Security in global form) may be exchanged for other Securities of the same series, of any authorized denominations and of a like aggregate Principal Amount and Stated Maturity, upon surrender of the Securities to be exchanged at such office or agency. Whenever any Securities are so surrendered for exchange, the Company shall execute the Securities which the Holder making the exchange is entitled to receive, the applicable Guarantors, if any, shall execute the Guarantees endorsed thereon and, upon receipt of a Company Order, the Trustee shall authenticate and make available for delivery such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Holder may transfer a Security only by written application to the Registrar stating the name of the proposed transferee and otherwise complying with the terms of this Indenture. No such transfer shall be effected until, and such transferee shall succeed to the rights of a Holder only upon, final acceptance and registration of the transfer by the Registrar in the Security Register. Prior to the registration of any transfer by a Holder as provided herein, the Company, the Guarantors, if any, and the Trustee or any of their respective agents shall treat the person in whose name the Security is registered as the owner thereof for all purposes whether or not the Security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shall be overdue, and neither the Company, the Guarantors, if any, the Trustee, nor any such agent shall be affected by notice to the contrary. Furthermore, any Holder of a Global Security shall, by acceptance of such Global Security, agree that transfers of beneficial interests in such Global Security may be effected only through a book entry system maintained by the Depository (or its nominee) and that ownership of a beneficial interest in the Security shall be required to be reflected in a book entry. When Securities are presented to the Registrar or a co-Registrar with a request to register the transfer or to exchange them for an equal Principal Amount of Securities of other authorized denominations, the Registrar shall register the transfer or make the exchange as requested if the requirements for such transactions set forth herein are met. To permit registrations of transfers and exchanges, the Company shall execute the Securities, the applicable Guarantors, if any, shall execute the Guarantees endorsed thereon and the Trustee shall authenticate Securities at the Registrar’s request.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may require payment of a sum sufficient to cover any tax or other governmental charge that may be imposed in connection with any exchange or registration of transfer of Securities (other than any such transfer taxes or other similar governmental charge payable upon exchanges pursuant to </w:t>
      </w:r>
      <w:r>
        <w:rPr>
          <w:rFonts w:ascii="Times New Roman;Times;serif" w:hAnsi="Times New Roman;Times;serif"/>
          <w:sz w:val="20"/>
          <w:u w:val="single"/>
        </w:rPr>
        <w:t>Section 3.11</w:t>
      </w:r>
      <w:r>
        <w:rPr>
          <w:rFonts w:ascii="Times New Roman;Times;serif" w:hAnsi="Times New Roman;Times;serif"/>
          <w:sz w:val="20"/>
        </w:rPr>
        <w:t xml:space="preserve">, </w:t>
      </w:r>
      <w:r>
        <w:rPr>
          <w:rFonts w:ascii="Times New Roman;Times;serif" w:hAnsi="Times New Roman;Times;serif"/>
          <w:sz w:val="20"/>
          <w:u w:val="single"/>
        </w:rPr>
        <w:t>9.05</w:t>
      </w:r>
      <w:r>
        <w:rPr>
          <w:rFonts w:ascii="Times New Roman;Times;serif" w:hAnsi="Times New Roman;Times;serif"/>
          <w:sz w:val="20"/>
        </w:rPr>
        <w:t xml:space="preserve"> or </w:t>
      </w:r>
      <w:r>
        <w:rPr>
          <w:rFonts w:ascii="Times New Roman;Times;serif" w:hAnsi="Times New Roman;Times;serif"/>
          <w:sz w:val="20"/>
          <w:u w:val="single"/>
        </w:rPr>
        <w:t>11.03</w:t>
      </w:r>
      <w:r>
        <w:rPr>
          <w:rFonts w:ascii="Times New Roman;Times;serif" w:hAnsi="Times New Roman;Times;serif"/>
          <w:sz w:val="20"/>
        </w:rPr>
        <w:t>).  No service charge to any Holder shall be made for any such transaction.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shall not be required to exchange or register a transfer of (a) any Securities of any series for a period of 15 calendar days next preceding the first mailing of notice of redemption of Securities of that series to be redeemed, or (b) any Securities of any series selected, called or being called for redemption except, in the case of any Security of any series where public notice has been given that such Security is to be redeemed in part, the portion thereof not so to be redeemed.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Securities issued upon any transfer or exchange of Securities shall be valid obligations of the Company, evidencing the same debt, and entitled to the same benefits under this Indenture, as the Securities surrendered upon such transfer or exchange.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3.08.</w:t>
      </w:r>
      <w:r>
        <w:rPr>
          <w:rFonts w:ascii="Times New Roman;Times;serif" w:hAnsi="Times New Roman;Times;serif"/>
          <w:sz w:val="20"/>
          <w:u w:val="single"/>
        </w:rPr>
        <w:t>Book-Entry Provisions for Global Securities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Each Global Security initially shall (i) be registered in the name of the Depositary for such Global Securities or the nominee of such Depositary, (ii) be delivered to the Trustee as custodian for such Depositary and (iii) bear legends as set forth in </w:t>
      </w:r>
      <w:r>
        <w:rPr>
          <w:rFonts w:ascii="Times New Roman;Times;serif" w:hAnsi="Times New Roman;Times;serif"/>
          <w:sz w:val="20"/>
          <w:u w:val="single"/>
        </w:rPr>
        <w:t>Section 3.06</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Members of, or participants in, the Depositary (“</w:t>
      </w:r>
      <w:r>
        <w:rPr>
          <w:rFonts w:ascii="Times New Roman;Times;serif" w:hAnsi="Times New Roman;Times;serif"/>
          <w:b/>
          <w:sz w:val="20"/>
        </w:rPr>
        <w:t>Agent Members</w:t>
      </w:r>
      <w:r>
        <w:rPr>
          <w:rFonts w:ascii="Times New Roman;Times;serif" w:hAnsi="Times New Roman;Times;serif"/>
          <w:sz w:val="20"/>
        </w:rPr>
        <w:t>”) shall have no rights under this Indenture with respect to any Global Security held on their behalf by the Depositary, or the Trustee as its custodian, or under the Global Security, and the Depositary may be treated by the Company, each Guarantor, if any, the Trustee and any of their respective agents as the absolute owner of such Global Security for all purposes whatsoever. Notwithstanding the foregoing, nothing herein shall prevent the Company, each such Guarantor, the Trustee or any of such agents from giving effect to any written certification, proxy or other authorization furnished by the Depositary or impair, as between the Depositary and its Agent Members, the operation of customary practices governing the exercise of the rights of a holder of any Security.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Transfers of a Global Security shall be limited to transfers of such Global Security in whole, but not in part, to the Depositary for such series, its successors or their respective nominees. The Company may at any time and in its sole discretion determine that the Securities of a series issued in the form of one or more Global Securities shall no longer be represented by such Global Securities. In such event, the Company will execute Securities of such series of like tenor and terms in definitive form in an aggregate Principal Amount equal to the Principal Amount of the Global Security or Securities of such series, the applicable Guarantors, if any, shall execute the Guarantees endorsed thereon and the Trustee, upon receipt of a Company Order, will authenticate and deliver such definitive Securities in exchange for such Global Security or Securities. Interests of beneficial owners in a Global Security may be transferred in accordance with the rules and procedures of the Depositary.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Physical Securities shall be transferred to all beneficial owners identified by the Depositary in exchange for their beneficial interests in a Global Security, if (i) the Depositary (A) notifies the Company that it is unwilling or unable to continue as Depositary for such Global Security, and a successor depositary is not appointed by the Company within 90 calendar days of such notice, or (B) ceases to be qualified to serve as Depositary and a successor depositary is not appointed by the Company within 90 calendar days of such notice, (ii) the Company executes and delivers to the Trustee a Company Order that such Global Security shall be so transferable, registrable and exchangeable, and such transfers shall be registrable, or (iii) an Event of Default of which the Trustee has actual notice has occurred and is continuing and the Registrar has received a request from a beneficial owner to issue such Physical Securities, and if the Trustee is the Registrar, a Company Order or written confirmation from the Depositary identifying the beneficial owner.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Any beneficial interest in one of the Global Securities that is transferred to a person who takes delivery in the form of an interest in the other Global Security will, upon transfer, cease to be an interest in such Global Security and become an interest in the other Global Security and, accordingly, will thereafter be subject to all transfer restrictions, if any, and other procedures applicable to beneficial interests in such other Global Security for as long as it remains such an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In connection with any transfer of a portion of the beneficial interests in a Global Security to beneficial owners pursuant to paragraph (b) of this </w:t>
      </w:r>
      <w:r>
        <w:rPr>
          <w:rFonts w:ascii="Times New Roman;Times;serif" w:hAnsi="Times New Roman;Times;serif"/>
          <w:sz w:val="20"/>
          <w:u w:val="single"/>
        </w:rPr>
        <w:t>Section 3.08</w:t>
      </w:r>
      <w:r>
        <w:rPr>
          <w:rFonts w:ascii="Times New Roman;Times;serif" w:hAnsi="Times New Roman;Times;serif"/>
          <w:sz w:val="20"/>
        </w:rPr>
        <w:t>, the Registrar shall reflect on its books and records the date and a decrease in the Principal Amount of such Global Security in an amount equal to the Principal Amount of the beneficial interest in such Global Security to be transferred, and the Company shall execute, and the Trustee shall authenticate and make available for delivery, one or more Physical Securities of like tenor and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In connection with the transfer of an entire Global Security to beneficial owners pursuant to paragraph (b) of this Section, such Global Security shall be deemed to be surrendered to the Trustee for cancellation, and the Company shall execute, and upon receipt of a Company Order the Trustee shall authenticate and deliver, to each beneficial owner identified by the Depositary in exchange for its beneficial interest in such Global Security, an equal Principal Amount of Physical Securities of authorized denominations.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registered holder of a Global Security may grant proxies and otherwise authorize any person, including Agent Members and persons that may hold interests through Agent Members, to take any action which a Holder is entitled to take under this Indenture or the Securities of such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3.09.</w:t>
      </w:r>
      <w:r>
        <w:rPr>
          <w:rFonts w:ascii="Times New Roman;Times;serif" w:hAnsi="Times New Roman;Times;serif"/>
          <w:sz w:val="20"/>
          <w:u w:val="single"/>
        </w:rPr>
        <w:t>Mutilated</w:t>
      </w:r>
      <w:r>
        <w:rPr>
          <w:rFonts w:ascii="Times New Roman;Times;serif" w:hAnsi="Times New Roman;Times;serif"/>
          <w:sz w:val="20"/>
        </w:rPr>
        <w:t>,</w:t>
      </w:r>
      <w:r>
        <w:rPr>
          <w:rFonts w:ascii="Times New Roman;Times;serif" w:hAnsi="Times New Roman;Times;serif"/>
          <w:sz w:val="20"/>
          <w:u w:val="single"/>
        </w:rPr>
        <w:t xml:space="preserve"> Defaced</w:t>
      </w:r>
      <w:r>
        <w:rPr>
          <w:rFonts w:ascii="Times New Roman;Times;serif" w:hAnsi="Times New Roman;Times;serif"/>
          <w:sz w:val="20"/>
        </w:rPr>
        <w:t>,</w:t>
      </w:r>
      <w:r>
        <w:rPr>
          <w:rFonts w:ascii="Times New Roman;Times;serif" w:hAnsi="Times New Roman;Times;serif"/>
          <w:sz w:val="20"/>
          <w:u w:val="single"/>
        </w:rPr>
        <w:t xml:space="preserve"> Destroyed</w:t>
      </w:r>
      <w:r>
        <w:rPr>
          <w:rFonts w:ascii="Times New Roman;Times;serif" w:hAnsi="Times New Roman;Times;serif"/>
          <w:sz w:val="20"/>
        </w:rPr>
        <w:t>,</w:t>
      </w:r>
      <w:r>
        <w:rPr>
          <w:rFonts w:ascii="Times New Roman;Times;serif" w:hAnsi="Times New Roman;Times;serif"/>
          <w:sz w:val="20"/>
          <w:u w:val="single"/>
        </w:rPr>
        <w:t xml:space="preserve"> Lost and Stolen Securities</w:t>
      </w:r>
      <w:r>
        <w:rPr>
          <w:rFonts w:ascii="Times New Roman;Times;serif" w:hAnsi="Times New Roman;Times;serif"/>
          <w:sz w:val="20"/>
        </w:rPr>
        <w:t>.  In case any temporary or definitive Security shall become mutilated, defaced or be apparently destroyed, lost or stolen, the Company in its discretion may execute a new Security of the same series bearing a number not contemporaneously outstanding, the applicable Guarantors, if any, shall execute the Guarantees endorsed thereon and, upon the written request of any officer of the Company and delivery to the Trustee of all documents and certificates as required by this Indenture, the Trustee shall authenticate and make available for delivery such Security, in exchange and substitution for the mutilated or defaced Security, or in lieu of and substitution for the Security so apparently destroyed, lost or stolen. In every case the applicant for a substitute Security shall furnish to the Company, each Guarantor, if any, the Trustee and any of their respective agents, such security or indemnity as may be required by each of them to indemnify and defend and to save each of them harmless and, in every case of destruction, loss or theft evidence to their satisfaction of the apparent destruction, loss or theft of such Security and of the ownership thereof.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the issuance of any substitute Security, the Company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shall become mutilated or defaced or be apparently destroyed, lost or stolen, the Company may, instead of issuing a substitute Security of the same series, pay or authorize the payment of the same (without surrender thereof except in the case of a mutilated or defaced Security), if the applicant for such payment shall furnish to the Company, each Guarantor, if any, the Trustee and any of their respective agents such Security or indemnity as any of them may require to save each of them harmless from all risks, however remote, and, in every case of apparent destruction, loss or theft, the applicant shall also furnish to the Company, each such Guarantor, the Trustee and any of such agents evidence to their satisfaction of the apparent destruction, loss or theft of such Security and of the ownership thereof.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Every substitute Security and the Guarantee endorsed thereon, if any, issued pursuant to the provisions of this Section by virtue of the fact that any Security is apparently destroyed, lost or stolen shall constitute an additional contractual obligation of the Company and any Guarantor, as applicable, whether or not the apparently destroyed, lost or stolen Security shall be at any time enforceable by anyone and shall be entitled to all the benefits of (but shall be subject to all the limitations of rights set forth in) this Indenture equally and proportionately with any and all other Securities and the Guarantees endorsed thereon, if any, duly authenticated and delivered hereunder. All Securities shall be held and owned upon the express condition that, to the extent permitted by law, with respect to the holder of a substitute Security, the foregoing provisions are exclusive with respect to the replacement or payment of mutilated, defaced, or apparently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3.10.</w:t>
      </w:r>
      <w:r>
        <w:rPr>
          <w:rFonts w:ascii="Times New Roman;Times;serif" w:hAnsi="Times New Roman;Times;serif"/>
          <w:sz w:val="20"/>
          <w:u w:val="single"/>
        </w:rPr>
        <w:t>Cancellation of Securities</w:t>
      </w:r>
      <w:r>
        <w:rPr>
          <w:rFonts w:ascii="Times New Roman;Times;serif" w:hAnsi="Times New Roman;Times;serif"/>
          <w:sz w:val="20"/>
        </w:rPr>
        <w:t>.  All Securities surrendered for payment, redemption, registration of transfer or exchange, if surrendered to the Company, any Guarantor, the Trustee or any of their respective agents,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in accordance with its customary procedures. If the Company or any Guarantor shall acquire any of the Securities, such acquisition shall not operate as a redemption or satisfaction of the indebtedness represented by such Securities unless and until the same are delivered to the Trustee for cancellation.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3.11.</w:t>
      </w:r>
      <w:r>
        <w:rPr>
          <w:rFonts w:ascii="Times New Roman;Times;serif" w:hAnsi="Times New Roman;Times;serif"/>
          <w:sz w:val="20"/>
          <w:u w:val="single"/>
        </w:rPr>
        <w:t>Temporary Securities</w:t>
      </w:r>
      <w:r>
        <w:rPr>
          <w:rFonts w:ascii="Times New Roman;Times;serif" w:hAnsi="Times New Roman;Times;serif"/>
          <w:sz w:val="20"/>
        </w:rPr>
        <w:t xml:space="preserve">.  Pending the preparation of definitive Securities of any series, the Company may execute and the Trustee shall authenticate and make available for delivery temporary Securities of such series (printed, lithographed, typewritten or otherwise reproduced, in each case in form satisfactory to the Trustee). Temporary Securities shall be issuable as registered Securities of such series without coupons, of any authorized denomination, and substantially in the form of the definitive Securities of such series, and if the Securities are to be guaranteed, having endorsed thereon the Guarantees executed by each Guarantor, but in all cases with such appropriate omissions, insertions and variations as may be appropriate for temporary Securities, all as may be determined by the Company and the Guarantors, if any, with the concurrence of the Trustee. Temporary Securities may contain such reference to any provisions of this Indenture as may be appropriate. Every temporary Security shall be executed by the Company and endorsed by each Guarantor, if any, and be authenticated by the Trustee upon the same conditions and in substantially the same manner, and with like effect, as the definitive Securities of such series. Without unreasonable delay the Company shall execute and shall furnish definitive Securities of such series and thereupon temporary Securities of such series may be surrendered in exchange therefor without charge at each office or agency to be maintained by the Company for the purpose pursuant to </w:t>
      </w:r>
      <w:r>
        <w:rPr>
          <w:rFonts w:ascii="Times New Roman;Times;serif" w:hAnsi="Times New Roman;Times;serif"/>
          <w:sz w:val="20"/>
          <w:u w:val="single"/>
        </w:rPr>
        <w:t>Section 4.02</w:t>
      </w:r>
      <w:r>
        <w:rPr>
          <w:rFonts w:ascii="Times New Roman;Times;serif" w:hAnsi="Times New Roman;Times;serif"/>
          <w:sz w:val="20"/>
        </w:rPr>
        <w:t>, and upon delivery to the Trustee of all documents and certificates as required by this Indenture, the Trustee shall authenticate and make available for delivery in exchange for such temporary Securities a like aggregate principal amount of definitive Securities of such series of authorized denominations, and if the Securities are guaranteed, having endorsed thereon the Guarantees executed by each Guarantor. Until so exchanged the temporary Securities of such series shall be entitled to the same benefits under this Indenture as definitive Securities of such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3.12.</w:t>
      </w:r>
      <w:r>
        <w:rPr>
          <w:rFonts w:ascii="Times New Roman;Times;serif" w:hAnsi="Times New Roman;Times;serif"/>
          <w:sz w:val="20"/>
          <w:u w:val="single"/>
        </w:rPr>
        <w:t>CUSIP and ISIN Numbers</w:t>
      </w:r>
      <w:r>
        <w:rPr>
          <w:rFonts w:ascii="Times New Roman;Times;serif" w:hAnsi="Times New Roman;Times;serif"/>
          <w:sz w:val="20"/>
        </w:rPr>
        <w:t>.  The Company in issuing the Securities of any series may use a “</w:t>
      </w:r>
      <w:r>
        <w:rPr>
          <w:rFonts w:ascii="Times New Roman;Times;serif" w:hAnsi="Times New Roman;Times;serif"/>
          <w:b/>
          <w:sz w:val="20"/>
        </w:rPr>
        <w:t>CUSIP</w:t>
      </w:r>
      <w:r>
        <w:rPr>
          <w:rFonts w:ascii="Times New Roman;Times;serif" w:hAnsi="Times New Roman;Times;serif"/>
          <w:sz w:val="20"/>
        </w:rPr>
        <w:t>” and “</w:t>
      </w:r>
      <w:r>
        <w:rPr>
          <w:rFonts w:ascii="Times New Roman;Times;serif" w:hAnsi="Times New Roman;Times;serif"/>
          <w:b/>
          <w:sz w:val="20"/>
        </w:rPr>
        <w:t>ISIN</w:t>
      </w:r>
      <w:r>
        <w:rPr>
          <w:rFonts w:ascii="Times New Roman;Times;serif" w:hAnsi="Times New Roman;Times;serif"/>
          <w:sz w:val="20"/>
        </w:rPr>
        <w:t xml:space="preserve">” number (if then generally in use), and, if so, the Trustee shall use the CUSIP numbers or ISIN numbers, as the case may be, in notices of redemption or exchange as a convenience to Holders of such series; </w:t>
      </w:r>
      <w:r>
        <w:rPr>
          <w:rFonts w:ascii="Times New Roman;Times;serif" w:hAnsi="Times New Roman;Times;serif"/>
          <w:sz w:val="20"/>
          <w:u w:val="single"/>
        </w:rPr>
        <w:t>provided</w:t>
      </w:r>
      <w:r>
        <w:rPr>
          <w:rFonts w:ascii="Times New Roman;Times;serif" w:hAnsi="Times New Roman;Times;serif"/>
          <w:sz w:val="20"/>
        </w:rPr>
        <w:t xml:space="preserve"> that any such notice shall state that no representation is made as to the correctness of such numbers either as printed on the Securities or as contained in any notice of redemption or exchange and that reliance may be placed only on the other identification numbers printed on the Securities and any such redemption shall not be affected by any defect in or omission of such numbers. The Company shall promptly notify the Trustee of any change in the CUSIP numbers or ISIN numbers.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4</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CERTAIN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4.01.</w:t>
      </w:r>
      <w:r>
        <w:rPr>
          <w:rFonts w:ascii="Times New Roman;Times;serif" w:hAnsi="Times New Roman;Times;serif"/>
          <w:sz w:val="20"/>
          <w:u w:val="single"/>
        </w:rPr>
        <w:t>Payment of Principal</w:t>
      </w:r>
      <w:r>
        <w:rPr>
          <w:rFonts w:ascii="Times New Roman;Times;serif" w:hAnsi="Times New Roman;Times;serif"/>
          <w:sz w:val="20"/>
        </w:rPr>
        <w:t>,</w:t>
      </w:r>
      <w:r>
        <w:rPr>
          <w:rFonts w:ascii="Times New Roman;Times;serif" w:hAnsi="Times New Roman;Times;serif"/>
          <w:sz w:val="20"/>
          <w:u w:val="single"/>
        </w:rPr>
        <w:t xml:space="preserve"> Premium and Interest on Securities</w:t>
      </w:r>
      <w:r>
        <w:rPr>
          <w:rFonts w:ascii="Times New Roman;Times;serif" w:hAnsi="Times New Roman;Times;serif"/>
          <w:sz w:val="20"/>
        </w:rPr>
        <w:t>.  The Company, for the benefit of each series of the Securities, will duly and punctually pay or cause to be paid the principal of and any premium and interest on the Securities of that series in accordance with the terms of such Securities and this Indenture.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4.02.</w:t>
      </w:r>
      <w:r>
        <w:rPr>
          <w:rFonts w:ascii="Times New Roman;Times;serif" w:hAnsi="Times New Roman;Times;serif"/>
          <w:sz w:val="20"/>
          <w:u w:val="single"/>
        </w:rPr>
        <w:t>Maintenance of Office or A</w:t>
      </w:r>
      <w:r>
        <w:rPr>
          <w:rFonts w:ascii="Times New Roman;Times;serif" w:hAnsi="Times New Roman;Times;serif"/>
          <w:sz w:val="20"/>
        </w:rPr>
        <w:t>g</w:t>
      </w:r>
      <w:r>
        <w:rPr>
          <w:rFonts w:ascii="Times New Roman;Times;serif" w:hAnsi="Times New Roman;Times;serif"/>
          <w:sz w:val="20"/>
          <w:u w:val="single"/>
        </w:rPr>
        <w:t>enc</w:t>
      </w:r>
      <w:r>
        <w:rPr>
          <w:rFonts w:ascii="Times New Roman;Times;serif" w:hAnsi="Times New Roman;Times;serif"/>
          <w:sz w:val="20"/>
        </w:rPr>
        <w:t>y.  The Company will maintain a Payment Office where Securities may be presented or surrendered for payment, where Securities may be surrendered for registration of transfer or exchange,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initially appoints the Trustee at its office or agency as its agent to receive all such presentations, surrenders, notices and demands.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Times New Roman;Times;serif" w:hAnsi="Times New Roman;Times;serif"/>
          <w:sz w:val="20"/>
          <w:u w:val="single"/>
        </w:rPr>
        <w:t>provided</w:t>
      </w:r>
      <w:r>
        <w:rPr>
          <w:rFonts w:ascii="Times New Roman;Times;serif" w:hAnsi="Times New Roman;Times;serif"/>
          <w:sz w:val="20"/>
        </w:rPr>
        <w:t xml:space="preserve">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4.03.</w:t>
      </w:r>
      <w:r>
        <w:rPr>
          <w:rFonts w:ascii="Times New Roman;Times;serif" w:hAnsi="Times New Roman;Times;serif"/>
          <w:sz w:val="20"/>
          <w:u w:val="single"/>
        </w:rPr>
        <w:t>Money for Securities Payments to be Held in Trust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The Company will cause each Paying Agent for any series of Securities (other than the Trustee) to execute and deliver to the Trustee an instrument in which such Paying Agent will agree with the Trustee, subject to the provisions of this </w:t>
      </w:r>
      <w:r>
        <w:rPr>
          <w:rFonts w:ascii="Times New Roman;Times;serif" w:hAnsi="Times New Roman;Times;serif"/>
          <w:sz w:val="20"/>
          <w:u w:val="single"/>
        </w:rPr>
        <w:t>Section 4.03</w:t>
      </w:r>
      <w:r>
        <w:rPr>
          <w:rFonts w:ascii="Times New Roman;Times;serif" w:hAnsi="Times New Roman;Times;serif"/>
          <w:sz w:val="20"/>
        </w:rPr>
        <w:t>, that such Paying Agent will (i) comply with the provisions of the Trust Indenture Act applicable to it as a Paying</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Agent; (ii) hold all sums held by it for the payment of the principal of (and premium, if any) or interest, if any, on the Securities of that series in trust for the benefit of the Holders until such sums shall be paid to such Holders or otherwise disposed of as herein provided; (iii) give the Trustee notice of any Default by the Company or any Guarantor (or any other obligor upon the Securities) in the making of any payment of principal (and premium, if any) or interest, if any, on the Securities of that series; and (iv) during the continuance of any Default by the Company (or any other obligor upon the Securities of that series) in the making of any payment in respect of the Securities of that series, and upon the written request of that Trustee, forthwith pay to the Trustee all sums held in trust by such Paying Agent for payment in respect of the Securities of that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will be released from all further liability with respect to such money.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and was deposited with the Paying Agent will be paid to the Company upon a Company Request (or, if then held by the Company, will be discharged from such trust) subject to any applicable abandoned property law; and the Holder of such Security will thereafter, as an unsecured general creditor, look only to the Company for payment thereof, and all liability of the Trustee or such Paying Agent with respect to such trust money will thereupon cease.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4.04.</w:t>
      </w:r>
      <w:r>
        <w:rPr>
          <w:rFonts w:ascii="Times New Roman;Times;serif" w:hAnsi="Times New Roman;Times;serif"/>
          <w:sz w:val="20"/>
          <w:u w:val="single"/>
        </w:rPr>
        <w:t>Existence</w:t>
      </w:r>
      <w:r>
        <w:rPr>
          <w:rFonts w:ascii="Times New Roman;Times;serif" w:hAnsi="Times New Roman;Times;serif"/>
          <w:sz w:val="20"/>
        </w:rPr>
        <w:t xml:space="preserve">.  Subject to Article 10, the Company will do or cause to be done all things necessary to preserve and keep in full force and effect its existence and rights (charter and statutory); </w:t>
      </w:r>
      <w:r>
        <w:rPr>
          <w:rFonts w:ascii="Times New Roman;Times;serif" w:hAnsi="Times New Roman;Times;serif"/>
          <w:sz w:val="20"/>
          <w:u w:val="single"/>
        </w:rPr>
        <w:t>provided</w:t>
      </w:r>
      <w:r>
        <w:rPr>
          <w:rFonts w:ascii="Times New Roman;Times;serif" w:hAnsi="Times New Roman;Times;serif"/>
          <w:sz w:val="20"/>
        </w:rPr>
        <w:t xml:space="preserve"> that the Company will not be required to preserve any such right or franchise if the Board of Directors determines that the preservation thereof is no longer desirable in the conduct of the business of the Company and that the loss thereof will not be disadvantageous in any material respect to the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4.05.</w:t>
      </w:r>
      <w:r>
        <w:rPr>
          <w:rFonts w:ascii="Times New Roman;Times;serif" w:hAnsi="Times New Roman;Times;serif"/>
          <w:sz w:val="20"/>
          <w:u w:val="single"/>
        </w:rPr>
        <w:t>Statement by Officers as to Default</w:t>
      </w:r>
      <w:r>
        <w:rPr>
          <w:rFonts w:ascii="Times New Roman;Times;serif" w:hAnsi="Times New Roman;Times;serif"/>
          <w:sz w:val="20"/>
        </w:rPr>
        <w:t>.  The Company and, to the extent required by the TIA, each Guarantor, if any, will deliver to the Trustee, within 120 calendar days after the end of each fiscal year of the Company ending after the first date any series of Securities issued under this Indenture is outstanding, a certificate signed by the principal executive officer, principal financial officer or principal accounting officer of the Company or such Guarantor stating whether or not to the knowledge of such person after due inquiry the Company or such Guarantor is in default in the performance and observance of any of the terms, provisions, and conditions of this Indenture (without regard to any period of grace or requirement of notice provided hereunder) and, if the Company or such Guarantor is in default, specifying all such defaults and the nature and status thereof of which such person may have such knowledge. The Company or such Guarantor shall deliver to the Trustee, as soon as possible and in any event within seven calendar days after any such aforementioned officer of the Company or such Guarantor becomes aware of the occurrence of any Event of Default or an event which, with notice or the lapse of time or both,</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would constitute an Event of Default, an Officers’ Certificate setting forth the details of such Event of Default or default and the action which the Company or such Guarantor proposes to take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4.06.</w:t>
      </w:r>
      <w:r>
        <w:rPr>
          <w:rFonts w:ascii="Times New Roman;Times;serif" w:hAnsi="Times New Roman;Times;serif"/>
          <w:sz w:val="20"/>
          <w:u w:val="single"/>
        </w:rPr>
        <w:t>Waiver of Certain Covenants</w:t>
      </w:r>
      <w:r>
        <w:rPr>
          <w:rFonts w:ascii="Times New Roman;Times;serif" w:hAnsi="Times New Roman;Times;serif"/>
          <w:sz w:val="20"/>
        </w:rPr>
        <w:t xml:space="preserve">.  The Company and each Guarantor, if any, may omit in any particular instance to comply with any term, provision, or condition set forth in this Indenture or any applicable supplemental indenture, with respect to the Securities of any series, if the Holders of a majority in Principal Amount of all outstanding Securities of such series shall, by act of such Holders in accordance with </w:t>
      </w:r>
      <w:r>
        <w:rPr>
          <w:rFonts w:ascii="Times New Roman;Times;serif" w:hAnsi="Times New Roman;Times;serif"/>
          <w:sz w:val="20"/>
          <w:u w:val="single"/>
        </w:rPr>
        <w:t>Section 7.01</w:t>
      </w:r>
      <w:r>
        <w:rPr>
          <w:rFonts w:ascii="Times New Roman;Times;serif" w:hAnsi="Times New Roman;Times;serif"/>
          <w:sz w:val="20"/>
        </w:rPr>
        <w:t xml:space="preserve">, either waive such compliance in such instance or generally waive compliance with such term, provision, or condition in accordance with Article 9 and </w:t>
      </w:r>
      <w:r>
        <w:rPr>
          <w:rFonts w:ascii="Times New Roman;Times;serif" w:hAnsi="Times New Roman;Times;serif"/>
          <w:sz w:val="20"/>
          <w:u w:val="single"/>
        </w:rPr>
        <w:t>Section 5.07</w:t>
      </w:r>
      <w:r>
        <w:rPr>
          <w:rFonts w:ascii="Times New Roman;Times;serif" w:hAnsi="Times New Roman;Times;serif"/>
          <w:sz w:val="20"/>
        </w:rPr>
        <w:t>, but no such waiver will extend to or affect such term, provision or condition except to the extent so expressly waived, and, until such waiver shall become effective, the obligations of the Company and such Guarantor and the duties of the Trustee in respect of any such term, provision, or condition will remain in full force and effect.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5</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REMEDIES OF THE TRUSTEE AND HOLDERS ON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5.01.</w:t>
      </w:r>
      <w:r>
        <w:rPr>
          <w:rFonts w:ascii="Times New Roman;Times;serif" w:hAnsi="Times New Roman;Times;serif"/>
          <w:sz w:val="20"/>
          <w:u w:val="single"/>
        </w:rPr>
        <w:t>Events of Default</w:t>
      </w:r>
      <w:r>
        <w:rPr>
          <w:rFonts w:ascii="Times New Roman;Times;serif" w:hAnsi="Times New Roman;Times;serif"/>
          <w:sz w:val="20"/>
        </w:rPr>
        <w:t>.  Each of the following events constitutes an “</w:t>
      </w:r>
      <w:r>
        <w:rPr>
          <w:rFonts w:ascii="Times New Roman;Times;serif" w:hAnsi="Times New Roman;Times;serif"/>
          <w:b/>
          <w:sz w:val="20"/>
        </w:rPr>
        <w:t>Event of Default</w:t>
      </w:r>
      <w:r>
        <w:rPr>
          <w:rFonts w:ascii="Times New Roman;Times;serif" w:hAnsi="Times New Roman;Times;serif"/>
          <w:sz w:val="20"/>
        </w:rPr>
        <w:t>” wherever used herein with respect to Securities of any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default for 30 calendar days in the payment when due of interest on the Securities of that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default in payment when due of the principal (whether at Stated Maturity, upon redemption (if applicable), upon any required repurchase by the Company (if applicable) or otherwise) of or premium, if any, on the Securities of that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default by the Company or any Guarantor of such series of Securities in the observance or performance of any other covenant or agreement contained in this Indenture or as specified pursuant to </w:t>
      </w:r>
      <w:r>
        <w:rPr>
          <w:rFonts w:ascii="Times New Roman;Times;serif" w:hAnsi="Times New Roman;Times;serif"/>
          <w:sz w:val="20"/>
          <w:u w:val="single"/>
        </w:rPr>
        <w:t>Section 3.01</w:t>
      </w:r>
      <w:r>
        <w:rPr>
          <w:rFonts w:ascii="Times New Roman;Times;serif" w:hAnsi="Times New Roman;Times;serif"/>
          <w:sz w:val="20"/>
        </w:rPr>
        <w:t xml:space="preserve"> (other than a default referred to in clauses (a) or (b) above, or an agreement, covenant or provision that has expressly been included in this Indenture solely for the benefit of one or more series of Securities other than that series) which default continues for a period of 60 calendar days after the Company or such Guarantor receives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w:t>
      </w:r>
      <w:r>
        <w:rPr>
          <w:rFonts w:ascii="Times New Roman;Times;serif" w:hAnsi="Times New Roman;Times;serif"/>
          <w:sz w:val="20"/>
          <w:u w:val="single"/>
        </w:rPr>
        <w:t>Section 10.01</w:t>
      </w:r>
      <w:r>
        <w:rPr>
          <w:rFonts w:ascii="Times New Roman;Times;serif" w:hAnsi="Times New Roman;Times;serif"/>
          <w:sz w:val="20"/>
        </w:rPr>
        <w:t xml:space="preserve"> of this Indenture, which will constitute an Event of Default with such notice requirement but without such passage of time requirement).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entry by a court having jurisdiction in the premises of (i) a decree or order for relief in respect of the Company or a Guarantor of such series of Securities in an involuntary case or proceeding under any applicable federal or state bankruptcy, insolvency, reorganization, or other similar law or (ii) a decree or order adjudging the Company or such Guarantor bankrupt or insolvent, or approving as properly filed a petition seeking reorganization, arrangement, adjustment, or composition of or in respect of the Company or such Guarantor under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applicable federal or state law, or appointing a custodian, receiver, liquidator, assignee, trustee, sequestrator, or other similar official of the Company or such Guarantor or of any substantial part of its property, or ordering the winding up or liquidation of its affairs, and the continuance of any such decree or order for relief or any such other decree or order unstayed and in effect for a period of 60 consecutive calendar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commencement by the Company or a Guarantor of such series of Securities of a voluntary case or proceeding under any applicable federal or state bankruptcy, insolvency, reorganization, or other similar law or of any other case or proceeding to be adjudicated bankrupt or insolvent, or the consent by it to the entry of a decree or order for relief in respect of the Company or such Guarantor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with respect to the Company or such Guarantor under any applicable federal or state bankruptcy, insolvency, reorganization, or other similar law, or the consent by it to the filing of such petition or to the appointment of or taking possession by a custodian, receiver, liquidator, assignee, trustee, sequestrator, or other similar official of the Company or such Guarantor or of any substantial part of its property pursuant to any such law, or the making by it of an assignment for the benefit of creditors, or the admission by it in writing of its inability to pay its debts generally as they become due, or the taking of corporate action by the Company or such Guarantor in furtherance of any such 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any Guarantee relating to such series Securities shall cease to be in full force and effect (other than in accordance with the terms of this Indenture) or any Guarantor denies or disaffirms its obligations under its Guarantee;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any other Event of Default with respect to Securities of that series as specified pursuant to </w:t>
      </w:r>
      <w:r>
        <w:rPr>
          <w:rFonts w:ascii="Times New Roman;Times;serif" w:hAnsi="Times New Roman;Times;serif"/>
          <w:sz w:val="20"/>
          <w:u w:val="single"/>
        </w:rPr>
        <w:t>Section 3.01</w:t>
      </w:r>
      <w:r>
        <w:rPr>
          <w:rFonts w:ascii="Times New Roman;Times;serif" w:hAnsi="Times New Roman;Times;serif"/>
          <w:sz w:val="20"/>
        </w:rPr>
        <w:t xml:space="preserve">, which shall not have been remedied within the specified period after written notice, as specified in </w:t>
      </w:r>
      <w:r>
        <w:rPr>
          <w:rFonts w:ascii="Times New Roman;Times;serif" w:hAnsi="Times New Roman;Times;serif"/>
          <w:sz w:val="20"/>
          <w:u w:val="single"/>
        </w:rPr>
        <w:t>Section 5.01(c)</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5.02.</w:t>
      </w:r>
      <w:r>
        <w:rPr>
          <w:rFonts w:ascii="Times New Roman;Times;serif" w:hAnsi="Times New Roman;Times;serif"/>
          <w:sz w:val="20"/>
          <w:u w:val="single"/>
        </w:rPr>
        <w:t>Acceleration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If any Event of Default (other than an Event of Default specified in clause (d) or (e) of </w:t>
      </w:r>
      <w:r>
        <w:rPr>
          <w:rFonts w:ascii="Times New Roman;Times;serif" w:hAnsi="Times New Roman;Times;serif"/>
          <w:sz w:val="20"/>
          <w:u w:val="single"/>
        </w:rPr>
        <w:t>Section 5.01</w:t>
      </w:r>
      <w:r>
        <w:rPr>
          <w:rFonts w:ascii="Times New Roman;Times;serif" w:hAnsi="Times New Roman;Times;serif"/>
          <w:sz w:val="20"/>
        </w:rPr>
        <w:t xml:space="preserve">) occurs and is continuing with respect to Securities of any series, the Trustee by written notice to the Company or the Holders of at least 25% in aggregate Principal Amount of the then outstanding Securities of that series by written notice to the Company and the Trustee, may declare the unpaid principal of, premium, if any, and any accrued and unpaid interest on all the Securities of the affected series to be due and payable immediately. Except as set forth above, upon such declaration the principal of, premium, if any, and interest shall be due and payable immediately. If an Event of Default specified in clause (d) or (e) of </w:t>
      </w:r>
      <w:r>
        <w:rPr>
          <w:rFonts w:ascii="Times New Roman;Times;serif" w:hAnsi="Times New Roman;Times;serif"/>
          <w:sz w:val="20"/>
          <w:u w:val="single"/>
        </w:rPr>
        <w:t>Section 5.01</w:t>
      </w:r>
      <w:r>
        <w:rPr>
          <w:rFonts w:ascii="Times New Roman;Times;serif" w:hAnsi="Times New Roman;Times;serif"/>
          <w:sz w:val="20"/>
        </w:rPr>
        <w:t xml:space="preserve"> occurs with respect to the Company or any Guarantor, the unpaid principal of, premium, if any, and any accrued and unpaid interest on all the Securities shall </w:t>
      </w:r>
      <w:r>
        <w:rPr>
          <w:rFonts w:ascii="Times New Roman;Times;serif" w:hAnsi="Times New Roman;Times;serif"/>
          <w:i/>
          <w:sz w:val="20"/>
        </w:rPr>
        <w:t>ipso facto</w:t>
      </w:r>
      <w:r>
        <w:rPr>
          <w:rFonts w:ascii="Times New Roman;Times;serif" w:hAnsi="Times New Roman;Times;serif"/>
          <w:sz w:val="20"/>
        </w:rPr>
        <w:t xml:space="preserve"> become and be immediately due and payable without further action or notice on the part of the Trustee or any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At any time after such a declaration of acceleration with respect to the Securities of any series has been made and before a judgment or decree for payment of the money due has been obtained by the Trustee as hereinafter in this Article 5 provided, the Holders of a</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majority in Principal Amount of the outstanding Securities of such series, by written notice to the Company and the Trustee, may rescind and annul such declaration and its consequences if (i) the Company or a Guarantor has paid or deposited with the Trustee a sum sufficient to pay (A) all overdue interest on all of the Securities of that series, (B) the principal of (and premium, if any, on) Securities of that series which has become due otherwise than by such declaration of acceleration and any interest thereon at the rate or rates prescribed therefor in the Securities of that series, (C) to the extent that payment of such interest is lawful, interest upon overdue interest at the rate or rates prescribed therefor in the Securities of that series, and (D) all sums paid or advanced by the Trustee hereunder and the reasonable compensation, expenses, disbursements and advances of the Trustee and its agents and counsel and (ii) all Events of Default with respect to the Securities of that series, other than the non-payment of the principal of the Securities of that series which have become due solely by such declaration of acceleration, have been cured or waived as provided in </w:t>
      </w:r>
      <w:r>
        <w:rPr>
          <w:rFonts w:ascii="Times New Roman;Times;serif" w:hAnsi="Times New Roman;Times;serif"/>
          <w:sz w:val="20"/>
          <w:u w:val="single"/>
        </w:rPr>
        <w:t>Section 5.04</w:t>
      </w:r>
      <w:r>
        <w:rPr>
          <w:rFonts w:ascii="Times New Roman;Times;serif" w:hAnsi="Times New Roman;Times;serif"/>
          <w:sz w:val="20"/>
        </w:rPr>
        <w:t>.  No such rescission will affect any subsequent default or impair any right consequent thereon.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5.03.</w:t>
      </w:r>
      <w:r>
        <w:rPr>
          <w:rFonts w:ascii="Times New Roman;Times;serif" w:hAnsi="Times New Roman;Times;serif"/>
          <w:sz w:val="20"/>
          <w:u w:val="single"/>
        </w:rPr>
        <w:t>Other Remedies</w:t>
      </w:r>
      <w:r>
        <w:rPr>
          <w:rFonts w:ascii="Times New Roman;Times;serif" w:hAnsi="Times New Roman;Times;serif"/>
          <w:sz w:val="20"/>
        </w:rPr>
        <w:t>.  If an Event of Default with respect to Securities of any series occurs and is continuing, the Trustee may pursue any available remedy to collect the payment of principal or interest on the Securities of such series or to enforce the performance of any provision of the Securities of such series or this Indenture.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Trustee may maintain a proceeding even if it does not possess any of the Securities of such series or does not produce any of them in the proceeding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5.04.</w:t>
      </w:r>
      <w:r>
        <w:rPr>
          <w:rFonts w:ascii="Times New Roman;Times;serif" w:hAnsi="Times New Roman;Times;serif"/>
          <w:sz w:val="20"/>
          <w:u w:val="single"/>
        </w:rPr>
        <w:t>Waiver of Past Defaults</w:t>
      </w:r>
      <w:r>
        <w:rPr>
          <w:rFonts w:ascii="Times New Roman;Times;serif" w:hAnsi="Times New Roman;Times;serif"/>
          <w:sz w:val="20"/>
        </w:rPr>
        <w:t>.  The Holders of not less than a majority in aggregate Principal Amount of the Securities of any series then outstanding by written notice to the Trustee may on behalf of the Holders of all of the Securities of such series waive any existing Default or Event of Default and its consequences under this Indenture except a continuing Default or Event of Default in the payment of the principal (whether at Stated Maturity, upon redemption (if applicable), upon any required repurchase by the Company (if applicable) or otherwise) of (and premium, if any) or interest, if any, on any Security of such series or, in the case of the Securities of any series that are convertible or exchangeable, in the payment or delivery of any consideration due upon conversion or exchange of the Securities of that series (if applicable). The Company may, but shall not be obligated to, fix a record date for the purpose of determining the Persons entitled to waive any past Default hereunder. If a record date is fixed, the Holders on such record date, or their duly designated proxies, and only such Persons, shall be entitled to waive any Default hereunder, whether or not such Holders remain Holders after such record date.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5.05.</w:t>
      </w:r>
      <w:r>
        <w:rPr>
          <w:rFonts w:ascii="Times New Roman;Times;serif" w:hAnsi="Times New Roman;Times;serif"/>
          <w:sz w:val="20"/>
          <w:u w:val="single"/>
        </w:rPr>
        <w:t>Control by Ma</w:t>
      </w:r>
      <w:r>
        <w:rPr>
          <w:rFonts w:ascii="Times New Roman;Times;serif" w:hAnsi="Times New Roman;Times;serif"/>
          <w:sz w:val="20"/>
        </w:rPr>
        <w:t>j</w:t>
      </w:r>
      <w:r>
        <w:rPr>
          <w:rFonts w:ascii="Times New Roman;Times;serif" w:hAnsi="Times New Roman;Times;serif"/>
          <w:sz w:val="20"/>
          <w:u w:val="single"/>
        </w:rPr>
        <w:t>orit</w:t>
      </w:r>
      <w:r>
        <w:rPr>
          <w:rFonts w:ascii="Times New Roman;Times;serif" w:hAnsi="Times New Roman;Times;serif"/>
          <w:sz w:val="20"/>
        </w:rPr>
        <w:t>y.  With respect to the Securities of any series, the Holders of a majority in aggregate Principal Amount of the then outstanding Securities of that series may direct the time, method and place of conducting any proceeding for any remedy available to the Trustee or exercising any trust or power conferred on it. However, the Trustee may refuse to follow any direction that conflicts with law or this Indenture, that the Trustee in good faith determines may be unduly prejudicial to the rights of other Holders of that series or that may involve or cause the Trustee any potential liability. The Trustee may take any other action which it deems proper which is not inconsistent with any such direction.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5.06.</w:t>
      </w:r>
      <w:r>
        <w:rPr>
          <w:rFonts w:ascii="Times New Roman;Times;serif" w:hAnsi="Times New Roman;Times;serif"/>
          <w:sz w:val="20"/>
          <w:u w:val="single"/>
        </w:rPr>
        <w:t>Limitation on Suits</w:t>
      </w:r>
      <w:r>
        <w:rPr>
          <w:rFonts w:ascii="Times New Roman;Times;serif" w:hAnsi="Times New Roman;Times;serif"/>
          <w:sz w:val="20"/>
        </w:rPr>
        <w:t>.  A Holder of any Security of any series may pursue a remedy with respect to this Indenture or the Securities of the applicable series only if: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Holder gives to the Trustee written notice of a continuing Event of Default with respect to that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Holders of at least 25% in aggregate Principal Amount of the then outstanding Securities of that series make a written request to the Trustee to pursue the remedy;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such Holder or Holders provide to the Trustee indemnity satisfactory to the Trustee against any loss, liability or expense in connection with the pursuance of such remedy;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during the 60-day period specified in (e) below, the Holders of a majority in aggregate Principal Amount of the then outstanding Securities of such series do not give the Trustee a direction inconsistent with the request;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Trustee does not comply with the request within 60 calendar days after receipt of the notice, request and the offer of indemnity.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shall not have any right in any manner whatever by virtue of, or by availing of, any provision of this Indenture or any Security to affect, disturb or prejudice the rights of any other such Holders or Holders of Securities of any other series, or to obtain or to seek to obtain priority or preference over any other Holders or to enforce any right under this Indenture, except in the manner herein provided and for the equal and ratable benefit of all such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5.07.</w:t>
      </w:r>
      <w:r>
        <w:rPr>
          <w:rFonts w:ascii="Times New Roman;Times;serif" w:hAnsi="Times New Roman;Times;serif"/>
          <w:sz w:val="20"/>
          <w:u w:val="single"/>
        </w:rPr>
        <w:t>Rights of Holders to Receive Payment</w:t>
      </w:r>
      <w:r>
        <w:rPr>
          <w:rFonts w:ascii="Times New Roman;Times;serif" w:hAnsi="Times New Roman;Times;serif"/>
          <w:sz w:val="20"/>
        </w:rPr>
        <w:t>.  Notwithstanding any other provision of this Indenture, the right of any Holder to receive payment of principal (whether at Stated Maturity, upon redemption (if applicable), upon any required repurchase by the Company (if applicable) or otherwise) of (and premium, if any) and interest, if any, on any Security or, if applicable, payment or delivery of any consideration due upon conversion or exchange of any Security, in each case, on or after the respective due dates expressed in such Security, or to bring suit for the enforcement of any such payment or delivery on or after such respective dates, shall not be impaired or affected without the consent of the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5.08.</w:t>
      </w:r>
      <w:r>
        <w:rPr>
          <w:rFonts w:ascii="Times New Roman;Times;serif" w:hAnsi="Times New Roman;Times;serif"/>
          <w:sz w:val="20"/>
          <w:u w:val="single"/>
        </w:rPr>
        <w:t>Collection Suit by Trustee</w:t>
      </w:r>
      <w:r>
        <w:rPr>
          <w:rFonts w:ascii="Times New Roman;Times;serif" w:hAnsi="Times New Roman;Times;serif"/>
          <w:sz w:val="20"/>
        </w:rPr>
        <w:t xml:space="preserve">.  If an Event of Default specified in </w:t>
      </w:r>
      <w:r>
        <w:rPr>
          <w:rFonts w:ascii="Times New Roman;Times;serif" w:hAnsi="Times New Roman;Times;serif"/>
          <w:sz w:val="20"/>
          <w:u w:val="single"/>
        </w:rPr>
        <w:t>Sections 5.01(a)</w:t>
      </w:r>
      <w:r>
        <w:rPr>
          <w:rFonts w:ascii="Times New Roman;Times;serif" w:hAnsi="Times New Roman;Times;serif"/>
          <w:sz w:val="20"/>
        </w:rPr>
        <w:t xml:space="preserve"> and </w:t>
      </w:r>
      <w:r>
        <w:rPr>
          <w:rFonts w:ascii="Times New Roman;Times;serif" w:hAnsi="Times New Roman;Times;serif"/>
          <w:sz w:val="20"/>
          <w:u w:val="single"/>
        </w:rPr>
        <w:t>5.01(b)</w:t>
      </w:r>
      <w:r>
        <w:rPr>
          <w:rFonts w:ascii="Times New Roman;Times;serif" w:hAnsi="Times New Roman;Times;serif"/>
          <w:sz w:val="20"/>
        </w:rPr>
        <w:t xml:space="preserve"> occurs and is continuing, the Trustee is authorized to recover judgment in its own name and as trustee of an express trust against the Company, any Guarantor or any other obligor for the whole amount of principal (and premium, if any) and interest, if any, remaining unpaid on any Securities of such series and interest on overdue principal and, to the extent lawful,</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interest and such further amount as shall be sufficient to cover amounts due the Trustee under </w:t>
      </w:r>
      <w:r>
        <w:rPr>
          <w:rFonts w:ascii="Times New Roman;Times;serif" w:hAnsi="Times New Roman;Times;serif"/>
          <w:sz w:val="20"/>
          <w:u w:val="single"/>
        </w:rPr>
        <w:t>Section 6.07</w:t>
      </w:r>
      <w:r>
        <w:rPr>
          <w:rFonts w:ascii="Times New Roman;Times;serif" w:hAnsi="Times New Roman;Times;serif"/>
          <w:sz w:val="20"/>
        </w:rPr>
        <w:t xml:space="preserve"> hereof, including the costs and expenses of collection, including the reasonable compensation, expenses, disbursements and advances of the Trustee, its agents and counsel.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5.09.</w:t>
      </w:r>
      <w:r>
        <w:rPr>
          <w:rFonts w:ascii="Times New Roman;Times;serif" w:hAnsi="Times New Roman;Times;serif"/>
          <w:sz w:val="20"/>
          <w:u w:val="single"/>
        </w:rPr>
        <w:t>Trustee May File Proofs of Claim</w:t>
      </w:r>
      <w:r>
        <w:rPr>
          <w:rFonts w:ascii="Times New Roman;Times;serif" w:hAnsi="Times New Roman;Times;serif"/>
          <w:sz w:val="20"/>
        </w:rPr>
        <w:t xml:space="preserve">.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Guarantor (or any other obligor upon the Securities),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w:t>
      </w:r>
      <w:r>
        <w:rPr>
          <w:rFonts w:ascii="Times New Roman;Times;serif" w:hAnsi="Times New Roman;Times;serif"/>
          <w:sz w:val="20"/>
          <w:u w:val="single"/>
        </w:rPr>
        <w:t>Section 6.07</w:t>
      </w:r>
      <w:r>
        <w:rPr>
          <w:rFonts w:ascii="Times New Roman;Times;serif" w:hAnsi="Times New Roman;Times;serif"/>
          <w:sz w:val="20"/>
        </w:rPr>
        <w:t xml:space="preserve"> hereof. To the extent that the payment of any such compensation, expenses, disbursements and advances of the Trustee, its agents and counsel, and any other amounts due the Trustee under </w:t>
      </w:r>
      <w:r>
        <w:rPr>
          <w:rFonts w:ascii="Times New Roman;Times;serif" w:hAnsi="Times New Roman;Times;serif"/>
          <w:sz w:val="20"/>
          <w:u w:val="single"/>
        </w:rPr>
        <w:t>Section 6.07</w:t>
      </w:r>
      <w:r>
        <w:rPr>
          <w:rFonts w:ascii="Times New Roman;Times;serif" w:hAnsi="Times New Roman;Times;serif"/>
          <w:sz w:val="20"/>
        </w:rPr>
        <w:t xml:space="preserve"> hereof out of the estate in any such proceeding, shall be denied for any reason, payment of the same shall be secured by a lien on, and shall be paid out of, any and all distributions, dividends, money, securities and other properties which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Securities of any series or the rights of any Holder thereof, or to authorize the Trustee to vote in respect of the claim of any Holder in any such proceeding.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5.10.</w:t>
      </w:r>
      <w:r>
        <w:rPr>
          <w:rFonts w:ascii="Times New Roman;Times;serif" w:hAnsi="Times New Roman;Times;serif"/>
          <w:sz w:val="20"/>
          <w:u w:val="single"/>
        </w:rPr>
        <w:t>Priorities</w:t>
      </w:r>
      <w:r>
        <w:rPr>
          <w:rFonts w:ascii="Times New Roman;Times;serif" w:hAnsi="Times New Roman;Times;serif"/>
          <w:sz w:val="20"/>
        </w:rPr>
        <w:t>.  If the Trustee collects any money pursuant to this Article, it shall pay out the money in the following order: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First: to the Trustee, its agents and attorneys for amounts due under </w:t>
      </w:r>
      <w:r>
        <w:rPr>
          <w:rFonts w:ascii="Times New Roman;Times;serif" w:hAnsi="Times New Roman;Times;serif"/>
          <w:sz w:val="20"/>
          <w:u w:val="single"/>
        </w:rPr>
        <w:t>Section 6.07</w:t>
      </w:r>
      <w:r>
        <w:rPr>
          <w:rFonts w:ascii="Times New Roman;Times;serif" w:hAnsi="Times New Roman;Times;serif"/>
          <w:sz w:val="20"/>
        </w:rPr>
        <w:t>, including payment of all compensation, expense and liabilities incurred, and all advances made, by the Trustee and the costs and expenses of collection;</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Second: to Holders for amounts due and unpaid on the Securities of any series for principal (and premium, if any) and interest, if any, ratably, without preference or priority of any kind, according to the amounts due and payable on the Securities of such series for principal (and premium, if any) and interest, if any, respectively; and</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 xml:space="preserve">Third: to the Company or, to the extent the Trustee collects any amount pursuant to </w:t>
      </w:r>
      <w:r>
        <w:rPr>
          <w:rFonts w:ascii="Times New Roman;Times;serif" w:hAnsi="Times New Roman;Times;serif"/>
          <w:sz w:val="20"/>
          <w:u w:val="single"/>
        </w:rPr>
        <w:t>Section 2.02</w:t>
      </w:r>
      <w:r>
        <w:rPr>
          <w:rFonts w:ascii="Times New Roman;Times;serif" w:hAnsi="Times New Roman;Times;serif"/>
          <w:sz w:val="20"/>
        </w:rPr>
        <w:t xml:space="preserve"> hereof from a Guarantor, to such Guarantor, or to such party as a court of competent jurisdiction shall direct.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Trustee may fix a record date and payment date for any payment to Holders pursuant to this </w:t>
      </w:r>
      <w:r>
        <w:rPr>
          <w:rFonts w:ascii="Times New Roman;Times;serif" w:hAnsi="Times New Roman;Times;serif"/>
          <w:sz w:val="20"/>
          <w:u w:val="single"/>
        </w:rPr>
        <w:t>Section 5.10</w:t>
      </w:r>
      <w:r>
        <w:rPr>
          <w:rFonts w:ascii="Times New Roman;Times;serif" w:hAnsi="Times New Roman;Times;serif"/>
          <w:sz w:val="20"/>
        </w:rPr>
        <w:t xml:space="preserve"> upon seven calendar days prior notice to the Company.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5.11.</w:t>
      </w:r>
      <w:r>
        <w:rPr>
          <w:rFonts w:ascii="Times New Roman;Times;serif" w:hAnsi="Times New Roman;Times;serif"/>
          <w:sz w:val="20"/>
          <w:u w:val="single"/>
        </w:rPr>
        <w:t>Undertakin</w:t>
      </w:r>
      <w:r>
        <w:rPr>
          <w:rFonts w:ascii="Times New Roman;Times;serif" w:hAnsi="Times New Roman;Times;serif"/>
          <w:sz w:val="20"/>
        </w:rPr>
        <w:t xml:space="preserve">g </w:t>
      </w:r>
      <w:r>
        <w:rPr>
          <w:rFonts w:ascii="Times New Roman;Times;serif" w:hAnsi="Times New Roman;Times;serif"/>
          <w:sz w:val="20"/>
          <w:u w:val="single"/>
        </w:rPr>
        <w:t>for Costs</w:t>
      </w:r>
      <w:r>
        <w:rPr>
          <w:rFonts w:ascii="Times New Roman;Times;serif" w:hAnsi="Times New Roman;Times;serif"/>
          <w:sz w:val="20"/>
        </w:rPr>
        <w:t xml:space="preserve">.  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Times New Roman;Times;serif" w:hAnsi="Times New Roman;Times;serif"/>
          <w:sz w:val="20"/>
          <w:u w:val="single"/>
        </w:rPr>
        <w:t>Section 5.11</w:t>
      </w:r>
      <w:r>
        <w:rPr>
          <w:rFonts w:ascii="Times New Roman;Times;serif" w:hAnsi="Times New Roman;Times;serif"/>
          <w:sz w:val="20"/>
        </w:rPr>
        <w:t xml:space="preserve"> does not apply to a suit by the Trustee, a suit by a Holder of Securities of the affected series pursuant to </w:t>
      </w:r>
      <w:r>
        <w:rPr>
          <w:rFonts w:ascii="Times New Roman;Times;serif" w:hAnsi="Times New Roman;Times;serif"/>
          <w:sz w:val="20"/>
          <w:u w:val="single"/>
        </w:rPr>
        <w:t>Section 5.07</w:t>
      </w:r>
      <w:r>
        <w:rPr>
          <w:rFonts w:ascii="Times New Roman;Times;serif" w:hAnsi="Times New Roman;Times;serif"/>
          <w:sz w:val="20"/>
        </w:rPr>
        <w:t xml:space="preserve"> hereof, a suit by Holders of more than 10% in aggregate Principal Amount of the then outstanding Securities of any series in the case of any suit relating to or arising under clause (a), (b), (c), (f) or (g) of </w:t>
      </w:r>
      <w:r>
        <w:rPr>
          <w:rFonts w:ascii="Times New Roman;Times;serif" w:hAnsi="Times New Roman;Times;serif"/>
          <w:sz w:val="20"/>
          <w:u w:val="single"/>
        </w:rPr>
        <w:t>Section 5.01</w:t>
      </w:r>
      <w:r>
        <w:rPr>
          <w:rFonts w:ascii="Times New Roman;Times;serif" w:hAnsi="Times New Roman;Times;serif"/>
          <w:sz w:val="20"/>
        </w:rPr>
        <w:t xml:space="preserve">, or a suit by Holders of more than 10% in aggregate Principal Amount of the then outstanding Securities of all series in the case of any suit relating to or arising under clause (d) or (e) of </w:t>
      </w:r>
      <w:r>
        <w:rPr>
          <w:rFonts w:ascii="Times New Roman;Times;serif" w:hAnsi="Times New Roman;Times;serif"/>
          <w:sz w:val="20"/>
          <w:u w:val="single"/>
        </w:rPr>
        <w:t>Section 5.01</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5.12.</w:t>
      </w:r>
      <w:r>
        <w:rPr>
          <w:rFonts w:ascii="Times New Roman;Times;serif" w:hAnsi="Times New Roman;Times;serif"/>
          <w:sz w:val="20"/>
          <w:u w:val="single"/>
        </w:rPr>
        <w:t>Restoration of Ri</w:t>
      </w:r>
      <w:r>
        <w:rPr>
          <w:rFonts w:ascii="Times New Roman;Times;serif" w:hAnsi="Times New Roman;Times;serif"/>
          <w:sz w:val="20"/>
        </w:rPr>
        <w:t>g</w:t>
      </w:r>
      <w:r>
        <w:rPr>
          <w:rFonts w:ascii="Times New Roman;Times;serif" w:hAnsi="Times New Roman;Times;serif"/>
          <w:sz w:val="20"/>
          <w:u w:val="single"/>
        </w:rPr>
        <w:t>hts and Remedies</w:t>
      </w:r>
      <w:r>
        <w:rPr>
          <w:rFonts w:ascii="Times New Roman;Times;serif" w:hAnsi="Times New Roman;Times;serif"/>
          <w:sz w:val="20"/>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any Guarantor, the Trustee and the Holders shall be restored severally and respectively to their former positions hereunder and thereafter all rights and remedies of the Trustee and the Holders shall continue as though no such proceeding has been instituted.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5.13.</w:t>
      </w:r>
      <w:r>
        <w:rPr>
          <w:rFonts w:ascii="Times New Roman;Times;serif" w:hAnsi="Times New Roman;Times;serif"/>
          <w:sz w:val="20"/>
          <w:u w:val="single"/>
        </w:rPr>
        <w:t>Rights and Remedies Cumulative</w:t>
      </w:r>
      <w:r>
        <w:rPr>
          <w:rFonts w:ascii="Times New Roman;Times;serif" w:hAnsi="Times New Roman;Times;serif"/>
          <w:sz w:val="20"/>
        </w:rPr>
        <w:t xml:space="preserve">.  Except as otherwise provided with respect to the replacement or payment of mutilated, destroyed, lost or stolen Securities in the last paragraph of </w:t>
      </w:r>
      <w:r>
        <w:rPr>
          <w:rFonts w:ascii="Times New Roman;Times;serif" w:hAnsi="Times New Roman;Times;serif"/>
          <w:sz w:val="20"/>
          <w:u w:val="single"/>
        </w:rPr>
        <w:t>Section 3.09</w:t>
      </w:r>
      <w:r>
        <w:rPr>
          <w:rFonts w:ascii="Times New Roman;Times;serif" w:hAnsi="Times New Roman;Times;serif"/>
          <w:sz w:val="20"/>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5.14.</w:t>
      </w:r>
      <w:r>
        <w:rPr>
          <w:rFonts w:ascii="Times New Roman;Times;serif" w:hAnsi="Times New Roman;Times;serif"/>
          <w:sz w:val="20"/>
          <w:u w:val="single"/>
        </w:rPr>
        <w:t>Delay or Omission Not Waiver</w:t>
      </w:r>
      <w:r>
        <w:rPr>
          <w:rFonts w:ascii="Times New Roman;Times;serif" w:hAnsi="Times New Roman;Times;serif"/>
          <w:sz w:val="20"/>
        </w:rPr>
        <w:t>.  No delay or omission of the Trustee or of any Holder of Securities of any series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6</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THE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6.01.</w:t>
      </w:r>
      <w:r>
        <w:rPr>
          <w:rFonts w:ascii="Times New Roman;Times;serif" w:hAnsi="Times New Roman;Times;serif"/>
          <w:sz w:val="20"/>
          <w:u w:val="single"/>
        </w:rPr>
        <w:t>Duties and Responsibilities of the Trustee</w:t>
      </w:r>
      <w:r>
        <w:rPr>
          <w:rFonts w:ascii="Times New Roman;Times;serif" w:hAnsi="Times New Roman;Times;serif"/>
          <w:sz w:val="20"/>
        </w:rPr>
        <w:t>;</w:t>
      </w:r>
      <w:r>
        <w:rPr>
          <w:rFonts w:ascii="Times New Roman;Times;serif" w:hAnsi="Times New Roman;Times;serif"/>
          <w:sz w:val="20"/>
          <w:u w:val="single"/>
        </w:rPr>
        <w:t xml:space="preserve"> Durin</w:t>
      </w:r>
      <w:r>
        <w:rPr>
          <w:rFonts w:ascii="Times New Roman;Times;serif" w:hAnsi="Times New Roman;Times;serif"/>
          <w:sz w:val="20"/>
        </w:rPr>
        <w:t xml:space="preserve">g </w:t>
      </w:r>
      <w:r>
        <w:rPr>
          <w:rFonts w:ascii="Times New Roman;Times;serif" w:hAnsi="Times New Roman;Times;serif"/>
          <w:sz w:val="20"/>
          <w:u w:val="single"/>
        </w:rPr>
        <w:t>Default</w:t>
      </w:r>
      <w:r>
        <w:rPr>
          <w:rFonts w:ascii="Times New Roman;Times;serif" w:hAnsi="Times New Roman;Times;serif"/>
          <w:sz w:val="20"/>
        </w:rPr>
        <w:t>;</w:t>
      </w:r>
      <w:r>
        <w:rPr>
          <w:rFonts w:ascii="Times New Roman;Times;serif" w:hAnsi="Times New Roman;Times;serif"/>
          <w:sz w:val="20"/>
          <w:u w:val="single"/>
        </w:rPr>
        <w:t xml:space="preserve"> Prior to Default</w:t>
      </w:r>
      <w:r>
        <w:rPr>
          <w:rFonts w:ascii="Times New Roman;Times;serif" w:hAnsi="Times New Roman;Times;serif"/>
          <w:sz w:val="20"/>
        </w:rPr>
        <w:t>.  The Trustee, with respect to the Securities of any series, prior to the occurrence of an Event of Default with respect to the Securities of such series and after the curing or waiving of all Events of Default with respect to the Securities of such series which may have occurred, undertakes to perform such duties and only such duties with respect to such series as are specifically set forth in this Indenture. In case an Event of Default with respect to the Securities of a series has occurred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is continuing which has not been cured or waived) the Trustee shall exercise such of the rights and powers vested in it by this Indenture with respect to such series, and use the same degree of care and skill in their exercise, as a prudent person would exercise or use under the circumstances in the conduct of such person’s own affairs.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No provision of this Indenture shall be construed to relieve the Trustee from liability for its own negligent action, its own negligent failure to act or its own willful misconduct, </w:t>
      </w:r>
      <w:r>
        <w:rPr>
          <w:rFonts w:ascii="Times New Roman;Times;serif" w:hAnsi="Times New Roman;Times;serif"/>
          <w:sz w:val="20"/>
          <w:u w:val="single"/>
        </w:rPr>
        <w:t>provided</w:t>
      </w:r>
      <w:r>
        <w:rPr>
          <w:rFonts w:ascii="Times New Roman;Times;serif" w:hAnsi="Times New Roman;Times;serif"/>
          <w:sz w:val="20"/>
        </w:rPr>
        <w:t xml:space="preserve"> 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any calculation or facts stated therein);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Trustee shall not be liable for any error of judgment made in good faith by a Responsible Officer, unless it shall be conclusively determined by a court of competent jurisdiction or by such other means as may be agreed by the Company and the Trustee at the time of determination that the Trustee was negligent in ascertaining the pertinent facts;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the Trustee shall not be liable with respect to any action taken or omitted to be taken by it in good faith in accordance with a Company Order or the direction of the Holders given as provided in </w:t>
      </w:r>
      <w:r>
        <w:rPr>
          <w:rFonts w:ascii="Times New Roman;Times;serif" w:hAnsi="Times New Roman;Times;serif"/>
          <w:sz w:val="20"/>
          <w:u w:val="single"/>
        </w:rPr>
        <w:t>Section 5.05</w:t>
      </w:r>
      <w:r>
        <w:rPr>
          <w:rFonts w:ascii="Times New Roman;Times;serif" w:hAnsi="Times New Roman;Times;serif"/>
          <w:sz w:val="20"/>
        </w:rPr>
        <w:t xml:space="preserve"> or otherwise exercising any trust or power conferred upon the Trustee, under this Indenture.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None of the provisions contained in this Indenture shall require the Trustee to expend or risk its own funds or otherwise incur any potential or actual liability (financial or otherwise) in the performance of any of its duties or in the exercise of any of its rights or powers, if there shall be reasonable ground for believing that the repayment of such funds or adequate indemnity against such liability is not assured to it. This </w:t>
      </w:r>
      <w:r>
        <w:rPr>
          <w:rFonts w:ascii="Times New Roman;Times;serif" w:hAnsi="Times New Roman;Times;serif"/>
          <w:sz w:val="20"/>
          <w:u w:val="single"/>
        </w:rPr>
        <w:t>Section 6.01</w:t>
      </w:r>
      <w:r>
        <w:rPr>
          <w:rFonts w:ascii="Times New Roman;Times;serif" w:hAnsi="Times New Roman;Times;serif"/>
          <w:sz w:val="20"/>
        </w:rPr>
        <w:t xml:space="preserve"> is in furtherance of and subject to Sections 315 and 316 of the Trust Indenture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Whether or not therein expressly so provided, every provision of this Indenture relating to the conduct or affecting the liability of or affording protection to the Trustee shall be subject to the provisions of this Article 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6.02.</w:t>
      </w:r>
      <w:r>
        <w:rPr>
          <w:rFonts w:ascii="Times New Roman;Times;serif" w:hAnsi="Times New Roman;Times;serif"/>
          <w:sz w:val="20"/>
          <w:u w:val="single"/>
        </w:rPr>
        <w:t>Certain Ri</w:t>
      </w:r>
      <w:r>
        <w:rPr>
          <w:rFonts w:ascii="Times New Roman;Times;serif" w:hAnsi="Times New Roman;Times;serif"/>
          <w:sz w:val="20"/>
        </w:rPr>
        <w:t>g</w:t>
      </w:r>
      <w:r>
        <w:rPr>
          <w:rFonts w:ascii="Times New Roman;Times;serif" w:hAnsi="Times New Roman;Times;serif"/>
          <w:sz w:val="20"/>
          <w:u w:val="single"/>
        </w:rPr>
        <w:t>hts of the Trustee</w:t>
      </w:r>
      <w:r>
        <w:rPr>
          <w:rFonts w:ascii="Times New Roman;Times;serif" w:hAnsi="Times New Roman;Times;serif"/>
          <w:sz w:val="20"/>
        </w:rPr>
        <w:t xml:space="preserve">.  In furtherance of and subject to the Trust Indenture Act, and subject to </w:t>
      </w:r>
      <w:r>
        <w:rPr>
          <w:rFonts w:ascii="Times New Roman;Times;serif" w:hAnsi="Times New Roman;Times;serif"/>
          <w:sz w:val="20"/>
          <w:u w:val="single"/>
        </w:rPr>
        <w:t>Section 6.01</w:t>
      </w:r>
      <w:r>
        <w:rPr>
          <w:rFonts w:ascii="Times New Roman;Times;serif" w:hAnsi="Times New Roman;Times;serif"/>
          <w:sz w:val="20"/>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Trustee may conclusively rely and shall be protected in acting or refraining from acting upon any resolution, Officers’ Certificate, Opinion of Counsel or any other certificate, statement, instrument, opinion, report, notice, request, consent, order, bond, debenture, note, coupon, security or other paper or document believed by it to be genuine and to have been signed or presented by the proper party or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request, direction, order or demand of the Company mentioned herein shall be sufficiently evidenced by an Officers’ Certificate (unless other evidence in respect thereof be herein specifically prescribed) and the Trustee may request and be entitled to receive an Officers’ Certificate before acting or refraining from acting with respect to such request, direction, order or demand; and any resolution of the Board of Directors of the Company or a Guarantor, if any, may be evidenced to the Trustee by a copy thereof certified by the Secretary or an Assistant Secretary of the Company or that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Trustee shall be under no obligation to exercise any of the rights or powers vested in it by this Indenture at the request, order or direction of any of the Holders of the Securities of any series pursuant to the provisions of this Indenture, unless such Holders shall have offered and provided to the Trustee security or indemnity satisfactory to it against the costs, expenses and liabilities which might be incurred therein or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Trustee shall not be liable for any action taken or omitted by it in good faith and believed by it to be authorized or within the discretion, rights or powers conferred upon it by this Indenture;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any series then outstanding; </w:t>
      </w:r>
      <w:r>
        <w:rPr>
          <w:rFonts w:ascii="Times New Roman;Times;serif" w:hAnsi="Times New Roman;Times;serif"/>
          <w:sz w:val="20"/>
          <w:u w:val="single"/>
        </w:rPr>
        <w:t>provided</w:t>
      </w:r>
      <w:r>
        <w:rPr>
          <w:rFonts w:ascii="Times New Roman;Times;serif" w:hAnsi="Times New Roman;Times;serif"/>
          <w:sz w:val="20"/>
        </w:rPr>
        <w:t xml:space="preserve"> that, if the payment within a reasonable time to the Trustee of the costs, expenses or liabilities likely to be incurred by it in the making of such investigation is, in the opinion of the Trustee, not assured to the Trustee by the security afforded to it by the terms of this Indenture, the Trustee may require (and shall not be required to make such investigation unless it receives) indemnity satisfactory to it against such expenses or liabilities as a condition to proceeding; the reasonable expenses of every such examination shall be paid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the rights, privileges, protections, immunities and benefits given to the Trustee under this Indenture, including, without limitation, its right to be indemnified, are extended to, and shall be enforceable by, the Trustee in each of its capacities hereunder, and to each agent, custodian and other Person employed to act hereunder and the employees, officers and directors of the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the Trustee shall not be deemed to have knowledge of any Default or Event of Default unless a Responsible Officer of the Trustee has received from a Holder, the Company or any Guarantor written notice of any event which is in fact such a Default or Event of Default, as the case may be, and such notice references the Securities, this Indenture, the circumstances giving rise to such a Default or Event of Default and that the same has occurred and is continuing;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6.03.</w:t>
      </w:r>
      <w:r>
        <w:rPr>
          <w:rFonts w:ascii="Times New Roman;Times;serif" w:hAnsi="Times New Roman;Times;serif"/>
          <w:sz w:val="20"/>
          <w:u w:val="single"/>
        </w:rPr>
        <w:t>Trustee Not Responsible for Recitals</w:t>
      </w:r>
      <w:r>
        <w:rPr>
          <w:rFonts w:ascii="Times New Roman;Times;serif" w:hAnsi="Times New Roman;Times;serif"/>
          <w:sz w:val="20"/>
        </w:rPr>
        <w:t>,</w:t>
      </w:r>
      <w:r>
        <w:rPr>
          <w:rFonts w:ascii="Times New Roman;Times;serif" w:hAnsi="Times New Roman;Times;serif"/>
          <w:sz w:val="20"/>
          <w:u w:val="single"/>
        </w:rPr>
        <w:t xml:space="preserve"> Disposition of Securities or A</w:t>
      </w:r>
      <w:r>
        <w:rPr>
          <w:rFonts w:ascii="Times New Roman;Times;serif" w:hAnsi="Times New Roman;Times;serif"/>
          <w:sz w:val="20"/>
        </w:rPr>
        <w:t>p</w:t>
      </w:r>
      <w:r>
        <w:rPr>
          <w:rFonts w:ascii="Times New Roman;Times;serif" w:hAnsi="Times New Roman;Times;serif"/>
          <w:sz w:val="20"/>
          <w:u w:val="single"/>
        </w:rPr>
        <w:t>plication of Proceeds Thereof</w:t>
      </w:r>
      <w:r>
        <w:rPr>
          <w:rFonts w:ascii="Times New Roman;Times;serif" w:hAnsi="Times New Roman;Times;serif"/>
          <w:sz w:val="20"/>
        </w:rPr>
        <w:t>.  The recitals contained herein and in the Securities, except the Trustee’s certificates of authentication, shall be taken as the statements of the Company, and the Trustee assumes no responsibility for the correctness of the same. The Trustee makes no representation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liable or accountable in any manner for the use or application by the Company of any of the Securities or of the proceeds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6.04.</w:t>
      </w:r>
      <w:r>
        <w:rPr>
          <w:rFonts w:ascii="Times New Roman;Times;serif" w:hAnsi="Times New Roman;Times;serif"/>
          <w:sz w:val="20"/>
          <w:u w:val="single"/>
        </w:rPr>
        <w:t>Trustee and A</w:t>
      </w:r>
      <w:r>
        <w:rPr>
          <w:rFonts w:ascii="Times New Roman;Times;serif" w:hAnsi="Times New Roman;Times;serif"/>
          <w:sz w:val="20"/>
        </w:rPr>
        <w:t>g</w:t>
      </w:r>
      <w:r>
        <w:rPr>
          <w:rFonts w:ascii="Times New Roman;Times;serif" w:hAnsi="Times New Roman;Times;serif"/>
          <w:sz w:val="20"/>
          <w:u w:val="single"/>
        </w:rPr>
        <w:t>ents May Hold Securities</w:t>
      </w:r>
      <w:r>
        <w:rPr>
          <w:rFonts w:ascii="Times New Roman;Times;serif" w:hAnsi="Times New Roman;Times;serif"/>
          <w:sz w:val="20"/>
        </w:rPr>
        <w:t>;</w:t>
      </w:r>
      <w:r>
        <w:rPr>
          <w:rFonts w:ascii="Times New Roman;Times;serif" w:hAnsi="Times New Roman;Times;serif"/>
          <w:sz w:val="20"/>
          <w:u w:val="single"/>
        </w:rPr>
        <w:t xml:space="preserve"> Collections</w:t>
      </w:r>
      <w:r>
        <w:rPr>
          <w:rFonts w:ascii="Times New Roman;Times;serif" w:hAnsi="Times New Roman;Times;serif"/>
          <w:sz w:val="20"/>
        </w:rPr>
        <w:t>,</w:t>
      </w:r>
      <w:r>
        <w:rPr>
          <w:rFonts w:ascii="Times New Roman;Times;serif" w:hAnsi="Times New Roman;Times;serif"/>
          <w:sz w:val="20"/>
          <w:u w:val="single"/>
        </w:rPr>
        <w:t xml:space="preserve"> Etc</w:t>
      </w:r>
      <w:r>
        <w:rPr>
          <w:rFonts w:ascii="Times New Roman;Times;serif" w:hAnsi="Times New Roman;Times;serif"/>
          <w:sz w:val="20"/>
        </w:rPr>
        <w:t xml:space="preserve">.  The Trustee or any of its affiliates or any agent of the Company or the Trustee, in its individual or any other capacity, may become the owner or pledgee of Securities, subject to </w:t>
      </w:r>
      <w:r>
        <w:rPr>
          <w:rFonts w:ascii="Times New Roman;Times;serif" w:hAnsi="Times New Roman;Times;serif"/>
          <w:sz w:val="20"/>
          <w:u w:val="single"/>
        </w:rPr>
        <w:t>Sections 6.10</w:t>
      </w:r>
      <w:r>
        <w:rPr>
          <w:rFonts w:ascii="Times New Roman;Times;serif" w:hAnsi="Times New Roman;Times;serif"/>
          <w:sz w:val="20"/>
        </w:rPr>
        <w:t xml:space="preserve"> and </w:t>
      </w:r>
      <w:r>
        <w:rPr>
          <w:rFonts w:ascii="Times New Roman;Times;serif" w:hAnsi="Times New Roman;Times;serif"/>
          <w:sz w:val="20"/>
          <w:u w:val="single"/>
        </w:rPr>
        <w:t>6.13</w:t>
      </w:r>
      <w:r>
        <w:rPr>
          <w:rFonts w:ascii="Times New Roman;Times;serif" w:hAnsi="Times New Roman;Times;serif"/>
          <w:sz w:val="20"/>
        </w:rPr>
        <w:t xml:space="preserve"> with the same rights it would have if it were not the Trustee or such agent and may otherwise deal with the Company, any Guarantor or their respective affiliates and receive, collect, hold and retain collections from the Company with the same rights it would have if it were not the Trustee or such agent. However, in the event that the Trustee acquires any “conflicting interest,” as defined in </w:t>
      </w:r>
      <w:r>
        <w:rPr>
          <w:rFonts w:ascii="Times New Roman;Times;serif" w:hAnsi="Times New Roman;Times;serif"/>
          <w:sz w:val="20"/>
          <w:u w:val="single"/>
        </w:rPr>
        <w:t>Section 310(b)</w:t>
      </w:r>
      <w:r>
        <w:rPr>
          <w:rFonts w:ascii="Times New Roman;Times;serif" w:hAnsi="Times New Roman;Times;serif"/>
          <w:sz w:val="20"/>
        </w:rPr>
        <w:t xml:space="preserve"> of the Trust Indenture Act, it must eliminate such conflict within 90 calendar days, apply to the Commission for permission to continue as trustee or resign.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6.05.</w:t>
      </w:r>
      <w:r>
        <w:rPr>
          <w:rFonts w:ascii="Times New Roman;Times;serif" w:hAnsi="Times New Roman;Times;serif"/>
          <w:sz w:val="20"/>
          <w:u w:val="single"/>
        </w:rPr>
        <w:t>Moneys Held by Trustee</w:t>
      </w:r>
      <w:r>
        <w:rPr>
          <w:rFonts w:ascii="Times New Roman;Times;serif" w:hAnsi="Times New Roman;Times;serif"/>
          <w:sz w:val="20"/>
        </w:rPr>
        <w:t>.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Company or the Trustee shall be under any liability for interest on any moneys received by it hereunder, except as otherwise agreed with the Company.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6.06.</w:t>
      </w:r>
      <w:r>
        <w:rPr>
          <w:rFonts w:ascii="Times New Roman;Times;serif" w:hAnsi="Times New Roman;Times;serif"/>
          <w:sz w:val="20"/>
          <w:u w:val="single"/>
        </w:rPr>
        <w:t>Notice of Default</w:t>
      </w:r>
      <w:r>
        <w:rPr>
          <w:rFonts w:ascii="Times New Roman;Times;serif" w:hAnsi="Times New Roman;Times;serif"/>
          <w:sz w:val="20"/>
        </w:rPr>
        <w:t xml:space="preserve">.  If any Default or any Event of Default occurs and is continuing with respect to the Securities of any series and if such Default or Event of Default is actually known to a Responsible Officer of the Trustee, the Trustee shall mail to each Holder of Securities of such series in the manner and to the extent provided in Trust Indenture Act </w:t>
      </w:r>
      <w:r>
        <w:rPr>
          <w:rFonts w:ascii="Times New Roman;Times;serif" w:hAnsi="Times New Roman;Times;serif"/>
          <w:sz w:val="20"/>
          <w:u w:val="single"/>
        </w:rPr>
        <w:t>Section 313(c)</w:t>
      </w:r>
      <w:r>
        <w:rPr>
          <w:rFonts w:ascii="Times New Roman;Times;serif" w:hAnsi="Times New Roman;Times;serif"/>
          <w:sz w:val="20"/>
        </w:rPr>
        <w:t xml:space="preserve"> notice of the Default or Event of Default (“</w:t>
      </w:r>
      <w:r>
        <w:rPr>
          <w:rFonts w:ascii="Times New Roman;Times;serif" w:hAnsi="Times New Roman;Times;serif"/>
          <w:b/>
          <w:sz w:val="20"/>
        </w:rPr>
        <w:t>Notice of Default</w:t>
      </w:r>
      <w:r>
        <w:rPr>
          <w:rFonts w:ascii="Times New Roman;Times;serif" w:hAnsi="Times New Roman;Times;serif"/>
          <w:sz w:val="20"/>
        </w:rPr>
        <w:t xml:space="preserve">”) within 90 calendar days after it occurs, unless such Default or Event of Default has been cured; </w:t>
      </w:r>
      <w:r>
        <w:rPr>
          <w:rFonts w:ascii="Times New Roman;Times;serif" w:hAnsi="Times New Roman;Times;serif"/>
          <w:sz w:val="20"/>
          <w:u w:val="single"/>
        </w:rPr>
        <w:t>provided</w:t>
      </w:r>
      <w:r>
        <w:rPr>
          <w:rFonts w:ascii="Times New Roman;Times;serif" w:hAnsi="Times New Roman;Times;serif"/>
          <w:sz w:val="20"/>
        </w:rPr>
        <w:t xml:space="preserve"> that, except in the case of a default in the payment of the principal (whether at Stated Maturity, upon redemption (if applicable), upon any required repurchase by the Company (if applicable) or otherwise) of, or interest or premium, if any, on any Security of such series, in the payment or delivery of any consideration due upon conversion or exchange of any Security of such series (if applicable)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Holders of Securities of such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6.07.</w:t>
      </w:r>
      <w:r>
        <w:rPr>
          <w:rFonts w:ascii="Times New Roman;Times;serif" w:hAnsi="Times New Roman;Times;serif"/>
          <w:sz w:val="20"/>
          <w:u w:val="single"/>
        </w:rPr>
        <w:t>Compensation and Indemnification of Trustee and Its Prior Claim</w:t>
      </w:r>
      <w:r>
        <w:rPr>
          <w:rFonts w:ascii="Times New Roman;Times;serif" w:hAnsi="Times New Roman;Times;serif"/>
          <w:sz w:val="20"/>
        </w:rPr>
        <w:t xml:space="preserve">.  The Company covenants and agrees to pay to the Trustee from time to time, and the Trustee shall be entitled to, such compensation as shall be agreed in writing between the Company and the Trustee (which shall not be limited by any provision of law in regard to the compensation of a trustee of an express trust) and the Company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(as determined by a court of competent jurisdiction in a final, non-appealable decision or by such other means as may be agreed by the Company and the Trustee at the time of determination). The Company also covenants to indemnify the Trustee and each predecessor Trustee for, and to hold it harmless against, any and all loss, liability, damage, claim or expense, including taxes (other than taxes based on the income of the Trustee) incurred without negligence or bad faith on its part (as determined by a court of competent jurisdiction in a final, non-appealable decision or by such other means as may be agreed by the Company and the Trustee at the time of determination), arising out of or in connection with the acceptance or administration of this Indenture or the trusts hereunder and its duties hereunder, including without limitation the costs and expenses of defending itself against or investigating any claim (whether asserted by the Company, a Holder or any other Person). 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financial obligations of the Company identified in this </w:t>
      </w:r>
      <w:r>
        <w:rPr>
          <w:rFonts w:ascii="Times New Roman;Times;serif" w:hAnsi="Times New Roman;Times;serif"/>
          <w:sz w:val="20"/>
          <w:u w:val="single"/>
        </w:rPr>
        <w:t>Section 6.07</w:t>
      </w:r>
      <w:r>
        <w:rPr>
          <w:rFonts w:ascii="Times New Roman;Times;serif" w:hAnsi="Times New Roman;Times;serif"/>
          <w:sz w:val="20"/>
        </w:rPr>
        <w:t xml:space="preserve"> shall be a senior claim to that of the Securities of each series, and as security for such obligations, the Trustee shall have a lien prior to such Securities, upon all property and funds held or collected by the Trustee as such, except funds held in trust for the benefit of the Holders of particular Securities, and the Securities of each series are hereby subordinated to such senior claim. Such lien shall survive the discharge and satisfaction of this Indenture.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When the Trustee incurs expenses or renders services in connection with an Event of Default specified in </w:t>
      </w:r>
      <w:r>
        <w:rPr>
          <w:rFonts w:ascii="Times New Roman;Times;serif" w:hAnsi="Times New Roman;Times;serif"/>
          <w:sz w:val="20"/>
          <w:u w:val="single"/>
        </w:rPr>
        <w:t>Section 5.01(d)</w:t>
      </w:r>
      <w:r>
        <w:rPr>
          <w:rFonts w:ascii="Times New Roman;Times;serif" w:hAnsi="Times New Roman;Times;serif"/>
          <w:sz w:val="20"/>
        </w:rPr>
        <w:t xml:space="preserve"> or </w:t>
      </w:r>
      <w:r>
        <w:rPr>
          <w:rFonts w:ascii="Times New Roman;Times;serif" w:hAnsi="Times New Roman;Times;serif"/>
          <w:sz w:val="20"/>
          <w:u w:val="single"/>
        </w:rPr>
        <w:t>Section 5.01(e)</w:t>
      </w:r>
      <w:r>
        <w:rPr>
          <w:rFonts w:ascii="Times New Roman;Times;serif" w:hAnsi="Times New Roman;Times;serif"/>
          <w:sz w:val="20"/>
        </w:rPr>
        <w:t>, the expenses (including the reasonable charges and expenses of its counsel) and the compensation for the services are intended to constitute expenses of administration under any applicable federal or state bankruptcy, insolvency or other similar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6.08.</w:t>
      </w:r>
      <w:r>
        <w:rPr>
          <w:rFonts w:ascii="Times New Roman;Times;serif" w:hAnsi="Times New Roman;Times;serif"/>
          <w:sz w:val="20"/>
          <w:u w:val="single"/>
        </w:rPr>
        <w:t>Right of Trustee to Rely on Officers’ Certificate, Etc.</w:t>
      </w:r>
      <w:r>
        <w:rPr>
          <w:rFonts w:ascii="Times New Roman;Times;serif" w:hAnsi="Times New Roman;Times;serif"/>
          <w:sz w:val="20"/>
        </w:rPr>
        <w:t xml:space="preserve">  Subject to </w:t>
      </w:r>
      <w:r>
        <w:rPr>
          <w:rFonts w:ascii="Times New Roman;Times;serif" w:hAnsi="Times New Roman;Times;serif"/>
          <w:sz w:val="20"/>
          <w:u w:val="single"/>
        </w:rPr>
        <w:t>Sections 6.01</w:t>
      </w:r>
      <w:r>
        <w:rPr>
          <w:rFonts w:ascii="Times New Roman;Times;serif" w:hAnsi="Times New Roman;Times;serif"/>
          <w:sz w:val="20"/>
        </w:rPr>
        <w:t xml:space="preserve"> and </w:t>
      </w:r>
      <w:r>
        <w:rPr>
          <w:rFonts w:ascii="Times New Roman;Times;serif" w:hAnsi="Times New Roman;Times;serif"/>
          <w:sz w:val="20"/>
          <w:u w:val="single"/>
        </w:rPr>
        <w:t>6.02</w:t>
      </w:r>
      <w:r>
        <w:rPr>
          <w:rFonts w:ascii="Times New Roman;Times;serif" w:hAnsi="Times New Roman;Times;serif"/>
          <w:sz w:val="20"/>
        </w:rPr>
        <w:t>,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6.09.</w:t>
      </w:r>
      <w:r>
        <w:rPr>
          <w:rFonts w:ascii="Times New Roman;Times;serif" w:hAnsi="Times New Roman;Times;serif"/>
          <w:sz w:val="20"/>
          <w:u w:val="single"/>
        </w:rPr>
        <w:t>Persons Eli</w:t>
      </w:r>
      <w:r>
        <w:rPr>
          <w:rFonts w:ascii="Times New Roman;Times;serif" w:hAnsi="Times New Roman;Times;serif"/>
          <w:sz w:val="20"/>
        </w:rPr>
        <w:t>g</w:t>
      </w:r>
      <w:r>
        <w:rPr>
          <w:rFonts w:ascii="Times New Roman;Times;serif" w:hAnsi="Times New Roman;Times;serif"/>
          <w:sz w:val="20"/>
          <w:u w:val="single"/>
        </w:rPr>
        <w:t>ible for A</w:t>
      </w:r>
      <w:r>
        <w:rPr>
          <w:rFonts w:ascii="Times New Roman;Times;serif" w:hAnsi="Times New Roman;Times;serif"/>
          <w:sz w:val="20"/>
        </w:rPr>
        <w:t>p</w:t>
      </w:r>
      <w:r>
        <w:rPr>
          <w:rFonts w:ascii="Times New Roman;Times;serif" w:hAnsi="Times New Roman;Times;serif"/>
          <w:sz w:val="20"/>
          <w:u w:val="single"/>
        </w:rPr>
        <w:t>pointment as Trustee</w:t>
      </w:r>
      <w:r>
        <w:rPr>
          <w:rFonts w:ascii="Times New Roman;Times;serif" w:hAnsi="Times New Roman;Times;serif"/>
          <w:sz w:val="20"/>
        </w:rPr>
        <w:t xml:space="preserve">.  The Trustee hereunder shall at all times be a corporation, national association or other appropriate entity having a combined capital and surplus of at least $150,000,000, and which is eligible in accordance with the provisions of </w:t>
      </w:r>
      <w:r>
        <w:rPr>
          <w:rFonts w:ascii="Times New Roman;Times;serif" w:hAnsi="Times New Roman;Times;serif"/>
          <w:sz w:val="20"/>
          <w:u w:val="single"/>
        </w:rPr>
        <w:t>Section 310(a)</w:t>
      </w:r>
      <w:r>
        <w:rPr>
          <w:rFonts w:ascii="Times New Roman;Times;serif" w:hAnsi="Times New Roman;Times;serif"/>
          <w:sz w:val="20"/>
        </w:rPr>
        <w:t xml:space="preserve"> of the Trust Indenture Act.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6.10.</w:t>
      </w:r>
      <w:r>
        <w:rPr>
          <w:rFonts w:ascii="Times New Roman;Times;serif" w:hAnsi="Times New Roman;Times;serif"/>
          <w:sz w:val="20"/>
          <w:u w:val="single"/>
        </w:rPr>
        <w:t>Resignation and Removal; Appointment of Successor Trustee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Trustee may at any time resign with respect to the Securities of one or more series by giving written notice of resignation to the Company and to the Holders of Securities of such series, such notice to the Holders to be given by mailing (by first class mail) the same within 30 calendar days after such notice is given to the Company. Upon receiving such notice of resignation, the Company shall promptly appoint a successor trustee by written instrument in duplicate, executed by authority of the Board of Directors of the Company, one copy of which instrument shall be delivered to the resigning Trustee and one copy to the successor trustee. If no successor trustee shall have been so appointed and have accepted appointment within 30 calendar days after the mailing of such notice of resignation, the resigning trustee may petition, at the expense of the Company, any court of competent jurisdiction for the appointment of a successor trustee, or any Holder of the affected series who has been a bona fide holder of the Securities of the affected series for at least six months (or since the Issue Date for such Securities if the holding period is less than six months) may, on behalf of itself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case at any time any of the following shall occur:</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(i)the Trustee shall fail to comply with the provisions of </w:t>
      </w:r>
      <w:r>
        <w:rPr>
          <w:rFonts w:ascii="Times New Roman;Times;serif" w:hAnsi="Times New Roman;Times;serif"/>
          <w:sz w:val="20"/>
          <w:u w:val="single"/>
        </w:rPr>
        <w:t>Section 310(b)</w:t>
      </w:r>
      <w:r>
        <w:rPr>
          <w:rFonts w:ascii="Times New Roman;Times;serif" w:hAnsi="Times New Roman;Times;serif"/>
          <w:sz w:val="20"/>
        </w:rPr>
        <w:t xml:space="preserve"> of the Trust Indenture Act, after written request therefor by the Company or by any Holder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who has been a bona fide holder of Securities of the affected series for at least six months; or</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(ii)the Trustee shall cease to be eligible in accordance with the provisions of </w:t>
      </w:r>
      <w:r>
        <w:rPr>
          <w:rFonts w:ascii="Times New Roman;Times;serif" w:hAnsi="Times New Roman;Times;serif"/>
          <w:sz w:val="20"/>
          <w:u w:val="single"/>
        </w:rPr>
        <w:t>Section 6.09</w:t>
      </w:r>
      <w:r>
        <w:rPr>
          <w:rFonts w:ascii="Times New Roman;Times;serif" w:hAnsi="Times New Roman;Times;serif"/>
          <w:sz w:val="20"/>
        </w:rPr>
        <w:t>, and shall fail to resign after written request therefor by the Company or by any such Holder; or</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(iii)the Trustee shall become incapable of acting, or shall be adjudged as bankrupt or insolvent, or a receiver or liquidator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then, in any such case, the Company may remove the Trustee and appoint a successor trustee by written instrument, in duplicate, executed by authority of the Board of Directors of the Company, one copy of which instrument shall be delivered to the Trustee so removed and one copy to the successor trustee, or, subject to </w:t>
      </w:r>
      <w:r>
        <w:rPr>
          <w:rFonts w:ascii="Times New Roman;Times;serif" w:hAnsi="Times New Roman;Times;serif"/>
          <w:sz w:val="20"/>
          <w:u w:val="single"/>
        </w:rPr>
        <w:t>Section 315(e)</w:t>
      </w:r>
      <w:r>
        <w:rPr>
          <w:rFonts w:ascii="Times New Roman;Times;serif" w:hAnsi="Times New Roman;Times;serif"/>
          <w:sz w:val="20"/>
        </w:rPr>
        <w:t xml:space="preserve"> of the Trust Indenture Act, any Holder of the affected series who has been a bona fide holder of the Securities of the affected series for at least six months may, on behalf of itself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The Holders of a majority in aggregate Principal Amount of the Securities of any series at the time outstanding may at any time remove the Trustee for that series and appoint a successor trustee by delivering to the Trustee so removed, to the successor trustee so appointed and to the Company and any Guarantor the evidence provided for in </w:t>
      </w:r>
      <w:r>
        <w:rPr>
          <w:rFonts w:ascii="Times New Roman;Times;serif" w:hAnsi="Times New Roman;Times;serif"/>
          <w:sz w:val="20"/>
          <w:u w:val="single"/>
        </w:rPr>
        <w:t>Section 7.01</w:t>
      </w:r>
      <w:r>
        <w:rPr>
          <w:rFonts w:ascii="Times New Roman;Times;serif" w:hAnsi="Times New Roman;Times;serif"/>
          <w:sz w:val="20"/>
        </w:rPr>
        <w:t xml:space="preserve"> of the action in that regard taken by the Holders of that series.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no successor trustee shall have been so appointed and have accepted appointment 30 calendar days after the mailing of such notice of removal, the Trustee being removed may petition, at the expense of the Company, any court of competent jurisdiction for the appointment of a successor trustee. Such court may thereupon, after such notice, if any, as it may deem proper and prescribe, appoint a successor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Any resignation or removal of the Trustee and any appointment of a successor trustee pursuant to any of the provisions of this </w:t>
      </w:r>
      <w:r>
        <w:rPr>
          <w:rFonts w:ascii="Times New Roman;Times;serif" w:hAnsi="Times New Roman;Times;serif"/>
          <w:sz w:val="20"/>
          <w:u w:val="single"/>
        </w:rPr>
        <w:t>Section 6.10</w:t>
      </w:r>
      <w:r>
        <w:rPr>
          <w:rFonts w:ascii="Times New Roman;Times;serif" w:hAnsi="Times New Roman;Times;serif"/>
          <w:sz w:val="20"/>
        </w:rPr>
        <w:t xml:space="preserve"> shall become effective upon acceptance of appointment by the successor trustee as provided in </w:t>
      </w:r>
      <w:r>
        <w:rPr>
          <w:rFonts w:ascii="Times New Roman;Times;serif" w:hAnsi="Times New Roman;Times;serif"/>
          <w:sz w:val="20"/>
          <w:u w:val="single"/>
        </w:rPr>
        <w:t>Section 6.11</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all Holders of Securities of such series as their names and addresses appear in the Security Register. Each notice shall include the name of the successor Trustee with respect to the Securities of such series and the address of its Corporate Trust Office.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6.11.</w:t>
      </w:r>
      <w:r>
        <w:rPr>
          <w:rFonts w:ascii="Times New Roman;Times;serif" w:hAnsi="Times New Roman;Times;serif"/>
          <w:sz w:val="20"/>
          <w:u w:val="single"/>
        </w:rPr>
        <w:t>Acceptance of Appointment by Successor</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fees, costs, expenses and other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case of the appointment hereunder of a successor Trustee with respect to the Securities of one or more (but not all) series, the Company, any applicable Guarantor,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w:t>
        <w:softHyphen/>
        <w:t>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upon payment of its fees, costs, expenses and other charges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Upon request of any such successor Trustee, the Company and any applicable Guarantor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 successor Trustee shall accept its appointment unless at the time of such acceptance such successor Trustee shall be qualified and eligible under the Trust Indenture Act.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6.12.</w:t>
      </w:r>
      <w:r>
        <w:rPr>
          <w:rFonts w:ascii="Times New Roman;Times;serif" w:hAnsi="Times New Roman;Times;serif"/>
          <w:sz w:val="20"/>
          <w:u w:val="single"/>
        </w:rPr>
        <w:t>Merger, Conversion, Consolidation or Succession to Business of Trustee</w:t>
      </w:r>
      <w:r>
        <w:rPr>
          <w:rFonts w:ascii="Times New Roman;Times;serif" w:hAnsi="Times New Roman;Times;serif"/>
          <w:sz w:val="20"/>
        </w:rPr>
        <w:t xml:space="preserve">.  Any corporation or national association into which the Trustee may be merged or converted or with which it may be consolidated, or to which the Trustee’s assets may be sold, or any corporation or national association resulting from any merger, conversion, consolidation or sale to which the Trustee shall be a party or by which the Trustee’s property may be bound, or any corporation or national association succeeding to all or substantially all the corporate trust business of the Trustee, shall be the successor of the Trustee hereunder, </w:t>
      </w:r>
      <w:r>
        <w:rPr>
          <w:rFonts w:ascii="Times New Roman;Times;serif" w:hAnsi="Times New Roman;Times;serif"/>
          <w:sz w:val="20"/>
          <w:u w:val="single"/>
        </w:rPr>
        <w:t>provided</w:t>
      </w:r>
      <w:r>
        <w:rPr>
          <w:rFonts w:ascii="Times New Roman;Times;serif" w:hAnsi="Times New Roman;Times;serif"/>
          <w:sz w:val="20"/>
        </w:rPr>
        <w:t xml:space="preserve"> that such entity shall be eligible under the provisions of </w:t>
      </w:r>
      <w:r>
        <w:rPr>
          <w:rFonts w:ascii="Times New Roman;Times;serif" w:hAnsi="Times New Roman;Times;serif"/>
          <w:sz w:val="20"/>
          <w:u w:val="single"/>
        </w:rPr>
        <w:t>Section 6.09</w:t>
      </w:r>
      <w:r>
        <w:rPr>
          <w:rFonts w:ascii="Times New Roman;Times;serif" w:hAnsi="Times New Roman;Times;serif"/>
          <w:sz w:val="20"/>
        </w:rPr>
        <w:t>, without the execution or filing of any paper or any further act on the part of any of the parties hereto, anything herein to the contrary notwithstanding.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case at the time such successor to the Trustee shall succeed to the trusts created by this Indenture any of the Securities shall have been authenticated but not delivered, any such successor to the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 shall have the full force that it is anywhere in the Securities or in this Indenture; </w:t>
      </w:r>
      <w:r>
        <w:rPr>
          <w:rFonts w:ascii="Times New Roman;Times;serif" w:hAnsi="Times New Roman;Times;serif"/>
          <w:sz w:val="20"/>
          <w:u w:val="single"/>
        </w:rPr>
        <w:t>provided</w:t>
      </w:r>
      <w:r>
        <w:rPr>
          <w:rFonts w:ascii="Times New Roman;Times;serif" w:hAnsi="Times New Roman;Times;serif"/>
          <w:sz w:val="20"/>
        </w:rPr>
        <w:t xml:space="preserve"> that the right to adopt the certificate of authentication of any predecessor Trustee or to authenticate Securities in the name of any predecessor Trustee shall apply only to its successor or successors by merger, conversion or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6.13.</w:t>
      </w:r>
      <w:r>
        <w:rPr>
          <w:rFonts w:ascii="Times New Roman;Times;serif" w:hAnsi="Times New Roman;Times;serif"/>
          <w:sz w:val="20"/>
          <w:u w:val="single"/>
        </w:rPr>
        <w:t>Preferential Collection of Claims</w:t>
      </w:r>
      <w:r>
        <w:rPr>
          <w:rFonts w:ascii="Times New Roman;Times;serif" w:hAnsi="Times New Roman;Times;serif"/>
          <w:sz w:val="20"/>
        </w:rPr>
        <w:t xml:space="preserve">.  If the Trustee shall be or shall become a creditor, directly or indirectly, secured or unsecured, of the Company (or any other obligor on the Securities), the Trustee shall be subject to the provisions of </w:t>
      </w:r>
      <w:r>
        <w:rPr>
          <w:rFonts w:ascii="Times New Roman;Times;serif" w:hAnsi="Times New Roman;Times;serif"/>
          <w:sz w:val="20"/>
          <w:u w:val="single"/>
        </w:rPr>
        <w:t>Section 311</w:t>
      </w:r>
      <w:r>
        <w:rPr>
          <w:rFonts w:ascii="Times New Roman;Times;serif" w:hAnsi="Times New Roman;Times;serif"/>
          <w:sz w:val="20"/>
        </w:rPr>
        <w:t xml:space="preserve"> of the Trust Indenture Act regarding the collection of claims against the Company (or any such other obligor). For purposes of </w:t>
      </w:r>
      <w:r>
        <w:rPr>
          <w:rFonts w:ascii="Times New Roman;Times;serif" w:hAnsi="Times New Roman;Times;serif"/>
          <w:sz w:val="20"/>
          <w:u w:val="single"/>
        </w:rPr>
        <w:t>Section 311(b) (4)</w:t>
      </w:r>
      <w:r>
        <w:rPr>
          <w:rFonts w:ascii="Times New Roman;Times;serif" w:hAnsi="Times New Roman;Times;serif"/>
          <w:sz w:val="20"/>
        </w:rPr>
        <w:t xml:space="preserve"> and </w:t>
      </w:r>
      <w:r>
        <w:rPr>
          <w:rFonts w:ascii="Times New Roman;Times;serif" w:hAnsi="Times New Roman;Times;serif"/>
          <w:sz w:val="20"/>
          <w:u w:val="single"/>
        </w:rPr>
        <w:t>(6)</w:t>
      </w:r>
      <w:r>
        <w:rPr>
          <w:rFonts w:ascii="Times New Roman;Times;serif" w:hAnsi="Times New Roman;Times;serif"/>
          <w:sz w:val="20"/>
        </w:rPr>
        <w:t xml:space="preserve"> of such Act, the following terms shall mean: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 “cash transaction” means any transaction in which full payment for goods or securities sold is made within seven calendar days after delivery of the goods or securities in currency or in checks or other orders drawn upon banks or bankers and payable upon demand;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 “self-liquidating paper”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6.14.</w:t>
      </w:r>
      <w:r>
        <w:rPr>
          <w:rFonts w:ascii="Times New Roman;Times;serif" w:hAnsi="Times New Roman;Times;serif"/>
          <w:sz w:val="20"/>
          <w:u w:val="single"/>
        </w:rPr>
        <w:t>Communications with the Trustee</w:t>
      </w:r>
      <w:r>
        <w:rPr>
          <w:rFonts w:ascii="Times New Roman;Times;serif" w:hAnsi="Times New Roman;Times;serif"/>
          <w:sz w:val="20"/>
        </w:rPr>
        <w:t>.  Any and all notices, certificates, opinions or filings with the Commission required or permitted to be provided by the Company to the Trustee under this Indenture shall be in writing and shall be personally delivered, sent via an internationally recognized overnight delivery service or sent by facsimile or electronic transmission to the address or telecopy number of the Corporate Trust Office.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6.15.</w:t>
      </w:r>
      <w:r>
        <w:rPr>
          <w:rFonts w:ascii="Times New Roman;Times;serif" w:hAnsi="Times New Roman;Times;serif"/>
          <w:sz w:val="20"/>
          <w:u w:val="single"/>
        </w:rPr>
        <w:t>Paying Agent/Registrar</w:t>
      </w:r>
      <w:r>
        <w:rPr>
          <w:rFonts w:ascii="Times New Roman;Times;serif" w:hAnsi="Times New Roman;Times;serif"/>
          <w:sz w:val="20"/>
        </w:rPr>
        <w:t>.  If the Trustee is acting as Paying Agent and/or Registrar hereunder, the rights and protections afforded to the Trustee under this Article 6 will also be afforded to the Paying Agent and/or the Registrar.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7</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CONCERNING THE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7.01.</w:t>
      </w:r>
      <w:r>
        <w:rPr>
          <w:rFonts w:ascii="Times New Roman;Times;serif" w:hAnsi="Times New Roman;Times;serif"/>
          <w:sz w:val="20"/>
          <w:u w:val="single"/>
        </w:rPr>
        <w:t>Evidence of Action Taken by Holders</w:t>
      </w:r>
      <w:r>
        <w:rPr>
          <w:rFonts w:ascii="Times New Roman;Times;serif" w:hAnsi="Times New Roman;Times;serif"/>
          <w:sz w:val="20"/>
        </w:rPr>
        <w:t xml:space="preserve">.  Any request, demand, authorization, direction, notice, consent, waiver or other action provided by this Indenture to be given or taken by Holders of Securities of any series may be embodied in and evidenced (a) by one or more instruments of substantially similar tenor signed by such Holders in person or by agent duly appointed in writing, (b) by the record of the Holders of Securities of such series voting in favor thereof at any meeting of Holders duly called and held in accordance with the provisions of Article 8, or (c) by a combination of such instrument or instruments and any such record of such a meeting of Holders; and, except as herein otherwise expressly provided, such action shall become effective when such instrument or instruments are delivered to the Trustee and, where it is hereby expressly required, to the Company and each Guarantor, if any. Proof of execution of any instrument or of a writing appointing any such agent shall be sufficient for any purpose of this Indenture and (subject to </w:t>
      </w:r>
      <w:r>
        <w:rPr>
          <w:rFonts w:ascii="Times New Roman;Times;serif" w:hAnsi="Times New Roman;Times;serif"/>
          <w:sz w:val="20"/>
          <w:u w:val="single"/>
        </w:rPr>
        <w:t>Sections 6.01</w:t>
      </w:r>
      <w:r>
        <w:rPr>
          <w:rFonts w:ascii="Times New Roman;Times;serif" w:hAnsi="Times New Roman;Times;serif"/>
          <w:sz w:val="20"/>
        </w:rPr>
        <w:t xml:space="preserve"> and </w:t>
      </w:r>
      <w:r>
        <w:rPr>
          <w:rFonts w:ascii="Times New Roman;Times;serif" w:hAnsi="Times New Roman;Times;serif"/>
          <w:sz w:val="20"/>
          <w:u w:val="single"/>
        </w:rPr>
        <w:t>6.02</w:t>
      </w:r>
      <w:r>
        <w:rPr>
          <w:rFonts w:ascii="Times New Roman;Times;serif" w:hAnsi="Times New Roman;Times;serif"/>
          <w:sz w:val="20"/>
        </w:rPr>
        <w:t>) conclusive in favor of the Trustee, the Company and each Guarantor, if any, if made in the manner provided in this Article.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7.02.</w:t>
      </w:r>
      <w:r>
        <w:rPr>
          <w:rFonts w:ascii="Times New Roman;Times;serif" w:hAnsi="Times New Roman;Times;serif"/>
          <w:sz w:val="20"/>
          <w:u w:val="single"/>
        </w:rPr>
        <w:t>Proof of Execution of Instruments and of Holdin</w:t>
      </w:r>
      <w:r>
        <w:rPr>
          <w:rFonts w:ascii="Times New Roman;Times;serif" w:hAnsi="Times New Roman;Times;serif"/>
          <w:sz w:val="20"/>
        </w:rPr>
        <w:t xml:space="preserve">g </w:t>
      </w:r>
      <w:r>
        <w:rPr>
          <w:rFonts w:ascii="Times New Roman;Times;serif" w:hAnsi="Times New Roman;Times;serif"/>
          <w:sz w:val="20"/>
          <w:u w:val="single"/>
        </w:rPr>
        <w:t>of Securities</w:t>
      </w:r>
      <w:r>
        <w:rPr>
          <w:rFonts w:ascii="Times New Roman;Times;serif" w:hAnsi="Times New Roman;Times;serif"/>
          <w:sz w:val="20"/>
        </w:rPr>
        <w:t>;</w:t>
      </w:r>
      <w:r>
        <w:rPr>
          <w:rFonts w:ascii="Times New Roman;Times;serif" w:hAnsi="Times New Roman;Times;serif"/>
          <w:sz w:val="20"/>
          <w:u w:val="single"/>
        </w:rPr>
        <w:t xml:space="preserve"> Record Date</w:t>
      </w:r>
      <w:r>
        <w:rPr>
          <w:rFonts w:ascii="Times New Roman;Times;serif" w:hAnsi="Times New Roman;Times;serif"/>
          <w:sz w:val="20"/>
        </w:rPr>
        <w:t xml:space="preserve">.  Subject to </w:t>
      </w:r>
      <w:r>
        <w:rPr>
          <w:rFonts w:ascii="Times New Roman;Times;serif" w:hAnsi="Times New Roman;Times;serif"/>
          <w:sz w:val="20"/>
          <w:u w:val="single"/>
        </w:rPr>
        <w:t>Sections 6.01</w:t>
      </w:r>
      <w:r>
        <w:rPr>
          <w:rFonts w:ascii="Times New Roman;Times;serif" w:hAnsi="Times New Roman;Times;serif"/>
          <w:sz w:val="20"/>
        </w:rPr>
        <w:t xml:space="preserve"> and </w:t>
      </w:r>
      <w:r>
        <w:rPr>
          <w:rFonts w:ascii="Times New Roman;Times;serif" w:hAnsi="Times New Roman;Times;serif"/>
          <w:sz w:val="20"/>
          <w:u w:val="single"/>
        </w:rPr>
        <w:t>6.02</w:t>
      </w:r>
      <w:r>
        <w:rPr>
          <w:rFonts w:ascii="Times New Roman;Times;serif" w:hAnsi="Times New Roman;Times;serif"/>
          <w:sz w:val="20"/>
        </w:rPr>
        <w:t xml:space="preserve">, the execution of any instrument by a Holder or its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Company may set a record date for purposes of determining the identity of Holders of Securities entitled to vote or consent to any action referred to in </w:t>
      </w:r>
      <w:r>
        <w:rPr>
          <w:rFonts w:ascii="Times New Roman;Times;serif" w:hAnsi="Times New Roman;Times;serif"/>
          <w:sz w:val="20"/>
          <w:u w:val="single"/>
        </w:rPr>
        <w:t>Section 7.01</w:t>
      </w:r>
      <w:r>
        <w:rPr>
          <w:rFonts w:ascii="Times New Roman;Times;serif" w:hAnsi="Times New Roman;Times;serif"/>
          <w:sz w:val="20"/>
        </w:rPr>
        <w:t>, which record date may be set at any time or from time to time by notice to the Trustee, for any date or dates (in the case of any adjournment or resolicitation) not more than 90 calendar days nor less than 20 calendar days prior to the proposed date of such vote or consent, and thereafter, notwithstanding any other provisions hereof, only Holders of Securities of record on such record date shall be entitled to so vote or give such consent or to withdraw such vote or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7.03.</w:t>
      </w:r>
      <w:r>
        <w:rPr>
          <w:rFonts w:ascii="Times New Roman;Times;serif" w:hAnsi="Times New Roman;Times;serif"/>
          <w:sz w:val="20"/>
          <w:u w:val="single"/>
        </w:rPr>
        <w:t>Who May Be Deemed Owners of Securities</w:t>
      </w:r>
      <w:r>
        <w:rPr>
          <w:rFonts w:ascii="Times New Roman;Times;serif" w:hAnsi="Times New Roman;Times;serif"/>
          <w:sz w:val="20"/>
        </w:rPr>
        <w:t>.  The Company, each Guarantor, if any, the Trustee, any Paying Agent and any Registrar may deem and treat the person in whose name any Security of any series shall be registered in the Security Register on the applicable record date as the absolute owner of such Security (whether or not such Security shall be overdue and notwithstanding any notation of ownership or other writing thereon) for the purpose of receiving payment of or on account of the principal of (and premium, if any) and interest, if any, on such Security and for all other purposes; and none of the Company, any Guarantor, the Trustee, any Paying Agent or any Registrar shall be affected by any notice to the contrary. All such payments so made to, or upon the order of, any Holders shall be valid, and, to the extent of the sum or sums so paid, effectual to satisfy and discharge the liability of moneys payable upon any such Security.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7.04.</w:t>
      </w:r>
      <w:r>
        <w:rPr>
          <w:rFonts w:ascii="Times New Roman;Times;serif" w:hAnsi="Times New Roman;Times;serif"/>
          <w:sz w:val="20"/>
          <w:u w:val="single"/>
        </w:rPr>
        <w:t>Securities Owned by Company Deemed Not Outstandin</w:t>
      </w:r>
      <w:r>
        <w:rPr>
          <w:rFonts w:ascii="Times New Roman;Times;serif" w:hAnsi="Times New Roman;Times;serif"/>
          <w:sz w:val="20"/>
        </w:rPr>
        <w:t xml:space="preserve">g.  In determining whether the Holders of the requisite aggregate Principal Amount of Securities of any series have concurred in any direction, consent or waiver under this Indenture, Securities of such series which are owned by the Company, any Guarantor with respect to such series or any other obligor on the Securities of such series or by any person directly or indirectly controlling or controlled by or under direct or indirect common control with the Company, any such Guarantor or any other obligor on the Securities of such series shall be disregarded and deemed not to be outstanding for the purpose of any such determination, except that for the purpose of determining whether the Trustee shall be protected in relying on any such direction, consent or waiver only Securities which a Responsible Officer of the Trustee actually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any Guarantor or any other obligor upon the Securities or any person directly or indirectly controlling or controlled by or under direct or indirect common control with the Company, any Guarantor or any other obligor on the Securities. In case of a dispute as to such right, the advice of counsel shall be full protection in respect of any decision made by the Trustee in accordance with such advice. Upon request of the Trustee, the Company shall furnish to the Trustee promptly an Officers’ Certificate listing and identifying all Securities of any series, if any, known by the Company to be owned or held by or for the account of any of the above-described persons; and, subject to </w:t>
      </w:r>
      <w:r>
        <w:rPr>
          <w:rFonts w:ascii="Times New Roman;Times;serif" w:hAnsi="Times New Roman;Times;serif"/>
          <w:sz w:val="20"/>
          <w:u w:val="single"/>
        </w:rPr>
        <w:t>Sections 6.01</w:t>
      </w:r>
      <w:r>
        <w:rPr>
          <w:rFonts w:ascii="Times New Roman;Times;serif" w:hAnsi="Times New Roman;Times;serif"/>
          <w:sz w:val="20"/>
        </w:rPr>
        <w:t xml:space="preserve"> and </w:t>
      </w:r>
      <w:r>
        <w:rPr>
          <w:rFonts w:ascii="Times New Roman;Times;serif" w:hAnsi="Times New Roman;Times;serif"/>
          <w:sz w:val="20"/>
          <w:u w:val="single"/>
        </w:rPr>
        <w:t>6.02</w:t>
      </w:r>
      <w:r>
        <w:rPr>
          <w:rFonts w:ascii="Times New Roman;Times;serif" w:hAnsi="Times New Roman;Times;serif"/>
          <w:sz w:val="20"/>
        </w:rPr>
        <w:t>, the Trustee shall be entitled to accept such Officers’ Certificate as conclusive evidence of the facts therein set forth and of the fact that all Securities of such series not listed therein are outstanding for the purpose of any such determination.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7.05.</w:t>
      </w:r>
      <w:r>
        <w:rPr>
          <w:rFonts w:ascii="Times New Roman;Times;serif" w:hAnsi="Times New Roman;Times;serif"/>
          <w:sz w:val="20"/>
          <w:u w:val="single"/>
        </w:rPr>
        <w:t>Record Date for Action by Holders</w:t>
      </w:r>
      <w:r>
        <w:rPr>
          <w:rFonts w:ascii="Times New Roman;Times;serif" w:hAnsi="Times New Roman;Times;serif"/>
          <w:sz w:val="20"/>
        </w:rPr>
        <w:t xml:space="preserve">.  Whenever in this Indenture it is provided that Holders of a specified percentage in aggregate principal amount of the Securities of any series may take any action (including the making of any demand or request, the giving of any direction, notice, consent or waiver or the taking of any other action), other than any action taken at a meeting of Holders of such series called pursuant to Article 8, the Company may, but shall not be obligated to, fix a record date, which need not be the date provided in TIA </w:t>
      </w:r>
      <w:r>
        <w:rPr>
          <w:rFonts w:ascii="Times New Roman;Times;serif" w:hAnsi="Times New Roman;Times;serif"/>
          <w:sz w:val="20"/>
          <w:u w:val="single"/>
        </w:rPr>
        <w:t>Section 316(c)</w:t>
      </w:r>
      <w:r>
        <w:rPr>
          <w:rFonts w:ascii="Times New Roman;Times;serif" w:hAnsi="Times New Roman;Times;serif"/>
          <w:sz w:val="20"/>
        </w:rPr>
        <w:t xml:space="preserve"> to the extent it would otherwise be applicable, for the purpose of determining the Holders entitled to give their consent or take any other action described above or required or permitted to be taken pursuant to this Indenture. If a record date is fixed, then notwithstanding </w:t>
      </w:r>
      <w:r>
        <w:rPr>
          <w:rFonts w:ascii="Times New Roman;Times;serif" w:hAnsi="Times New Roman;Times;serif"/>
          <w:sz w:val="20"/>
          <w:u w:val="single"/>
        </w:rPr>
        <w:t>Section 7.06</w:t>
      </w:r>
      <w:r>
        <w:rPr>
          <w:rFonts w:ascii="Times New Roman;Times;serif" w:hAnsi="Times New Roman;Times;serif"/>
          <w:sz w:val="20"/>
        </w:rPr>
        <w:t>,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90 days after such record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7.06.</w:t>
      </w:r>
      <w:r>
        <w:rPr>
          <w:rFonts w:ascii="Times New Roman;Times;serif" w:hAnsi="Times New Roman;Times;serif"/>
          <w:sz w:val="20"/>
          <w:u w:val="single"/>
        </w:rPr>
        <w:t>Right of Revocation of Action Taken</w:t>
      </w:r>
      <w:r>
        <w:rPr>
          <w:rFonts w:ascii="Times New Roman;Times;serif" w:hAnsi="Times New Roman;Times;serif"/>
          <w:sz w:val="20"/>
        </w:rPr>
        <w:t xml:space="preserve">.  At any time prior to (but not after) the evidencing to the Trustee, as provided in </w:t>
      </w:r>
      <w:r>
        <w:rPr>
          <w:rFonts w:ascii="Times New Roman;Times;serif" w:hAnsi="Times New Roman;Times;serif"/>
          <w:sz w:val="20"/>
          <w:u w:val="single"/>
        </w:rPr>
        <w:t>Section 7.01</w:t>
      </w:r>
      <w:r>
        <w:rPr>
          <w:rFonts w:ascii="Times New Roman;Times;serif" w:hAnsi="Times New Roman;Times;serif"/>
          <w:sz w:val="20"/>
        </w:rPr>
        <w:t>, of the taking of any action by the Holders of the percentage in aggregate Principal Amount of the Securities of any series specified in this Indenture in connection with such action, any Holder of a Security the serial number of which is shown by the evidence to be included among the serial numbers of the Securities of the series the Holders of which have consented to such action may, by filing written notice at the Corporate Trust Office and upon proof of holding as provided in this Article 7, revoke such action so far as concerns such Security. Except as aforesaid, any such action taken by the Holder of any Security shall be conclusive and binding upon such Holder and upon all future holders and owners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series specified in this Indenture in connection with such action shall be conclusively binding upon the Company, each Guarantor with respect to such series, if any, the Trustee and the Holders of all the Securities of such series.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8</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MEETINGS OF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8.01.</w:t>
      </w:r>
      <w:r>
        <w:rPr>
          <w:rFonts w:ascii="Times New Roman;Times;serif" w:hAnsi="Times New Roman;Times;serif"/>
          <w:sz w:val="20"/>
          <w:u w:val="single"/>
        </w:rPr>
        <w:t>Purposes for Which Meeting May Be Called</w:t>
      </w:r>
      <w:r>
        <w:rPr>
          <w:rFonts w:ascii="Times New Roman;Times;serif" w:hAnsi="Times New Roman;Times;serif"/>
          <w:sz w:val="20"/>
        </w:rPr>
        <w:t>.  A meeting of Holders of Securities of any series may be called at any time and from time to time pursuant to the provisions of this Article 8 for any of the following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to give any notice to the Company, any Guarantor or to the Trustee, or to give any directions to the Trustee, or to consent to the waiving of any Default or Event of Default with respect to the Securities of such series hereunder and its consequences, or take any other action authorized to be taken by Holders of such series pursuant to any of the provisions of </w:t>
      </w:r>
      <w:r>
        <w:rPr>
          <w:rFonts w:ascii="Times New Roman;Times;serif" w:hAnsi="Times New Roman;Times;serif"/>
          <w:sz w:val="20"/>
          <w:u w:val="single"/>
        </w:rPr>
        <w:t>Article 5</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to remove the Trustee and appoint a successor trustee with respect to the Securities of such series pursuant to the provisions of Article 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to consent to the execution of an indenture or indentures supplemental hereto pursuant to the provisions of </w:t>
      </w:r>
      <w:r>
        <w:rPr>
          <w:rFonts w:ascii="Times New Roman;Times;serif" w:hAnsi="Times New Roman;Times;serif"/>
          <w:sz w:val="20"/>
          <w:u w:val="single"/>
        </w:rPr>
        <w:t>Section 9.02</w:t>
      </w:r>
      <w:r>
        <w:rPr>
          <w:rFonts w:ascii="Times New Roman;Times;serif" w:hAnsi="Times New Roman;Times;serif"/>
          <w:sz w:val="20"/>
        </w:rPr>
        <w: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to take any other action authorized to be taken by or on behalf of the Holders of the percentage in aggregate Principal Amount of the Securities of such series under any other provisions of this Indenture or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8.02.</w:t>
      </w:r>
      <w:r>
        <w:rPr>
          <w:rFonts w:ascii="Times New Roman;Times;serif" w:hAnsi="Times New Roman;Times;serif"/>
          <w:sz w:val="20"/>
          <w:u w:val="single"/>
        </w:rPr>
        <w:t>Manner of Calling Meetings; Record Date</w:t>
      </w:r>
      <w:r>
        <w:rPr>
          <w:rFonts w:ascii="Times New Roman;Times;serif" w:hAnsi="Times New Roman;Times;serif"/>
          <w:sz w:val="20"/>
        </w:rPr>
        <w:t xml:space="preserve">.  The Trustee may at any time call a meeting of Holders of any series to take any action specified in </w:t>
      </w:r>
      <w:r>
        <w:rPr>
          <w:rFonts w:ascii="Times New Roman;Times;serif" w:hAnsi="Times New Roman;Times;serif"/>
          <w:sz w:val="20"/>
          <w:u w:val="single"/>
        </w:rPr>
        <w:t>Section 8.01</w:t>
      </w:r>
      <w:r>
        <w:rPr>
          <w:rFonts w:ascii="Times New Roman;Times;serif" w:hAnsi="Times New Roman;Times;serif"/>
          <w:sz w:val="20"/>
        </w:rPr>
        <w:t xml:space="preserve">, to be held at such time and at such place in [●], or as the Trustee shall determine. Notice of every meeting of Holders of any series setting forth the time and the place of such meeting and in general terms the action proposed to be taken at such meeting, shall be mailed not less than 30 nor more than 60 calendar days prior to the date fixed for the meeting to such Holders at their registered addresses. For the purpose of determining Holders entitled to notice of any meeting of Holders, the Trustee shall fix in advance a date as the record date for such determination, such date to be a Business Day not more than 10 calendar days prior to the date of the mailing of such notice as hereinabove provided. Only persons in whose name a Security of such series is registered upon the books of the Company on a record date fixed by the Trustee as aforesaid, or by the Company or the Holders as in </w:t>
      </w:r>
      <w:r>
        <w:rPr>
          <w:rFonts w:ascii="Times New Roman;Times;serif" w:hAnsi="Times New Roman;Times;serif"/>
          <w:sz w:val="20"/>
          <w:u w:val="single"/>
        </w:rPr>
        <w:t>Section 8.03</w:t>
      </w:r>
      <w:r>
        <w:rPr>
          <w:rFonts w:ascii="Times New Roman;Times;serif" w:hAnsi="Times New Roman;Times;serif"/>
          <w:sz w:val="20"/>
        </w:rPr>
        <w:t xml:space="preserve"> provided, shall be entitled to notice of the meeting of Holders with respect to which such record date was so fixed.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8.03.</w:t>
      </w:r>
      <w:r>
        <w:rPr>
          <w:rFonts w:ascii="Times New Roman;Times;serif" w:hAnsi="Times New Roman;Times;serif"/>
          <w:sz w:val="20"/>
          <w:u w:val="single"/>
        </w:rPr>
        <w:t>Call of Meeting by Company or Holders</w:t>
      </w:r>
      <w:r>
        <w:rPr>
          <w:rFonts w:ascii="Times New Roman;Times;serif" w:hAnsi="Times New Roman;Times;serif"/>
          <w:sz w:val="20"/>
        </w:rPr>
        <w:t>.  In case at any time the Company or a Guarantor, if any, pursuant to a resolution of its Board of Directors, or the Holders of at least 10 percent in aggregate principal amount of the Securities of any series then outstanding, shall</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have requested the Trustee to call a meeting of the Holders of such series to take any action authorized in </w:t>
      </w:r>
      <w:r>
        <w:rPr>
          <w:rFonts w:ascii="Times New Roman;Times;serif" w:hAnsi="Times New Roman;Times;serif"/>
          <w:sz w:val="20"/>
          <w:u w:val="single"/>
        </w:rPr>
        <w:t>Section 8.01</w:t>
      </w:r>
      <w:r>
        <w:rPr>
          <w:rFonts w:ascii="Times New Roman;Times;serif" w:hAnsi="Times New Roman;Times;serif"/>
          <w:sz w:val="20"/>
        </w:rPr>
        <w:t xml:space="preserve"> by written request setting forth in reasonable detail the action proposed to be taken at the meeting, and the Trustee shall not have mailed notice of such meeting within 20 calendar days after receipt of such request, then the Company, any such Guarantor or the Holders of Securities of such series in the amount above specified may fix the record date with respect to, and determine the time and the place for, such meeting and may call such meeting to take any action authorized in </w:t>
      </w:r>
      <w:r>
        <w:rPr>
          <w:rFonts w:ascii="Times New Roman;Times;serif" w:hAnsi="Times New Roman;Times;serif"/>
          <w:sz w:val="20"/>
          <w:u w:val="single"/>
        </w:rPr>
        <w:t>Section 8.01</w:t>
      </w:r>
      <w:r>
        <w:rPr>
          <w:rFonts w:ascii="Times New Roman;Times;serif" w:hAnsi="Times New Roman;Times;serif"/>
          <w:sz w:val="20"/>
        </w:rPr>
        <w:t xml:space="preserve">, by mailing notice thereof as provided in </w:t>
      </w:r>
      <w:r>
        <w:rPr>
          <w:rFonts w:ascii="Times New Roman;Times;serif" w:hAnsi="Times New Roman;Times;serif"/>
          <w:sz w:val="20"/>
          <w:u w:val="single"/>
        </w:rPr>
        <w:t>Section 8.02</w:t>
      </w:r>
      <w:r>
        <w:rPr>
          <w:rFonts w:ascii="Times New Roman;Times;serif" w:hAnsi="Times New Roman;Times;serif"/>
          <w:sz w:val="20"/>
        </w:rPr>
        <w:t>. The record date fixed as provided in the preceding sentence shall be set forth in a written notice to the Trustee and shall be a Business Day not less than 15 nor more than 20 calendar days after the date on which such notice is sent to the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8.04.</w:t>
      </w:r>
      <w:r>
        <w:rPr>
          <w:rFonts w:ascii="Times New Roman;Times;serif" w:hAnsi="Times New Roman;Times;serif"/>
          <w:sz w:val="20"/>
          <w:u w:val="single"/>
        </w:rPr>
        <w:t>Who May Attend and Vote at Meetin</w:t>
      </w:r>
      <w:r>
        <w:rPr>
          <w:rFonts w:ascii="Times New Roman;Times;serif" w:hAnsi="Times New Roman;Times;serif"/>
          <w:sz w:val="20"/>
        </w:rPr>
        <w:t xml:space="preserve">g.  To be entitled to vote at any meeting of Holders of any series, a person shall be a Holder of one or more Securities of such series. The only persons who shall be entitled to be present or to speak at any meeting of Holders of any series shall be the persons entitled to vote at such meeting and their counsel, any representatives of the Trustee and its counsel, any representatives of the Company and its counsel, and any representatives of any Guarantor of such Securities and its counsel. When a determination of Holders entitled to vote at any meeting of Holders has been made as provided in this </w:t>
      </w:r>
      <w:r>
        <w:rPr>
          <w:rFonts w:ascii="Times New Roman;Times;serif" w:hAnsi="Times New Roman;Times;serif"/>
          <w:sz w:val="20"/>
          <w:u w:val="single"/>
        </w:rPr>
        <w:t>Section 8.04</w:t>
      </w:r>
      <w:r>
        <w:rPr>
          <w:rFonts w:ascii="Times New Roman;Times;serif" w:hAnsi="Times New Roman;Times;serif"/>
          <w:sz w:val="20"/>
        </w:rPr>
        <w:t>, such determination shall apply to any adjournment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8.05.</w:t>
      </w:r>
      <w:r>
        <w:rPr>
          <w:rFonts w:ascii="Times New Roman;Times;serif" w:hAnsi="Times New Roman;Times;serif"/>
          <w:sz w:val="20"/>
          <w:u w:val="single"/>
        </w:rPr>
        <w:t>Re</w:t>
      </w:r>
      <w:r>
        <w:rPr>
          <w:rFonts w:ascii="Times New Roman;Times;serif" w:hAnsi="Times New Roman;Times;serif"/>
          <w:sz w:val="20"/>
        </w:rPr>
        <w:t>g</w:t>
      </w:r>
      <w:r>
        <w:rPr>
          <w:rFonts w:ascii="Times New Roman;Times;serif" w:hAnsi="Times New Roman;Times;serif"/>
          <w:sz w:val="20"/>
          <w:u w:val="single"/>
        </w:rPr>
        <w:t>ulations</w:t>
      </w:r>
      <w:r>
        <w:rPr>
          <w:rFonts w:ascii="Times New Roman;Times;serif" w:hAnsi="Times New Roman;Times;serif"/>
          <w:sz w:val="20"/>
        </w:rPr>
        <w:t xml:space="preserve">.  Notwithstanding any other provisions of this Indenture, the Trustee may make such reasonable regulations as it may deem advisable for any meeting of Holders of any series, in regard to proof of the holding of the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 Except as otherwise permitted or required by any such regulations, the holding of the Securities of such series shall be provided in the manner specified in </w:t>
      </w:r>
      <w:r>
        <w:rPr>
          <w:rFonts w:ascii="Times New Roman;Times;serif" w:hAnsi="Times New Roman;Times;serif"/>
          <w:sz w:val="20"/>
          <w:u w:val="single"/>
        </w:rPr>
        <w:t>Section 8.06</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Trustee shall, by an instrument in writing, appoint a temporary chairman of the meeting, unless the meeting shall have been called by the Company or by Holders as provided in </w:t>
      </w:r>
      <w:r>
        <w:rPr>
          <w:rFonts w:ascii="Times New Roman;Times;serif" w:hAnsi="Times New Roman;Times;serif"/>
          <w:sz w:val="20"/>
          <w:u w:val="single"/>
        </w:rPr>
        <w:t>Section 8.03</w:t>
      </w:r>
      <w:r>
        <w:rPr>
          <w:rFonts w:ascii="Times New Roman;Times;serif" w:hAnsi="Times New Roman;Times;serif"/>
          <w:sz w:val="20"/>
        </w:rPr>
        <w:t>, in which case the Company or the Holders calling the meeting, as the case may be, shall in like manner appoint a temporary chairman. A permanent chairman and a permanent secretary of the meeting shall be elected by a vote of the Holders of a majority in Principal Amount of the Securities represented at the meeting and entitled to vote.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Subject to the provisions of </w:t>
      </w:r>
      <w:r>
        <w:rPr>
          <w:rFonts w:ascii="Times New Roman;Times;serif" w:hAnsi="Times New Roman;Times;serif"/>
          <w:sz w:val="20"/>
          <w:u w:val="single"/>
        </w:rPr>
        <w:t>Section 7.04</w:t>
      </w:r>
      <w:r>
        <w:rPr>
          <w:rFonts w:ascii="Times New Roman;Times;serif" w:hAnsi="Times New Roman;Times;serif"/>
          <w:sz w:val="20"/>
        </w:rPr>
        <w:t xml:space="preserve">, at any meeting each Holder or proxy entitled to vote thereat shall be entitled to one vote for each $1,000 principal amount of Securities of such series held or represented by him; </w:t>
      </w:r>
      <w:r>
        <w:rPr>
          <w:rFonts w:ascii="Times New Roman;Times;serif" w:hAnsi="Times New Roman;Times;serif"/>
          <w:sz w:val="20"/>
          <w:u w:val="single"/>
        </w:rPr>
        <w:t>provided</w:t>
      </w:r>
      <w:r>
        <w:rPr>
          <w:rFonts w:ascii="Times New Roman;Times;serif" w:hAnsi="Times New Roman;Times;serif"/>
          <w:sz w:val="20"/>
        </w:rPr>
        <w:t xml:space="preserve"> that no vote shall be cast or counted at any meeting in respect of any Security challenged as not outstanding and ruled by the chairman of the meeting to be not outstanding. The chairman of the meeting shall have no right to vote other than by virtue of Securities held by him or instruments in writing as aforesaid duly designating him as the person to vote on behalf of other Holders. Any meeting of Holders duly called pursuant to the provisions of </w:t>
      </w:r>
      <w:r>
        <w:rPr>
          <w:rFonts w:ascii="Times New Roman;Times;serif" w:hAnsi="Times New Roman;Times;serif"/>
          <w:sz w:val="20"/>
          <w:u w:val="single"/>
        </w:rPr>
        <w:t>Section 8.02</w:t>
      </w:r>
      <w:r>
        <w:rPr>
          <w:rFonts w:ascii="Times New Roman;Times;serif" w:hAnsi="Times New Roman;Times;serif"/>
          <w:sz w:val="20"/>
        </w:rPr>
        <w:t xml:space="preserve"> or </w:t>
      </w:r>
      <w:r>
        <w:rPr>
          <w:rFonts w:ascii="Times New Roman;Times;serif" w:hAnsi="Times New Roman;Times;serif"/>
          <w:sz w:val="20"/>
          <w:u w:val="single"/>
        </w:rPr>
        <w:t>8.03</w:t>
      </w:r>
      <w:r>
        <w:rPr>
          <w:rFonts w:ascii="Times New Roman;Times;serif" w:hAnsi="Times New Roman;Times;serif"/>
          <w:sz w:val="20"/>
        </w:rPr>
        <w:t xml:space="preserve"> may be adjourned from time to time, and the meeting may be held as so adjourned without further notice.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any meeting of Holders of any series, the presence of persons who held, or who are acting as proxy for persons who held, an aggregate Principal Amount of Securities of such series on the record date for such meeting sufficient to take action on the business for the transaction of which such meeting was called shall constitute a quorum, but, if less than a quorum is present, the persons holding or representing a majority in aggregate Principal Amount of the Securities of such series represented at the meeting may adjourn such meeting with the same effect, for all intents and purposes, as though a quorum had been present.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8.06.</w:t>
      </w:r>
      <w:r>
        <w:rPr>
          <w:rFonts w:ascii="Times New Roman;Times;serif" w:hAnsi="Times New Roman;Times;serif"/>
          <w:sz w:val="20"/>
          <w:u w:val="single"/>
        </w:rPr>
        <w:t>Manner of Voting at Meetings and Record to be Kept</w:t>
      </w:r>
      <w:r>
        <w:rPr>
          <w:rFonts w:ascii="Times New Roman;Times;serif" w:hAnsi="Times New Roman;Times;serif"/>
          <w:sz w:val="20"/>
        </w:rPr>
        <w:t xml:space="preserve">.  The vote upon any resolution submitted to any meeting of Holders of any series shall be by written ballots on each of which shall be subscribed the signature of the Holder or proxy casting such ballot and the identifying number or numbers of the Securities of such series held or represented in respect of which such ballot is cast.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w:t>
      </w:r>
      <w:r>
        <w:rPr>
          <w:rFonts w:ascii="Times New Roman;Times;serif" w:hAnsi="Times New Roman;Times;serif"/>
          <w:sz w:val="20"/>
          <w:u w:val="single"/>
        </w:rPr>
        <w:t>Section 8.02</w:t>
      </w:r>
      <w:r>
        <w:rPr>
          <w:rFonts w:ascii="Times New Roman;Times;serif" w:hAnsi="Times New Roman;Times;serif"/>
          <w:sz w:val="20"/>
        </w:rPr>
        <w:t>. The record shall show the identifying numbers of the Securities of such series voting in favor of or against any resolution. Each counterpart of such record shall be signed and verified by the affidavits of the permanent chairman and secretary of the meeting and one of the counterparts shall be delivered to the Company and the other to the Trustee to be preserved by the Trustee.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Any counterpart record so signed and verified shall be conclusive evidence of the matters therein stated and shall be the record referred to in clause (b) of </w:t>
      </w:r>
      <w:r>
        <w:rPr>
          <w:rFonts w:ascii="Times New Roman;Times;serif" w:hAnsi="Times New Roman;Times;serif"/>
          <w:sz w:val="20"/>
          <w:u w:val="single"/>
        </w:rPr>
        <w:t>Section 7.01</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8.07.</w:t>
      </w:r>
      <w:r>
        <w:rPr>
          <w:rFonts w:ascii="Times New Roman;Times;serif" w:hAnsi="Times New Roman;Times;serif"/>
          <w:sz w:val="20"/>
          <w:u w:val="single"/>
        </w:rPr>
        <w:t>Exercise of Ri</w:t>
      </w:r>
      <w:r>
        <w:rPr>
          <w:rFonts w:ascii="Times New Roman;Times;serif" w:hAnsi="Times New Roman;Times;serif"/>
          <w:sz w:val="20"/>
        </w:rPr>
        <w:t>g</w:t>
      </w:r>
      <w:r>
        <w:rPr>
          <w:rFonts w:ascii="Times New Roman;Times;serif" w:hAnsi="Times New Roman;Times;serif"/>
          <w:sz w:val="20"/>
          <w:u w:val="single"/>
        </w:rPr>
        <w:t>hts of Trustee and Holders Not to be Hindered or Delayed</w:t>
      </w:r>
      <w:r>
        <w:rPr>
          <w:rFonts w:ascii="Times New Roman;Times;serif" w:hAnsi="Times New Roman;Times;serif"/>
          <w:sz w:val="20"/>
        </w:rPr>
        <w:t>.  Nothing in this Article 8 contained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of any series under any of the provisions of this Indenture or of the Securities of such series.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9</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SUPPLEMENTAL INDENTURES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9.01.</w:t>
      </w:r>
      <w:r>
        <w:rPr>
          <w:rFonts w:ascii="Times New Roman;Times;serif" w:hAnsi="Times New Roman;Times;serif"/>
          <w:sz w:val="20"/>
          <w:u w:val="single"/>
        </w:rPr>
        <w:t>Supplemental Indentures Without Consent of Holders</w:t>
      </w:r>
      <w:r>
        <w:rPr>
          <w:rFonts w:ascii="Times New Roman;Times;serif" w:hAnsi="Times New Roman;Times;serif"/>
          <w:sz w:val="20"/>
        </w:rPr>
        <w:t>.  The Company, the Guarantors, if any, and the Trustee may amend or supplement this Indenture or the Securities of any series or waive any provision hereof or thereof without the consent of any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to cure any ambiguity, defect or inconsistency in a manner that does not, individually or in the aggregate with all other changes, adversely affect the rights of any Holder of the Securities of any series in any material respect;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to provide for uncertificated Securities in addition to or in place of certificated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to evidence the assumption of the obligations of the Company or a Guarantor to the Holders of the Securities in the case of any transaction pursuant to Article 10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to evidence and provide for the acceptance of appointment hereunder by a successor trustee and to add to or change any of the provisions of the Indenture as shall be necessary to provide for or facilitate the administration of the trusts hereunder by more than one trustee;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make any change that would provide any additional rights or benefits to the Holders of all or any series of Securities or that does not adversely affect the legal rights hereunder of any such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to comply with requirements of the Commission in order to effect or maintain the qualification of this Indenture under the Trust Indenture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to establish the form or terms of Securities of any series as permitted by </w:t>
      </w:r>
      <w:r>
        <w:rPr>
          <w:rFonts w:ascii="Times New Roman;Times;serif" w:hAnsi="Times New Roman;Times;serif"/>
          <w:sz w:val="20"/>
          <w:u w:val="single"/>
        </w:rPr>
        <w:t>Sections 2.01</w:t>
      </w:r>
      <w:r>
        <w:rPr>
          <w:rFonts w:ascii="Times New Roman;Times;serif" w:hAnsi="Times New Roman;Times;serif"/>
          <w:sz w:val="20"/>
        </w:rPr>
        <w:t xml:space="preserve"> and </w:t>
      </w:r>
      <w:r>
        <w:rPr>
          <w:rFonts w:ascii="Times New Roman;Times;serif" w:hAnsi="Times New Roman;Times;serif"/>
          <w:sz w:val="20"/>
          <w:u w:val="single"/>
        </w:rPr>
        <w:t>3.01</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to secure the Company’s obligations in respect of the Securities of any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to add an additional Guarantor in respect of the Securities of any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in the case of convertible or exchangeable Securities of any series, subject to the provisions of the supplemental indenture for such series of Securities, to provide for conversion rights, exchange rights and/or repurchase rights of Holders of such series of Securities in connection with any reclassification or change of the Company’s common stock or in the event of any amalgamation, consolidation, merger or sale of all or substantially all of the assets of the Company or its Subsidiaries substantially as an entirety occurs;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in the case of convertible or exchangeable Securities of any series, to reduce the conversion price or exchange price applicable to such series of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 xml:space="preserve">in the case of convertible or exchangeable Securities of any series, to increase the conversion rate or exchange ratio in the manner described in the supplemental indenture for such series of Securities, </w:t>
      </w:r>
      <w:r>
        <w:rPr>
          <w:rFonts w:ascii="Times New Roman;Times;serif" w:hAnsi="Times New Roman;Times;serif"/>
          <w:sz w:val="20"/>
          <w:u w:val="single"/>
        </w:rPr>
        <w:t>provided</w:t>
      </w:r>
      <w:r>
        <w:rPr>
          <w:rFonts w:ascii="Times New Roman;Times;serif" w:hAnsi="Times New Roman;Times;serif"/>
          <w:sz w:val="20"/>
        </w:rPr>
        <w:t xml:space="preserve"> that the increase will not adversely affect the interests of the Holders of the Securities of such series in any material respect;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 xml:space="preserve">any other action to amend or supplement the Indenture or the Securities of any series as set forth in the supplemental indenture establishing the terms of the Securities of that series as provided in </w:t>
      </w:r>
      <w:r>
        <w:rPr>
          <w:rFonts w:ascii="Times New Roman;Times;serif" w:hAnsi="Times New Roman;Times;serif"/>
          <w:sz w:val="20"/>
          <w:u w:val="single"/>
        </w:rPr>
        <w:t>Section 3.01(b)</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the request of the Company accompanied by a resolution of its Board of Directors authorizing the execution of any such supplemental indenture, and upon receipt by the Trustee of</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documents described in </w:t>
      </w:r>
      <w:r>
        <w:rPr>
          <w:rFonts w:ascii="Times New Roman;Times;serif" w:hAnsi="Times New Roman;Times;serif"/>
          <w:sz w:val="20"/>
          <w:u w:val="single"/>
        </w:rPr>
        <w:t>Section 9.04</w:t>
      </w:r>
      <w:r>
        <w:rPr>
          <w:rFonts w:ascii="Times New Roman;Times;serif" w:hAnsi="Times New Roman;Times;serif"/>
          <w:sz w:val="20"/>
        </w:rPr>
        <w:t xml:space="preserve"> hereof, the Trustee shall join with the Company and the Guarantors, if any, in the execution of any supplemental indenture authorized or permitted by the terms of this Indenture and to make any further appropriate agreements and stipulations which may be therein contained, but the Trustee shall not be obligated to enter into such supplemental indenture which affects its own rights, duties or immunities under this Indenture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9.02.</w:t>
      </w:r>
      <w:r>
        <w:rPr>
          <w:rFonts w:ascii="Times New Roman;Times;serif" w:hAnsi="Times New Roman;Times;serif"/>
          <w:sz w:val="20"/>
          <w:u w:val="single"/>
        </w:rPr>
        <w:t>With Consent of Holders</w:t>
      </w:r>
      <w:r>
        <w:rPr>
          <w:rFonts w:ascii="Times New Roman;Times;serif" w:hAnsi="Times New Roman;Times;serif"/>
          <w:sz w:val="20"/>
        </w:rPr>
        <w:t>.  Except as provided in the next succeeding paragraphs, this Indenture or the Securities may be amended or supplemented with the consent of the Holders of at least a majority in aggregate Principal Amount of all the Securities then outstanding affected by such supplemental indenture (acting as a single class).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Upon the request of the Company accompanied by a resolution of its Board of Directors authorizing the execution of any such supplemental indenture, and upon the filing with the Trustee of evidence satisfactory to the Trustee of the consent of the Holders as aforesaid, and upon receipt by the Trustee of the documents described in </w:t>
      </w:r>
      <w:r>
        <w:rPr>
          <w:rFonts w:ascii="Times New Roman;Times;serif" w:hAnsi="Times New Roman;Times;serif"/>
          <w:sz w:val="20"/>
          <w:u w:val="single"/>
        </w:rPr>
        <w:t>Section 9.04</w:t>
      </w:r>
      <w:r>
        <w:rPr>
          <w:rFonts w:ascii="Times New Roman;Times;serif" w:hAnsi="Times New Roman;Times;serif"/>
          <w:sz w:val="20"/>
        </w:rPr>
        <w:t xml:space="preserve"> hereof, the Trustee shall join with the Company and the Guarantors, if 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It shall not be necessary for the consent of the Holders under this </w:t>
      </w:r>
      <w:r>
        <w:rPr>
          <w:rFonts w:ascii="Times New Roman;Times;serif" w:hAnsi="Times New Roman;Times;serif"/>
          <w:sz w:val="20"/>
          <w:u w:val="single"/>
        </w:rPr>
        <w:t>Section 9.02</w:t>
      </w:r>
      <w:r>
        <w:rPr>
          <w:rFonts w:ascii="Times New Roman;Times;serif" w:hAnsi="Times New Roman;Times;serif"/>
          <w:sz w:val="20"/>
        </w:rPr>
        <w:t xml:space="preserve"> to approve the particular form of any proposed amendment or waiver, but it shall be sufficient if such consent approves the substance thereof.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After an amendment, supplement or waiver under this Section becomes effective, the Company shall mail to the Holders affected thereby a notice briefly describing the amendment, supplement or waiver. Any failure of the Company to mail such notice, or any defect therein, shall not, however, in any way impair or affect the validity of any such supplemental indenture or waiver. Subject to </w:t>
      </w:r>
      <w:r>
        <w:rPr>
          <w:rFonts w:ascii="Times New Roman;Times;serif" w:hAnsi="Times New Roman;Times;serif"/>
          <w:sz w:val="20"/>
          <w:u w:val="single"/>
        </w:rPr>
        <w:t>Sections 5.02(b)</w:t>
      </w:r>
      <w:r>
        <w:rPr>
          <w:rFonts w:ascii="Times New Roman;Times;serif" w:hAnsi="Times New Roman;Times;serif"/>
          <w:sz w:val="20"/>
        </w:rPr>
        <w:t xml:space="preserve">, </w:t>
      </w:r>
      <w:r>
        <w:rPr>
          <w:rFonts w:ascii="Times New Roman;Times;serif" w:hAnsi="Times New Roman;Times;serif"/>
          <w:sz w:val="20"/>
          <w:u w:val="single"/>
        </w:rPr>
        <w:t>5.04</w:t>
      </w:r>
      <w:r>
        <w:rPr>
          <w:rFonts w:ascii="Times New Roman;Times;serif" w:hAnsi="Times New Roman;Times;serif"/>
          <w:sz w:val="20"/>
        </w:rPr>
        <w:t xml:space="preserve"> and </w:t>
      </w:r>
      <w:r>
        <w:rPr>
          <w:rFonts w:ascii="Times New Roman;Times;serif" w:hAnsi="Times New Roman;Times;serif"/>
          <w:sz w:val="20"/>
          <w:u w:val="single"/>
        </w:rPr>
        <w:t>5.07</w:t>
      </w:r>
      <w:r>
        <w:rPr>
          <w:rFonts w:ascii="Times New Roman;Times;serif" w:hAnsi="Times New Roman;Times;serif"/>
          <w:sz w:val="20"/>
        </w:rPr>
        <w:t xml:space="preserve"> hereof, the application of or compliance with, either generally or in a particular instance, of any provision of this Indenture or the Securities may be waived as to each series of Securities by the Holders of a majority in aggregate principal amount of the outstanding Securities of that series.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Without the consent of each Holder affected hereby, however, an amendment or waiver may not: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reduce the percentage in Principal Amount of Securities of any series whose Holders must consent to an amendment, supplement or waiver;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change the Stated Maturity of the principal of, or any installment of principal of or interest on, or time for payment of interest on, any Security, or reduce the Principal Amount thereof or the rate of interest thereon or any premium payable upon the redemption thereof, or change any Payment Office where, or the coin or currency in which, any Security or any premium or interest thereon is payable, or impair the right to institute suit for the enforcement of any such payment on or after the Stated Maturity thereof (or, in the case of redemption, on or after the redemption date);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modify any of the provisions of this </w:t>
      </w:r>
      <w:r>
        <w:rPr>
          <w:rFonts w:ascii="Times New Roman;Times;serif" w:hAnsi="Times New Roman;Times;serif"/>
          <w:sz w:val="20"/>
          <w:u w:val="single"/>
        </w:rPr>
        <w:t>Section 9.02</w:t>
      </w:r>
      <w:r>
        <w:rPr>
          <w:rFonts w:ascii="Times New Roman;Times;serif" w:hAnsi="Times New Roman;Times;serif"/>
          <w:sz w:val="20"/>
        </w:rPr>
        <w:t xml:space="preserve">, </w:t>
      </w:r>
      <w:r>
        <w:rPr>
          <w:rFonts w:ascii="Times New Roman;Times;serif" w:hAnsi="Times New Roman;Times;serif"/>
          <w:sz w:val="20"/>
          <w:u w:val="single"/>
        </w:rPr>
        <w:t>Section 5.04</w:t>
      </w:r>
      <w:r>
        <w:rPr>
          <w:rFonts w:ascii="Times New Roman;Times;serif" w:hAnsi="Times New Roman;Times;serif"/>
          <w:sz w:val="20"/>
        </w:rPr>
        <w:t xml:space="preserve"> or </w:t>
      </w:r>
      <w:r>
        <w:rPr>
          <w:rFonts w:ascii="Times New Roman;Times;serif" w:hAnsi="Times New Roman;Times;serif"/>
          <w:sz w:val="20"/>
          <w:u w:val="single"/>
        </w:rPr>
        <w:t>Section 4.06</w:t>
      </w:r>
      <w:r>
        <w:rPr>
          <w:rFonts w:ascii="Times New Roman;Times;serif" w:hAnsi="Times New Roman;Times;serif"/>
          <w:sz w:val="20"/>
        </w:rPr>
        <w:t xml:space="preserve">, except to increase the percentage in Principal Amount of Holders required under any such Section or to provide that certain other provisions of this Indenture cannot be modified or waived without the consent of the Holder of each outstanding Security affected thereby, </w:t>
      </w:r>
      <w:r>
        <w:rPr>
          <w:rFonts w:ascii="Times New Roman;Times;serif" w:hAnsi="Times New Roman;Times;serif"/>
          <w:sz w:val="20"/>
          <w:u w:val="single"/>
        </w:rPr>
        <w:t>provided</w:t>
      </w:r>
      <w:r>
        <w:rPr>
          <w:rFonts w:ascii="Times New Roman;Times;serif" w:hAnsi="Times New Roman;Times;serif"/>
          <w:sz w:val="20"/>
        </w:rPr>
        <w:t xml:space="preserve"> that this clause (c) will not be deemed to require the consent of any Holder with respect to changes in the references to “</w:t>
      </w:r>
      <w:r>
        <w:rPr>
          <w:rFonts w:ascii="Times New Roman;Times;serif" w:hAnsi="Times New Roman;Times;serif"/>
          <w:b/>
          <w:sz w:val="20"/>
        </w:rPr>
        <w:t>the Trustee</w:t>
      </w:r>
      <w:r>
        <w:rPr>
          <w:rFonts w:ascii="Times New Roman;Times;serif" w:hAnsi="Times New Roman;Times;serif"/>
          <w:sz w:val="20"/>
        </w:rPr>
        <w:t xml:space="preserve">” and concomitant changes in this </w:t>
      </w:r>
      <w:r>
        <w:rPr>
          <w:rFonts w:ascii="Times New Roman;Times;serif" w:hAnsi="Times New Roman;Times;serif"/>
          <w:sz w:val="20"/>
          <w:u w:val="single"/>
        </w:rPr>
        <w:t>Section 9.02</w:t>
      </w:r>
      <w:r>
        <w:rPr>
          <w:rFonts w:ascii="Times New Roman;Times;serif" w:hAnsi="Times New Roman;Times;serif"/>
          <w:sz w:val="20"/>
        </w:rPr>
        <w:t xml:space="preserve">, </w:t>
      </w:r>
      <w:r>
        <w:rPr>
          <w:rFonts w:ascii="Times New Roman;Times;serif" w:hAnsi="Times New Roman;Times;serif"/>
          <w:sz w:val="20"/>
          <w:u w:val="single"/>
        </w:rPr>
        <w:t>Section 5.02(b)</w:t>
      </w:r>
      <w:r>
        <w:rPr>
          <w:rFonts w:ascii="Times New Roman;Times;serif" w:hAnsi="Times New Roman;Times;serif"/>
          <w:sz w:val="20"/>
        </w:rPr>
        <w:t xml:space="preserve">, </w:t>
      </w:r>
      <w:r>
        <w:rPr>
          <w:rFonts w:ascii="Times New Roman;Times;serif" w:hAnsi="Times New Roman;Times;serif"/>
          <w:sz w:val="20"/>
          <w:u w:val="single"/>
        </w:rPr>
        <w:t>Section 5.04</w:t>
      </w:r>
      <w:r>
        <w:rPr>
          <w:rFonts w:ascii="Times New Roman;Times;serif" w:hAnsi="Times New Roman;Times;serif"/>
          <w:sz w:val="20"/>
        </w:rPr>
        <w:t xml:space="preserve"> and </w:t>
      </w:r>
      <w:r>
        <w:rPr>
          <w:rFonts w:ascii="Times New Roman;Times;serif" w:hAnsi="Times New Roman;Times;serif"/>
          <w:sz w:val="20"/>
          <w:u w:val="single"/>
        </w:rPr>
        <w:t>Section 4.06</w:t>
      </w:r>
      <w:r>
        <w:rPr>
          <w:rFonts w:ascii="Times New Roman;Times;serif" w:hAnsi="Times New Roman;Times;serif"/>
          <w:sz w:val="20"/>
        </w:rPr>
        <w:t xml:space="preserve">, or the deletion of this proviso, in accordance with the requirements of </w:t>
      </w:r>
      <w:r>
        <w:rPr>
          <w:rFonts w:ascii="Times New Roman;Times;serif" w:hAnsi="Times New Roman;Times;serif"/>
          <w:sz w:val="20"/>
          <w:u w:val="single"/>
        </w:rPr>
        <w:t>Section 6.11</w:t>
      </w:r>
      <w:r>
        <w:rPr>
          <w:rFonts w:ascii="Times New Roman;Times;serif" w:hAnsi="Times New Roman;Times;serif"/>
          <w:sz w:val="20"/>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impair the rights of Holders of the Securities of any series that are exchangeable or convertible to receive payment or delivery of any consideration due upon the conversion or exchange of the Securities of that series;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change in any manner adverse to the interests of the Holders of any outstanding Securities the terms and conditions of the obligations of the Guarantors, if applicable, in respect of the due and punctual payment of the principal thereof (and premium, if any, thereon) and interest thereon or any additional amounts or any sinking fund or analogous payments provided in respect thereof;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modify or amend any of the provisions of the Indenture or Securities of any series as may be set forth in the supplemental indenture with respect to the Securities of that series as requiring the consent of each Holder affected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9.03.</w:t>
      </w:r>
      <w:r>
        <w:rPr>
          <w:rFonts w:ascii="Times New Roman;Times;serif" w:hAnsi="Times New Roman;Times;serif"/>
          <w:sz w:val="20"/>
          <w:u w:val="single"/>
        </w:rPr>
        <w:t>Effect of Su</w:t>
      </w:r>
      <w:r>
        <w:rPr>
          <w:rFonts w:ascii="Times New Roman;Times;serif" w:hAnsi="Times New Roman;Times;serif"/>
          <w:sz w:val="20"/>
        </w:rPr>
        <w:t>p</w:t>
      </w:r>
      <w:r>
        <w:rPr>
          <w:rFonts w:ascii="Times New Roman;Times;serif" w:hAnsi="Times New Roman;Times;serif"/>
          <w:sz w:val="20"/>
          <w:u w:val="single"/>
        </w:rPr>
        <w:t>plemental Indenture</w:t>
      </w:r>
      <w:r>
        <w:rPr>
          <w:rFonts w:ascii="Times New Roman;Times;serif" w:hAnsi="Times New Roman;Times;serif"/>
          <w:sz w:val="20"/>
        </w:rPr>
        <w:t>.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Company, each Guarantor, if 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9.04.</w:t>
      </w:r>
      <w:r>
        <w:rPr>
          <w:rFonts w:ascii="Times New Roman;Times;serif" w:hAnsi="Times New Roman;Times;serif"/>
          <w:sz w:val="20"/>
          <w:u w:val="single"/>
        </w:rPr>
        <w:t>Documents to Be Given to Trustee</w:t>
      </w:r>
      <w:r>
        <w:rPr>
          <w:rFonts w:ascii="Times New Roman;Times;serif" w:hAnsi="Times New Roman;Times;serif"/>
          <w:sz w:val="20"/>
        </w:rPr>
        <w:t>;</w:t>
      </w:r>
      <w:r>
        <w:rPr>
          <w:rFonts w:ascii="Times New Roman;Times;serif" w:hAnsi="Times New Roman;Times;serif"/>
          <w:sz w:val="20"/>
          <w:u w:val="single"/>
        </w:rPr>
        <w:t xml:space="preserve"> Compliance with TIA</w:t>
      </w:r>
      <w:r>
        <w:rPr>
          <w:rFonts w:ascii="Times New Roman;Times;serif" w:hAnsi="Times New Roman;Times;serif"/>
          <w:sz w:val="20"/>
        </w:rPr>
        <w:t xml:space="preserve">.  The Trustee, subject to the provisions of </w:t>
      </w:r>
      <w:r>
        <w:rPr>
          <w:rFonts w:ascii="Times New Roman;Times;serif" w:hAnsi="Times New Roman;Times;serif"/>
          <w:sz w:val="20"/>
          <w:u w:val="single"/>
        </w:rPr>
        <w:t>Sections 6.01</w:t>
      </w:r>
      <w:r>
        <w:rPr>
          <w:rFonts w:ascii="Times New Roman;Times;serif" w:hAnsi="Times New Roman;Times;serif"/>
          <w:sz w:val="20"/>
        </w:rPr>
        <w:t xml:space="preserve"> and </w:t>
      </w:r>
      <w:r>
        <w:rPr>
          <w:rFonts w:ascii="Times New Roman;Times;serif" w:hAnsi="Times New Roman;Times;serif"/>
          <w:sz w:val="20"/>
          <w:u w:val="single"/>
        </w:rPr>
        <w:t>6.02</w:t>
      </w:r>
      <w:r>
        <w:rPr>
          <w:rFonts w:ascii="Times New Roman;Times;serif" w:hAnsi="Times New Roman;Times;serif"/>
          <w:sz w:val="20"/>
        </w:rPr>
        <w:t>, shall be entitled to receive and conclusively rely upon an Officers’ Certificate and an Opinion of Counsel as conclusive evidence that any such supplemental indenture is permitted or authorized under and otherwise complies with the applicable provisions of this Indenture. Every such supplemental indenture shall comply with the TIA.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9.05.</w:t>
      </w:r>
      <w:r>
        <w:rPr>
          <w:rFonts w:ascii="Times New Roman;Times;serif" w:hAnsi="Times New Roman;Times;serif"/>
          <w:sz w:val="20"/>
          <w:u w:val="single"/>
        </w:rPr>
        <w:t>Notation on Securities in Respect of Su</w:t>
      </w:r>
      <w:r>
        <w:rPr>
          <w:rFonts w:ascii="Times New Roman;Times;serif" w:hAnsi="Times New Roman;Times;serif"/>
          <w:sz w:val="20"/>
        </w:rPr>
        <w:t>p</w:t>
      </w:r>
      <w:r>
        <w:rPr>
          <w:rFonts w:ascii="Times New Roman;Times;serif" w:hAnsi="Times New Roman;Times;serif"/>
          <w:sz w:val="20"/>
          <w:u w:val="single"/>
        </w:rPr>
        <w:t>plemental Indentures</w:t>
      </w:r>
      <w:r>
        <w:rPr>
          <w:rFonts w:ascii="Times New Roman;Times;serif" w:hAnsi="Times New Roman;Times;serif"/>
          <w:sz w:val="20"/>
        </w:rPr>
        <w:t>.  Securities authenticated and delivered after the execution of any supplemental indenture pursuant to the provisions of this Article may bear a notation approved by the Trustee as to form (but not as to substance) as to any matter provided for by such supplemental indenture or as to any action taken at any such meeting. If the Company, any applicable Guarantor or the Trustee shall so determine, new Securities of any series so modified as to conform, in the opinion of the Trustee and the Board of Directors of the Company, to any modification of this Indenture contained in any such supplemental indenture may be prepared by the Company, endorsed by any such Guarantor,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authenticated by the Trustee and delivered in exchange for the Securities of such series then outstanding.</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10</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CONSOLIDATION, MERGER OR SALE OF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10.01.</w:t>
      </w:r>
      <w:r>
        <w:rPr>
          <w:rFonts w:ascii="Times New Roman;Times;serif" w:hAnsi="Times New Roman;Times;serif"/>
          <w:sz w:val="20"/>
          <w:u w:val="single"/>
        </w:rPr>
        <w:t>When the Company May Merge, Etc.</w:t>
      </w:r>
      <w:r>
        <w:rPr>
          <w:rFonts w:ascii="Times New Roman;Times;serif" w:hAnsi="Times New Roman;Times;serif"/>
          <w:sz w:val="20"/>
        </w:rPr>
        <w:t xml:space="preserve">  The Company shall not consolidate with or merge with or into, or sell, transfer, lease, convey or otherwise dispose of all or substantially all of its assets to, another Person (including pursuant to a statutory arrangement), whether in a single transaction or series of related transactions, unless: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is the surviving entity or the Person formed by or surviving any such consolidation or merger or to which such sale, transfer, lease, conveyance or other disposition is made shall be a Person organized and existing under the laws of the United States of America or any State or the District of Columbia, and shall expressly assume, by an indenture supplemental hereto, executed and delivered to the Trustee, the due and punctual payment of the principal of (and premium, if any) and interest, if any, on all the Securities and the performance or observance of every covenant of this Indenture of the part of the Company to be performed or observed;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immediately after giving effect to such transaction, no Event of Default, and no event which, after notice or lapse of time, or both, would become an Event of Default, shall have happened and be continuing;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has delivered to the Trustee an Officers’ Certificate and an Opinion of Counsel each stating that such consolidation, merger, conveyance or transfer and, if a supplemental indenture is required in connection with such transaction, such supplemental indenture comply with this Article and that all conditions precedent herein provided for relating to such transaction have been complied 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10.02.</w:t>
      </w:r>
      <w:r>
        <w:rPr>
          <w:rFonts w:ascii="Times New Roman;Times;serif" w:hAnsi="Times New Roman;Times;serif"/>
          <w:sz w:val="20"/>
          <w:u w:val="single"/>
        </w:rPr>
        <w:t>Successor Person Substituted</w:t>
      </w:r>
      <w:r>
        <w:rPr>
          <w:rFonts w:ascii="Times New Roman;Times;serif" w:hAnsi="Times New Roman;Times;serif"/>
          <w:sz w:val="20"/>
        </w:rPr>
        <w:t xml:space="preserve">.  Upon any consolidation or merger, or any sale, transfer, lease, conveyance or other disposition of all or substantially all of the assets of the Company in accordance with </w:t>
      </w:r>
      <w:r>
        <w:rPr>
          <w:rFonts w:ascii="Times New Roman;Times;serif" w:hAnsi="Times New Roman;Times;serif"/>
          <w:sz w:val="20"/>
          <w:u w:val="single"/>
        </w:rPr>
        <w:t>Section 10.01</w:t>
      </w:r>
      <w:r>
        <w:rPr>
          <w:rFonts w:ascii="Times New Roman;Times;serif" w:hAnsi="Times New Roman;Times;serif"/>
          <w:sz w:val="20"/>
        </w:rPr>
        <w:t xml:space="preserve"> hereof, the successor Person formed by such consolidation or into or with which the Company is merged or to which such sale, transfer, lease, conveyance or other disposition is made shall succeed to, and, except in the case of a lease, be substituted for (so that from and after the date of such consolidation, merger, sale, transfer, conveyance or other disposition, the provisions of this Indenture referring to the “</w:t>
      </w:r>
      <w:r>
        <w:rPr>
          <w:rFonts w:ascii="Times New Roman;Times;serif" w:hAnsi="Times New Roman;Times;serif"/>
          <w:b/>
          <w:sz w:val="20"/>
        </w:rPr>
        <w:t>Company</w:t>
      </w:r>
      <w:r>
        <w:rPr>
          <w:rFonts w:ascii="Times New Roman;Times;serif" w:hAnsi="Times New Roman;Times;serif"/>
          <w:sz w:val="20"/>
        </w:rPr>
        <w:t>” shall refer instead to the successor Person), and may exercise every right and power of, the Company under this Indenture with the same effect as if such successor Person had been named as the Company herein.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case of any such consolidation, merger, sale, transfer, lease, conveyance or other disposition such changes in phraseology and form (but not in substance) may be made in the Securities thereafter to be issued as may be appropriate. Notwithstanding the foregoing, (i) a consolidation or merger by the Company with or into, or (ii) the sale, transfer, lease, conveyance or other disposition by the Company of all or substantially all of its assets to, one or more of its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Subsidiaries shall not relieve the Company from its obligations under this Indenture and the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10.03.</w:t>
      </w:r>
      <w:r>
        <w:rPr>
          <w:rFonts w:ascii="Times New Roman;Times;serif" w:hAnsi="Times New Roman;Times;serif"/>
          <w:sz w:val="20"/>
          <w:u w:val="single"/>
        </w:rPr>
        <w:t>Opinion of Counsel to Trustee</w:t>
      </w:r>
      <w:r>
        <w:rPr>
          <w:rFonts w:ascii="Times New Roman;Times;serif" w:hAnsi="Times New Roman;Times;serif"/>
          <w:sz w:val="20"/>
        </w:rPr>
        <w:t xml:space="preserve">.  The Trustee, subject to the provisions of </w:t>
      </w:r>
      <w:r>
        <w:rPr>
          <w:rFonts w:ascii="Times New Roman;Times;serif" w:hAnsi="Times New Roman;Times;serif"/>
          <w:sz w:val="20"/>
          <w:u w:val="single"/>
        </w:rPr>
        <w:t>Sections 6.01</w:t>
      </w:r>
      <w:r>
        <w:rPr>
          <w:rFonts w:ascii="Times New Roman;Times;serif" w:hAnsi="Times New Roman;Times;serif"/>
          <w:sz w:val="20"/>
        </w:rPr>
        <w:t xml:space="preserve"> and </w:t>
      </w:r>
      <w:r>
        <w:rPr>
          <w:rFonts w:ascii="Times New Roman;Times;serif" w:hAnsi="Times New Roman;Times;serif"/>
          <w:sz w:val="20"/>
          <w:u w:val="single"/>
        </w:rPr>
        <w:t>6.02</w:t>
      </w:r>
      <w:r>
        <w:rPr>
          <w:rFonts w:ascii="Times New Roman;Times;serif" w:hAnsi="Times New Roman;Times;serif"/>
          <w:sz w:val="20"/>
        </w:rPr>
        <w:t>, may receive an Opinion of Counsel as conclusive evidence that any such consolidation, merger, sale, transfer, lease, conveyance or other disposition complies with the applicable provisions of this Indenture.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11</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REDEMPTION OF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11.01.</w:t>
      </w:r>
      <w:r>
        <w:rPr>
          <w:rFonts w:ascii="Times New Roman;Times;serif" w:hAnsi="Times New Roman;Times;serif"/>
          <w:sz w:val="20"/>
          <w:u w:val="single"/>
        </w:rPr>
        <w:t>Applicability of Article</w:t>
      </w:r>
      <w:r>
        <w:rPr>
          <w:rFonts w:ascii="Times New Roman;Times;serif" w:hAnsi="Times New Roman;Times;serif"/>
          <w:sz w:val="20"/>
        </w:rPr>
        <w:t xml:space="preserve">.  Securities of any series which are redeemable before their Stated Maturity shall be redeemable in accordance with their terms and (except as otherwise specified as contemplated by </w:t>
      </w:r>
      <w:r>
        <w:rPr>
          <w:rFonts w:ascii="Times New Roman;Times;serif" w:hAnsi="Times New Roman;Times;serif"/>
          <w:sz w:val="20"/>
          <w:u w:val="single"/>
        </w:rPr>
        <w:t>Section 3.01</w:t>
      </w:r>
      <w:r>
        <w:rPr>
          <w:rFonts w:ascii="Times New Roman;Times;serif" w:hAnsi="Times New Roman;Times;serif"/>
          <w:sz w:val="20"/>
        </w:rPr>
        <w:t xml:space="preserve"> for Securities of any series) in accordance with this Article.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11.02.</w:t>
      </w:r>
      <w:r>
        <w:rPr>
          <w:rFonts w:ascii="Times New Roman;Times;serif" w:hAnsi="Times New Roman;Times;serif"/>
          <w:sz w:val="20"/>
          <w:u w:val="single"/>
        </w:rPr>
        <w:t>Notice of Redemption</w:t>
      </w:r>
      <w:r>
        <w:rPr>
          <w:rFonts w:ascii="Times New Roman;Times;serif" w:hAnsi="Times New Roman;Times;serif"/>
          <w:sz w:val="20"/>
        </w:rPr>
        <w:t>;</w:t>
      </w:r>
      <w:r>
        <w:rPr>
          <w:rFonts w:ascii="Times New Roman;Times;serif" w:hAnsi="Times New Roman;Times;serif"/>
          <w:sz w:val="20"/>
          <w:u w:val="single"/>
        </w:rPr>
        <w:t xml:space="preserve"> Partial Redemptions</w:t>
      </w:r>
      <w:r>
        <w:rPr>
          <w:rFonts w:ascii="Times New Roman;Times;serif" w:hAnsi="Times New Roman;Times;serif"/>
          <w:sz w:val="20"/>
        </w:rPr>
        <w:t>.  Notice of redemption to the Holders of Securities of any series to be redeemed as a whole or in part shall be given by mailing notice of such redemption by first class mail, postage prepaid, at least 30 calendar days and not more than 60 calendar days prior to the date fixed for redemption to such Holders of Securities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designated for redemption as a whole or in part shall not affect the validity of the proceedings for the redemption of any other 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notice of redemption to each such Holder shall identify the Securities to be redeemed (including CUSIP numbers) and shall specify the Principal Amount of each Security held by such Holder to be redeemed, the date fixed for redemption, the redemption price, the place or places of payment, that payment will be made upon presentation and surrender of such Securities, that interest accrued to the date fixed for redemption will be paid as specified in said notice and that on and after said date interest thereon or on the portions thereof to be redeemed will cease to accrue. In case any Security is to be redeemed in part only the notice of redemption shall state the portion of the Principal Amount thereof to be redeemed and shall state that on and after the date fixed for redemption, upon surrender of such Security, a new Security or Securities in Principal Amount equal to the unredeemed portion thereof will be issued.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notice of redemption of Securities of any series to be redeemed at the option of the Company shall be given by the Company or, at the Company’s request, by the Trustee in the name and at the expense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later than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an amount of money sufficient to redeem on the redemption date all the Securities of a series so called for redemption at the appropriate redemption price, together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accrued interest to the date fixed for redemption. The Company will deliver to the Trustee at least 30 calendar days prior to the date fixed for redemption an Officers’ Certificate stating the aggregate Principal Amount of Securities of such series to be redeemed.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less than all the Securities of a series are to be redeemed, the Trustee shall select, either pro rata, by lot or by any other method it shall deem fair and reasonable, Securities to be redeemed in whole or in part. Securities may be redeemed in part only in denominations equal to the minimum authorized denomination for Securities of that series or any integral multiple thereof. The Trustee shall promptly notify the Company in writing of the Securities selected for redemption and, in the case of any Securities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11.03.</w:t>
      </w:r>
      <w:r>
        <w:rPr>
          <w:rFonts w:ascii="Times New Roman;Times;serif" w:hAnsi="Times New Roman;Times;serif"/>
          <w:sz w:val="20"/>
          <w:u w:val="single"/>
        </w:rPr>
        <w:t>Payment of Securities Called for Redemption</w:t>
      </w:r>
      <w:r>
        <w:rPr>
          <w:rFonts w:ascii="Times New Roman;Times;serif" w:hAnsi="Times New Roman;Times;serif"/>
          <w:sz w:val="20"/>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but not including, the date fixed for redemption, and on and after said date (unless the Company and any Guarantors shall default in the payment of such Securities at the redemption price, together with interest accrued to said date) interest on the Securities or portions of Securities so called for redemption shall cease to accrue and, except as provided in </w:t>
      </w:r>
      <w:r>
        <w:rPr>
          <w:rFonts w:ascii="Times New Roman;Times;serif" w:hAnsi="Times New Roman;Times;serif"/>
          <w:sz w:val="20"/>
          <w:u w:val="single"/>
        </w:rPr>
        <w:t>Sections 6.05</w:t>
      </w:r>
      <w:r>
        <w:rPr>
          <w:rFonts w:ascii="Times New Roman;Times;serif" w:hAnsi="Times New Roman;Times;serif"/>
          <w:sz w:val="20"/>
        </w:rPr>
        <w:t xml:space="preserve"> and </w:t>
      </w:r>
      <w:r>
        <w:rPr>
          <w:rFonts w:ascii="Times New Roman;Times;serif" w:hAnsi="Times New Roman;Times;serif"/>
          <w:sz w:val="20"/>
          <w:u w:val="single"/>
        </w:rPr>
        <w:t>12.06</w:t>
      </w:r>
      <w:r>
        <w:rPr>
          <w:rFonts w:ascii="Times New Roman;Times;serif" w:hAnsi="Times New Roman;Times;serif"/>
          <w:sz w:val="20"/>
        </w:rPr>
        <w:t xml:space="preserve">,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Payment Office specified in said notice, said Securities or the specified portions thereof shall be paid and redeemed by the Company at the applicable redemption price, together with interest accrued thereon to, but not including, the date fixed for redemption; </w:t>
      </w:r>
      <w:r>
        <w:rPr>
          <w:rFonts w:ascii="Times New Roman;Times;serif" w:hAnsi="Times New Roman;Times;serif"/>
          <w:sz w:val="20"/>
          <w:u w:val="single"/>
        </w:rPr>
        <w:t>provided</w:t>
      </w:r>
      <w:r>
        <w:rPr>
          <w:rFonts w:ascii="Times New Roman;Times;serif" w:hAnsi="Times New Roman;Times;serif"/>
          <w:sz w:val="20"/>
        </w:rPr>
        <w:t xml:space="preserve"> that any payment of interest becoming due on the date fixed for redemption shall be payable to the Holders of such Securities registered as such on the relevant Regular Record Date subject to the terms and provisions of </w:t>
      </w:r>
      <w:r>
        <w:rPr>
          <w:rFonts w:ascii="Times New Roman;Times;serif" w:hAnsi="Times New Roman;Times;serif"/>
          <w:sz w:val="20"/>
          <w:u w:val="single"/>
        </w:rPr>
        <w:t>Section 3.05</w:t>
      </w:r>
      <w:r>
        <w:rPr>
          <w:rFonts w:ascii="Times New Roman;Times;serif" w:hAnsi="Times New Roman;Times;serif"/>
          <w:sz w:val="20"/>
        </w:rPr>
        <w:t xml:space="preserve"> 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any Security called for redemption shall not be so paid upon surrender thereof for redemption, the principal shall, until paid or duly provided for, bear interest from the date fixed for redemption at the rate borne by the 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presentation of any Securities redeemed in part only, the Company shall execute, the Guarantors, if any, shall, execute the Guarantees endorsed thereon, and the Trustee shall authenticate and make available for delivery to or on the order of the Holder thereof, at the expense of the Company, new Securities of authorized denominations, in Principal Amount equal to the unredeemed portion of the Securities so presented.</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12</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DEFEASANCE AND COVENANT DEFEASANCE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12.01.</w:t>
      </w:r>
      <w:r>
        <w:rPr>
          <w:rFonts w:ascii="Times New Roman;Times;serif" w:hAnsi="Times New Roman;Times;serif"/>
          <w:sz w:val="20"/>
          <w:u w:val="single"/>
        </w:rPr>
        <w:t>Applicability of the Article</w:t>
      </w:r>
      <w:r>
        <w:rPr>
          <w:rFonts w:ascii="Times New Roman;Times;serif" w:hAnsi="Times New Roman;Times;serif"/>
          <w:sz w:val="20"/>
        </w:rPr>
        <w:t>;</w:t>
      </w:r>
      <w:r>
        <w:rPr>
          <w:rFonts w:ascii="Times New Roman;Times;serif" w:hAnsi="Times New Roman;Times;serif"/>
          <w:sz w:val="20"/>
          <w:u w:val="single"/>
        </w:rPr>
        <w:t xml:space="preserve"> Company’s Option to Effect Defeasance or Covenant Defeasance</w:t>
      </w:r>
      <w:r>
        <w:rPr>
          <w:rFonts w:ascii="Times New Roman;Times;serif" w:hAnsi="Times New Roman;Times;serif"/>
          <w:sz w:val="20"/>
        </w:rPr>
        <w:t xml:space="preserve">.  Unless pursuant to </w:t>
      </w:r>
      <w:r>
        <w:rPr>
          <w:rFonts w:ascii="Times New Roman;Times;serif" w:hAnsi="Times New Roman;Times;serif"/>
          <w:sz w:val="20"/>
          <w:u w:val="single"/>
        </w:rPr>
        <w:t>Section 3.01</w:t>
      </w:r>
      <w:r>
        <w:rPr>
          <w:rFonts w:ascii="Times New Roman;Times;serif" w:hAnsi="Times New Roman;Times;serif"/>
          <w:sz w:val="20"/>
        </w:rPr>
        <w:t xml:space="preserve"> provision is made for the inapplicability of either or both of (a) defeasance of the Securities of a series under </w:t>
      </w:r>
      <w:r>
        <w:rPr>
          <w:rFonts w:ascii="Times New Roman;Times;serif" w:hAnsi="Times New Roman;Times;serif"/>
          <w:sz w:val="20"/>
          <w:u w:val="single"/>
        </w:rPr>
        <w:t>Section 12.02</w:t>
      </w:r>
      <w:r>
        <w:rPr>
          <w:rFonts w:ascii="Times New Roman;Times;serif" w:hAnsi="Times New Roman;Times;serif"/>
          <w:sz w:val="20"/>
        </w:rPr>
        <w:t xml:space="preserve"> or (b) covenant defeasance of the Securities of a series under </w:t>
      </w:r>
      <w:r>
        <w:rPr>
          <w:rFonts w:ascii="Times New Roman;Times;serif" w:hAnsi="Times New Roman;Times;serif"/>
          <w:sz w:val="20"/>
          <w:u w:val="single"/>
        </w:rPr>
        <w:t>Section 12.03</w:t>
      </w:r>
      <w:r>
        <w:rPr>
          <w:rFonts w:ascii="Times New Roman;Times;serif" w:hAnsi="Times New Roman;Times;serif"/>
          <w:sz w:val="20"/>
        </w:rPr>
        <w:t xml:space="preserve">, then the provisions of such Section or Sections, as the case may be, together with the other provisions of this Article, shall be applicable to the Securities of such series, and the Company may, at its option, by resolution of its Board of Directors, at any time, elect to have either </w:t>
      </w:r>
      <w:r>
        <w:rPr>
          <w:rFonts w:ascii="Times New Roman;Times;serif" w:hAnsi="Times New Roman;Times;serif"/>
          <w:sz w:val="20"/>
          <w:u w:val="single"/>
        </w:rPr>
        <w:t>Section 12.02</w:t>
      </w:r>
      <w:r>
        <w:rPr>
          <w:rFonts w:ascii="Times New Roman;Times;serif" w:hAnsi="Times New Roman;Times;serif"/>
          <w:sz w:val="20"/>
        </w:rPr>
        <w:t xml:space="preserve"> or </w:t>
      </w:r>
      <w:r>
        <w:rPr>
          <w:rFonts w:ascii="Times New Roman;Times;serif" w:hAnsi="Times New Roman;Times;serif"/>
          <w:sz w:val="20"/>
          <w:u w:val="single"/>
        </w:rPr>
        <w:t>Section 12.03</w:t>
      </w:r>
      <w:r>
        <w:rPr>
          <w:rFonts w:ascii="Times New Roman;Times;serif" w:hAnsi="Times New Roman;Times;serif"/>
          <w:sz w:val="20"/>
        </w:rPr>
        <w:t xml:space="preserve"> applied to the outstanding Securities of a series upon compliance with the conditions set forth below in this Article 12.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12.02.</w:t>
      </w:r>
      <w:r>
        <w:rPr>
          <w:rFonts w:ascii="Times New Roman;Times;serif" w:hAnsi="Times New Roman;Times;serif"/>
          <w:sz w:val="20"/>
          <w:u w:val="single"/>
        </w:rPr>
        <w:t>Le</w:t>
      </w:r>
      <w:r>
        <w:rPr>
          <w:rFonts w:ascii="Times New Roman;Times;serif" w:hAnsi="Times New Roman;Times;serif"/>
          <w:sz w:val="20"/>
        </w:rPr>
        <w:t>g</w:t>
      </w:r>
      <w:r>
        <w:rPr>
          <w:rFonts w:ascii="Times New Roman;Times;serif" w:hAnsi="Times New Roman;Times;serif"/>
          <w:sz w:val="20"/>
          <w:u w:val="single"/>
        </w:rPr>
        <w:t>al Defeasance and Dischar</w:t>
      </w:r>
      <w:r>
        <w:rPr>
          <w:rFonts w:ascii="Times New Roman;Times;serif" w:hAnsi="Times New Roman;Times;serif"/>
          <w:sz w:val="20"/>
        </w:rPr>
        <w:t xml:space="preserve">ge.  Upon the Company’s exercise of the option provided under </w:t>
      </w:r>
      <w:r>
        <w:rPr>
          <w:rFonts w:ascii="Times New Roman;Times;serif" w:hAnsi="Times New Roman;Times;serif"/>
          <w:sz w:val="20"/>
          <w:u w:val="single"/>
        </w:rPr>
        <w:t>Section 12.01</w:t>
      </w:r>
      <w:r>
        <w:rPr>
          <w:rFonts w:ascii="Times New Roman;Times;serif" w:hAnsi="Times New Roman;Times;serif"/>
          <w:sz w:val="20"/>
        </w:rPr>
        <w:t xml:space="preserve"> hereof to defease the outstanding Securities of a particular series under this </w:t>
      </w:r>
      <w:r>
        <w:rPr>
          <w:rFonts w:ascii="Times New Roman;Times;serif" w:hAnsi="Times New Roman;Times;serif"/>
          <w:sz w:val="20"/>
          <w:u w:val="single"/>
        </w:rPr>
        <w:t>Section 12.02</w:t>
      </w:r>
      <w:r>
        <w:rPr>
          <w:rFonts w:ascii="Times New Roman;Times;serif" w:hAnsi="Times New Roman;Times;serif"/>
          <w:sz w:val="20"/>
        </w:rPr>
        <w:t>, the Company and any Guarantors shall be deemed to have been discharged from its obligations with respect to such outstanding Securities and related Guarantees on the date the conditions set forth below are satisfied (hereinafter, “</w:t>
      </w:r>
      <w:r>
        <w:rPr>
          <w:rFonts w:ascii="Times New Roman;Times;serif" w:hAnsi="Times New Roman;Times;serif"/>
          <w:b/>
          <w:sz w:val="20"/>
        </w:rPr>
        <w:t>Legal Defeasance</w:t>
      </w:r>
      <w:r>
        <w:rPr>
          <w:rFonts w:ascii="Times New Roman;Times;serif" w:hAnsi="Times New Roman;Times;serif"/>
          <w:sz w:val="20"/>
        </w:rPr>
        <w:t xml:space="preserve">”). For this purpose, such Legal Defeasance means that the Company shall be deemed to have paid and discharged the entire indebtedness represented by the outstanding Securities of such series, which shall thereafter be deemed to be “outstanding” only for the purposes of </w:t>
      </w:r>
      <w:r>
        <w:rPr>
          <w:rFonts w:ascii="Times New Roman;Times;serif" w:hAnsi="Times New Roman;Times;serif"/>
          <w:sz w:val="20"/>
          <w:u w:val="single"/>
        </w:rPr>
        <w:t>Section 12.05</w:t>
      </w:r>
      <w:r>
        <w:rPr>
          <w:rFonts w:ascii="Times New Roman;Times;serif" w:hAnsi="Times New Roman;Times;serif"/>
          <w:sz w:val="20"/>
        </w:rPr>
        <w:t xml:space="preserve"> hereof and the other Sections of this Indenture referred to in clauses (i) and (ii) of this </w:t>
      </w:r>
      <w:r>
        <w:rPr>
          <w:rFonts w:ascii="Times New Roman;Times;serif" w:hAnsi="Times New Roman;Times;serif"/>
          <w:sz w:val="20"/>
          <w:u w:val="single"/>
        </w:rPr>
        <w:t>Section 12.02</w:t>
      </w:r>
      <w:r>
        <w:rPr>
          <w:rFonts w:ascii="Times New Roman;Times;serif" w:hAnsi="Times New Roman;Times;serif"/>
          <w:sz w:val="20"/>
        </w:rPr>
        <w:t xml:space="preserve">, and to have satisfied all its other obligations under such Securities and this Indenture (and the Trustee, on demand of and at the expense of the Company shall execute proper instruments acknowledging the same), except for the following provisions which shall survive until otherwise terminated or discharged hereunder: (i) the rights of Holders of outstanding Securities of such series to receive solely from the trust fund described in </w:t>
      </w:r>
      <w:r>
        <w:rPr>
          <w:rFonts w:ascii="Times New Roman;Times;serif" w:hAnsi="Times New Roman;Times;serif"/>
          <w:sz w:val="20"/>
          <w:u w:val="single"/>
        </w:rPr>
        <w:t>Section 12.04</w:t>
      </w:r>
      <w:r>
        <w:rPr>
          <w:rFonts w:ascii="Times New Roman;Times;serif" w:hAnsi="Times New Roman;Times;serif"/>
          <w:sz w:val="20"/>
        </w:rPr>
        <w:t xml:space="preserve"> hereof, and as more fully set forth in such Section, payments in respect of the principal of (and premium, if any) and interest, if any, on such Securities when such payments are due, (ii) the obligations of the Company or any Guarantor with respect to such Securities under </w:t>
      </w:r>
      <w:r>
        <w:rPr>
          <w:rFonts w:ascii="Times New Roman;Times;serif" w:hAnsi="Times New Roman;Times;serif"/>
          <w:sz w:val="20"/>
          <w:u w:val="single"/>
        </w:rPr>
        <w:t>Sections 3.06</w:t>
      </w:r>
      <w:r>
        <w:rPr>
          <w:rFonts w:ascii="Times New Roman;Times;serif" w:hAnsi="Times New Roman;Times;serif"/>
          <w:sz w:val="20"/>
        </w:rPr>
        <w:t xml:space="preserve">, </w:t>
      </w:r>
      <w:r>
        <w:rPr>
          <w:rFonts w:ascii="Times New Roman;Times;serif" w:hAnsi="Times New Roman;Times;serif"/>
          <w:sz w:val="20"/>
          <w:u w:val="single"/>
        </w:rPr>
        <w:t>3.07</w:t>
      </w:r>
      <w:r>
        <w:rPr>
          <w:rFonts w:ascii="Times New Roman;Times;serif" w:hAnsi="Times New Roman;Times;serif"/>
          <w:sz w:val="20"/>
        </w:rPr>
        <w:t xml:space="preserve">, </w:t>
      </w:r>
      <w:r>
        <w:rPr>
          <w:rFonts w:ascii="Times New Roman;Times;serif" w:hAnsi="Times New Roman;Times;serif"/>
          <w:sz w:val="20"/>
          <w:u w:val="single"/>
        </w:rPr>
        <w:t>3.08(a)</w:t>
      </w:r>
      <w:r>
        <w:rPr>
          <w:rFonts w:ascii="Times New Roman;Times;serif" w:hAnsi="Times New Roman;Times;serif"/>
          <w:sz w:val="20"/>
        </w:rPr>
        <w:t xml:space="preserve">, </w:t>
      </w:r>
      <w:r>
        <w:rPr>
          <w:rFonts w:ascii="Times New Roman;Times;serif" w:hAnsi="Times New Roman;Times;serif"/>
          <w:sz w:val="20"/>
          <w:u w:val="single"/>
        </w:rPr>
        <w:t>3.09</w:t>
      </w:r>
      <w:r>
        <w:rPr>
          <w:rFonts w:ascii="Times New Roman;Times;serif" w:hAnsi="Times New Roman;Times;serif"/>
          <w:sz w:val="20"/>
        </w:rPr>
        <w:t xml:space="preserve">, </w:t>
      </w:r>
      <w:r>
        <w:rPr>
          <w:rFonts w:ascii="Times New Roman;Times;serif" w:hAnsi="Times New Roman;Times;serif"/>
          <w:sz w:val="20"/>
          <w:u w:val="single"/>
        </w:rPr>
        <w:t>3.11</w:t>
      </w:r>
      <w:r>
        <w:rPr>
          <w:rFonts w:ascii="Times New Roman;Times;serif" w:hAnsi="Times New Roman;Times;serif"/>
          <w:sz w:val="20"/>
        </w:rPr>
        <w:t xml:space="preserve">, and </w:t>
      </w:r>
      <w:r>
        <w:rPr>
          <w:rFonts w:ascii="Times New Roman;Times;serif" w:hAnsi="Times New Roman;Times;serif"/>
          <w:sz w:val="20"/>
          <w:u w:val="single"/>
        </w:rPr>
        <w:t>12.05</w:t>
      </w:r>
      <w:r>
        <w:rPr>
          <w:rFonts w:ascii="Times New Roman;Times;serif" w:hAnsi="Times New Roman;Times;serif"/>
          <w:sz w:val="20"/>
        </w:rPr>
        <w:t xml:space="preserve"> hereof, (iii) the rights, powers, trusts, duties and immunities of the Trustee hereunder, including, without limitation, the Trustee’s rights under </w:t>
      </w:r>
      <w:r>
        <w:rPr>
          <w:rFonts w:ascii="Times New Roman;Times;serif" w:hAnsi="Times New Roman;Times;serif"/>
          <w:sz w:val="20"/>
          <w:u w:val="single"/>
        </w:rPr>
        <w:t>Section 6.07</w:t>
      </w:r>
      <w:r>
        <w:rPr>
          <w:rFonts w:ascii="Times New Roman;Times;serif" w:hAnsi="Times New Roman;Times;serif"/>
          <w:sz w:val="20"/>
        </w:rPr>
        <w:t xml:space="preserve"> hereof, and the obligations of the Company or any Guarantor in connection therewith and with this Article 12. Subject to compliance with this Article 12, the Company may exercise its option under this </w:t>
      </w:r>
      <w:r>
        <w:rPr>
          <w:rFonts w:ascii="Times New Roman;Times;serif" w:hAnsi="Times New Roman;Times;serif"/>
          <w:sz w:val="20"/>
          <w:u w:val="single"/>
        </w:rPr>
        <w:t>Section 12.02</w:t>
      </w:r>
      <w:r>
        <w:rPr>
          <w:rFonts w:ascii="Times New Roman;Times;serif" w:hAnsi="Times New Roman;Times;serif"/>
          <w:sz w:val="20"/>
        </w:rPr>
        <w:t xml:space="preserve"> notwithstanding the prior exercise of its option under </w:t>
      </w:r>
      <w:r>
        <w:rPr>
          <w:rFonts w:ascii="Times New Roman;Times;serif" w:hAnsi="Times New Roman;Times;serif"/>
          <w:sz w:val="20"/>
          <w:u w:val="single"/>
        </w:rPr>
        <w:t>Section 12.03</w:t>
      </w:r>
      <w:r>
        <w:rPr>
          <w:rFonts w:ascii="Times New Roman;Times;serif" w:hAnsi="Times New Roman;Times;serif"/>
          <w:sz w:val="20"/>
        </w:rPr>
        <w:t xml:space="preserve"> hereof with respect to the Securities of such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12.03.</w:t>
      </w:r>
      <w:r>
        <w:rPr>
          <w:rFonts w:ascii="Times New Roman;Times;serif" w:hAnsi="Times New Roman;Times;serif"/>
          <w:sz w:val="20"/>
          <w:u w:val="single"/>
        </w:rPr>
        <w:t>Covenant Defeasance</w:t>
      </w:r>
      <w:r>
        <w:rPr>
          <w:rFonts w:ascii="Times New Roman;Times;serif" w:hAnsi="Times New Roman;Times;serif"/>
          <w:sz w:val="20"/>
        </w:rPr>
        <w:t xml:space="preserve">.  Upon the Company’s exercise of the option provided under </w:t>
      </w:r>
      <w:r>
        <w:rPr>
          <w:rFonts w:ascii="Times New Roman;Times;serif" w:hAnsi="Times New Roman;Times;serif"/>
          <w:sz w:val="20"/>
          <w:u w:val="single"/>
        </w:rPr>
        <w:t>Section 12.01</w:t>
      </w:r>
      <w:r>
        <w:rPr>
          <w:rFonts w:ascii="Times New Roman;Times;serif" w:hAnsi="Times New Roman;Times;serif"/>
          <w:sz w:val="20"/>
        </w:rPr>
        <w:t xml:space="preserve"> hereof to obtain a covenant defeasance with respect to the outstanding Securities of a particular series under this </w:t>
      </w:r>
      <w:r>
        <w:rPr>
          <w:rFonts w:ascii="Times New Roman;Times;serif" w:hAnsi="Times New Roman;Times;serif"/>
          <w:sz w:val="20"/>
          <w:u w:val="single"/>
        </w:rPr>
        <w:t>Section 12.03</w:t>
      </w:r>
      <w:r>
        <w:rPr>
          <w:rFonts w:ascii="Times New Roman;Times;serif" w:hAnsi="Times New Roman;Times;serif"/>
          <w:sz w:val="20"/>
        </w:rPr>
        <w:t xml:space="preserve">, the Company and any Guarantors shall be released from their obligations under the covenants contained in Article 4 and </w:t>
      </w:r>
      <w:r>
        <w:rPr>
          <w:rFonts w:ascii="Times New Roman;Times;serif" w:hAnsi="Times New Roman;Times;serif"/>
          <w:sz w:val="20"/>
          <w:u w:val="single"/>
        </w:rPr>
        <w:t>Section 10.01</w:t>
      </w:r>
      <w:r>
        <w:rPr>
          <w:rFonts w:ascii="Times New Roman;Times;serif" w:hAnsi="Times New Roman;Times;serif"/>
          <w:sz w:val="20"/>
        </w:rPr>
        <w:t xml:space="preserve"> hereof and the covenants contained in any supplemental indenture applicable to such series, with respect to the outstanding Securities of such series on and after the date the conditions set forth below are satisfied (hereinafter, “</w:t>
      </w:r>
      <w:r>
        <w:rPr>
          <w:rFonts w:ascii="Times New Roman;Times;serif" w:hAnsi="Times New Roman;Times;serif"/>
          <w:b/>
          <w:sz w:val="20"/>
        </w:rPr>
        <w:t>Covenant Defeasance</w:t>
      </w:r>
      <w:r>
        <w:rPr>
          <w:rFonts w:ascii="Times New Roman;Times;serif" w:hAnsi="Times New Roman;Times;serif"/>
          <w:sz w:val="20"/>
        </w:rPr>
        <w:t>”), and the Securities of such series shall thereafter be deemed not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Securities of such</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series, the Company or any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Times New Roman;Times;serif" w:hAnsi="Times New Roman;Times;serif"/>
          <w:sz w:val="20"/>
          <w:u w:val="single"/>
        </w:rPr>
        <w:t>Section 5.01(c)</w:t>
      </w:r>
      <w:r>
        <w:rPr>
          <w:rFonts w:ascii="Times New Roman;Times;serif" w:hAnsi="Times New Roman;Times;serif"/>
          <w:sz w:val="20"/>
        </w:rPr>
        <w:t xml:space="preserve"> or </w:t>
      </w:r>
      <w:r>
        <w:rPr>
          <w:rFonts w:ascii="Times New Roman;Times;serif" w:hAnsi="Times New Roman;Times;serif"/>
          <w:sz w:val="20"/>
          <w:u w:val="single"/>
        </w:rPr>
        <w:t>Section 5.01(g)</w:t>
      </w:r>
      <w:r>
        <w:rPr>
          <w:rFonts w:ascii="Times New Roman;Times;serif" w:hAnsi="Times New Roman;Times;serif"/>
          <w:sz w:val="20"/>
        </w:rPr>
        <w:t xml:space="preserve"> with respect to outstanding Securities of such series, but, except as specified above, the remainder of this Indenture and of the Securities of such series shall be unaffected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12.04.</w:t>
      </w:r>
      <w:r>
        <w:rPr>
          <w:rFonts w:ascii="Times New Roman;Times;serif" w:hAnsi="Times New Roman;Times;serif"/>
          <w:sz w:val="20"/>
          <w:u w:val="single"/>
        </w:rPr>
        <w:t>Conditions to Le</w:t>
      </w:r>
      <w:r>
        <w:rPr>
          <w:rFonts w:ascii="Times New Roman;Times;serif" w:hAnsi="Times New Roman;Times;serif"/>
          <w:sz w:val="20"/>
        </w:rPr>
        <w:t>g</w:t>
      </w:r>
      <w:r>
        <w:rPr>
          <w:rFonts w:ascii="Times New Roman;Times;serif" w:hAnsi="Times New Roman;Times;serif"/>
          <w:sz w:val="20"/>
          <w:u w:val="single"/>
        </w:rPr>
        <w:t>al or Covenant Defeasance</w:t>
      </w:r>
      <w:r>
        <w:rPr>
          <w:rFonts w:ascii="Times New Roman;Times;serif" w:hAnsi="Times New Roman;Times;serif"/>
          <w:sz w:val="20"/>
        </w:rPr>
        <w:t xml:space="preserve">.  The following shall be the conditions to the application of either </w:t>
      </w:r>
      <w:r>
        <w:rPr>
          <w:rFonts w:ascii="Times New Roman;Times;serif" w:hAnsi="Times New Roman;Times;serif"/>
          <w:sz w:val="20"/>
          <w:u w:val="single"/>
        </w:rPr>
        <w:t>Section 12.02</w:t>
      </w:r>
      <w:r>
        <w:rPr>
          <w:rFonts w:ascii="Times New Roman;Times;serif" w:hAnsi="Times New Roman;Times;serif"/>
          <w:sz w:val="20"/>
        </w:rPr>
        <w:t xml:space="preserve"> or </w:t>
      </w:r>
      <w:r>
        <w:rPr>
          <w:rFonts w:ascii="Times New Roman;Times;serif" w:hAnsi="Times New Roman;Times;serif"/>
          <w:sz w:val="20"/>
          <w:u w:val="single"/>
        </w:rPr>
        <w:t>Section 12.03</w:t>
      </w:r>
      <w:r>
        <w:rPr>
          <w:rFonts w:ascii="Times New Roman;Times;serif" w:hAnsi="Times New Roman;Times;serif"/>
          <w:sz w:val="20"/>
        </w:rPr>
        <w:t xml:space="preserve"> hereof to the outstanding Securities of a particular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The Company shall irrevocably have deposited or caused to be deposited with the Trustee (or another trustee satisfying the requirements of </w:t>
      </w:r>
      <w:r>
        <w:rPr>
          <w:rFonts w:ascii="Times New Roman;Times;serif" w:hAnsi="Times New Roman;Times;serif"/>
          <w:sz w:val="20"/>
          <w:u w:val="single"/>
        </w:rPr>
        <w:t>Section 6.09</w:t>
      </w:r>
      <w:r>
        <w:rPr>
          <w:rFonts w:ascii="Times New Roman;Times;serif" w:hAnsi="Times New Roman;Times;serif"/>
          <w:sz w:val="20"/>
        </w:rPr>
        <w:t xml:space="preserve"> who shall agree to comply with the provisions of this Article 12 applicable to it) as trust funds in trust for the purpose of making the following payments, specifically pledged as security for, and dedicated solely to, the benefit of the Holders of such Securities, (i) an amount (in such currency, currencies or currency unit in which such Securities and any related coupons are then specified as payable at Stated Maturity), or (ii) non-callable Government Securities that through the scheduled payment of principal and interest in respect thereof in accordance with their terms will provide, not later than one day before the due date of any payment, cash in Dollars in an amount, or (iii) a combination thereof, in such amounts as will be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interest, if any, on such outstanding Securities on the stated maturity date of such principal or installment of principal, or interest or premium, if 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In the case of an election under </w:t>
      </w:r>
      <w:r>
        <w:rPr>
          <w:rFonts w:ascii="Times New Roman;Times;serif" w:hAnsi="Times New Roman;Times;serif"/>
          <w:sz w:val="20"/>
          <w:u w:val="single"/>
        </w:rPr>
        <w:t>Section 12.02</w:t>
      </w:r>
      <w:r>
        <w:rPr>
          <w:rFonts w:ascii="Times New Roman;Times;serif" w:hAnsi="Times New Roman;Times;serif"/>
          <w:sz w:val="20"/>
        </w:rPr>
        <w:t xml:space="preserve"> hereof, the Company shall have delivered to the Trustee an Opinion of Counsel confirming that (i) the Company has received from, or there has been published by, the Internal Revenue Service a ruling or (ii) since the date hereof, there has been a change in the applicable federal income tax law, 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In the case of an election under </w:t>
      </w:r>
      <w:r>
        <w:rPr>
          <w:rFonts w:ascii="Times New Roman;Times;serif" w:hAnsi="Times New Roman;Times;serif"/>
          <w:sz w:val="20"/>
          <w:u w:val="single"/>
        </w:rPr>
        <w:t>Section 12.03</w:t>
      </w:r>
      <w:r>
        <w:rPr>
          <w:rFonts w:ascii="Times New Roman;Times;serif" w:hAnsi="Times New Roman;Times;serif"/>
          <w:sz w:val="20"/>
        </w:rPr>
        <w:t xml:space="preserve"> hereof, the Company shall have delivered to the Trustee an Opinion of Counsel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 Default or Event of Default (or event that, with the giving of notice or lapse of time or both would become an Event of Default) with respect to the Securities of such</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series shall have occurred and be continuing on the date of such deposit or, insofar as </w:t>
      </w:r>
      <w:r>
        <w:rPr>
          <w:rFonts w:ascii="Times New Roman;Times;serif" w:hAnsi="Times New Roman;Times;serif"/>
          <w:sz w:val="20"/>
          <w:u w:val="single"/>
        </w:rPr>
        <w:t>Section 5.01(d)</w:t>
      </w:r>
      <w:r>
        <w:rPr>
          <w:rFonts w:ascii="Times New Roman;Times;serif" w:hAnsi="Times New Roman;Times;serif"/>
          <w:sz w:val="20"/>
        </w:rPr>
        <w:t xml:space="preserve"> or </w:t>
      </w:r>
      <w:r>
        <w:rPr>
          <w:rFonts w:ascii="Times New Roman;Times;serif" w:hAnsi="Times New Roman;Times;serif"/>
          <w:sz w:val="20"/>
          <w:u w:val="single"/>
        </w:rPr>
        <w:t>5.01(e)</w:t>
      </w:r>
      <w:r>
        <w:rPr>
          <w:rFonts w:ascii="Times New Roman;Times;serif" w:hAnsi="Times New Roman;Times;serif"/>
          <w:sz w:val="20"/>
        </w:rPr>
        <w:t xml:space="preserve"> hereof is concerned, at any time in the period ending on the 124th calendar day after the date of such deposit (it being understood that this condition shall not be deemed satisfied until the expiration of such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Such Legal Defeasance or Covenant Defeasance shall not result in a breach or violation of, or constitute a default under any material agreement or instrument (other than this Indenture) to which the Company or any Guarantor is a party or by which the Company or such Guarantor is bound (other than a breach, violation or default resulting from the borrowing of funds to be applied to such deposit).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The Company shall have delivered to the Trustee an Officers’ Certificate stating that the deposit made by the Company pursuant to its election under </w:t>
      </w:r>
      <w:r>
        <w:rPr>
          <w:rFonts w:ascii="Times New Roman;Times;serif" w:hAnsi="Times New Roman;Times;serif"/>
          <w:sz w:val="20"/>
          <w:u w:val="single"/>
        </w:rPr>
        <w:t>Section 12.02</w:t>
      </w:r>
      <w:r>
        <w:rPr>
          <w:rFonts w:ascii="Times New Roman;Times;serif" w:hAnsi="Times New Roman;Times;serif"/>
          <w:sz w:val="20"/>
        </w:rPr>
        <w:t xml:space="preserve"> or </w:t>
      </w:r>
      <w:r>
        <w:rPr>
          <w:rFonts w:ascii="Times New Roman;Times;serif" w:hAnsi="Times New Roman;Times;serif"/>
          <w:sz w:val="20"/>
          <w:u w:val="single"/>
        </w:rPr>
        <w:t>12.03</w:t>
      </w:r>
      <w:r>
        <w:rPr>
          <w:rFonts w:ascii="Times New Roman;Times;serif" w:hAnsi="Times New Roman;Times;serif"/>
          <w:sz w:val="20"/>
        </w:rPr>
        <w:t xml:space="preserve"> hereof was not made by the Company with the intent of preferring the Holders of the affected Securities over the other creditors of the Company with the intent of defeating, hindering, delaying or defrauding creditors of the Company, or others.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 xml:space="preserve">Such Legal Defeasance or Covenant Defeasance shall be effected in compliance with any additional terms, conditions or limitations which may be imposed on the Company in connection therewith pursuant to </w:t>
      </w:r>
      <w:r>
        <w:rPr>
          <w:rFonts w:ascii="Times New Roman;Times;serif" w:hAnsi="Times New Roman;Times;serif"/>
          <w:sz w:val="20"/>
          <w:u w:val="single"/>
        </w:rPr>
        <w:t>Section 3.01</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 xml:space="preserve">The Company shall have delivered to the Trustee an Officers’ Certificate and an Opinion of Counsel, each stating that all conditions precedent provided for relating to either the Legal Defeasance under </w:t>
      </w:r>
      <w:r>
        <w:rPr>
          <w:rFonts w:ascii="Times New Roman;Times;serif" w:hAnsi="Times New Roman;Times;serif"/>
          <w:sz w:val="20"/>
          <w:u w:val="single"/>
        </w:rPr>
        <w:t>Section 12.02</w:t>
      </w:r>
      <w:r>
        <w:rPr>
          <w:rFonts w:ascii="Times New Roman;Times;serif" w:hAnsi="Times New Roman;Times;serif"/>
          <w:sz w:val="20"/>
        </w:rPr>
        <w:t xml:space="preserve"> hereof or the Covenant Defeasance under </w:t>
      </w:r>
      <w:r>
        <w:rPr>
          <w:rFonts w:ascii="Times New Roman;Times;serif" w:hAnsi="Times New Roman;Times;serif"/>
          <w:sz w:val="20"/>
          <w:u w:val="single"/>
        </w:rPr>
        <w:t>Section 12.03</w:t>
      </w:r>
      <w:r>
        <w:rPr>
          <w:rFonts w:ascii="Times New Roman;Times;serif" w:hAnsi="Times New Roman;Times;serif"/>
          <w:sz w:val="20"/>
        </w:rPr>
        <w:t xml:space="preserve"> hereof (as the case may be) have been complied with as contemplated by this </w:t>
      </w:r>
      <w:r>
        <w:rPr>
          <w:rFonts w:ascii="Times New Roman;Times;serif" w:hAnsi="Times New Roman;Times;serif"/>
          <w:sz w:val="20"/>
          <w:u w:val="single"/>
        </w:rPr>
        <w:t>Section 12.04</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12.05.</w:t>
      </w:r>
      <w:r>
        <w:rPr>
          <w:rFonts w:ascii="Times New Roman;Times;serif" w:hAnsi="Times New Roman;Times;serif"/>
          <w:sz w:val="20"/>
          <w:u w:val="single"/>
        </w:rPr>
        <w:t>Deposited Money and Government Securities to be Held in Trust</w:t>
      </w:r>
      <w:r>
        <w:rPr>
          <w:rFonts w:ascii="Times New Roman;Times;serif" w:hAnsi="Times New Roman;Times;serif"/>
          <w:sz w:val="20"/>
        </w:rPr>
        <w:t>;</w:t>
      </w:r>
      <w:r>
        <w:rPr>
          <w:rFonts w:ascii="Times New Roman;Times;serif" w:hAnsi="Times New Roman;Times;serif"/>
          <w:sz w:val="20"/>
          <w:u w:val="single"/>
        </w:rPr>
        <w:t xml:space="preserve"> Other Miscellaneous Provisions</w:t>
      </w:r>
      <w:r>
        <w:rPr>
          <w:rFonts w:ascii="Times New Roman;Times;serif" w:hAnsi="Times New Roman;Times;serif"/>
          <w:sz w:val="20"/>
        </w:rPr>
        <w:t xml:space="preserve">.  Subject to </w:t>
      </w:r>
      <w:r>
        <w:rPr>
          <w:rFonts w:ascii="Times New Roman;Times;serif" w:hAnsi="Times New Roman;Times;serif"/>
          <w:sz w:val="20"/>
          <w:u w:val="single"/>
        </w:rPr>
        <w:t>Section 12.06</w:t>
      </w:r>
      <w:r>
        <w:rPr>
          <w:rFonts w:ascii="Times New Roman;Times;serif" w:hAnsi="Times New Roman;Times;serif"/>
          <w:sz w:val="20"/>
        </w:rPr>
        <w:t xml:space="preserve"> hereof, all money and non-callable Government Securities (including the proceeds thereof) deposited with the Trustee pursuant to </w:t>
      </w:r>
      <w:r>
        <w:rPr>
          <w:rFonts w:ascii="Times New Roman;Times;serif" w:hAnsi="Times New Roman;Times;serif"/>
          <w:sz w:val="20"/>
          <w:u w:val="single"/>
        </w:rPr>
        <w:t>Section 12.04</w:t>
      </w:r>
      <w:r>
        <w:rPr>
          <w:rFonts w:ascii="Times New Roman;Times;serif" w:hAnsi="Times New Roman;Times;serif"/>
          <w:sz w:val="20"/>
        </w:rPr>
        <w:t xml:space="preserve"> hereof in respect of the outstanding Securities of a particular series shall be held in trust and applied by the Trustee, in accordance with the provisions of such Securities, the Guarantees, if any, relating to such series of Securities and this Indenture, to the payment, either directly or through any Paying Agent (including the Company acting as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shall pay and indemnify the Trustee against any tax, fee or other charge imposed on or assessed against the cash or non-callable Government Securities deposited pursuant to </w:t>
      </w:r>
      <w:r>
        <w:rPr>
          <w:rFonts w:ascii="Times New Roman;Times;serif" w:hAnsi="Times New Roman;Times;serif"/>
          <w:sz w:val="20"/>
          <w:u w:val="single"/>
        </w:rPr>
        <w:t>Section 12.04</w:t>
      </w:r>
      <w:r>
        <w:rPr>
          <w:rFonts w:ascii="Times New Roman;Times;serif" w:hAnsi="Times New Roman;Times;serif"/>
          <w:sz w:val="20"/>
        </w:rPr>
        <w:t xml:space="preserve"> hereof or the principal and interest received in respect thereof other than any such tax, fee or other charge that by law is for the account of the Holders of the outstanding Securities of such series.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Anything in this Article 12 to the contrary notwithstanding, the Trustee shall deliver or pay to the Company from time to time upon the Company’s request any money or non-callable Government Securities held by it as provided in </w:t>
      </w:r>
      <w:r>
        <w:rPr>
          <w:rFonts w:ascii="Times New Roman;Times;serif" w:hAnsi="Times New Roman;Times;serif"/>
          <w:sz w:val="20"/>
          <w:u w:val="single"/>
        </w:rPr>
        <w:t>Section 12.04</w:t>
      </w:r>
      <w:r>
        <w:rPr>
          <w:rFonts w:ascii="Times New Roman;Times;serif" w:hAnsi="Times New Roman;Times;serif"/>
          <w:sz w:val="20"/>
        </w:rPr>
        <w:t xml:space="preserve"> hereof with respect to the Securities of any series which, in the opinion of a nationally recognized firm of independent public</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accountants expressed in a written certification thereof delivered to the Trustee (which may be the opinion delivered under </w:t>
      </w:r>
      <w:r>
        <w:rPr>
          <w:rFonts w:ascii="Times New Roman;Times;serif" w:hAnsi="Times New Roman;Times;serif"/>
          <w:sz w:val="20"/>
          <w:u w:val="single"/>
        </w:rPr>
        <w:t>Section 12.04(a)</w:t>
      </w:r>
      <w:r>
        <w:rPr>
          <w:rFonts w:ascii="Times New Roman;Times;serif" w:hAnsi="Times New Roman;Times;serif"/>
          <w:sz w:val="20"/>
        </w:rPr>
        <w:t xml:space="preserve"> hereof), are in excess of the amount thereof which would then be required to be deposited to effect an equivalent Legal Defeasance or Covenant Defeasance.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12.06.</w:t>
      </w:r>
      <w:r>
        <w:rPr>
          <w:rFonts w:ascii="Times New Roman;Times;serif" w:hAnsi="Times New Roman;Times;serif"/>
          <w:sz w:val="20"/>
          <w:u w:val="single"/>
        </w:rPr>
        <w:t>Repayment to the Company or Guarantor</w:t>
      </w:r>
      <w:r>
        <w:rPr>
          <w:rFonts w:ascii="Times New Roman;Times;serif" w:hAnsi="Times New Roman;Times;serif"/>
          <w:sz w:val="20"/>
        </w:rPr>
        <w:t>.  Any money deposited with the Trustee or any Paying Agent, or then held by the Company or applicable Guarantor, in trust for the payment of the principal of (and premium, if any) and interest, if any, on any Security and remaining unclaimed for two years after such principal, or interest or premium, if any, has become due and payable and was deposited with the Paying Agent shall be paid to the Company or such Guarantor on its written request (or if then held by the Company or such Guarantor) will be discharged from such trust, subject to any applicable abandoned property law; and the Holder of such Security shall thereafter, as an unsecured general creditor, look only to the Company or such Guarantor for payment thereof, and all liability of the Trustee or such Paying Agent with respect to such trust money, and all liability of the Company or such Guarantor as trustee thereof, shall thereupon cease.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12.07.</w:t>
      </w:r>
      <w:r>
        <w:rPr>
          <w:rFonts w:ascii="Times New Roman;Times;serif" w:hAnsi="Times New Roman;Times;serif"/>
          <w:sz w:val="20"/>
          <w:u w:val="single"/>
        </w:rPr>
        <w:t>Reinstatement</w:t>
      </w:r>
      <w:r>
        <w:rPr>
          <w:rFonts w:ascii="Times New Roman;Times;serif" w:hAnsi="Times New Roman;Times;serif"/>
          <w:sz w:val="20"/>
        </w:rPr>
        <w:t xml:space="preserve">.  If the Trustee or Paying Agent is unable to apply any Dollars or non-callable Government Securities in accordance with </w:t>
      </w:r>
      <w:r>
        <w:rPr>
          <w:rFonts w:ascii="Times New Roman;Times;serif" w:hAnsi="Times New Roman;Times;serif"/>
          <w:sz w:val="20"/>
          <w:u w:val="single"/>
        </w:rPr>
        <w:t>Section 12.02</w:t>
      </w:r>
      <w:r>
        <w:rPr>
          <w:rFonts w:ascii="Times New Roman;Times;serif" w:hAnsi="Times New Roman;Times;serif"/>
          <w:sz w:val="20"/>
        </w:rPr>
        <w:t xml:space="preserve"> or </w:t>
      </w:r>
      <w:r>
        <w:rPr>
          <w:rFonts w:ascii="Times New Roman;Times;serif" w:hAnsi="Times New Roman;Times;serif"/>
          <w:sz w:val="20"/>
          <w:u w:val="single"/>
        </w:rPr>
        <w:t>12.03</w:t>
      </w:r>
      <w:r>
        <w:rPr>
          <w:rFonts w:ascii="Times New Roman;Times;serif" w:hAnsi="Times New Roman;Times;serif"/>
          <w:sz w:val="20"/>
        </w:rPr>
        <w:t xml:space="preserve"> hereof, as the case may be, by reason of any order or judgment of any court or governmental authority enjoining, restraining or otherwise prohibiting such application, then the obligations of the Company and the applicable Guarantors under this Indenture, the Securities and any Guarantees shall be revived and reinstated as though no deposit had occurred pursuant to </w:t>
      </w:r>
      <w:r>
        <w:rPr>
          <w:rFonts w:ascii="Times New Roman;Times;serif" w:hAnsi="Times New Roman;Times;serif"/>
          <w:sz w:val="20"/>
          <w:u w:val="single"/>
        </w:rPr>
        <w:t>Section 12.02</w:t>
      </w:r>
      <w:r>
        <w:rPr>
          <w:rFonts w:ascii="Times New Roman;Times;serif" w:hAnsi="Times New Roman;Times;serif"/>
          <w:sz w:val="20"/>
        </w:rPr>
        <w:t xml:space="preserve"> or </w:t>
      </w:r>
      <w:r>
        <w:rPr>
          <w:rFonts w:ascii="Times New Roman;Times;serif" w:hAnsi="Times New Roman;Times;serif"/>
          <w:sz w:val="20"/>
          <w:u w:val="single"/>
        </w:rPr>
        <w:t>12.03</w:t>
      </w:r>
      <w:r>
        <w:rPr>
          <w:rFonts w:ascii="Times New Roman;Times;serif" w:hAnsi="Times New Roman;Times;serif"/>
          <w:sz w:val="20"/>
        </w:rPr>
        <w:t xml:space="preserve"> hereof until such time as the Trustee or Paying Agent is permitted to apply all such money in accordance with </w:t>
      </w:r>
      <w:r>
        <w:rPr>
          <w:rFonts w:ascii="Times New Roman;Times;serif" w:hAnsi="Times New Roman;Times;serif"/>
          <w:sz w:val="20"/>
          <w:u w:val="single"/>
        </w:rPr>
        <w:t>Section 12.02</w:t>
      </w:r>
      <w:r>
        <w:rPr>
          <w:rFonts w:ascii="Times New Roman;Times;serif" w:hAnsi="Times New Roman;Times;serif"/>
          <w:sz w:val="20"/>
        </w:rPr>
        <w:t xml:space="preserve"> or </w:t>
      </w:r>
      <w:r>
        <w:rPr>
          <w:rFonts w:ascii="Times New Roman;Times;serif" w:hAnsi="Times New Roman;Times;serif"/>
          <w:sz w:val="20"/>
          <w:u w:val="single"/>
        </w:rPr>
        <w:t>12.03</w:t>
      </w:r>
      <w:r>
        <w:rPr>
          <w:rFonts w:ascii="Times New Roman;Times;serif" w:hAnsi="Times New Roman;Times;serif"/>
          <w:sz w:val="20"/>
        </w:rPr>
        <w:t xml:space="preserve"> hereof, as the case may be; </w:t>
      </w:r>
      <w:r>
        <w:rPr>
          <w:rFonts w:ascii="Times New Roman;Times;serif" w:hAnsi="Times New Roman;Times;serif"/>
          <w:sz w:val="20"/>
          <w:u w:val="single"/>
        </w:rPr>
        <w:t>provided</w:t>
      </w:r>
      <w:r>
        <w:rPr>
          <w:rFonts w:ascii="Times New Roman;Times;serif" w:hAnsi="Times New Roman;Times;serif"/>
          <w:sz w:val="20"/>
        </w:rPr>
        <w:t xml:space="preserve"> that, if the Company or any Guarantor makes any payment of principal of, or interest or premium, if any, on any Security following the reinstatement of its obligations, the Company or any Guarantor shall be subrogated to the rights of the Holders of such Security to receive such payment from the money held by the Trustee or Paying Agent.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13</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SATISFACTION AND DISCHARGE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13.01.</w:t>
      </w:r>
      <w:r>
        <w:rPr>
          <w:rFonts w:ascii="Times New Roman;Times;serif" w:hAnsi="Times New Roman;Times;serif"/>
          <w:sz w:val="20"/>
          <w:u w:val="single"/>
        </w:rPr>
        <w:t>Satisfaction and Dischar</w:t>
      </w:r>
      <w:r>
        <w:rPr>
          <w:rFonts w:ascii="Times New Roman;Times;serif" w:hAnsi="Times New Roman;Times;serif"/>
          <w:sz w:val="20"/>
        </w:rPr>
        <w:t>g</w:t>
      </w:r>
      <w:r>
        <w:rPr>
          <w:rFonts w:ascii="Times New Roman;Times;serif" w:hAnsi="Times New Roman;Times;serif"/>
          <w:sz w:val="20"/>
          <w:u w:val="single"/>
        </w:rPr>
        <w:t>e of Indenture</w:t>
      </w:r>
      <w:r>
        <w:rPr>
          <w:rFonts w:ascii="Times New Roman;Times;serif" w:hAnsi="Times New Roman;Times;serif"/>
          <w:sz w:val="20"/>
        </w:rPr>
        <w:t>.  This Indenture shall upon a Company Request cease to be of further effect with respect to any series of Securities (except, as to any surviving rights of registration of transfer, exchange or conversion of Securities of such series herein expressly provided for or in the form of Security for such series and any rights to receive payment of interest thereon), and the Trustee, on demand of and at the expense of the Company, shall execute proper instruments acknowledging satisfaction and discharge of this Indenture, when: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either</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(i)all Securities of such series theretofore authenticated and delivered (other than (A) Securities which have been destroyed, lost or stolen and which have been replaced or paid as provided in </w:t>
      </w:r>
      <w:r>
        <w:rPr>
          <w:rFonts w:ascii="Times New Roman;Times;serif" w:hAnsi="Times New Roman;Times;serif"/>
          <w:sz w:val="20"/>
          <w:u w:val="single"/>
        </w:rPr>
        <w:t>Section 3.09</w:t>
      </w:r>
      <w:r>
        <w:rPr>
          <w:rFonts w:ascii="Times New Roman;Times;serif" w:hAnsi="Times New Roman;Times;serif"/>
          <w:sz w:val="20"/>
        </w:rPr>
        <w:t>, and (B) Securities for whose payment money has theretofore been (x) deposited in trust or segregated and held in trust by the Company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and thereafter repaid to the Company or discharged from such trust, as provided in </w:t>
      </w:r>
      <w:r>
        <w:rPr>
          <w:rFonts w:ascii="Times New Roman;Times;serif" w:hAnsi="Times New Roman;Times;serif"/>
          <w:sz w:val="20"/>
          <w:u w:val="single"/>
        </w:rPr>
        <w:t>Section 4.03(c)</w:t>
      </w:r>
      <w:r>
        <w:rPr>
          <w:rFonts w:ascii="Times New Roman;Times;serif" w:hAnsi="Times New Roman;Times;serif"/>
          <w:sz w:val="20"/>
        </w:rPr>
        <w:t xml:space="preserve"> or (y) paid to any State or the District of Columbia pursuant to its unclaimed property or similar laws) have been delivered to the Trustee for cancellation; or</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(ii)all such Securities not theretofore delivered to the Trustee for cancellation</w:t>
      </w:r>
    </w:p>
    <w:p>
      <w:pPr>
        <w:pStyle w:val="TextBody"/>
        <w:bidi w:val="0"/>
        <w:spacing w:before="0" w:after="240"/>
        <w:ind w:left="720" w:right="0" w:firstLine="2160"/>
        <w:jc w:val="both"/>
        <w:rPr>
          <w:rFonts w:ascii="Times New Roman;Times;serif" w:hAnsi="Times New Roman;Times;serif"/>
          <w:sz w:val="20"/>
        </w:rPr>
      </w:pPr>
      <w:r>
        <w:rPr>
          <w:rFonts w:ascii="Times New Roman;Times;serif" w:hAnsi="Times New Roman;Times;serif"/>
          <w:sz w:val="20"/>
        </w:rPr>
        <w:t>(A)have become due and payable (whether at Stated Maturity, upon redemption (if applicable), upon any required repurchase by the Company (if applicable) or otherwise), or</w:t>
      </w:r>
    </w:p>
    <w:p>
      <w:pPr>
        <w:pStyle w:val="TextBody"/>
        <w:bidi w:val="0"/>
        <w:spacing w:before="0" w:after="240"/>
        <w:ind w:left="720" w:right="0" w:firstLine="2160"/>
        <w:jc w:val="both"/>
        <w:rPr>
          <w:rFonts w:ascii="Times New Roman;Times;serif" w:hAnsi="Times New Roman;Times;serif"/>
          <w:sz w:val="20"/>
        </w:rPr>
      </w:pPr>
      <w:r>
        <w:rPr>
          <w:rFonts w:ascii="Times New Roman;Times;serif" w:hAnsi="Times New Roman;Times;serif"/>
          <w:sz w:val="20"/>
        </w:rPr>
        <w:t>(B)will become due and payable at their stated maturity within one year, or</w:t>
      </w:r>
    </w:p>
    <w:p>
      <w:pPr>
        <w:pStyle w:val="TextBody"/>
        <w:bidi w:val="0"/>
        <w:spacing w:before="0" w:after="240"/>
        <w:ind w:left="720" w:right="0" w:firstLine="2160"/>
        <w:jc w:val="both"/>
        <w:rPr>
          <w:rFonts w:ascii="Times New Roman;Times;serif" w:hAnsi="Times New Roman;Times;serif"/>
          <w:sz w:val="20"/>
        </w:rPr>
      </w:pPr>
      <w:r>
        <w:rPr>
          <w:rFonts w:ascii="Times New Roman;Times;serif" w:hAnsi="Times New Roman;Times;serif"/>
          <w:sz w:val="20"/>
        </w:rPr>
        <w:t>(C)are to be called for redemption within one year under arrangements satisfactory to the Trustee for the giving of notice of redemption by the Trustee in the name, and at the expense, of the Company, and the Company, in the case of (A), (B) or (C) above, has deposited or caused to be deposited with the Trustee, as trust funds in trust for the purpose, money in the amount in the currency or currency units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or a Guarantor, if any, has paid or caused to be paid all other sums payable hereunder by the Company or the Guarantors, if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has delivered to the Trustee an Officers’ Certificate and an Opinion of Counsel each stating that all conditions precedent herein provided for relating to the satisfaction and discharge of this Indenture have been complied with.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Notwithstanding the satisfaction and discharge of this Indenture, the obligations of the Company to the Trustee under </w:t>
      </w:r>
      <w:r>
        <w:rPr>
          <w:rFonts w:ascii="Times New Roman;Times;serif" w:hAnsi="Times New Roman;Times;serif"/>
          <w:sz w:val="20"/>
          <w:u w:val="single"/>
        </w:rPr>
        <w:t>Section 6.07</w:t>
      </w:r>
      <w:r>
        <w:rPr>
          <w:rFonts w:ascii="Times New Roman;Times;serif" w:hAnsi="Times New Roman;Times;serif"/>
          <w:sz w:val="20"/>
        </w:rPr>
        <w:t xml:space="preserve"> and, if money shall have been deposited with the Trustee pursuant to subclause (ii) of clause (a) of this Section, the obligations of the Trustee under </w:t>
      </w:r>
      <w:r>
        <w:rPr>
          <w:rFonts w:ascii="Times New Roman;Times;serif" w:hAnsi="Times New Roman;Times;serif"/>
          <w:sz w:val="20"/>
          <w:u w:val="single"/>
        </w:rPr>
        <w:t>Section 13.02</w:t>
      </w:r>
      <w:r>
        <w:rPr>
          <w:rFonts w:ascii="Times New Roman;Times;serif" w:hAnsi="Times New Roman;Times;serif"/>
          <w:sz w:val="20"/>
        </w:rPr>
        <w:t xml:space="preserve"> and </w:t>
      </w:r>
      <w:r>
        <w:rPr>
          <w:rFonts w:ascii="Times New Roman;Times;serif" w:hAnsi="Times New Roman;Times;serif"/>
          <w:sz w:val="20"/>
          <w:u w:val="single"/>
        </w:rPr>
        <w:t>Section 4.03(e)</w:t>
      </w:r>
      <w:r>
        <w:rPr>
          <w:rFonts w:ascii="Times New Roman;Times;serif" w:hAnsi="Times New Roman;Times;serif"/>
          <w:sz w:val="20"/>
        </w:rPr>
        <w:t xml:space="preserve"> shall survive.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13.02.</w:t>
      </w:r>
      <w:r>
        <w:rPr>
          <w:rFonts w:ascii="Times New Roman;Times;serif" w:hAnsi="Times New Roman;Times;serif"/>
          <w:sz w:val="20"/>
          <w:u w:val="single"/>
        </w:rPr>
        <w:t>Application of Trust Mone</w:t>
      </w:r>
      <w:r>
        <w:rPr>
          <w:rFonts w:ascii="Times New Roman;Times;serif" w:hAnsi="Times New Roman;Times;serif"/>
          <w:sz w:val="20"/>
        </w:rPr>
        <w:t xml:space="preserve">y.  Subject to the provisions of </w:t>
      </w:r>
      <w:r>
        <w:rPr>
          <w:rFonts w:ascii="Times New Roman;Times;serif" w:hAnsi="Times New Roman;Times;serif"/>
          <w:sz w:val="20"/>
          <w:u w:val="single"/>
        </w:rPr>
        <w:t>Section 4.03(e)</w:t>
      </w:r>
      <w:r>
        <w:rPr>
          <w:rFonts w:ascii="Times New Roman;Times;serif" w:hAnsi="Times New Roman;Times;serif"/>
          <w:sz w:val="20"/>
        </w:rPr>
        <w:t xml:space="preserve">, all money deposited with the Trustee pursuant to </w:t>
      </w:r>
      <w:r>
        <w:rPr>
          <w:rFonts w:ascii="Times New Roman;Times;serif" w:hAnsi="Times New Roman;Times;serif"/>
          <w:sz w:val="20"/>
          <w:u w:val="single"/>
        </w:rPr>
        <w:t>Section 13.01</w:t>
      </w:r>
      <w:r>
        <w:rPr>
          <w:rFonts w:ascii="Times New Roman;Times;serif" w:hAnsi="Times New Roman;Times;serif"/>
          <w:sz w:val="20"/>
        </w:rPr>
        <w:t xml:space="preserve"> shall be held in trust and applied by it, in accordance with the provisions of the Securities, the Guarantees, if any, relating to such series of Securities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the Trustee.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14</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HOLDERS’ LISTS AND REPORTS BY TRUSTEE, COMPANY AND GUARANTORS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14.01.</w:t>
      </w:r>
      <w:r>
        <w:rPr>
          <w:rFonts w:ascii="Times New Roman;Times;serif" w:hAnsi="Times New Roman;Times;serif"/>
          <w:sz w:val="20"/>
          <w:u w:val="single"/>
        </w:rPr>
        <w:t>Company to Furnish Trustee Names and Addresses of Holders</w:t>
      </w:r>
      <w:r>
        <w:rPr>
          <w:rFonts w:ascii="Times New Roman;Times;serif" w:hAnsi="Times New Roman;Times;serif"/>
          <w:sz w:val="20"/>
        </w:rPr>
        <w:t>.  The Company will furnish or cause to be furnished to the Trustee: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semi-annually, not later than 15 calendar days after the Regular Record Date for each series of Securities, a list, in such form as the Trustee may reasonably require, of the names and addresses of the Holders of Securities as of such Regular Record Date (unless the Trustee has such information), or if there is no Regular Record Date for interest for such series of Securities, semi-annually, upon such dates as are set forth in the Board Resolution of the Company or indenture supplemental hereto authorizing such series,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at such other times as the Trustee may request in writing, within 30 calendar days after the receipt by the Company of any such request, a list of similar form and content as of a date not more than 15 calendar days prior to the time such list is furnished;</w:t>
      </w:r>
    </w:p>
    <w:p>
      <w:pPr>
        <w:pStyle w:val="TextBody"/>
        <w:bidi w:val="0"/>
        <w:spacing w:before="0" w:after="182"/>
        <w:ind w:left="0" w:right="0" w:hanging="0"/>
        <w:jc w:val="both"/>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xml:space="preserve"> that so long as the Trustee is the Registrar, no such list shall be required to be furnished.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14.02.</w:t>
      </w:r>
      <w:r>
        <w:rPr>
          <w:rFonts w:ascii="Times New Roman;Times;serif" w:hAnsi="Times New Roman;Times;serif"/>
          <w:sz w:val="20"/>
          <w:u w:val="single"/>
        </w:rPr>
        <w:t>Preservation of Information; Communications to Holders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The Trustee shall preserve, in as current a form as is reasonably practicable, the names and addresses of Holders contained in the most recent list furnished to the Trustee as provided in </w:t>
      </w:r>
      <w:r>
        <w:rPr>
          <w:rFonts w:ascii="Times New Roman;Times;serif" w:hAnsi="Times New Roman;Times;serif"/>
          <w:sz w:val="20"/>
          <w:u w:val="single"/>
        </w:rPr>
        <w:t>Section 14.01</w:t>
      </w:r>
      <w:r>
        <w:rPr>
          <w:rFonts w:ascii="Times New Roman;Times;serif" w:hAnsi="Times New Roman;Times;serif"/>
          <w:sz w:val="20"/>
        </w:rPr>
        <w:t xml:space="preserve"> and the names and addresses of Holders received by the Trustee in its capacity as the Registrar. The Trustee may destroy any list furnished to it as provided in </w:t>
      </w:r>
      <w:r>
        <w:rPr>
          <w:rFonts w:ascii="Times New Roman;Times;serif" w:hAnsi="Times New Roman;Times;serif"/>
          <w:sz w:val="20"/>
          <w:u w:val="single"/>
        </w:rPr>
        <w:t>Section 14.01</w:t>
      </w:r>
      <w:r>
        <w:rPr>
          <w:rFonts w:ascii="Times New Roman;Times;serif" w:hAnsi="Times New Roman;Times;serif"/>
          <w:sz w:val="20"/>
        </w:rPr>
        <w:t xml:space="preserve"> upon receipt of a new list so furnished.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three or more Holders (herein referred to as “applicants”) apply in writing to the Trustee, and furnish to the Trustee reasonable proof that each such applicant has owned a Security for a period of at least six months preceding the date of such application (or since the first date of the issuance for such Security, if the holding period is less than six months), and such application states that the applicants desire to communicate with other Holders with respect to their rights under this Indenture or under the Securities and is accompanied by a copy of the form of proxy or other communication which such applicants propose to transmit, then the Trustee shall, within five Business Days after the receipt of such application, at its election, either</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(i)afford such applicants access to the information preserved at the time by the Trustee in accordance with </w:t>
      </w:r>
      <w:r>
        <w:rPr>
          <w:rFonts w:ascii="Times New Roman;Times;serif" w:hAnsi="Times New Roman;Times;serif"/>
          <w:sz w:val="20"/>
          <w:u w:val="single"/>
        </w:rPr>
        <w:t>Section 14.02(a)</w:t>
      </w:r>
      <w:r>
        <w:rPr>
          <w:rFonts w:ascii="Times New Roman;Times;serif" w:hAnsi="Times New Roman;Times;serif"/>
          <w:sz w:val="20"/>
        </w:rPr>
        <w:t>; or</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(ii)inform such applicants as to the approximate number of Holders whose names and addresses appear in the information preserved at the time by the Trustee in accordance with </w:t>
      </w:r>
      <w:r>
        <w:rPr>
          <w:rFonts w:ascii="Times New Roman;Times;serif" w:hAnsi="Times New Roman;Times;serif"/>
          <w:sz w:val="20"/>
          <w:u w:val="single"/>
        </w:rPr>
        <w:t>Section 14.02(a)</w:t>
      </w:r>
      <w:r>
        <w:rPr>
          <w:rFonts w:ascii="Times New Roman;Times;serif" w:hAnsi="Times New Roman;Times;serif"/>
          <w:sz w:val="20"/>
        </w:rPr>
        <w:t>, and as to the approximate cost of mailing to such Holders the form of proxy or other communication, if any, specified in such application.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If the Trustee shall elect not to afford such applicants access to such information, the Trustee shall, upon the written request of such applicants, mail to each Holder whose name and address appears in the information preserved at the time by the Trustee in accordance with </w:t>
      </w:r>
      <w:r>
        <w:rPr>
          <w:rFonts w:ascii="Times New Roman;Times;serif" w:hAnsi="Times New Roman;Times;serif"/>
          <w:sz w:val="20"/>
          <w:u w:val="single"/>
        </w:rPr>
        <w:t>Section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u w:val="single"/>
        </w:rPr>
        <w:t>14.02(a)</w:t>
      </w:r>
      <w:r>
        <w:rPr>
          <w:rFonts w:ascii="Times New Roman;Times;serif" w:hAnsi="Times New Roman;Times;serif"/>
          <w:sz w:val="20"/>
        </w:rPr>
        <w:t xml:space="preserve"> a copy of the form of proxy or other communication which is specified in such request, with reasonable promptness after a tender to the Trustee of the material to be mailed and of payment, or provision for the payment, of the reasonable expenses of mailing, unless within five Business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Every Holder of Securities, by receiving and holding the same, agrees with the Company, any applicable Guarantor and the Trustee that none of the Company, such Guarantors and the Trustee nor any of their respective agents shall be held accountable by reason of the disclosure of any such information as to the names and addresses of the Holders in accordance with </w:t>
      </w:r>
      <w:r>
        <w:rPr>
          <w:rFonts w:ascii="Times New Roman;Times;serif" w:hAnsi="Times New Roman;Times;serif"/>
          <w:sz w:val="20"/>
          <w:u w:val="single"/>
        </w:rPr>
        <w:t>Section 14.02(b)</w:t>
      </w:r>
      <w:r>
        <w:rPr>
          <w:rFonts w:ascii="Times New Roman;Times;serif" w:hAnsi="Times New Roman;Times;serif"/>
          <w:sz w:val="20"/>
        </w:rPr>
        <w:t xml:space="preserve">, regardless of the source from which such information was derived, and that the Trustee shall not be held accountable by reason of mailing any material pursuant to a request made under </w:t>
      </w:r>
      <w:r>
        <w:rPr>
          <w:rFonts w:ascii="Times New Roman;Times;serif" w:hAnsi="Times New Roman;Times;serif"/>
          <w:sz w:val="20"/>
          <w:u w:val="single"/>
        </w:rPr>
        <w:t>Section 14.02(b)</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14.03.</w:t>
      </w:r>
      <w:r>
        <w:rPr>
          <w:rFonts w:ascii="Times New Roman;Times;serif" w:hAnsi="Times New Roman;Times;serif"/>
          <w:sz w:val="20"/>
          <w:u w:val="single"/>
        </w:rPr>
        <w:t>Reports by the Trustee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The Trustee shall transmit to Holders such reports concerning the Trustee and its actions under this Indenture as may be required pursuant to the Trust Indenture Act at the times and in the manner provided pursuant thereto. If required by </w:t>
      </w:r>
      <w:r>
        <w:rPr>
          <w:rFonts w:ascii="Times New Roman;Times;serif" w:hAnsi="Times New Roman;Times;serif"/>
          <w:sz w:val="20"/>
          <w:u w:val="single"/>
        </w:rPr>
        <w:t>Section 313(a)</w:t>
      </w:r>
      <w:r>
        <w:rPr>
          <w:rFonts w:ascii="Times New Roman;Times;serif" w:hAnsi="Times New Roman;Times;serif"/>
          <w:sz w:val="20"/>
        </w:rPr>
        <w:t xml:space="preserve"> of the Trust Indenture Act, the Trustee shall, within 60 calendar days after each May 15th following the date of this Indenture (commencing May 15, [●]) deliver to Holders a brief report, dated as of such May 15th, which complies with the provisions of such </w:t>
      </w:r>
      <w:r>
        <w:rPr>
          <w:rFonts w:ascii="Times New Roman;Times;serif" w:hAnsi="Times New Roman;Times;serif"/>
          <w:sz w:val="20"/>
          <w:u w:val="single"/>
        </w:rPr>
        <w:t>Section 313(a)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 copy of each such report shall, at the time of such transmission to Holders, be filed by the Trustee with each securities exchange upon which Securities of any series are listed, with the Commission and with the Company. The Company will promptly notify the Trustee when any Securities are listed on any securities exchange and of any delisting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14.04.</w:t>
      </w:r>
      <w:r>
        <w:rPr>
          <w:rFonts w:ascii="Times New Roman;Times;serif" w:hAnsi="Times New Roman;Times;serif"/>
          <w:sz w:val="20"/>
          <w:u w:val="single"/>
        </w:rPr>
        <w:t>Reports by the Company and Guarantors</w:t>
      </w:r>
      <w:r>
        <w:rPr>
          <w:rFonts w:ascii="Times New Roman;Times;serif" w:hAnsi="Times New Roman;Times;serif"/>
          <w:sz w:val="20"/>
        </w:rPr>
        <w:t xml:space="preserve">.  The Company shall furnish to the Trustee, within 15 calendar days after it actually files such annual and quarterly reports, information, documents and other reports with the Commission, copies of its annual report and of the information, documents and other reports (or copies of such portions of any of the foregoing the Commission may by rules and regulations prescribe) that the Company is required to file with the Commission pursuant to </w:t>
      </w:r>
      <w:r>
        <w:rPr>
          <w:rFonts w:ascii="Times New Roman;Times;serif" w:hAnsi="Times New Roman;Times;serif"/>
          <w:sz w:val="20"/>
          <w:u w:val="single"/>
        </w:rPr>
        <w:t>Section 13</w:t>
      </w:r>
      <w:r>
        <w:rPr>
          <w:rFonts w:ascii="Times New Roman;Times;serif" w:hAnsi="Times New Roman;Times;serif"/>
          <w:sz w:val="20"/>
        </w:rPr>
        <w:t xml:space="preserve"> or </w:t>
      </w:r>
      <w:r>
        <w:rPr>
          <w:rFonts w:ascii="Times New Roman;Times;serif" w:hAnsi="Times New Roman;Times;serif"/>
          <w:sz w:val="20"/>
          <w:u w:val="single"/>
        </w:rPr>
        <w:t>15(d)</w:t>
      </w:r>
      <w:r>
        <w:rPr>
          <w:rFonts w:ascii="Times New Roman;Times;serif" w:hAnsi="Times New Roman;Times;serif"/>
          <w:sz w:val="20"/>
        </w:rPr>
        <w:t xml:space="preserve"> of the Exchange Act; </w:t>
      </w:r>
      <w:r>
        <w:rPr>
          <w:rFonts w:ascii="Times New Roman;Times;serif" w:hAnsi="Times New Roman;Times;serif"/>
          <w:sz w:val="20"/>
          <w:u w:val="single"/>
        </w:rPr>
        <w:t>provided</w:t>
      </w:r>
      <w:r>
        <w:rPr>
          <w:rFonts w:ascii="Times New Roman;Times;serif" w:hAnsi="Times New Roman;Times;serif"/>
          <w:sz w:val="20"/>
        </w:rPr>
        <w:t xml:space="preserve"> that any such annual and quarterly reports, information, documents and other reports and information filed with the Commission may be provided by the Company to the Trustee electronically. The Company and any Guarantor shall comply with the other provisions of TIA Section 314(a). Delivery of such information, documents and reports to the Trustee is for informational purposes only and the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It is expressly understood that materials transmitted electronically by the Company to the Trustee or filed pursuant to the Commission’s EDGAR system (or any successor electronic filing system) shall be deemed filed with the Trustee and transmitted to Holders for purposes of this </w:t>
      </w:r>
      <w:r>
        <w:rPr>
          <w:rFonts w:ascii="Times New Roman;Times;serif" w:hAnsi="Times New Roman;Times;serif"/>
          <w:sz w:val="20"/>
          <w:u w:val="single"/>
        </w:rPr>
        <w:t>Section 14.04</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15</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MISCELLANEOUS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15.01.</w:t>
      </w:r>
      <w:r>
        <w:rPr>
          <w:rFonts w:ascii="Times New Roman;Times;serif" w:hAnsi="Times New Roman;Times;serif"/>
          <w:sz w:val="20"/>
          <w:u w:val="single"/>
        </w:rPr>
        <w:t>Incorporators, Stockholders, Members, Partners, Officers, Managers and Directors of Company or any Guarantor Exempt from Individual Liability</w:t>
      </w:r>
      <w:r>
        <w:rPr>
          <w:rFonts w:ascii="Times New Roman;Times;serif" w:hAnsi="Times New Roman;Times;serif"/>
          <w:sz w:val="20"/>
        </w:rPr>
        <w:t>.  No recourse under or upon any obligation, covenant or agreement contained in this Indenture, or in any Security of any series or any Guarantees, or because of any indebtedness evidenced thereby, shall be had against any incorporator, as such or against any past, present or future stockholder, member, partner, officer, manager or director, as such, of the Company, any Guarantor or any successor, either directly or through the Company, any Guarantor or any successor, under any rule of law, statute or constitutional provision or by the enforcement of any assessment or by any legal or equitable proceeding or otherwise, all such liability being expressly waived and released by the acceptance of the Securities of such series by the Holders thereof and as part of the consideration for the issue of the Securities of such series.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15.02.</w:t>
      </w:r>
      <w:r>
        <w:rPr>
          <w:rFonts w:ascii="Times New Roman;Times;serif" w:hAnsi="Times New Roman;Times;serif"/>
          <w:sz w:val="20"/>
          <w:u w:val="single"/>
        </w:rPr>
        <w:t>Provisions of Indenture for the Sole Benefit of Parties and Holders</w:t>
      </w:r>
      <w:r>
        <w:rPr>
          <w:rFonts w:ascii="Times New Roman;Times;serif" w:hAnsi="Times New Roman;Times;serif"/>
          <w:sz w:val="20"/>
        </w:rPr>
        <w:t xml:space="preserve">.  Except as set forth in </w:t>
      </w:r>
      <w:r>
        <w:rPr>
          <w:rFonts w:ascii="Times New Roman;Times;serif" w:hAnsi="Times New Roman;Times;serif"/>
          <w:sz w:val="20"/>
          <w:u w:val="single"/>
        </w:rPr>
        <w:t>Section 15.10</w:t>
      </w:r>
      <w:r>
        <w:rPr>
          <w:rFonts w:ascii="Times New Roman;Times;serif" w:hAnsi="Times New Roman;Times;serif"/>
          <w:sz w:val="20"/>
        </w:rPr>
        <w:t>, nothing in this Indenture or in the Securities of any series, expressed or implied, shall give or be construed to give to any person, firm or corporation, other than the parties hereto and their successors and the Holders of the Securities of such series,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15.03.</w:t>
      </w:r>
      <w:r>
        <w:rPr>
          <w:rFonts w:ascii="Times New Roman;Times;serif" w:hAnsi="Times New Roman;Times;serif"/>
          <w:sz w:val="20"/>
          <w:u w:val="single"/>
        </w:rPr>
        <w:t>Successors and Assigns of Company or Guarantor Bound by Indenture</w:t>
      </w:r>
      <w:r>
        <w:rPr>
          <w:rFonts w:ascii="Times New Roman;Times;serif" w:hAnsi="Times New Roman;Times;serif"/>
          <w:sz w:val="20"/>
        </w:rPr>
        <w:t>.  All the covenants, stipulations, promises and agreements in this Indenture contained by or in behalf of the Company or any Guarantor shall bind their successors and assigns, whether so expressed or not.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15.04.</w:t>
      </w:r>
      <w:r>
        <w:rPr>
          <w:rFonts w:ascii="Times New Roman;Times;serif" w:hAnsi="Times New Roman;Times;serif"/>
          <w:sz w:val="20"/>
          <w:u w:val="single"/>
        </w:rPr>
        <w:t>Notices, Etc., to Trustee, the Company and Guarantors</w:t>
      </w:r>
      <w:r>
        <w:rPr>
          <w:rFonts w:ascii="Times New Roman;Times;serif" w:hAnsi="Times New Roman;Times;serif"/>
          <w:sz w:val="20"/>
        </w:rPr>
        <w:t>.  Any request, demand, authorization, direction, notice, consent, waiver or act of Holders or other document provided or permitted by this Indenture to be made upon, given or furnished to, or filed with:</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rPr>
        <w:t>the Trustee by any Holder, or by the Company or a Guarantor, if any, shall be sufficient for every purpose hereunder if made, given, furnished or filed in writing to or with the Trustee at [●], facsimile [●], or such other facsimile number as may be provided by the Trustee from time to time, and shall be deemed to have been made at the time of actual receipt of such written notice or facsimile transmission thereof; provided that any delivery</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made or facsimile sent on a day other than a Business Day shall be deemed to be received on the next following Business Day;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sz w:val="20"/>
        </w:rPr>
        <w:t>the Company or a Guarantor, if any, by the Trustee or by any Holder shall be sufficient for every purpose hereunder (unless otherwise herein expressly provided) if in writing to the Company or such Guarantor, as the case may be, addressed to it at the address specified in Schedule I hereto or at any other address or facsimile number previously furnished in writing to the Trustee by the Company or such Guarantor, as the case may be, and shall be deemed to have been made at the time of delivery or facsimile transmission; provided that any delivery made or facsimile sent on a day other than a Business Day shall be deemed to be received on the next following Business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15.05.</w:t>
      </w:r>
      <w:r>
        <w:rPr>
          <w:rFonts w:ascii="Times New Roman;Times;serif" w:hAnsi="Times New Roman;Times;serif"/>
          <w:sz w:val="20"/>
          <w:u w:val="single"/>
        </w:rPr>
        <w:t>Notices to Holders</w:t>
      </w:r>
      <w:r>
        <w:rPr>
          <w:rFonts w:ascii="Times New Roman;Times;serif" w:hAnsi="Times New Roman;Times;serif"/>
          <w:sz w:val="20"/>
        </w:rPr>
        <w:t>.  Where this Indenture provides for notice to Holders, such notice shall be sufficiently given (unless otherwise herein expressly provided) if in writing and mailed, first-class postage prepaid, to each Holder entitled thereto, at its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The Trustee may waive notice to it of any provision herein, and such waiver shall be deemed to be for its convenience and discretion. Waivers of notice by Holders shall be filed with the Trustee, but such filing shall not be a condition precedent to the validity of any action taken in reliance upon such waiver.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case, by reason of the suspension of or irregularities in regular mail service, it shall be impracticable to mail notice to the Company, any Guarantor or any Holders when such notice is required to be given pursuant to any provision of this Indenture, then any manner of giving such notice as shall be satisfactory to the Trustee shall be deemed to be a sufficient giving of such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15.06.</w:t>
      </w:r>
      <w:r>
        <w:rPr>
          <w:rFonts w:ascii="Times New Roman;Times;serif" w:hAnsi="Times New Roman;Times;serif"/>
          <w:sz w:val="20"/>
          <w:u w:val="single"/>
        </w:rPr>
        <w:t>Officers’ Certificates and Opinions of Counsel</w:t>
      </w:r>
      <w:r>
        <w:rPr>
          <w:rFonts w:ascii="Times New Roman;Times;serif" w:hAnsi="Times New Roman;Times;serif"/>
          <w:sz w:val="20"/>
        </w:rPr>
        <w:t>;</w:t>
      </w:r>
      <w:r>
        <w:rPr>
          <w:rFonts w:ascii="Times New Roman;Times;serif" w:hAnsi="Times New Roman;Times;serif"/>
          <w:sz w:val="20"/>
          <w:u w:val="single"/>
        </w:rPr>
        <w:t xml:space="preserve"> Statements to Be Contained Therein</w:t>
      </w:r>
      <w:r>
        <w:rPr>
          <w:rFonts w:ascii="Times New Roman;Times;serif" w:hAnsi="Times New Roman;Times;serif"/>
          <w:sz w:val="20"/>
        </w:rPr>
        <w:t>.  Upon any application or demand by the Company or any Guarantor to the Trustee to take any action under any of the provisions of this Indenture, the Company or such Guarantor, as the case may be,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complied with and (d) a statement as to whether or not, in the opinion of such person, such condition or covenant has been complied with.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certificate, statement or opinion of an officer of the Company or any Guarantor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or information which is in the possession of the Company, upon the certificate, statement or opinion of or representations by an officer or officers of the Company or such Guarantor, as the case may be,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certificate, statement or opinion of an officer or counsel of the Company or any Guarantor may be based, insofar as it relates to accounting matters, upon a certificate or opinion of or representations by an accountant or firm of accountants in the employ of the Company or such Guarantor, as the case may be, unless such officer or counsel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certificate or opinion of any independent firm of public accountants filed with the Trustee shall contain a statement that such firm is independent within the meaning of the Securities Act and the rules and regulations promulgated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15.07.</w:t>
      </w:r>
      <w:r>
        <w:rPr>
          <w:rFonts w:ascii="Times New Roman;Times;serif" w:hAnsi="Times New Roman;Times;serif"/>
          <w:sz w:val="20"/>
          <w:u w:val="single"/>
        </w:rPr>
        <w:t>Payments Due on Saturdays, Sundays and Holidays</w:t>
      </w:r>
      <w:r>
        <w:rPr>
          <w:rFonts w:ascii="Times New Roman;Times;serif" w:hAnsi="Times New Roman;Times;serif"/>
          <w:sz w:val="20"/>
        </w:rPr>
        <w:t>.  If the Stated Maturity of interest on or principal of the Securities of a particular series or the date fixed for redemption of any Security shall not be a Business Day, then payment of interest or principal with respect to such Securities need not be made on such date, but may be made on the next succeeding Business Day with the same force and effect as if made on the date of maturity or the date fixed for redemption, and no interest shall accrue for the period after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15.08.</w:t>
      </w:r>
      <w:r>
        <w:rPr>
          <w:rFonts w:ascii="Times New Roman;Times;serif" w:hAnsi="Times New Roman;Times;serif"/>
          <w:sz w:val="20"/>
          <w:u w:val="single"/>
        </w:rPr>
        <w:t>Conflict of Any Provision of Indenture with Trust Indenture Act</w:t>
      </w:r>
      <w:r>
        <w:rPr>
          <w:rFonts w:ascii="Times New Roman;Times;serif" w:hAnsi="Times New Roman;Times;serif"/>
          <w:sz w:val="20"/>
        </w:rPr>
        <w:t>.  If and to the extent that any provision of this Indenture limits, qualifies or conflicts with another provision included in this Indenture by operation of Sections 310 to 317, inclusive, of the Trust Indenture Act (an “incorporated provision”), such incorporated provision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15.09.</w:t>
      </w:r>
      <w:r>
        <w:rPr>
          <w:rFonts w:ascii="Times New Roman;Times;serif" w:hAnsi="Times New Roman;Times;serif"/>
          <w:sz w:val="20"/>
          <w:u w:val="single"/>
        </w:rPr>
        <w:t>Conflict of Any Provision of Securities with Indenture</w:t>
      </w:r>
      <w:r>
        <w:rPr>
          <w:rFonts w:ascii="Times New Roman;Times;serif" w:hAnsi="Times New Roman;Times;serif"/>
          <w:sz w:val="20"/>
        </w:rPr>
        <w:t>.  If and to the extent that any provision of the Securities limits, qualifies or conflicts with a provision of this Indenture, such provision of this Indenture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15.10.</w:t>
      </w:r>
      <w:r>
        <w:rPr>
          <w:rFonts w:ascii="Times New Roman;Times;serif" w:hAnsi="Times New Roman;Times;serif"/>
          <w:sz w:val="20"/>
          <w:u w:val="single"/>
        </w:rPr>
        <w:t>New York Law to Govern</w:t>
      </w:r>
      <w:r>
        <w:rPr>
          <w:rFonts w:ascii="Times New Roman;Times;serif" w:hAnsi="Times New Roman;Times;serif"/>
          <w:sz w:val="20"/>
        </w:rPr>
        <w:t>.  This Indenture, the Securities of any series and the Guarantees, if any, shall each be deemed to be a contract under the laws of the State of New York, and for all purposes shall be construed in accordance with the laws of the State of New York,</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but without giving effect to applicable principles of conflicts of law to the extent that the application of the law of another jurisdiction would be required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15.11.</w:t>
      </w:r>
      <w:r>
        <w:rPr>
          <w:rFonts w:ascii="Times New Roman;Times;serif" w:hAnsi="Times New Roman;Times;serif"/>
          <w:sz w:val="20"/>
          <w:u w:val="single"/>
        </w:rPr>
        <w:t>Waiver of Jury Trial</w:t>
      </w:r>
      <w:r>
        <w:rPr>
          <w:rFonts w:ascii="Times New Roman;Times;serif" w:hAnsi="Times New Roman;Times;serif"/>
          <w:sz w:val="20"/>
        </w:rPr>
        <w:t>.  Each party hereto hereby waives, and each Holder by acceptance of its Securities shall be deemed to have waived, to the fullest extent permitted by applicable law, any right it may have to a trial by jury (but no other judicial remedies) in respect of any litigation directly or indirectly arising out of, under or in connection with this Indenture or the transactions contemplated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15.12.</w:t>
      </w:r>
      <w:r>
        <w:rPr>
          <w:rFonts w:ascii="Times New Roman;Times;serif" w:hAnsi="Times New Roman;Times;serif"/>
          <w:sz w:val="20"/>
          <w:u w:val="single"/>
        </w:rPr>
        <w:t>Consent to Jurisdiction and Service</w:t>
      </w:r>
      <w:r>
        <w:rPr>
          <w:rFonts w:ascii="Times New Roman;Times;serif" w:hAnsi="Times New Roman;Times;serif"/>
          <w:sz w:val="20"/>
        </w:rPr>
        <w:t>.  The Company and each Guarantor, if any, irrevocably (a) agree that any legal suit, action or proceeding against the Company or any Guarantor arising out of or based upon this Indenture, the Securities or any Guarantee or the transactions contemplated hereby may be instituted in any U.S. Federal or state court in the City and County of New York (collectively, the “</w:t>
      </w:r>
      <w:r>
        <w:rPr>
          <w:rFonts w:ascii="Times New Roman;Times;serif" w:hAnsi="Times New Roman;Times;serif"/>
          <w:b/>
          <w:sz w:val="20"/>
        </w:rPr>
        <w:t>Specified Courts</w:t>
      </w:r>
      <w:r>
        <w:rPr>
          <w:rFonts w:ascii="Times New Roman;Times;serif" w:hAnsi="Times New Roman;Times;serif"/>
          <w:sz w:val="20"/>
        </w:rPr>
        <w:t>”) and (b) waive, to the fullest extent they may effectively do so, any objection which they may now or hereafter have to the laying of venue of any such proceeding. The Company and each Guarantor hereby appoint C T Corporation System, 28 Liberty Street, New York, New York, 10005, as their authorized agent (the “</w:t>
      </w:r>
      <w:r>
        <w:rPr>
          <w:rFonts w:ascii="Times New Roman;Times;serif" w:hAnsi="Times New Roman;Times;serif"/>
          <w:b/>
          <w:sz w:val="20"/>
        </w:rPr>
        <w:t>Authorized Agent</w:t>
      </w:r>
      <w:r>
        <w:rPr>
          <w:rFonts w:ascii="Times New Roman;Times;serif" w:hAnsi="Times New Roman;Times;serif"/>
          <w:sz w:val="20"/>
        </w:rPr>
        <w:t>”) upon whom process may be served in any such action arising out of or based on this Indenture, the Securities or the transactions contemplated hereby which may be instituted in any Specified Court, expressly consent to the jurisdiction of any such Specified Court in respect of any such action, and waive any other requirements of or objections to personal jurisdiction with respect thereto. Such appointment shall be irrevocable by the Company and any Guarantors. The Company and each Guarantor represent and warrant that the Authorized Agent has agreed to act as such agent for service of process and agree to take any and all action, including the filing of any and all documents and instruments, that may be necessary to continue such appointment in full force and effect as aforesaid. Service of process upon the Authorized Agent in any manner permitted by applicable law and written notice of such service to the Company or to a Guarantor shall be deemed, in every respect, effective service of process upon the Company or such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15.13.</w:t>
      </w:r>
      <w:r>
        <w:rPr>
          <w:rFonts w:ascii="Times New Roman;Times;serif" w:hAnsi="Times New Roman;Times;serif"/>
          <w:sz w:val="20"/>
          <w:u w:val="single"/>
        </w:rPr>
        <w:t>Third Party Beneficiaries</w:t>
      </w:r>
      <w:r>
        <w:rPr>
          <w:rFonts w:ascii="Times New Roman;Times;serif" w:hAnsi="Times New Roman;Times;serif"/>
          <w:sz w:val="20"/>
        </w:rPr>
        <w:t>.  Holders of Securities of the Company are third party beneficiaries of this Indenture, and any of them (or their representative) shall have the right to enforce the provisions of this Indenture that benefit such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15.14.</w:t>
      </w:r>
      <w:r>
        <w:rPr>
          <w:rFonts w:ascii="Times New Roman;Times;serif" w:hAnsi="Times New Roman;Times;serif"/>
          <w:sz w:val="20"/>
          <w:u w:val="single"/>
        </w:rPr>
        <w:t>Counterparts</w:t>
      </w:r>
      <w:r>
        <w:rPr>
          <w:rFonts w:ascii="Times New Roman;Times;serif" w:hAnsi="Times New Roman;Times;serif"/>
          <w:sz w:val="20"/>
        </w:rPr>
        <w:t>.  This Indenture may be executed in any number of counterparts, each of which shall be an original; but such counterparts shall together constitute but one and the same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15.15.</w:t>
      </w:r>
      <w:r>
        <w:rPr>
          <w:rFonts w:ascii="Times New Roman;Times;serif" w:hAnsi="Times New Roman;Times;serif"/>
          <w:sz w:val="20"/>
          <w:u w:val="single"/>
        </w:rPr>
        <w:t>Effect of Headings, Table of Contents</w:t>
      </w:r>
      <w:r>
        <w:rPr>
          <w:rFonts w:ascii="Times New Roman;Times;serif" w:hAnsi="Times New Roman;Times;serif"/>
          <w:sz w:val="20"/>
        </w:rPr>
        <w:t>.  The Article and Section headings herein and the Table of Contents are for convenience only and shall not affect the construction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15.16.</w:t>
      </w:r>
      <w:r>
        <w:rPr>
          <w:rFonts w:ascii="Times New Roman;Times;serif" w:hAnsi="Times New Roman;Times;serif"/>
          <w:sz w:val="20"/>
          <w:u w:val="single"/>
        </w:rPr>
        <w:t>No Adverse Interpretation of Other A</w:t>
      </w:r>
      <w:r>
        <w:rPr>
          <w:rFonts w:ascii="Times New Roman;Times;serif" w:hAnsi="Times New Roman;Times;serif"/>
          <w:sz w:val="20"/>
        </w:rPr>
        <w:t>g</w:t>
      </w:r>
      <w:r>
        <w:rPr>
          <w:rFonts w:ascii="Times New Roman;Times;serif" w:hAnsi="Times New Roman;Times;serif"/>
          <w:sz w:val="20"/>
          <w:u w:val="single"/>
        </w:rPr>
        <w:t>reements</w:t>
      </w:r>
      <w:r>
        <w:rPr>
          <w:rFonts w:ascii="Times New Roman;Times;serif" w:hAnsi="Times New Roman;Times;serif"/>
          <w:sz w:val="20"/>
        </w:rPr>
        <w:t>.  This Indenture may not be used to interpret another indenture, loan or debt agreement of the Company, any Guarantor or any Subsidiary. Any such indenture, loan or debt agreement may not be used to interpret this Indenture.</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15.17.</w:t>
      </w:r>
      <w:r>
        <w:rPr>
          <w:rFonts w:ascii="Times New Roman;Times;serif" w:hAnsi="Times New Roman;Times;serif"/>
          <w:sz w:val="20"/>
          <w:u w:val="single"/>
        </w:rPr>
        <w:t>Severabilit</w:t>
      </w:r>
      <w:r>
        <w:rPr>
          <w:rFonts w:ascii="Times New Roman;Times;serif" w:hAnsi="Times New Roman;Times;serif"/>
          <w:sz w:val="20"/>
        </w:rPr>
        <w:t>y.  If any provision hereof shall be held to be invalid, illegal or unenforceable under applicable law, then the remaining provisions hereof shall be construed as though such invalid, illegal or unenforceable provision were not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15.18.</w:t>
      </w:r>
      <w:r>
        <w:rPr>
          <w:rFonts w:ascii="Times New Roman;Times;serif" w:hAnsi="Times New Roman;Times;serif"/>
          <w:sz w:val="20"/>
          <w:u w:val="single"/>
        </w:rPr>
        <w:t>Patriot Act Compliance</w:t>
      </w:r>
      <w:r>
        <w:rPr>
          <w:rFonts w:ascii="Times New Roman;Times;serif" w:hAnsi="Times New Roman;Times;serif"/>
          <w:sz w:val="20"/>
        </w:rPr>
        <w:t>.  The parties hereto acknowledge that in accordance with Section 326 of the USA Patriot Act the Trustee, like all financial institutions, is required to obtain, verify, and record information that identifies each person or legal entity that establishes a relationship or opens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15.19.</w:t>
      </w:r>
      <w:r>
        <w:rPr>
          <w:rFonts w:ascii="Times New Roman;Times;serif" w:hAnsi="Times New Roman;Times;serif"/>
          <w:sz w:val="20"/>
          <w:u w:val="single"/>
        </w:rPr>
        <w:t>Force Ma</w:t>
      </w:r>
      <w:r>
        <w:rPr>
          <w:rFonts w:ascii="Times New Roman;Times;serif" w:hAnsi="Times New Roman;Times;serif"/>
          <w:sz w:val="20"/>
        </w:rPr>
        <w:t>j</w:t>
      </w:r>
      <w:r>
        <w:rPr>
          <w:rFonts w:ascii="Times New Roman;Times;serif" w:hAnsi="Times New Roman;Times;serif"/>
          <w:sz w:val="20"/>
          <w:u w:val="single"/>
        </w:rPr>
        <w:t>eure</w:t>
      </w:r>
      <w:r>
        <w:rPr>
          <w:rFonts w:ascii="Times New Roman;Times;serif" w:hAnsi="Times New Roman;Times;serif"/>
          <w:sz w:val="20"/>
        </w:rPr>
        <w:t>.  In no event shall the Trustee, Registrar or Paying Agent be liable for any failure or delay in the performance of its obligations hereunder because of circumstances beyond the Trustee’s, Registrar’s or Paying Agents’ control, including, but not limited to, acts of God, flood, war (whether declared or undeclared), terrorism, fire, riot or embargo, which delay, restrict or prohibit the providing of the services contemplated by this Indenture.</w:t>
      </w:r>
    </w:p>
    <w:p>
      <w:pPr>
        <w:pStyle w:val="TextBody"/>
        <w:bidi w:val="0"/>
        <w:spacing w:before="0" w:after="240"/>
        <w:ind w:left="0" w:right="0" w:firstLine="720"/>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hereto have caused this Indenture to be duly executed, all as of [●].</w:t>
      </w:r>
    </w:p>
    <w:tbl>
      <w:tblPr>
        <w:tblW w:w="3589" w:type="dxa"/>
        <w:jc w:val="center"/>
        <w:tblInd w:w="0" w:type="dxa"/>
        <w:tblLayout w:type="fixed"/>
        <w:tblCellMar>
          <w:top w:w="0" w:type="dxa"/>
          <w:left w:w="0" w:type="dxa"/>
          <w:bottom w:w="0" w:type="dxa"/>
          <w:right w:w="0" w:type="dxa"/>
        </w:tblCellMar>
      </w:tblPr>
      <w:tblGrid>
        <w:gridCol w:w="124"/>
        <w:gridCol w:w="1118"/>
        <w:gridCol w:w="1847"/>
        <w:gridCol w:w="500"/>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8740" cy="175260"/>
                      <wp:effectExtent l="0" t="0" r="0" b="0"/>
                      <wp:wrapNone/>
                      <wp:docPr id="34" name="Frame3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0"/>
              <w:ind w:left="0" w:right="0" w:hanging="0"/>
              <w:jc w:val="left"/>
              <w:rPr/>
            </w:pPr>
            <w:r>
              <w:rPr/>
              <w:t>​</w:t>
            </w:r>
          </w:p>
        </w:tc>
        <w:tc>
          <w:tcPr>
            <w:tcW w:w="1847" w:type="dxa"/>
            <w:tcBorders/>
            <w:vAlign w:val="center"/>
          </w:tcPr>
          <w:p>
            <w:pPr>
              <w:pStyle w:val="TableContents"/>
              <w:bidi w:val="0"/>
              <w:spacing w:before="0" w:after="0"/>
              <w:ind w:left="0" w:right="0" w:hanging="0"/>
              <w:jc w:val="left"/>
              <w:rPr/>
            </w:pPr>
            <w:r>
              <w:rPr/>
              <w:t>​</w: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17500" cy="175260"/>
                      <wp:effectExtent l="0" t="0" r="0" b="0"/>
                      <wp:wrapNone/>
                      <wp:docPr id="35" name="Frame33"/>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IOVANCE BIOTHERAPEUTICS, INC.</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the Company</w:t>
            </w:r>
          </w:p>
        </w:tc>
      </w:tr>
      <w:tr>
        <w:trPr/>
        <w:tc>
          <w:tcPr>
            <w:tcW w:w="124"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pPr>
            <w:r>
              <w:rPr/>
              <w:t>​</w:t>
            </w:r>
          </w:p>
        </w:tc>
        <w:tc>
          <w:tcPr>
            <w:tcW w:w="1847" w:type="dxa"/>
            <w:tcBorders/>
            <w:vAlign w:val="center"/>
          </w:tcPr>
          <w:p>
            <w:pPr>
              <w:pStyle w:val="TableContents"/>
              <w:bidi w:val="0"/>
              <w:spacing w:before="0" w:after="0"/>
              <w:ind w:left="0" w:right="0" w:hanging="0"/>
              <w:jc w:val="left"/>
              <w:rPr/>
            </w:pPr>
            <w:r>
              <w:rPr/>
              <w:t>​</w:t>
            </w:r>
          </w:p>
        </w:tc>
        <w:tc>
          <w:tcPr>
            <w:tcW w:w="50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47"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pPr>
            <w:r>
              <w:rPr/>
              <w:t>​</w:t>
            </w:r>
          </w:p>
        </w:tc>
        <w:tc>
          <w:tcPr>
            <w:tcW w:w="184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0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pPr>
            <w:r>
              <w:rPr/>
              <w:t>​</w:t>
            </w:r>
          </w:p>
        </w:tc>
        <w:tc>
          <w:tcPr>
            <w:tcW w:w="1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0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pPr>
            <w:r>
              <w:rPr/>
              <w:t>​</w:t>
            </w:r>
          </w:p>
        </w:tc>
        <w:tc>
          <w:tcPr>
            <w:tcW w:w="1847" w:type="dxa"/>
            <w:tcBorders/>
            <w:vAlign w:val="center"/>
          </w:tcPr>
          <w:p>
            <w:pPr>
              <w:pStyle w:val="TableContents"/>
              <w:bidi w:val="0"/>
              <w:spacing w:before="0" w:after="0"/>
              <w:ind w:left="0" w:right="0" w:hanging="0"/>
              <w:jc w:val="left"/>
              <w:rPr/>
            </w:pPr>
            <w:r>
              <w:rPr/>
              <w:t>​</w:t>
            </w:r>
          </w:p>
        </w:tc>
        <w:tc>
          <w:tcPr>
            <w:tcW w:w="50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Guarantor</w:t>
            </w:r>
          </w:p>
        </w:tc>
      </w:tr>
      <w:tr>
        <w:trPr/>
        <w:tc>
          <w:tcPr>
            <w:tcW w:w="124"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pPr>
            <w:r>
              <w:rPr/>
              <w:t>​</w:t>
            </w:r>
          </w:p>
        </w:tc>
        <w:tc>
          <w:tcPr>
            <w:tcW w:w="1847" w:type="dxa"/>
            <w:tcBorders/>
            <w:vAlign w:val="center"/>
          </w:tcPr>
          <w:p>
            <w:pPr>
              <w:pStyle w:val="TableContents"/>
              <w:bidi w:val="0"/>
              <w:spacing w:before="0" w:after="0"/>
              <w:ind w:left="0" w:right="0" w:hanging="0"/>
              <w:jc w:val="left"/>
              <w:rPr/>
            </w:pPr>
            <w:r>
              <w:rPr/>
              <w:t>​</w:t>
            </w:r>
          </w:p>
        </w:tc>
        <w:tc>
          <w:tcPr>
            <w:tcW w:w="50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47"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pPr>
            <w:r>
              <w:rPr/>
              <w:t>​</w:t>
            </w:r>
          </w:p>
        </w:tc>
        <w:tc>
          <w:tcPr>
            <w:tcW w:w="184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0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pPr>
            <w:r>
              <w:rPr/>
              <w:t>​</w:t>
            </w:r>
          </w:p>
        </w:tc>
        <w:tc>
          <w:tcPr>
            <w:tcW w:w="1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0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Base Indenture]</w:t>
      </w:r>
    </w:p>
    <w:p>
      <w:pPr>
        <w:pStyle w:val="HorizontalLine"/>
        <w:pBdr>
          <w:bottom w:val="double" w:sz="2" w:space="0" w:color="808080"/>
        </w:pBdr>
        <w:bidi w:val="0"/>
        <w:spacing w:before="0" w:after="283"/>
        <w:jc w:val="left"/>
        <w:rPr/>
      </w:pPr>
      <w:r>
        <w:rPr/>
      </w:r>
    </w:p>
    <w:tbl>
      <w:tblPr>
        <w:tblW w:w="1384" w:type="dxa"/>
        <w:jc w:val="center"/>
        <w:tblInd w:w="0" w:type="dxa"/>
        <w:tblLayout w:type="fixed"/>
        <w:tblCellMar>
          <w:top w:w="0" w:type="dxa"/>
          <w:left w:w="0" w:type="dxa"/>
          <w:bottom w:w="0" w:type="dxa"/>
          <w:right w:w="0" w:type="dxa"/>
        </w:tblCellMar>
      </w:tblPr>
      <w:tblGrid>
        <w:gridCol w:w="124"/>
        <w:gridCol w:w="429"/>
        <w:gridCol w:w="668"/>
        <w:gridCol w:w="163"/>
      </w:tblGrid>
      <w:tr>
        <w:trPr/>
        <w:tc>
          <w:tcPr>
            <w:tcW w:w="124" w:type="dxa"/>
            <w:tcBorders/>
            <w:vAlign w:val="center"/>
          </w:tcPr>
          <w:p>
            <w:pPr>
              <w:pStyle w:val="TableContents"/>
              <w:bidi w:val="0"/>
              <w:spacing w:before="0" w:after="0"/>
              <w:ind w:left="0" w:right="0" w:hanging="0"/>
              <w:jc w:val="left"/>
              <w:rPr/>
            </w:pPr>
            <w:r>
              <w:rPr/>
              <w:t>​</w:t>
            </w:r>
          </w:p>
        </w:tc>
        <w:tc>
          <w:tcPr>
            <w:tcW w:w="126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126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the Trustee</w:t>
            </w:r>
          </w:p>
        </w:tc>
      </w:tr>
      <w:tr>
        <w:trPr/>
        <w:tc>
          <w:tcPr>
            <w:tcW w:w="124"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831"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66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6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63" w:type="dxa"/>
            <w:tcBorders/>
            <w:vAlign w:val="center"/>
          </w:tcPr>
          <w:p>
            <w:pPr>
              <w:pStyle w:val="TableContents"/>
              <w:bidi w:val="0"/>
              <w:spacing w:before="0" w:after="0"/>
              <w:ind w:left="0" w:right="0" w:hanging="0"/>
              <w:jc w:val="left"/>
              <w:rPr/>
            </w:pPr>
            <w:r>
              <w:rPr/>
              <w:t>​</w:t>
            </w:r>
          </w:p>
        </w:tc>
      </w:tr>
    </w:tbl>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Base Indenture]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I</w:t>
      </w:r>
    </w:p>
    <w:p>
      <w:pPr>
        <w:pStyle w:val="TextBody"/>
        <w:bidi w:val="0"/>
        <w:spacing w:before="0" w:after="0"/>
        <w:ind w:left="0" w:right="0" w:hanging="0"/>
        <w:jc w:val="left"/>
        <w:rPr/>
      </w:pPr>
      <w:r>
        <w:rPr/>
        <w:t>​</w:t>
      </w:r>
    </w:p>
    <w:tbl>
      <w:tblPr>
        <w:tblW w:w="5628" w:type="dxa"/>
        <w:jc w:val="center"/>
        <w:tblInd w:w="0" w:type="dxa"/>
        <w:tblLayout w:type="fixed"/>
        <w:tblCellMar>
          <w:top w:w="0" w:type="dxa"/>
          <w:left w:w="0" w:type="dxa"/>
          <w:bottom w:w="28" w:type="dxa"/>
          <w:right w:w="0" w:type="dxa"/>
        </w:tblCellMar>
      </w:tblPr>
      <w:tblGrid>
        <w:gridCol w:w="2491"/>
        <w:gridCol w:w="346"/>
        <w:gridCol w:w="2791"/>
      </w:tblGrid>
      <w:tr>
        <w:trPr/>
        <w:tc>
          <w:tcPr>
            <w:tcW w:w="24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Company</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7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and Facsimile Number</w:t>
            </w:r>
          </w:p>
        </w:tc>
      </w:tr>
      <w:tr>
        <w:trPr/>
        <w:tc>
          <w:tcPr>
            <w:tcW w:w="249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Iovance Biotherapeutics, Inc.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825 Industrial Road, Suite 400</w:t>
            </w:r>
          </w:p>
        </w:tc>
      </w:tr>
      <w:tr>
        <w:trPr/>
        <w:tc>
          <w:tcPr>
            <w:tcW w:w="249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San Carlos, California 94070</w:t>
            </w:r>
          </w:p>
        </w:tc>
      </w:tr>
      <w:tr>
        <w:trPr/>
        <w:tc>
          <w:tcPr>
            <w:tcW w:w="249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1" w:type="dxa"/>
            <w:tcBorders/>
            <w:tcMar>
              <w:bottom w:w="0" w:type="dxa"/>
            </w:tcMar>
            <w:vAlign w:val="center"/>
          </w:tcPr>
          <w:p>
            <w:pPr>
              <w:pStyle w:val="TableContents"/>
              <w:bidi w:val="0"/>
              <w:spacing w:before="0" w:after="0"/>
              <w:ind w:left="0" w:right="0" w:hanging="0"/>
              <w:jc w:val="center"/>
              <w:rPr/>
            </w:pPr>
            <w:r>
              <w:rPr/>
              <w:t>​</w:t>
            </w:r>
          </w:p>
        </w:tc>
      </w:tr>
      <w:tr>
        <w:trPr/>
        <w:tc>
          <w:tcPr>
            <w:tcW w:w="249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(650) 260-7120</w:t>
            </w:r>
          </w:p>
        </w:tc>
      </w:tr>
      <w:tr>
        <w:trPr/>
        <w:tc>
          <w:tcPr>
            <w:tcW w:w="249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Attn: [●]</w:t>
            </w:r>
          </w:p>
        </w:tc>
      </w:tr>
      <w:tr>
        <w:trPr/>
        <w:tc>
          <w:tcPr>
            <w:tcW w:w="249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1"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173" w:type="dxa"/>
        <w:jc w:val="center"/>
        <w:tblInd w:w="0" w:type="dxa"/>
        <w:tblLayout w:type="fixed"/>
        <w:tblCellMar>
          <w:top w:w="0" w:type="dxa"/>
          <w:left w:w="0" w:type="dxa"/>
          <w:bottom w:w="28" w:type="dxa"/>
          <w:right w:w="0" w:type="dxa"/>
        </w:tblCellMar>
      </w:tblPr>
      <w:tblGrid>
        <w:gridCol w:w="1036"/>
        <w:gridCol w:w="346"/>
        <w:gridCol w:w="2791"/>
      </w:tblGrid>
      <w:tr>
        <w:trPr/>
        <w:tc>
          <w:tcPr>
            <w:tcW w:w="10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Guarantor</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7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and Facsimile Number</w:t>
            </w:r>
          </w:p>
        </w:tc>
      </w:tr>
      <w:tr>
        <w:trPr/>
        <w:tc>
          <w:tcPr>
            <w:tcW w:w="103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03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91"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37" w:name="iova-20260618xex5d1.htm"/>
      <w:bookmarkStart w:id="38" w:name="ksiova20260618xex5d1"/>
      <w:bookmarkEnd w:id="37"/>
      <w:bookmarkEnd w:id="38"/>
      <w:r>
        <w:rPr>
          <w:rFonts w:ascii="Times New Roman;Times;serif" w:hAnsi="Times New Roman;Times;serif"/>
          <w:b/>
          <w:sz w:val="20"/>
        </w:rPr>
        <w:t>EXHIBIT 5.1</w:t>
      </w:r>
      <w:r>
        <w:br w:type="page"/>
      </w:r>
    </w:p>
    <w:p>
      <w:pPr>
        <w:pStyle w:val="TextBody"/>
        <w:bidi w:val="0"/>
        <w:spacing w:before="0" w:after="0"/>
        <w:ind w:left="0" w:right="0" w:hanging="0"/>
        <w:jc w:val="left"/>
        <w:rPr/>
      </w:pPr>
      <w:r>
        <w:rPr/>
        <w:t>​</w:t>
      </w:r>
    </w:p>
    <w:tbl>
      <w:tblPr>
        <w:tblW w:w="3905" w:type="dxa"/>
        <w:jc w:val="center"/>
        <w:tblInd w:w="0" w:type="dxa"/>
        <w:tblLayout w:type="fixed"/>
        <w:tblCellMar>
          <w:top w:w="0" w:type="dxa"/>
          <w:left w:w="0" w:type="dxa"/>
          <w:bottom w:w="0" w:type="dxa"/>
          <w:right w:w="0" w:type="dxa"/>
        </w:tblCellMar>
      </w:tblPr>
      <w:tblGrid>
        <w:gridCol w:w="124"/>
        <w:gridCol w:w="3781"/>
      </w:tblGrid>
      <w:tr>
        <w:trPr/>
        <w:tc>
          <w:tcPr>
            <w:tcW w:w="124" w:type="dxa"/>
            <w:tcBorders/>
            <w:vAlign w:val="center"/>
          </w:tcPr>
          <w:p>
            <w:pPr>
              <w:pStyle w:val="TableContents"/>
              <w:bidi w:val="0"/>
              <w:spacing w:before="0" w:after="0"/>
              <w:ind w:left="0" w:right="0" w:hanging="0"/>
              <w:jc w:val="left"/>
              <w:rPr/>
            </w:pPr>
            <w:r>
              <w:rPr/>
              <w:t>​</w:t>
            </w:r>
          </w:p>
        </w:tc>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DLA Piper LLP (US)</w:t>
            </w:r>
          </w:p>
        </w:tc>
      </w:tr>
      <w:tr>
        <w:trPr/>
        <w:tc>
          <w:tcPr>
            <w:tcW w:w="124" w:type="dxa"/>
            <w:tcBorders/>
            <w:vAlign w:val="center"/>
          </w:tcPr>
          <w:p>
            <w:pPr>
              <w:pStyle w:val="TableContents"/>
              <w:bidi w:val="0"/>
              <w:spacing w:before="0" w:after="0"/>
              <w:ind w:left="0" w:right="0" w:hanging="0"/>
              <w:jc w:val="left"/>
              <w:rPr/>
            </w:pPr>
            <w:r>
              <w:rPr/>
              <w:t>​</w:t>
            </w:r>
          </w:p>
        </w:tc>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 John F. Kennedy Parkway, Suite 120</w:t>
            </w:r>
          </w:p>
        </w:tc>
      </w:tr>
      <w:tr>
        <w:trPr/>
        <w:tc>
          <w:tcPr>
            <w:tcW w:w="124" w:type="dxa"/>
            <w:tcBorders/>
            <w:vAlign w:val="center"/>
          </w:tcPr>
          <w:p>
            <w:pPr>
              <w:pStyle w:val="TableContents"/>
              <w:bidi w:val="0"/>
              <w:spacing w:before="0" w:after="0"/>
              <w:ind w:left="0" w:right="0" w:hanging="0"/>
              <w:jc w:val="left"/>
              <w:rPr/>
            </w:pPr>
            <w:r>
              <w:rPr/>
              <w:t>​</w:t>
            </w:r>
          </w:p>
        </w:tc>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Hills, New Jersey 07078</w:t>
            </w:r>
          </w:p>
        </w:tc>
      </w:tr>
      <w:tr>
        <w:trPr/>
        <w:tc>
          <w:tcPr>
            <w:tcW w:w="124" w:type="dxa"/>
            <w:tcBorders/>
            <w:vAlign w:val="center"/>
          </w:tcPr>
          <w:p>
            <w:pPr>
              <w:pStyle w:val="TableContents"/>
              <w:bidi w:val="0"/>
              <w:spacing w:before="0" w:after="0"/>
              <w:ind w:left="0" w:right="0" w:hanging="0"/>
              <w:jc w:val="left"/>
              <w:rPr/>
            </w:pPr>
            <w:r>
              <w:rPr/>
              <w:t>​</w:t>
            </w:r>
          </w:p>
        </w:tc>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www.dlapiper.com</w:t>
            </w:r>
          </w:p>
        </w:tc>
      </w:tr>
      <w:tr>
        <w:trPr/>
        <w:tc>
          <w:tcPr>
            <w:tcW w:w="124" w:type="dxa"/>
            <w:tcBorders/>
            <w:vAlign w:val="center"/>
          </w:tcPr>
          <w:p>
            <w:pPr>
              <w:pStyle w:val="TableContents"/>
              <w:bidi w:val="0"/>
              <w:spacing w:before="0" w:after="0"/>
              <w:ind w:left="0" w:right="0" w:hanging="0"/>
              <w:jc w:val="left"/>
              <w:rPr/>
            </w:pPr>
            <w:r>
              <w:rPr/>
              <w:t>​</w:t>
            </w:r>
          </w:p>
        </w:tc>
        <w:tc>
          <w:tcPr>
            <w:tcW w:w="37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 973-520-2550</w:t>
            </w:r>
          </w:p>
        </w:tc>
      </w:tr>
      <w:tr>
        <w:trPr/>
        <w:tc>
          <w:tcPr>
            <w:tcW w:w="124" w:type="dxa"/>
            <w:tcBorders/>
            <w:vAlign w:val="center"/>
          </w:tcPr>
          <w:p>
            <w:pPr>
              <w:pStyle w:val="TableContents"/>
              <w:bidi w:val="0"/>
              <w:spacing w:before="0" w:after="0"/>
              <w:ind w:left="0" w:right="0" w:hanging="0"/>
              <w:jc w:val="left"/>
              <w:rPr/>
            </w:pPr>
            <w:r>
              <w:rPr/>
              <w:t>​</w:t>
            </w:r>
          </w:p>
        </w:tc>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 973-520-2551</w:t>
            </w:r>
          </w:p>
        </w:tc>
      </w:tr>
      <w:tr>
        <w:trPr/>
        <w:tc>
          <w:tcPr>
            <w:tcW w:w="124" w:type="dxa"/>
            <w:tcBorders/>
            <w:vAlign w:val="center"/>
          </w:tcPr>
          <w:p>
            <w:pPr>
              <w:pStyle w:val="TableContents"/>
              <w:bidi w:val="0"/>
              <w:spacing w:before="0" w:after="0"/>
              <w:ind w:left="0" w:right="0" w:hanging="0"/>
              <w:jc w:val="left"/>
              <w:rPr/>
            </w:pPr>
            <w:r>
              <w:rPr/>
              <w:t>​</w:t>
            </w:r>
          </w:p>
        </w:tc>
        <w:tc>
          <w:tcPr>
            <w:tcW w:w="37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Attorneys Responsible for Short Hills Office:</w:t>
            </w:r>
          </w:p>
        </w:tc>
      </w:tr>
      <w:tr>
        <w:trPr/>
        <w:tc>
          <w:tcPr>
            <w:tcW w:w="124" w:type="dxa"/>
            <w:tcBorders/>
            <w:vAlign w:val="center"/>
          </w:tcPr>
          <w:p>
            <w:pPr>
              <w:pStyle w:val="TableContents"/>
              <w:bidi w:val="0"/>
              <w:spacing w:before="0" w:after="0"/>
              <w:ind w:left="0" w:right="0" w:hanging="0"/>
              <w:jc w:val="left"/>
              <w:rPr/>
            </w:pPr>
            <w:r>
              <w:rPr/>
              <w:t>​</w:t>
            </w:r>
          </w:p>
        </w:tc>
        <w:tc>
          <w:tcPr>
            <w:tcW w:w="37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Emilio Ragosa</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18,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Iovance Biotherapeutics,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825 Industrial Road, Suite 100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Carlos, California 94070</w:t>
      </w:r>
    </w:p>
    <w:p>
      <w:pPr>
        <w:pStyle w:val="TextBody"/>
        <w:bidi w:val="0"/>
        <w:spacing w:before="0" w:after="0"/>
        <w:ind w:left="0" w:right="0" w:hanging="0"/>
        <w:jc w:val="left"/>
        <w:rPr/>
      </w:pPr>
      <w:r>
        <w:rPr/>
        <w:t>​</w:t>
      </w:r>
    </w:p>
    <w:tbl>
      <w:tblPr>
        <w:tblW w:w="3618" w:type="dxa"/>
        <w:jc w:val="left"/>
        <w:tblInd w:w="0" w:type="dxa"/>
        <w:tblLayout w:type="fixed"/>
        <w:tblCellMar>
          <w:top w:w="0" w:type="dxa"/>
          <w:left w:w="0" w:type="dxa"/>
          <w:bottom w:w="0" w:type="dxa"/>
          <w:right w:w="0" w:type="dxa"/>
        </w:tblCellMar>
      </w:tblPr>
      <w:tblGrid>
        <w:gridCol w:w="23"/>
        <w:gridCol w:w="305"/>
        <w:gridCol w:w="329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w:t>
            </w:r>
          </w:p>
        </w:tc>
        <w:tc>
          <w:tcPr>
            <w:tcW w:w="3290" w:type="dxa"/>
            <w:tcBorders/>
            <w:vAlign w:val="center"/>
          </w:tcPr>
          <w:p>
            <w:pPr>
              <w:pStyle w:val="TableContents"/>
              <w:bidi w:val="0"/>
              <w:spacing w:before="0" w:after="0"/>
              <w:jc w:val="left"/>
              <w:rPr>
                <w:rFonts w:ascii="Times New Roman;Times;serif" w:hAnsi="Times New Roman;Times;serif"/>
                <w:sz w:val="20"/>
                <w:u w:val="single"/>
              </w:rPr>
            </w:pPr>
            <w:r>
              <w:rPr>
                <w:rFonts w:ascii="Times New Roman;Times;serif" w:hAnsi="Times New Roman;Times;serif"/>
                <w:sz w:val="20"/>
                <w:u w:val="single"/>
              </w:rPr>
              <w:t>Registration Statement on Form S-3ASR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Ladies and Gentlemen: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acted as counsel to Iovance Biotherapeutics, Inc., a Delaware corporation (the “</w:t>
      </w:r>
      <w:r>
        <w:rPr>
          <w:rFonts w:ascii="Times New Roman;Times;serif" w:hAnsi="Times New Roman;Times;serif"/>
          <w:b/>
          <w:i/>
          <w:sz w:val="20"/>
        </w:rPr>
        <w:t>Company</w:t>
      </w:r>
      <w:r>
        <w:rPr>
          <w:rFonts w:ascii="Times New Roman;Times;serif" w:hAnsi="Times New Roman;Times;serif"/>
          <w:sz w:val="20"/>
        </w:rPr>
        <w:t>”), in connection with the filing of a registration statement on Form S-3ASR (the “</w:t>
      </w:r>
      <w:r>
        <w:rPr>
          <w:rFonts w:ascii="Times New Roman;Times;serif" w:hAnsi="Times New Roman;Times;serif"/>
          <w:b/>
          <w:i/>
          <w:sz w:val="20"/>
        </w:rPr>
        <w:t>Registration Statement</w:t>
      </w:r>
      <w:r>
        <w:rPr>
          <w:rFonts w:ascii="Times New Roman;Times;serif" w:hAnsi="Times New Roman;Times;serif"/>
          <w:sz w:val="20"/>
        </w:rPr>
        <w:t>”), filed with the Securities and Exchange Commission (the “</w:t>
      </w:r>
      <w:r>
        <w:rPr>
          <w:rFonts w:ascii="Times New Roman;Times;serif" w:hAnsi="Times New Roman;Times;serif"/>
          <w:b/>
          <w:i/>
          <w:sz w:val="20"/>
        </w:rPr>
        <w:t>Commission</w:t>
      </w:r>
      <w:r>
        <w:rPr>
          <w:rFonts w:ascii="Times New Roman;Times;serif" w:hAnsi="Times New Roman;Times;serif"/>
          <w:sz w:val="20"/>
        </w:rPr>
        <w:t>”) on the date hereof, under the Securities Act of 1933, as amended (the “</w:t>
      </w:r>
      <w:r>
        <w:rPr>
          <w:rFonts w:ascii="Times New Roman;Times;serif" w:hAnsi="Times New Roman;Times;serif"/>
          <w:b/>
          <w:i/>
          <w:sz w:val="20"/>
        </w:rPr>
        <w:t>Securities Act</w:t>
      </w:r>
      <w:r>
        <w:rPr>
          <w:rFonts w:ascii="Times New Roman;Times;serif" w:hAnsi="Times New Roman;Times;serif"/>
          <w:sz w:val="20"/>
        </w:rPr>
        <w:t>”). The Registration Statement includes a prospectus (the “</w:t>
      </w:r>
      <w:r>
        <w:rPr>
          <w:rFonts w:ascii="Times New Roman;Times;serif" w:hAnsi="Times New Roman;Times;serif"/>
          <w:b/>
          <w:i/>
          <w:sz w:val="20"/>
        </w:rPr>
        <w:t>Prospectus</w:t>
      </w:r>
      <w:r>
        <w:rPr>
          <w:rFonts w:ascii="Times New Roman;Times;serif" w:hAnsi="Times New Roman;Times;serif"/>
          <w:sz w:val="20"/>
        </w:rPr>
        <w:t>”) that provides that it may be supplemented in the future by one or more supplements to the Prospectus (each, a “</w:t>
      </w:r>
      <w:r>
        <w:rPr>
          <w:rFonts w:ascii="Times New Roman;Times;serif" w:hAnsi="Times New Roman;Times;serif"/>
          <w:b/>
          <w:i/>
          <w:sz w:val="20"/>
        </w:rPr>
        <w:t>Prospectus Supplement</w:t>
      </w:r>
      <w:r>
        <w:rPr>
          <w:rFonts w:ascii="Times New Roman;Times;serif" w:hAnsi="Times New Roman;Times;serif"/>
          <w:sz w:val="20"/>
        </w:rPr>
        <w:t>”). The Prospectus, as it may be supplemented by one or more Prospectus Supplements, relates to the proposed offering and sale from time to time, pursuant to Rule 415 under the Securities Act, of an indeterminate amount of the following securities (the “</w:t>
      </w:r>
      <w:r>
        <w:rPr>
          <w:rFonts w:ascii="Times New Roman;Times;serif" w:hAnsi="Times New Roman;Times;serif"/>
          <w:b/>
          <w:i/>
          <w:sz w:val="20"/>
        </w:rPr>
        <w:t>Securities</w:t>
      </w:r>
      <w:r>
        <w:rPr>
          <w:rFonts w:ascii="Times New Roman;Times;serif" w:hAnsi="Times New Roman;Times;serif"/>
          <w:sz w:val="20"/>
        </w:rPr>
        <w:t>”): (i) shares of the Company’s common stock, par value $0.000041666 per share (the “</w:t>
      </w:r>
      <w:r>
        <w:rPr>
          <w:rFonts w:ascii="Times New Roman;Times;serif" w:hAnsi="Times New Roman;Times;serif"/>
          <w:b/>
          <w:i/>
          <w:sz w:val="20"/>
        </w:rPr>
        <w:t>Common Stock</w:t>
      </w:r>
      <w:r>
        <w:rPr>
          <w:rFonts w:ascii="Times New Roman;Times;serif" w:hAnsi="Times New Roman;Times;serif"/>
          <w:sz w:val="20"/>
        </w:rPr>
        <w:t>”), (ii) shares of the Company’s preferred stock, $0.001 par value per share (the “</w:t>
      </w:r>
      <w:r>
        <w:rPr>
          <w:rFonts w:ascii="Times New Roman;Times;serif" w:hAnsi="Times New Roman;Times;serif"/>
          <w:b/>
          <w:i/>
          <w:sz w:val="20"/>
        </w:rPr>
        <w:t>Preferred Stock</w:t>
      </w:r>
      <w:r>
        <w:rPr>
          <w:rFonts w:ascii="Times New Roman;Times;serif" w:hAnsi="Times New Roman;Times;serif"/>
          <w:sz w:val="20"/>
        </w:rPr>
        <w:t>”), (iii) debt securities of the Company (the “</w:t>
      </w:r>
      <w:r>
        <w:rPr>
          <w:rFonts w:ascii="Times New Roman;Times;serif" w:hAnsi="Times New Roman;Times;serif"/>
          <w:b/>
          <w:i/>
          <w:sz w:val="20"/>
        </w:rPr>
        <w:t>Debt Securities</w:t>
      </w:r>
      <w:r>
        <w:rPr>
          <w:rFonts w:ascii="Times New Roman;Times;serif" w:hAnsi="Times New Roman;Times;serif"/>
          <w:sz w:val="20"/>
        </w:rPr>
        <w:t>”), (iv) warrants to purchase shares of Common Stock, shares of Preferred Stock or Debt Securities (the “</w:t>
      </w:r>
      <w:r>
        <w:rPr>
          <w:rFonts w:ascii="Times New Roman;Times;serif" w:hAnsi="Times New Roman;Times;serif"/>
          <w:b/>
          <w:i/>
          <w:sz w:val="20"/>
        </w:rPr>
        <w:t>Warrants</w:t>
      </w:r>
      <w:r>
        <w:rPr>
          <w:rFonts w:ascii="Times New Roman;Times;serif" w:hAnsi="Times New Roman;Times;serif"/>
          <w:sz w:val="20"/>
        </w:rPr>
        <w:t>”), (v) units (the “</w:t>
      </w:r>
      <w:r>
        <w:rPr>
          <w:rFonts w:ascii="Times New Roman;Times;serif" w:hAnsi="Times New Roman;Times;serif"/>
          <w:b/>
          <w:i/>
          <w:sz w:val="20"/>
        </w:rPr>
        <w:t>Units</w:t>
      </w:r>
      <w:r>
        <w:rPr>
          <w:rFonts w:ascii="Times New Roman;Times;serif" w:hAnsi="Times New Roman;Times;serif"/>
          <w:sz w:val="20"/>
        </w:rPr>
        <w:t>”) consisting of Common Stock, Preferred Stock, Debt Securities, Warrants or any combination of the foregoing, and (vi) rights (the “</w:t>
      </w:r>
      <w:r>
        <w:rPr>
          <w:rFonts w:ascii="Times New Roman;Times;serif" w:hAnsi="Times New Roman;Times;serif"/>
          <w:b/>
          <w:i/>
          <w:sz w:val="20"/>
        </w:rPr>
        <w:t>Rights</w:t>
      </w:r>
      <w:r>
        <w:rPr>
          <w:rFonts w:ascii="Times New Roman;Times;serif" w:hAnsi="Times New Roman;Times;serif"/>
          <w:sz w:val="20"/>
        </w:rPr>
        <w:t>”) to purchase shares of Common Stock, shares of Preferred Stock, Debt Securities or Units.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this opinion letter, we have examined the Registration Statement and originals, or copies certified or otherwise identified to our satisfaction, of (i) the Certificate of Incorporation of the Company, as amended (the “</w:t>
      </w:r>
      <w:r>
        <w:rPr>
          <w:rFonts w:ascii="Times New Roman;Times;serif" w:hAnsi="Times New Roman;Times;serif"/>
          <w:b/>
          <w:i/>
          <w:sz w:val="20"/>
        </w:rPr>
        <w:t>Certificate</w:t>
      </w:r>
      <w:r>
        <w:rPr>
          <w:rFonts w:ascii="Times New Roman;Times;serif" w:hAnsi="Times New Roman;Times;serif"/>
          <w:sz w:val="20"/>
        </w:rPr>
        <w:t>”), (ii) the Bylaws of the Company, as amended (the “</w:t>
      </w:r>
      <w:r>
        <w:rPr>
          <w:rFonts w:ascii="Times New Roman;Times;serif" w:hAnsi="Times New Roman;Times;serif"/>
          <w:b/>
          <w:i/>
          <w:sz w:val="20"/>
        </w:rPr>
        <w:t>Bylaws</w:t>
      </w:r>
      <w:r>
        <w:rPr>
          <w:rFonts w:ascii="Times New Roman;Times;serif" w:hAnsi="Times New Roman;Times;serif"/>
          <w:sz w:val="20"/>
        </w:rPr>
        <w:t>”), (iii) the Form of Indenture (the “</w:t>
      </w:r>
      <w:r>
        <w:rPr>
          <w:rFonts w:ascii="Times New Roman;Times;serif" w:hAnsi="Times New Roman;Times;serif"/>
          <w:b/>
          <w:i/>
          <w:sz w:val="20"/>
        </w:rPr>
        <w:t>Base Indenture</w:t>
      </w:r>
      <w:r>
        <w:rPr>
          <w:rFonts w:ascii="Times New Roman;Times;serif" w:hAnsi="Times New Roman;Times;serif"/>
          <w:sz w:val="20"/>
        </w:rPr>
        <w:t>”) by and between the Company and the trustee to be named therein (the “</w:t>
      </w:r>
      <w:r>
        <w:rPr>
          <w:rFonts w:ascii="Times New Roman;Times;serif" w:hAnsi="Times New Roman;Times;serif"/>
          <w:b/>
          <w:i/>
          <w:sz w:val="20"/>
        </w:rPr>
        <w:t>Trustee</w:t>
      </w:r>
      <w:r>
        <w:rPr>
          <w:rFonts w:ascii="Times New Roman;Times;serif" w:hAnsi="Times New Roman;Times;serif"/>
          <w:sz w:val="20"/>
        </w:rPr>
        <w:t>”), filed as Exhibit 4.1 to the Registration Statement, (iv) certain resolutions of the Company’s Board of Directors relating to the Registration Statement, and (v) such other documents, records and other instruments as we have deemed appropriate for purposes of the opinions set forth herein.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 With respect to matters of fact relevant to our opinions as set forth below, we have relied upon certificates of officers of the Company, representations made by the Company in documents examined by us and representations of officers of the Company. We have also obtained and relied upon such certificates and assurances from public officials as we have deemed necessary for the purposes of our opinions set forth below.</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purpose of the opinions set forth below, we have also assumed, without independent investigation or verification, that: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the issuance, sale, number or amount, as the case may be, and terms of Securities to be offered from time to time will be duly authorized and established, in accordance with the Certificate, the Bylaws and applicable Delaware law (each, a “</w:t>
      </w:r>
      <w:r>
        <w:rPr>
          <w:rFonts w:ascii="Times New Roman;Times;serif" w:hAnsi="Times New Roman;Times;serif"/>
          <w:b/>
          <w:i/>
          <w:sz w:val="20"/>
        </w:rPr>
        <w:t>Corporate Action</w:t>
      </w:r>
      <w:r>
        <w:rPr>
          <w:rFonts w:ascii="Times New Roman;Times;serif" w:hAnsi="Times New Roman;Times;serif"/>
          <w:sz w:val="20"/>
        </w:rPr>
        <w:t>”), and will not conflict with or constitute a breach of the terms of any agreement or instrument to which the Company is subject;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at the time of issuance and sale of shares of Common Stock, a sufficient number of shares of Common Stock will be authorized and available for issuance and that the consideration for the issuance and sale of the Common Stock (or Preferred Stock convertible into Common Stock, Warrants exercisable for Common Stock or Rights to purchase Common Stock) will be in an amount that is not less than the par value of the Common Stock;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 prior to the issuance of shares of one or more series of Preferred Stock, an appropriate certificate of designation relating to each such series of Preferred Stock will have been duly authorized by Corporate Action and filed with the Secretary of State of the State of Delaware and at the time of issuance and sale, a sufficient number of shares of Preferred Stock will be authorized, designated and available for issuance and that the consideration for the issuance and sale of the Preferred Stock (or Warrants exercisable for Preferred Stock or Rights to purchase Preferred Stock) will be in an amount that is not less than the par value of the Preferred Stock;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 each series of Debt Securities will be issued under the Base Indenture and any necessary amendment or supplement thereto (collectively, the “</w:t>
      </w:r>
      <w:r>
        <w:rPr>
          <w:rFonts w:ascii="Times New Roman;Times;serif" w:hAnsi="Times New Roman;Times;serif"/>
          <w:b/>
          <w:i/>
          <w:sz w:val="20"/>
        </w:rPr>
        <w:t>Indenture</w:t>
      </w:r>
      <w:r>
        <w:rPr>
          <w:rFonts w:ascii="Times New Roman;Times;serif" w:hAnsi="Times New Roman;Times;serif"/>
          <w:sz w:val="20"/>
        </w:rPr>
        <w:t>”) between the Company and the Trustee, and the execution, delivery and performance of the Indenture will be duly authorized by Corporate Action, and will not conflict with or constitute a breach of the terms of any agreement or instrument to which the Company is subject;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 to the extent that the obligations of the Company under the Indenture may depend upon such matters, the Trustee will be duly organized, validly existing and in good standing under the laws of its jurisdiction of organization; that the Trustee will be duly qualified to engage in the activities contemplated by the Indenture; that the Indenture will be duly authorized, executed and delivered by the Trustee and will constitute the legal, valid and binding obligation of such Trustee, enforceable against the Trustee in accordance with its terms; that the Trustee will be in compliance, generally and with respect to acting as a trustee under the Indenture, with all applicable laws and regulations, and that the Trustee will have the requisite organizational and legal power and authority to perform its obligations under such Indenture;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 any Warrants will be issued under one or more warrant agreements (each, a “</w:t>
      </w:r>
      <w:r>
        <w:rPr>
          <w:rFonts w:ascii="Times New Roman;Times;serif" w:hAnsi="Times New Roman;Times;serif"/>
          <w:b/>
          <w:i/>
          <w:sz w:val="20"/>
        </w:rPr>
        <w:t>Warrant Agreement</w:t>
      </w:r>
      <w:r>
        <w:rPr>
          <w:rFonts w:ascii="Times New Roman;Times;serif" w:hAnsi="Times New Roman;Times;serif"/>
          <w:sz w:val="20"/>
        </w:rPr>
        <w:t>”) between the Company and the financial institution identified in the Warrant Agreement as a warrant agent (each, a “</w:t>
      </w:r>
      <w:r>
        <w:rPr>
          <w:rFonts w:ascii="Times New Roman;Times;serif" w:hAnsi="Times New Roman;Times;serif"/>
          <w:b/>
          <w:i/>
          <w:sz w:val="20"/>
        </w:rPr>
        <w:t>Warrant Agent</w:t>
      </w:r>
      <w:r>
        <w:rPr>
          <w:rFonts w:ascii="Times New Roman;Times;serif" w:hAnsi="Times New Roman;Times;serif"/>
          <w:sz w:val="20"/>
        </w:rPr>
        <w:t>”) and the execution, delivery and performance of the applicable Warrant Agreement will be duly authorized by Corporate Action, and will not conflict with or constitute a breach of the terms of any agreement or instrument to which the Company is subject;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 any Warrants offered under the Registration Statement and the related Warrant Agreement, as applicable, will be executed in the forms filed as exhibits to the Registration Statement or incorporated by reference therein;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H. to the extent that the obligations of the Company under any Warrant Agreement may depend upon such matters, each of the parties thereto other than the Company, will be duly organized, validly existing and in good standing under the laws of its jurisdiction of organization and will be duly qualified to engage in the activities contemplated by such Warrant Agreement; that such Warrant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Warrant Agreement, with all applicable laws and regulations, and that such party has the requisite organizational and legal power and authority to perform its obligations under such Warrant Agreement;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 any Units will be issued pursuant to purchase or similar agreements to be entered into by the Company and the parties thereto (each, a “</w:t>
      </w:r>
      <w:r>
        <w:rPr>
          <w:rFonts w:ascii="Times New Roman;Times;serif" w:hAnsi="Times New Roman;Times;serif"/>
          <w:b/>
          <w:i/>
          <w:sz w:val="20"/>
        </w:rPr>
        <w:t>Unit Agreement</w:t>
      </w:r>
      <w:r>
        <w:rPr>
          <w:rFonts w:ascii="Times New Roman;Times;serif" w:hAnsi="Times New Roman;Times;serif"/>
          <w:sz w:val="20"/>
        </w:rPr>
        <w:t>”) and the execution, delivery and performance of the applicable Unit Agreement will be duly authorized by Corporate Action, and will not conflict with or constitute a breach of the terms of any agreement or instrument to which the Company is subject;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J. to the extent that the obligations of the Company under any Unit Agreement may depend upon such matters, each of the parties thereto other than the Company, will be duly organized, validly existing and in good standing under the laws of its jurisdiction of organization and will be duly qualified to engage in the activities contemplated by such Unit Agreement; that such Unit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Unit Agreement, with all applicable laws and regulations, and that such party has the requisite organizational and legal power and authority to perform its obligations under such Unit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K. any Units offered under the Registration Statement and the related purchase or similar agreement, as applicable, will be executed in the forms filed as exhibits to the Registration Statement or incorporated by reference therein;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 any Rights will be issued pursuant to rights agreements (each such rights agreement, a “</w:t>
      </w:r>
      <w:r>
        <w:rPr>
          <w:rFonts w:ascii="Times New Roman;Times;serif" w:hAnsi="Times New Roman;Times;serif"/>
          <w:b/>
          <w:i/>
          <w:sz w:val="20"/>
        </w:rPr>
        <w:t>Rights Agreement</w:t>
      </w:r>
      <w:r>
        <w:rPr>
          <w:rFonts w:ascii="Times New Roman;Times;serif" w:hAnsi="Times New Roman;Times;serif"/>
          <w:sz w:val="20"/>
        </w:rPr>
        <w:t>”) to be entered into by the Company and a rights agent (each, a “</w:t>
      </w:r>
      <w:r>
        <w:rPr>
          <w:rFonts w:ascii="Times New Roman;Times;serif" w:hAnsi="Times New Roman;Times;serif"/>
          <w:b/>
          <w:i/>
          <w:sz w:val="20"/>
        </w:rPr>
        <w:t>Rights Agent</w:t>
      </w:r>
      <w:r>
        <w:rPr>
          <w:rFonts w:ascii="Times New Roman;Times;serif" w:hAnsi="Times New Roman;Times;serif"/>
          <w:sz w:val="20"/>
        </w:rPr>
        <w:t>”) and the execution, delivery and performance of the applicable Rights Agreement will be duly authorized by Corporate Action, and will not conflict with or constitute a breach of the terms of any agreement or instrument to which the Company is subject;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 to the extent that the obligations of the Company under any Rights Agreement may depend upon such matters, each of the parties thereto other than the Company, will be duly organized, validly existing and in good standing under the laws of its jurisdiction of organization and will be duly qualified to engage in the activities contemplated by such Rights Agreement; that such Rights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Rights Agreement, with all applicable laws and regulations, and that such party has the requisite organizational and legal power and authority to perform its obligations under such Rights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 any Rights offered under the Registration Statement and the related Rights Agreement, as applicable, will be executed in the forms filed as exhibits to the Registration Statement or incorporated by reference therein;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 the Registration Statement and any amendments thereto (including post-effective amendments) will have become effective and such effectiveness shall not have been terminated or rescinded and will comply with all applicable federal and state laws at the time the Securities are offered and issued as contemplated by the Registration Statement;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 a Prospectus Supplement will have been prepared, delivered (including through compliance with Rule 172 of the General Rules and Regulations promulgated under the Securities Act) and filed with the Commission describing the Securities offered thereby and will comply with all applicable laws at the time the Securities are offered and issued as contemplated by the Registration Statement;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Q. all Securities will be issued and sold in compliance with applicable federal and state securities laws; and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 a definitive purchase, underwriting or similar agreement (each, a “</w:t>
      </w:r>
      <w:r>
        <w:rPr>
          <w:rFonts w:ascii="Times New Roman;Times;serif" w:hAnsi="Times New Roman;Times;serif"/>
          <w:b/>
          <w:i/>
          <w:sz w:val="20"/>
        </w:rPr>
        <w:t>Definitive Agreement</w:t>
      </w:r>
      <w:r>
        <w:rPr>
          <w:rFonts w:ascii="Times New Roman;Times;serif" w:hAnsi="Times New Roman;Times;serif"/>
          <w:sz w:val="20"/>
        </w:rPr>
        <w:t>”) with respect to any Securities offered or issued will have been duly authorized and validly executed and delivered by the Company and the other parties thereto.</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Subject to the foregoing and the other matters set forth herein, it is our opinion that, as of the date hereof:</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Upon due authorization by Corporate Action of the issuance and sale of shares of Common Stock and upon issuance and delivery of such shares of Common Stock against payment for such shares (in an amount at least equal to the aggregate par value of such shares of Common Stock) in accordance with the terms and provisions of the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(which shall, in each case, provide for payment of consideration that shall be at least equal to the aggregate par value of such shares of Common Stock), such shares of Common Stock will be validly issued, fully paid and nonassessable.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Upon due authorization by Corporate Action of the issuance and sale of shares of a series of Preferred Stock and upon issuance and delivery of such shares of Preferred Stock against payment for such shares (in an amount at least equal to the aggregate par value of such shares of Preferred Stock) in accordance with the terms and provisions of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(which shall, in either case, provide for payment of consideration at least equal to the aggregate par value of such shares of Preferred Stock), such shares of such series of Preferred Stock will be validly issued, fully paid and nonassessable.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3. When the Indenture has been qualified under the Trust Indenture Act of 1939, as amended, the particular series of Debt Securities has been duly established in accordance with the terms of the applicable Indenture, the specific terms of a particular issuance of Debt Securities have been duly authorized by Corporate Action and are in accordance with the terms of the Indenture, the Indenture is duly executed and delivered by the Company, and such Debt Securities have been duly executed, authenticated, completed, issued and delivered, against payment for such Debt Securities, in accordance with the terms and provisions of the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such Debt Securities will be validly issued and will constitute valid and binding obligations of the Company, and the Indenture will constitute a valid and binding obligation of the Company, except, with respect to each of the Debt Securities and the Indenture,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4. When a Warrant Agreement providing for the specific terms of a particular issuance of Warrants has been duly authorized by Corporate Action and has been duly executed and delivered by the Company and the Warrant Agent named in such Warrant Agreement and such Warrants, conforming to the requirements of such Warrant Agreement, have been duly countersigned or authenticated, as required, by such Warrant Agent and duly executed and delivered by the Company against payment for such Warrants in accordance with the terms and provisions of such Warrant Agreement and applicable Definitive Agreements, the terms of the Corporate Action and as contemplated by the Registration Statement and the applicable Prospectus Supplement, such Warrants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5. When a Unit Agreement providing for the specific terms of a particular issuance of Unit has been duly authorized by Corporate Action and has been duly executed and delivered by the Company and the other parties named in such Unit Agreement and such Units, conforming to the requirements of such Unit Agreement, have been duly executed and delivered by the Company against payment for such Units in accordance with the terms and provisions of such Unit Agreement and applicable Definitive Agreements, the terms of the Corporate Action and as contemplated by the Registration Statement and the applicable Prospectus Supplement, such Units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6. When a Rights Agreement providing for the specific terms of a particular issuance of Rights has been duly authorized by Corporate Action and has been duly executed and delivered by the Company and the Rights Agent named in such Rights Agreement and such Rights, conforming to the requirements of such Rights Agreement, have been duly countersigned or authenticated, as required, by such Rights Agent and duly executed and delivered by the Company against payment for such Rights in accordance with the terms and provisions of such Rights Agreement and applicable Definitive Agreements, the terms of the Corporate Action and as contemplated by the Registration Statement and the applicable Prospectus Supplement, such Rights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foregoing opinions are limited to the General Corporation Law of the State of Delaware and, with respect to our opinion in paragraph 3 above, the State of New York, and we express no opinion with respect to the laws of any other state or jurisdiction. Although the Securities may be issued from time to time on a delayed or continuous basis, the opinions expressed herein are limited to the laws, including rules and regulations, as in effect on the date hereof.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opinion letter is limited to the matters stated herein and no opinions may be implied or inferred beyond that matters expressly stated herein. The opinions expressed herein are as of the date hereof and we assume no obligation to update or supplement such opinions to reflect any facts or circumstances that may hereafter come to our attention or any changes in the law that may hereafter occur.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consent to your filing this opinion as an exhibit to the Registration Statement and to the reference to our firm under the caption “Legal Matters” in the Prospectus. In giving such consent, we do not hereby admit that we are acting within the category of persons whose consent is required under Section 7 of the Securities Act or the rules or regulations of the Securities and Exchange Commission thereunder.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p>
      <w:pPr>
        <w:pStyle w:val="TextBody"/>
        <w:bidi w:val="0"/>
        <w:spacing w:before="0" w:after="0"/>
        <w:ind w:left="0" w:right="0" w:hanging="0"/>
        <w:jc w:val="left"/>
        <w:rPr/>
      </w:pPr>
      <w:r>
        <w:rPr/>
        <w:t>​</w:t>
      </w:r>
    </w:p>
    <w:p>
      <w:pPr>
        <w:pStyle w:val="TextBody"/>
        <w:bidi w:val="0"/>
        <w:spacing w:before="0" w:after="0"/>
        <w:ind w:left="2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b/>
          <w:sz w:val="20"/>
        </w:rPr>
        <w:t>DLA Piper LLP (US)</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39" w:name="iova-20260618xex23d1.htm"/>
      <w:bookmarkStart w:id="40" w:name="ksiova20260618xex23d1"/>
      <w:bookmarkEnd w:id="39"/>
      <w:bookmarkEnd w:id="40"/>
      <w:r>
        <w:rPr>
          <w:rFonts w:ascii="Times New Roman;Times;serif" w:hAnsi="Times New Roman;Times;serif"/>
          <w:b/>
          <w:sz w:val="22"/>
        </w:rPr>
        <w:t>Exhibit 23.1</w:t>
      </w:r>
      <w:r>
        <w:br w:type="page"/>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reference to our firm under the caption "Experts" in this Registration Statement (Form S-3) and related Prospectus of Iovance Biotherapeutics, Inc. for the registration of its common stock, preferred stock, debt securities, warrants, units, and rights to purchase common stock, preferred stock, debt securities or units, and to the incorporation by reference therein of our reports dated February 24, 2026, with respect to the consolidated financial statements of Iovance Biotherapeutics, Inc., and the effectiveness of internal control over financial reporting of Iovance Biotherapeutics, Inc., included in its Annual Report (Form 10-K) for the year ended December 31, 2025, filed with the Securities and Exchange Commission.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Ernst &amp; Young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Mateo, California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June 18,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1" w:name="iova-20260618xexfees.htm"/>
      <w:bookmarkStart w:id="42" w:name="ksiova20260618xexfees"/>
      <w:bookmarkStart w:id="43" w:name="iova-20260618xexfees.htm"/>
      <w:bookmarkStart w:id="44" w:name="ksiova20260618xexfees"/>
      <w:bookmarkEnd w:id="43"/>
      <w:bookmarkEnd w:id="44"/>
      <w:r>
        <w:br w:type="page"/>
      </w:r>
    </w:p>
    <w:tbl>
      <w:tblPr>
        <w:tblW w:w="4550" w:type="dxa"/>
        <w:jc w:val="left"/>
        <w:tblInd w:w="0" w:type="dxa"/>
        <w:tblLayout w:type="fixed"/>
        <w:tblCellMar>
          <w:top w:w="28" w:type="dxa"/>
          <w:left w:w="28" w:type="dxa"/>
          <w:bottom w:w="28" w:type="dxa"/>
          <w:right w:w="28" w:type="dxa"/>
        </w:tblCellMar>
      </w:tblPr>
      <w:tblGrid>
        <w:gridCol w:w="4396"/>
        <w:gridCol w:w="154"/>
      </w:tblGrid>
      <w:tr>
        <w:trPr/>
        <w:tc>
          <w:tcPr>
            <w:tcW w:w="455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39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396" w:type="dxa"/>
            <w:tcBorders/>
            <w:vAlign w:val="center"/>
          </w:tcPr>
          <w:p>
            <w:pPr>
              <w:pStyle w:val="TableContents"/>
              <w:bidi w:val="0"/>
              <w:spacing w:before="0" w:after="283"/>
              <w:jc w:val="left"/>
              <w:rPr>
                <w:b/>
              </w:rPr>
            </w:pPr>
            <w:r>
              <w:rPr>
                <w:b/>
              </w:rPr>
              <w:t xml:space="preserve">IOVANCE BIOTHERAPEUTICS,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929" w:type="dxa"/>
        <w:jc w:val="left"/>
        <w:tblInd w:w="0" w:type="dxa"/>
        <w:tblLayout w:type="fixed"/>
        <w:tblCellMar>
          <w:top w:w="28" w:type="dxa"/>
          <w:left w:w="28" w:type="dxa"/>
          <w:bottom w:w="28" w:type="dxa"/>
          <w:right w:w="28" w:type="dxa"/>
        </w:tblCellMar>
      </w:tblPr>
      <w:tblGrid>
        <w:gridCol w:w="1126"/>
        <w:gridCol w:w="226"/>
        <w:gridCol w:w="946"/>
        <w:gridCol w:w="1486"/>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48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92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486" w:type="dxa"/>
            <w:tcBorders/>
            <w:shd w:fill="E7E7E2" w:val="clear"/>
            <w:vAlign w:val="center"/>
          </w:tcPr>
          <w:p>
            <w:pPr>
              <w:pStyle w:val="TableContents"/>
              <w:bidi w:val="0"/>
              <w:spacing w:before="0" w:after="283"/>
              <w:jc w:val="left"/>
              <w:rPr/>
            </w:pPr>
            <w:r>
              <w:rPr/>
              <w:t xml:space="preserve">Common Stock, par value $0.000041666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486" w:type="dxa"/>
            <w:tcBorders/>
            <w:shd w:fill="E7E7E2" w:val="clear"/>
            <w:vAlign w:val="center"/>
          </w:tcPr>
          <w:p>
            <w:pPr>
              <w:pStyle w:val="TableContents"/>
              <w:bidi w:val="0"/>
              <w:spacing w:before="0" w:after="283"/>
              <w:jc w:val="left"/>
              <w:rPr/>
            </w:pPr>
            <w:r>
              <w:rPr/>
              <w:t xml:space="preserve">Preferred Stock, par value $0.001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486"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486"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486"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486" w:type="dxa"/>
            <w:tcBorders/>
            <w:shd w:fill="E7E7E2" w:val="clear"/>
            <w:vAlign w:val="center"/>
          </w:tcPr>
          <w:p>
            <w:pPr>
              <w:pStyle w:val="TableContents"/>
              <w:bidi w:val="0"/>
              <w:spacing w:before="0" w:after="283"/>
              <w:jc w:val="left"/>
              <w:rPr/>
            </w:pPr>
            <w:r>
              <w:rPr/>
              <w:t xml:space="preserve">Rights to Purchase Common Stock, Preferred Stock, Debt Securities or 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Equity </w:t>
            </w:r>
          </w:p>
        </w:tc>
        <w:tc>
          <w:tcPr>
            <w:tcW w:w="1486" w:type="dxa"/>
            <w:tcBorders/>
            <w:shd w:fill="E7E7E2" w:val="clear"/>
            <w:vAlign w:val="center"/>
          </w:tcPr>
          <w:p>
            <w:pPr>
              <w:pStyle w:val="TableContents"/>
              <w:bidi w:val="0"/>
              <w:spacing w:before="0" w:after="283"/>
              <w:jc w:val="left"/>
              <w:rPr/>
            </w:pPr>
            <w:r>
              <w:rPr/>
              <w:t xml:space="preserve">Common Stock, par value $0.000041666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$ 89,650,167.00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$ 12,380.69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92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45" w:name="MaxAggtOfferingPrice"/>
            <w:bookmarkEnd w:id="45"/>
            <w:r>
              <w:rPr/>
              <w:t xml:space="preserve">$ 89,650,167.00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6" w:name="TotalFeeAmt"/>
            <w:bookmarkEnd w:id="46"/>
            <w:r>
              <w:rPr/>
              <w:t xml:space="preserve">$ 12,380.69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7" w:name="TotalPreviouslyPaidAmt"/>
            <w:bookmarkEnd w:id="4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8" w:name="TotalOffsetAmt"/>
            <w:bookmarkEnd w:id="4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9" w:name="NetFeeAmt"/>
            <w:bookmarkEnd w:id="49"/>
            <w:r>
              <w:rPr/>
              <w:t xml:space="preserve">$ 12,380.69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8"/>
        <w:gridCol w:w="8706"/>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accordance with Rules 456(b) and 457(r) under the Securities Act, the registrant is deferring payment of all registration fees and will pay the registration fees subsequently in advance or on a "pay-as-you-go" basis.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4" w:type="dxa"/>
            <w:gridSpan w:val="2"/>
            <w:tcBorders/>
            <w:vAlign w:val="center"/>
          </w:tcPr>
          <w:p>
            <w:pPr>
              <w:pStyle w:val="TableContents"/>
              <w:bidi w:val="0"/>
              <w:spacing w:before="0" w:after="283"/>
              <w:jc w:val="left"/>
              <w:rPr/>
            </w:pPr>
            <w:r>
              <w:rPr/>
              <w:t xml:space="preserve">See Note1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4"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4"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4" w:type="dxa"/>
            <w:gridSpan w:val="2"/>
            <w:tcBorders/>
            <w:vAlign w:val="center"/>
          </w:tcPr>
          <w:p>
            <w:pPr>
              <w:pStyle w:val="TableContents"/>
              <w:bidi w:val="0"/>
              <w:spacing w:before="0" w:after="283"/>
              <w:jc w:val="left"/>
              <w:rPr/>
            </w:pPr>
            <w:r>
              <w:rPr/>
              <w:t xml:space="preserve">See Note 1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4" w:type="dxa"/>
            <w:gridSpan w:val="2"/>
            <w:tcBorders/>
            <w:vAlign w:val="center"/>
          </w:tcPr>
          <w:p>
            <w:pPr>
              <w:pStyle w:val="TableContents"/>
              <w:bidi w:val="0"/>
              <w:spacing w:before="0" w:after="283"/>
              <w:jc w:val="left"/>
              <w:rPr/>
            </w:pPr>
            <w:r>
              <w:rPr/>
              <w:t xml:space="preserve">Pursuant to Rule 457(o) under the Securities Act, the shares being registered hereunder include such indeterminate number of shares of Common Stock as may be issuable with respect to the shares being registered hereunder as a result of stock splits, stock dividends or similar transactions. The securities registered hereunder may be sold separately or in a combination with other securities registered hereby.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25205/000110465926018899/iova-20251231x10k.htm" TargetMode="External"/><Relationship Id="rId3" Type="http://schemas.openxmlformats.org/officeDocument/2006/relationships/hyperlink" Target="https://www.sec.gov/ix?doc=/Archives/edgar/data/1425205/000110465926018899/iova-20251231x10k.htm" TargetMode="External"/><Relationship Id="rId4" Type="http://schemas.openxmlformats.org/officeDocument/2006/relationships/hyperlink" Target="https://www.sec.gov/ix?doc=/Archives/edgar/data/1425205/000110465926050458/iova-20260610xdef14a.htm" TargetMode="External"/><Relationship Id="rId5" Type="http://schemas.openxmlformats.org/officeDocument/2006/relationships/hyperlink" Target="https://www.sec.gov/ix?doc=/Archives/edgar/data/1425205/000110465926018899/iova-20251231x10k.htm" TargetMode="External"/><Relationship Id="rId6" Type="http://schemas.openxmlformats.org/officeDocument/2006/relationships/hyperlink" Target="https://www.sec.gov/ix?doc=/Archives/edgar/data/1425205/000110465926056778/iova-20260331x10q.htm" TargetMode="External"/><Relationship Id="rId7" Type="http://schemas.openxmlformats.org/officeDocument/2006/relationships/hyperlink" Target="https://www.sec.gov/ix?doc=/Archives/edgar/data/1425205/000110465926002323/tm262669d1_8k.htm" TargetMode="External"/><Relationship Id="rId8" Type="http://schemas.openxmlformats.org/officeDocument/2006/relationships/hyperlink" Target="https://www.sec.gov/ix?doc=/Archives/edgar/data/1425205/000110465926018837/tm266992d1_8k.htm" TargetMode="External"/><Relationship Id="rId9" Type="http://schemas.openxmlformats.org/officeDocument/2006/relationships/hyperlink" Target="https://www.sec.gov/ix?doc=/Archives/edgar/data/1425205/000110465926032774/tm269367d1_8k.htm" TargetMode="External"/><Relationship Id="rId10" Type="http://schemas.openxmlformats.org/officeDocument/2006/relationships/hyperlink" Target="https://www.sec.gov/ix?doc=/Archives/edgar/data/1425205/000110465926072408/tm2613648d1_8k.htm" TargetMode="External"/><Relationship Id="rId11" Type="http://schemas.openxmlformats.org/officeDocument/2006/relationships/hyperlink" Target="https://www.sec.gov/Archives/edgar/data/1425205/000151316015000017/lion8a.htm" TargetMode="External"/><Relationship Id="rId12" Type="http://schemas.openxmlformats.org/officeDocument/2006/relationships/hyperlink" Target="https://www.sec.gov/Archives/edgar/data/1425205/000114420417038435/v471509_8a12ba.htm" TargetMode="External"/><Relationship Id="rId13" Type="http://schemas.openxmlformats.org/officeDocument/2006/relationships/image" Target="media/image1.jpeg"/><Relationship Id="rId14" Type="http://schemas.openxmlformats.org/officeDocument/2006/relationships/hyperlink" Target="https://www.sec.gov/ix?doc=/Archives/edgar/data/1425205/000110465926018899/iova-20251231x10k.htm" TargetMode="External"/><Relationship Id="rId15" Type="http://schemas.openxmlformats.org/officeDocument/2006/relationships/hyperlink" Target="https://www.sec.gov/ix?doc=/Archives/edgar/data/1425205/000110465926056778/iova-20260331x10q.htm" TargetMode="External"/><Relationship Id="rId16" Type="http://schemas.openxmlformats.org/officeDocument/2006/relationships/hyperlink" Target="https://www.sec.gov/ix?doc=/Archives/edgar/data/1425205/000110465926018899/iova-20251231x10k.htm" TargetMode="External"/><Relationship Id="rId17" Type="http://schemas.openxmlformats.org/officeDocument/2006/relationships/hyperlink" Target="https://www.sec.gov/ix?doc=/Archives/edgar/data/1425205/000110465926018899/iova-20251231x10k.htm" TargetMode="External"/><Relationship Id="rId18" Type="http://schemas.openxmlformats.org/officeDocument/2006/relationships/hyperlink" Target="https://www.sec.gov/ix?doc=/Archives/edgar/data/1425205/000110465926050458/iova-20260610xdef14a.htm" TargetMode="External"/><Relationship Id="rId19" Type="http://schemas.openxmlformats.org/officeDocument/2006/relationships/hyperlink" Target="https://www.sec.gov/ix?doc=/Archives/edgar/data/1425205/000110465926018899/iova-20251231x10k.htm" TargetMode="External"/><Relationship Id="rId20" Type="http://schemas.openxmlformats.org/officeDocument/2006/relationships/hyperlink" Target="https://www.sec.gov/ix?doc=/Archives/edgar/data/1425205/000110465926056778/iova-20260331x10q.htm" TargetMode="External"/><Relationship Id="rId21" Type="http://schemas.openxmlformats.org/officeDocument/2006/relationships/hyperlink" Target="https://www.sec.gov/ix?doc=/Archives/edgar/data/1425205/000110465926002323/tm262669d1_8k.htm" TargetMode="External"/><Relationship Id="rId22" Type="http://schemas.openxmlformats.org/officeDocument/2006/relationships/hyperlink" Target="https://www.sec.gov/ix?doc=/Archives/edgar/data/1425205/000110465926018837/tm266992d1_8k.htm" TargetMode="External"/><Relationship Id="rId23" Type="http://schemas.openxmlformats.org/officeDocument/2006/relationships/hyperlink" Target="https://www.sec.gov/ix?doc=/Archives/edgar/data/1425205/000110465926032774/tm269367d1_8k.htm" TargetMode="External"/><Relationship Id="rId24" Type="http://schemas.openxmlformats.org/officeDocument/2006/relationships/hyperlink" Target="https://www.sec.gov/ix?doc=/Archives/edgar/data/1425205/000110465926072408/tm2613648d1_8k.htm" TargetMode="External"/><Relationship Id="rId25" Type="http://schemas.openxmlformats.org/officeDocument/2006/relationships/hyperlink" Target="https://www.sec.gov/Archives/edgar/data/1425205/000151316015000017/lion8a.htm" TargetMode="External"/><Relationship Id="rId26" Type="http://schemas.openxmlformats.org/officeDocument/2006/relationships/hyperlink" Target="https://www.sec.gov/Archives/edgar/data/1425205/000114420417038435/v471509_8a12ba.htm" TargetMode="External"/><Relationship Id="rId27" Type="http://schemas.openxmlformats.org/officeDocument/2006/relationships/image" Target="media/image2.jpeg"/><Relationship Id="rId28" Type="http://schemas.openxmlformats.org/officeDocument/2006/relationships/hyperlink" Target="https://www.sec.gov/Archives/edgar/data/1425205/000110465925081953/tm2524060d1_ex1-1.htm" TargetMode="External"/><Relationship Id="rId29" Type="http://schemas.openxmlformats.org/officeDocument/2006/relationships/hyperlink" Target="https://www.sec.gov/Archives/edgar/data/1425205/000110465924041200/tm2410183d1_ex3-1.htm" TargetMode="External"/><Relationship Id="rId30" Type="http://schemas.openxmlformats.org/officeDocument/2006/relationships/hyperlink" Target="https://www.sec.gov/Archives/edgar/data/1425205/000114420418014151/tv485173_ex4-2.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85767</Words>
  <Characters>445576</Characters>
  <CharactersWithSpaces>530347</CharactersWithSpaces>
  <Paragraphs>3913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