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36" w:lineRule="exact"/>
        <w:rPr>
          <w:rFonts w:ascii="MS PGothic" w:cs="MS PGothic" w:eastAsia="MS PGothic" w:hAnsi="MS PGothic"/>
          <w:sz w:val="17"/>
          <w:szCs w:val="17"/>
          <w:color w:val="auto"/>
        </w:rPr>
      </w:pPr>
    </w:p>
    <w:p>
      <w:pPr>
        <w:ind w:left="3260"/>
        <w:spacing w:after="0"/>
        <w:rPr>
          <w:rFonts w:ascii="MS PGothic" w:cs="MS PGothic" w:eastAsia="MS PGothic" w:hAnsi="MS PGothic"/>
          <w:sz w:val="17"/>
          <w:szCs w:val="17"/>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31, 2020</w:t>
      </w:r>
    </w:p>
    <w:p>
      <w:pPr>
        <w:spacing w:after="0" w:line="11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6" w:lineRule="exact"/>
        <w:rPr>
          <w:rFonts w:ascii="MS PGothic" w:cs="MS PGothic" w:eastAsia="MS PGothic" w:hAnsi="MS PGothic"/>
          <w:sz w:val="17"/>
          <w:szCs w:val="17"/>
          <w:color w:val="auto"/>
        </w:rPr>
      </w:pPr>
    </w:p>
    <w:p>
      <w:pPr>
        <w:ind w:left="3740"/>
        <w:spacing w:after="0"/>
        <w:rPr>
          <w:rFonts w:ascii="MS PGothic" w:cs="MS PGothic" w:eastAsia="MS PGothic" w:hAnsi="MS PGothic"/>
          <w:sz w:val="17"/>
          <w:szCs w:val="17"/>
          <w:color w:val="auto"/>
        </w:rPr>
      </w:pPr>
      <w:r>
        <w:rPr>
          <w:rFonts w:ascii="Arial" w:cs="Arial" w:eastAsia="Arial" w:hAnsi="Arial"/>
          <w:sz w:val="18"/>
          <w:szCs w:val="18"/>
          <w:color w:val="auto"/>
        </w:rPr>
        <w:t>For the transition period from to .</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w:t>
      </w:r>
    </w:p>
    <w:p>
      <w:pPr>
        <w:spacing w:after="0" w:line="223"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3700" w:type="dxa"/>
            <w:vAlign w:val="bottom"/>
          </w:tcPr>
          <w:p>
            <w:pPr>
              <w:jc w:val="center"/>
              <w:ind w:right="1430"/>
              <w:spacing w:after="0"/>
              <w:rPr>
                <w:sz w:val="20"/>
                <w:szCs w:val="20"/>
                <w:color w:val="auto"/>
              </w:rPr>
            </w:pPr>
            <w:r>
              <w:rPr>
                <w:rFonts w:ascii="Arial" w:cs="Arial" w:eastAsia="Arial" w:hAnsi="Arial"/>
                <w:sz w:val="18"/>
                <w:szCs w:val="18"/>
                <w:color w:val="auto"/>
                <w:w w:val="92"/>
              </w:rPr>
              <w:t>Delaware</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89"/>
              </w:rPr>
              <w:t>75-3254381</w:t>
            </w:r>
          </w:p>
        </w:tc>
      </w:tr>
      <w:tr>
        <w:trPr>
          <w:trHeight w:val="216"/>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left="1450"/>
              <w:spacing w:after="0"/>
              <w:rPr>
                <w:sz w:val="20"/>
                <w:szCs w:val="20"/>
                <w:color w:val="auto"/>
              </w:rPr>
            </w:pPr>
            <w:r>
              <w:rPr>
                <w:rFonts w:ascii="Arial" w:cs="Arial" w:eastAsia="Arial" w:hAnsi="Arial"/>
                <w:sz w:val="18"/>
                <w:szCs w:val="18"/>
                <w:color w:val="auto"/>
                <w:w w:val="92"/>
              </w:rPr>
              <w:t>(I.R.S. employer</w:t>
            </w:r>
          </w:p>
        </w:tc>
      </w:tr>
      <w:tr>
        <w:trPr>
          <w:trHeight w:val="230"/>
        </w:trPr>
        <w:tc>
          <w:tcPr>
            <w:tcW w:w="3700" w:type="dxa"/>
            <w:vAlign w:val="bottom"/>
          </w:tcPr>
          <w:p>
            <w:pPr>
              <w:jc w:val="center"/>
              <w:ind w:right="145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number)</w:t>
            </w:r>
          </w:p>
        </w:tc>
      </w:tr>
    </w:tbl>
    <w:p>
      <w:pPr>
        <w:spacing w:after="0" w:line="229" w:lineRule="exact"/>
        <w:rPr>
          <w:sz w:val="24"/>
          <w:szCs w:val="24"/>
          <w:color w:val="auto"/>
        </w:rPr>
      </w:pPr>
    </w:p>
    <w:p>
      <w:pPr>
        <w:ind w:left="3060"/>
        <w:spacing w:after="0"/>
        <w:rPr>
          <w:sz w:val="20"/>
          <w:szCs w:val="20"/>
          <w:color w:val="auto"/>
        </w:rPr>
      </w:pPr>
      <w:r>
        <w:rPr>
          <w:rFonts w:ascii="Arial" w:cs="Arial" w:eastAsia="Arial" w:hAnsi="Arial"/>
          <w:sz w:val="18"/>
          <w:szCs w:val="18"/>
          <w:u w:val="single" w:color="auto"/>
          <w:color w:val="auto"/>
        </w:rPr>
        <w:t>999 Skyway Road, Suite 150, San Carlos, CA 94070</w:t>
      </w:r>
    </w:p>
    <w:p>
      <w:pPr>
        <w:spacing w:after="0" w:line="23"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(Address of principal executive offices and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(650) 260-7120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6"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2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89"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8" w:lineRule="exact"/>
        <w:rPr>
          <w:sz w:val="24"/>
          <w:szCs w:val="24"/>
          <w:color w:val="auto"/>
        </w:rPr>
      </w:pPr>
    </w:p>
    <w:p>
      <w:pPr>
        <w:sectPr>
          <w:pgSz w:w="11900" w:h="16838" w:orient="portrait"/>
          <w:cols w:equalWidth="0" w:num="3">
            <w:col w:w="1780" w:space="40"/>
            <w:col w:w="2420" w:space="720"/>
            <w:col w:w="4960"/>
          </w:cols>
          <w:pgMar w:left="980" w:top="665" w:right="999" w:bottom="1440" w:gutter="0" w:footer="0" w:header="0"/>
          <w:type w:val="continuous"/>
        </w:sectPr>
      </w:pPr>
    </w:p>
    <w:p>
      <w:pPr>
        <w:ind w:right="2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66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2800" w:type="dxa"/>
            <w:vAlign w:val="bottom"/>
            <w:gridSpan w:val="3"/>
          </w:tcPr>
          <w:p>
            <w:pPr>
              <w:ind w:left="140"/>
              <w:spacing w:after="0"/>
              <w:rPr>
                <w:sz w:val="20"/>
                <w:szCs w:val="20"/>
                <w:color w:val="auto"/>
              </w:rPr>
            </w:pPr>
            <w:r>
              <w:rPr>
                <w:rFonts w:ascii="Arial" w:cs="Arial" w:eastAsia="Arial" w:hAnsi="Arial"/>
                <w:sz w:val="18"/>
                <w:szCs w:val="18"/>
                <w:b w:val="1"/>
                <w:bCs w:val="1"/>
                <w:color w:val="auto"/>
              </w:rPr>
              <w:t>Trading Symbol(s)</w:t>
            </w:r>
          </w:p>
        </w:tc>
        <w:tc>
          <w:tcPr>
            <w:tcW w:w="3420" w:type="dxa"/>
            <w:vAlign w:val="bottom"/>
          </w:tcPr>
          <w:p>
            <w:pP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Common stock, par value $0.000041666 per share</w:t>
            </w:r>
          </w:p>
        </w:tc>
        <w:tc>
          <w:tcPr>
            <w:tcW w:w="140" w:type="dxa"/>
            <w:vAlign w:val="bottom"/>
          </w:tcPr>
          <w:p>
            <w:pPr>
              <w:spacing w:after="0"/>
              <w:rPr>
                <w:sz w:val="19"/>
                <w:szCs w:val="19"/>
                <w:color w:val="auto"/>
              </w:rPr>
            </w:pPr>
          </w:p>
        </w:tc>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IOVA</w:t>
            </w:r>
          </w:p>
        </w:tc>
        <w:tc>
          <w:tcPr>
            <w:tcW w:w="140" w:type="dxa"/>
            <w:vAlign w:val="bottom"/>
          </w:tcPr>
          <w:p>
            <w:pPr>
              <w:spacing w:after="0"/>
              <w:rPr>
                <w:sz w:val="19"/>
                <w:szCs w:val="19"/>
                <w:color w:val="auto"/>
              </w:rPr>
            </w:pPr>
          </w:p>
        </w:tc>
        <w:tc>
          <w:tcPr>
            <w:tcW w:w="3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Nasdaq Stock Market, LLC</w:t>
            </w:r>
          </w:p>
        </w:tc>
      </w:tr>
    </w:tbl>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At April 28, 2020, the issuer had 126,861,580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1060450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92075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134620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Borders>
              <w:bottom w:val="single" w:sz="8" w:color="CCEEFF"/>
            </w:tcBorders>
          </w:tcPr>
          <w:p>
            <w:pPr>
              <w:spacing w:after="0"/>
              <w:rPr>
                <w:sz w:val="14"/>
                <w:szCs w:val="14"/>
                <w:color w:val="auto"/>
              </w:rPr>
            </w:pPr>
          </w:p>
        </w:tc>
        <w:tc>
          <w:tcPr>
            <w:tcW w:w="86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209"/>
        </w:trPr>
        <w:tc>
          <w:tcPr>
            <w:tcW w:w="9380" w:type="dxa"/>
            <w:vAlign w:val="bottom"/>
            <w:gridSpan w:val="2"/>
            <w:shd w:val="clear" w:color="auto" w:fill="CCEEFF"/>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540" w:type="dxa"/>
            <w:vAlign w:val="bottom"/>
            <w:shd w:val="clear" w:color="auto" w:fill="CCEEFF"/>
          </w:tcPr>
          <w:p>
            <w:pPr>
              <w:spacing w:after="0"/>
              <w:rPr>
                <w:sz w:val="18"/>
                <w:szCs w:val="18"/>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Management’s Discussion and Analysis of Financial Condition and Results of Operations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3.</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4.</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Controls and Procedures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9380" w:type="dxa"/>
            <w:vAlign w:val="bottom"/>
            <w:gridSpan w:val="2"/>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II OTHER INFORMATION</w:t>
              </w:r>
            </w:hyperlink>
          </w:p>
        </w:tc>
        <w:tc>
          <w:tcPr>
            <w:tcW w:w="5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Legal Proceedings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780" w:type="dxa"/>
            <w:vAlign w:val="bottom"/>
          </w:tcPr>
          <w:p>
            <w:pPr>
              <w:spacing w:after="0"/>
              <w:rPr>
                <w:rFonts w:ascii="Arial" w:cs="Arial" w:eastAsia="Arial" w:hAnsi="Arial"/>
                <w:sz w:val="18"/>
                <w:szCs w:val="18"/>
                <w:color w:val="0000EE"/>
              </w:rPr>
            </w:pPr>
            <w:hyperlink w:anchor="page38">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600" w:type="dxa"/>
            <w:vAlign w:val="bottom"/>
          </w:tcPr>
          <w:p>
            <w:pPr>
              <w:ind w:left="14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2.</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Unregistered Sales of Securities and Use of Proceeds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3.</w:t>
              </w:r>
            </w:hyperlink>
          </w:p>
        </w:tc>
        <w:tc>
          <w:tcPr>
            <w:tcW w:w="860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Defaults Upon Senior Securities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4.</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Mine Safety Disclosure</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Item 5.</w:t>
              </w:r>
            </w:hyperlink>
          </w:p>
        </w:tc>
        <w:tc>
          <w:tcPr>
            <w:tcW w:w="8600" w:type="dxa"/>
            <w:vAlign w:val="bottom"/>
          </w:tcPr>
          <w:p>
            <w:pPr>
              <w:ind w:left="14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Other Information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shd w:val="clear" w:color="auto" w:fill="CCEEFF"/>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Item 6.</w:t>
              </w:r>
            </w:hyperlink>
          </w:p>
        </w:tc>
        <w:tc>
          <w:tcPr>
            <w:tcW w:w="8600" w:type="dxa"/>
            <w:vAlign w:val="bottom"/>
            <w:shd w:val="clear" w:color="auto" w:fill="CCEEFF"/>
          </w:tcPr>
          <w:p>
            <w:pPr>
              <w:ind w:left="14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Exhibits</w:t>
              </w:r>
            </w:hyperlink>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380" w:type="dxa"/>
            <w:vAlign w:val="bottom"/>
            <w:gridSpan w:val="2"/>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7500" w:type="dxa"/>
            <w:vAlign w:val="bottom"/>
          </w:tcPr>
          <w:p>
            <w:pPr>
              <w:jc w:val="center"/>
              <w:ind w:left="231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500" w:type="dxa"/>
            <w:vAlign w:val="bottom"/>
          </w:tcPr>
          <w:p>
            <w:pPr>
              <w:jc w:val="center"/>
              <w:ind w:left="2290"/>
              <w:spacing w:after="0"/>
              <w:rPr>
                <w:sz w:val="20"/>
                <w:szCs w:val="20"/>
                <w:color w:val="auto"/>
              </w:rPr>
            </w:pPr>
            <w:r>
              <w:rPr>
                <w:rFonts w:ascii="Arial" w:cs="Arial" w:eastAsia="Arial" w:hAnsi="Arial"/>
                <w:sz w:val="18"/>
                <w:szCs w:val="18"/>
                <w:b w:val="1"/>
                <w:bCs w:val="1"/>
                <w:color w:val="auto"/>
              </w:rPr>
              <w:t>IOVANCE BIOTHERAPEUTICS, INC.</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jc w:val="center"/>
              <w:ind w:left="23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jc w:val="center"/>
              <w:ind w:left="2290"/>
              <w:spacing w:after="0"/>
              <w:rPr>
                <w:sz w:val="20"/>
                <w:szCs w:val="20"/>
                <w:color w:val="auto"/>
              </w:rPr>
            </w:pPr>
            <w:r>
              <w:rPr>
                <w:rFonts w:ascii="Arial" w:cs="Arial" w:eastAsia="Arial" w:hAnsi="Arial"/>
                <w:sz w:val="18"/>
                <w:szCs w:val="18"/>
                <w:b w:val="1"/>
                <w:bCs w:val="1"/>
                <w:color w:val="auto"/>
                <w:w w:val="89"/>
              </w:rPr>
              <w:t>(in thousands, except share and per share information)</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(unaudited)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52,540</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Long-term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288,298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10,614</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Operating lease liabilities - current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6,431</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39,545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Operating lease liabilities – noncurrent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44,985</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45,684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 and 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100"/>
              <w:spacing w:after="0" w:line="201" w:lineRule="exact"/>
              <w:rPr>
                <w:sz w:val="20"/>
                <w:szCs w:val="20"/>
                <w:color w:val="auto"/>
              </w:rPr>
            </w:pPr>
            <w:r>
              <w:rPr>
                <w:rFonts w:ascii="Arial" w:cs="Arial" w:eastAsia="Arial" w:hAnsi="Arial"/>
                <w:sz w:val="18"/>
                <w:szCs w:val="18"/>
                <w:color w:val="auto"/>
                <w:w w:val="98"/>
              </w:rPr>
              <w:t>Series A Convertible Preferred stock, $0.001 par value; 17,000 shares designated, 194 shares</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w w:val="94"/>
              </w:rPr>
              <w:t>issued and outstanding as of March 31, 2020 and December 31, 2019 (aggregate liquidation value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of $194)</w:t>
            </w: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Series B Convertible Preferred stock, $0.001 par value; 11,500,000 shares designated, 3,581,119</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shares issued and outstanding as of March 31, 2020 and December 31, 2019 (aggregate liquidation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value of $17,010)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ind w:left="100"/>
              <w:spacing w:after="0" w:line="201" w:lineRule="exact"/>
              <w:rPr>
                <w:sz w:val="20"/>
                <w:szCs w:val="20"/>
                <w:color w:val="auto"/>
              </w:rPr>
            </w:pPr>
            <w:r>
              <w:rPr>
                <w:rFonts w:ascii="Arial" w:cs="Arial" w:eastAsia="Arial" w:hAnsi="Arial"/>
                <w:sz w:val="18"/>
                <w:szCs w:val="18"/>
                <w:color w:val="auto"/>
              </w:rPr>
              <w:t>Common stock, $0.000041666 par value; 300,000,000 shares authorized, 126,823,156 and</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126,411,808 shares issued and outstanding as of March 31, 2020 and December 31, 2019,</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882,599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(640,207)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243,313</w:t>
            </w: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298,971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288,298</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16"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Three Months Ended</w:t>
      </w:r>
    </w:p>
    <w:p>
      <w:pPr>
        <w:ind w:left="81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70,810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(70,810)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income, net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60" w:type="dxa"/>
            <w:vAlign w:val="bottom"/>
            <w:gridSpan w:val="2"/>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(0.55)</w:t>
            </w:r>
          </w:p>
        </w:tc>
        <w:tc>
          <w:tcPr>
            <w:tcW w:w="14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 Basic and Diluted</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Three Months Ended</w:t>
      </w:r>
    </w:p>
    <w:p>
      <w:pPr>
        <w:ind w:left="8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(69,595)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gain on short-term investments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(68,903)</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980" w:type="dxa"/>
            <w:vAlign w:val="bottom"/>
            <w:gridSpan w:val="3"/>
          </w:tcPr>
          <w:p>
            <w:pPr>
              <w:ind w:left="340"/>
              <w:spacing w:after="0"/>
              <w:rPr>
                <w:sz w:val="20"/>
                <w:szCs w:val="20"/>
                <w:color w:val="auto"/>
              </w:rPr>
            </w:pPr>
            <w:r>
              <w:rPr>
                <w:rFonts w:ascii="Arial" w:cs="Arial" w:eastAsia="Arial" w:hAnsi="Arial"/>
                <w:sz w:val="14"/>
                <w:szCs w:val="14"/>
                <w:b w:val="1"/>
                <w:bCs w:val="1"/>
                <w:color w:val="auto"/>
              </w:rPr>
              <w:t>Series A</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89"/>
              </w:rPr>
              <w:t>Series B</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0"/>
              </w:rPr>
              <w:t>Additional</w:t>
            </w:r>
          </w:p>
        </w:tc>
        <w:tc>
          <w:tcPr>
            <w:tcW w:w="13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Accumulated 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98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0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13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Preferred Sock</w:t>
            </w:r>
          </w:p>
        </w:tc>
        <w:tc>
          <w:tcPr>
            <w:tcW w:w="118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Preferred 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4"/>
            <w:vMerge w:val="continue"/>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72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Income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7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06"/>
        </w:trPr>
        <w:tc>
          <w:tcPr>
            <w:tcW w:w="18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w:t>
            </w:r>
          </w:p>
        </w:tc>
        <w:tc>
          <w:tcPr>
            <w:tcW w:w="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right="248"/>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3,581,119</w:t>
            </w:r>
          </w:p>
        </w:tc>
        <w:tc>
          <w:tcPr>
            <w:tcW w:w="540" w:type="dxa"/>
            <w:vAlign w:val="bottom"/>
            <w:gridSpan w:val="2"/>
            <w:shd w:val="clear" w:color="auto" w:fill="CCEEFF"/>
          </w:tcPr>
          <w:p>
            <w:pPr>
              <w:jc w:val="right"/>
              <w:ind w:right="26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4</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126,411,808</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$ 869,354</w:t>
            </w: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(570,612)</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9,412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7,273</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Arial" w:cs="Arial" w:eastAsia="Arial" w:hAnsi="Arial"/>
                <w:sz w:val="14"/>
                <w:szCs w:val="14"/>
                <w:color w:val="auto"/>
              </w:rPr>
              <w:t>shares withheld for vested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404,075</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4"/>
                <w:szCs w:val="14"/>
                <w:color w:val="auto"/>
              </w:rPr>
              <w:t>Unrealized gain on short-</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rPr>
              <w:t>term investments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(69,595)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CCEEFF"/>
            </w:tcBorders>
          </w:tcPr>
          <w:p>
            <w:pPr>
              <w:ind w:left="100"/>
              <w:spacing w:after="0" w:line="142" w:lineRule="exact"/>
              <w:rPr>
                <w:sz w:val="20"/>
                <w:szCs w:val="20"/>
                <w:color w:val="auto"/>
              </w:rPr>
            </w:pPr>
            <w:r>
              <w:rPr>
                <w:rFonts w:ascii="Arial" w:cs="Arial" w:eastAsia="Arial" w:hAnsi="Arial"/>
                <w:sz w:val="14"/>
                <w:szCs w:val="14"/>
                <w:b w:val="1"/>
                <w:bCs w:val="1"/>
                <w:color w:val="auto"/>
              </w:rPr>
              <w:t>Balance - March 31, 2020</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jc w:val="center"/>
              <w:ind w:right="24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3,581,119</w:t>
            </w:r>
          </w:p>
        </w:tc>
        <w:tc>
          <w:tcPr>
            <w:tcW w:w="16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4</w:t>
            </w:r>
          </w:p>
        </w:tc>
        <w:tc>
          <w:tcPr>
            <w:tcW w:w="1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126,823,156</w:t>
            </w:r>
          </w:p>
        </w:tc>
        <w:tc>
          <w:tcPr>
            <w:tcW w:w="16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$ 882,599</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(640,207)</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243,313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880" w:type="dxa"/>
            <w:vAlign w:val="bottom"/>
          </w:tcPr>
          <w:p>
            <w:pPr>
              <w:spacing w:after="0" w:line="126" w:lineRule="exact"/>
              <w:rPr>
                <w:sz w:val="20"/>
                <w:szCs w:val="20"/>
                <w:color w:val="auto"/>
              </w:rPr>
            </w:pPr>
            <w:r>
              <w:rPr>
                <w:rFonts w:ascii="Arial" w:cs="Arial" w:eastAsia="Arial" w:hAnsi="Arial"/>
                <w:sz w:val="14"/>
                <w:szCs w:val="14"/>
                <w:b w:val="1"/>
                <w:bCs w:val="1"/>
                <w:color w:val="auto"/>
              </w:rPr>
              <w:t>Balance -</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20"/>
                <w:szCs w:val="20"/>
                <w:color w:val="auto"/>
              </w:rPr>
            </w:pPr>
            <w:r>
              <w:rPr>
                <w:rFonts w:ascii="Arial" w:cs="Arial" w:eastAsia="Arial" w:hAnsi="Arial"/>
                <w:sz w:val="14"/>
                <w:szCs w:val="14"/>
                <w:b w:val="1"/>
                <w:bCs w:val="1"/>
                <w:color w:val="auto"/>
              </w:rPr>
              <w:t>December 31, 2018</w:t>
            </w:r>
          </w:p>
        </w:tc>
        <w:tc>
          <w:tcPr>
            <w:tcW w:w="420" w:type="dxa"/>
            <w:vAlign w:val="bottom"/>
          </w:tcPr>
          <w:p>
            <w:pPr>
              <w:jc w:val="right"/>
              <w:spacing w:after="0"/>
              <w:rPr>
                <w:sz w:val="20"/>
                <w:szCs w:val="20"/>
                <w:color w:val="auto"/>
              </w:rPr>
            </w:pPr>
            <w:r>
              <w:rPr>
                <w:rFonts w:ascii="Arial" w:cs="Arial" w:eastAsia="Arial" w:hAnsi="Arial"/>
                <w:sz w:val="14"/>
                <w:szCs w:val="14"/>
                <w:color w:val="auto"/>
              </w:rPr>
              <w:t>194</w:t>
            </w:r>
          </w:p>
        </w:tc>
        <w:tc>
          <w:tcPr>
            <w:tcW w:w="160" w:type="dxa"/>
            <w:vAlign w:val="bottom"/>
          </w:tcPr>
          <w:p>
            <w:pPr>
              <w:spacing w:after="0"/>
              <w:rPr>
                <w:sz w:val="14"/>
                <w:szCs w:val="14"/>
                <w:color w:val="auto"/>
              </w:rPr>
            </w:pPr>
          </w:p>
        </w:tc>
        <w:tc>
          <w:tcPr>
            <w:tcW w:w="400" w:type="dxa"/>
            <w:vAlign w:val="bottom"/>
          </w:tcPr>
          <w:p>
            <w:pPr>
              <w:jc w:val="center"/>
              <w:ind w:right="248"/>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9"/>
              </w:rPr>
              <w:t>5,854,845</w:t>
            </w:r>
          </w:p>
        </w:tc>
        <w:tc>
          <w:tcPr>
            <w:tcW w:w="540" w:type="dxa"/>
            <w:vAlign w:val="bottom"/>
            <w:gridSpan w:val="2"/>
          </w:tcPr>
          <w:p>
            <w:pPr>
              <w:jc w:val="right"/>
              <w:ind w:right="26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6</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2"/>
              </w:rPr>
              <w:t>123,415,576</w:t>
            </w:r>
          </w:p>
        </w:tc>
        <w:tc>
          <w:tcPr>
            <w:tcW w:w="1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$ 838,984</w:t>
            </w:r>
          </w:p>
        </w:tc>
        <w:tc>
          <w:tcPr>
            <w:tcW w:w="8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(42)</w:t>
            </w: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(372,760)</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466,193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Adoption of ASU 2018-07</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rPr>
              <w:t>expense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5,846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5,846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shares</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issued for services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7,037</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4"/>
                <w:szCs w:val="14"/>
                <w:color w:val="auto"/>
              </w:rPr>
              <w:t>Tax payments related to</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line="149" w:lineRule="exact"/>
              <w:rPr>
                <w:sz w:val="20"/>
                <w:szCs w:val="20"/>
                <w:color w:val="auto"/>
              </w:rPr>
            </w:pPr>
            <w:r>
              <w:rPr>
                <w:rFonts w:ascii="Arial" w:cs="Arial" w:eastAsia="Arial" w:hAnsi="Arial"/>
                <w:sz w:val="14"/>
                <w:szCs w:val="14"/>
                <w:color w:val="auto"/>
              </w:rPr>
              <w:t>shares withheld for vested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rPr>
              <w:t>restricted stock units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Common stock issued upon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tcPr>
          <w:p>
            <w:pPr>
              <w:spacing w:after="0" w:line="130" w:lineRule="exact"/>
              <w:rPr>
                <w:sz w:val="20"/>
                <w:szCs w:val="20"/>
                <w:color w:val="auto"/>
              </w:rPr>
            </w:pPr>
            <w:r>
              <w:rPr>
                <w:rFonts w:ascii="Arial" w:cs="Arial" w:eastAsia="Arial" w:hAnsi="Arial"/>
                <w:sz w:val="14"/>
                <w:szCs w:val="14"/>
                <w:color w:val="auto"/>
              </w:rPr>
              <w:t>Unrealized gain on short-</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80" w:type="dxa"/>
            <w:vAlign w:val="bottom"/>
          </w:tcPr>
          <w:p>
            <w:pPr>
              <w:spacing w:after="0"/>
              <w:rPr>
                <w:sz w:val="20"/>
                <w:szCs w:val="20"/>
                <w:color w:val="auto"/>
              </w:rPr>
            </w:pPr>
            <w:r>
              <w:rPr>
                <w:rFonts w:ascii="Arial" w:cs="Arial" w:eastAsia="Arial" w:hAnsi="Arial"/>
                <w:sz w:val="14"/>
                <w:szCs w:val="14"/>
                <w:color w:val="auto"/>
              </w:rPr>
              <w:t>term investments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Cancellation of common</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from settlement of</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80" w:type="dxa"/>
            <w:vAlign w:val="bottom"/>
            <w:shd w:val="clear" w:color="auto" w:fill="CCEEFF"/>
          </w:tcPr>
          <w:p>
            <w:pPr>
              <w:spacing w:after="0"/>
              <w:rPr>
                <w:sz w:val="20"/>
                <w:szCs w:val="20"/>
                <w:color w:val="auto"/>
              </w:rPr>
            </w:pPr>
            <w:r>
              <w:rPr>
                <w:rFonts w:ascii="Arial" w:cs="Arial" w:eastAsia="Arial" w:hAnsi="Arial"/>
                <w:sz w:val="14"/>
                <w:szCs w:val="14"/>
                <w:color w:val="auto"/>
              </w:rPr>
              <w:t>dispute</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(32,500)</w:t>
            </w: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(36,950)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Borders>
              <w:top w:val="single" w:sz="8" w:color="CCEEFF"/>
              <w:bottom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Balance - March 31, 2019</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center"/>
              <w:ind w:right="24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5,854,845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123,395,113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$ 844,789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(410,006)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434,932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4808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7540" w:type="dxa"/>
            <w:vAlign w:val="bottom"/>
          </w:tcPr>
          <w:p>
            <w:pPr>
              <w:jc w:val="center"/>
              <w:ind w:left="2250"/>
              <w:spacing w:after="0"/>
              <w:rPr>
                <w:sz w:val="20"/>
                <w:szCs w:val="20"/>
                <w:color w:val="auto"/>
              </w:rPr>
            </w:pPr>
            <w:r>
              <w:rPr>
                <w:rFonts w:ascii="Arial" w:cs="Arial" w:eastAsia="Arial" w:hAnsi="Arial"/>
                <w:sz w:val="18"/>
                <w:szCs w:val="18"/>
                <w:b w:val="1"/>
                <w:bCs w:val="1"/>
                <w:color w:val="auto"/>
              </w:rPr>
              <w:t>IOVANCE BIOTHERAPEUTICS, INC.</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jc w:val="center"/>
              <w:ind w:left="2250"/>
              <w:spacing w:after="0"/>
              <w:rPr>
                <w:sz w:val="20"/>
                <w:szCs w:val="20"/>
                <w:color w:val="auto"/>
              </w:rPr>
            </w:pPr>
            <w:r>
              <w:rPr>
                <w:rFonts w:ascii="Arial" w:cs="Arial" w:eastAsia="Arial" w:hAnsi="Arial"/>
                <w:sz w:val="18"/>
                <w:szCs w:val="18"/>
                <w:b w:val="1"/>
                <w:bCs w:val="1"/>
                <w:color w:val="auto"/>
                <w:w w:val="87"/>
              </w:rPr>
              <w:t>Condensed Consolidated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jc w:val="center"/>
              <w:ind w:left="2270"/>
              <w:spacing w:after="0"/>
              <w:rPr>
                <w:sz w:val="20"/>
                <w:szCs w:val="20"/>
                <w:color w:val="auto"/>
              </w:rPr>
            </w:pPr>
            <w:r>
              <w:rPr>
                <w:rFonts w:ascii="Arial" w:cs="Arial" w:eastAsia="Arial" w:hAnsi="Arial"/>
                <w:sz w:val="18"/>
                <w:szCs w:val="18"/>
                <w:b w:val="1"/>
                <w:bCs w:val="1"/>
                <w:color w:val="auto"/>
                <w:w w:val="89"/>
              </w:rPr>
              <w:t>(unaudited; in thousands)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(69,595)</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Amortization of premiums on investments</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Gain on settlement of dispute</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Prepaid expenses, other assets, and long-term assets</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(1,316)</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 (Right-of-use assets)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(2,461)</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(7,768)</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(65,292)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Maturities of short-term investments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Purchase of short-term investments</w:t>
            </w:r>
          </w:p>
        </w:tc>
        <w:tc>
          <w:tcPr>
            <w:tcW w:w="2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(12,923)</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100,105</w:t>
            </w: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payments related to shares withheld for vested restricted stock awards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Net increase / (decrease) in cash, cash equivalents and restricted cash</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38,646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19,419</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End of Period (Note 2)</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58,065</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unrealized gain on short-term investments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Acquisitions of property and equipment included in accounts payable and accrued expenses</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(4,686)</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02" w:lineRule="exact"/>
        <w:rPr>
          <w:sz w:val="20"/>
          <w:szCs w:val="20"/>
          <w:color w:val="auto"/>
        </w:rPr>
      </w:pPr>
    </w:p>
    <w:p>
      <w:pPr>
        <w:ind w:right="20" w:firstLine="492"/>
        <w:spacing w:after="0" w:line="269" w:lineRule="auto"/>
        <w:rPr>
          <w:sz w:val="20"/>
          <w:szCs w:val="20"/>
          <w:color w:val="auto"/>
        </w:rPr>
      </w:pPr>
      <w:r>
        <w:rPr>
          <w:rFonts w:ascii="Arial" w:cs="Arial" w:eastAsia="Arial" w:hAnsi="Arial"/>
          <w:sz w:val="17"/>
          <w:szCs w:val="17"/>
          <w:color w:val="auto"/>
        </w:rPr>
        <w:t>Iovance Biotherapeutics, Inc. (the “Company”, “we”, “us” or “our”) is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(NCI), which conducted initial clinical trials in diseases such as metastatic melanoma and cervical cancer. The Company has developed a new, shorter manufacturing process for TIL therapy known as Generation 2, or Gen 2, which yields a cryopreserved TIL product. This proprietary and scalable manufacturing method is being further investigated in multiple indications. The Company’s lead product candidates include lifileucel for metastatic melanoma and LN-145 for metastatic cervical cancer. In addition to metastatic melanoma and metastatic cervical cancer, it is investigating the effectiveness and safety of TIL therapy and peripheral blood lymphocyte therapy for the treatment of squamous cell carcinoma of the head and neck, non-small cell lung cancer, and chronic lymphocytic leukemia through its sponsored trials, as well as in other oncology indications through collaborations. On June 1, 2017, the Company reincorporated to become a company governed by Delaware corporation laws.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unaudited condensed consolidated financial statements of the Company for the three months ended March 31, 2020 and 2019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2019, was derived from the audited financial statements included in the Company's financial statements as of and for the year ended December 31, 2019 included in the Company’s Annual Report on Form 10-K filed with the Securities and Exchange Commission (the “SEC”) on February 25, 2020. These financial statements should be read in conjunction with that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8" w:lineRule="exact"/>
        <w:rPr>
          <w:sz w:val="20"/>
          <w:szCs w:val="20"/>
          <w:color w:val="auto"/>
        </w:rPr>
      </w:pPr>
    </w:p>
    <w:p>
      <w:pPr>
        <w:ind w:right="40" w:firstLine="492"/>
        <w:spacing w:after="0" w:line="291" w:lineRule="auto"/>
        <w:rPr>
          <w:sz w:val="20"/>
          <w:szCs w:val="20"/>
          <w:color w:val="auto"/>
        </w:rPr>
      </w:pPr>
      <w:r>
        <w:rPr>
          <w:rFonts w:ascii="Arial" w:cs="Arial" w:eastAsia="Arial" w:hAnsi="Arial"/>
          <w:sz w:val="16"/>
          <w:szCs w:val="16"/>
          <w:color w:val="auto"/>
        </w:rPr>
        <w:t>The Company is currently engaged in the development of therapeutics to fight cancer, specifically solid tumors. The Company currently does not have any commercial products and has not yet generated any revenues from its business. The Company currently does not anticipate that it will generate any revenues from the sale or licensing of any of its product candidates during the 12 months from the date these financial statements are issued. The Company has incurred a net loss of $69.6 million for the three months ended March 31, 2020 and used $65.3 million of cash in its operating activities during the three months ended March 31, 2020. As of March 31, 2020, the Company had $251.2 million in cash, cash equivalents, short-term investments, and restricted cash ($52.5 million of cash and cash equivalents, $193.1 million in short-term investments and $5.5 million in restricted cash).</w:t>
      </w:r>
    </w:p>
    <w:p>
      <w:pPr>
        <w:spacing w:after="0" w:line="126" w:lineRule="exact"/>
        <w:rPr>
          <w:sz w:val="20"/>
          <w:szCs w:val="20"/>
          <w:color w:val="auto"/>
        </w:rPr>
      </w:pPr>
    </w:p>
    <w:p>
      <w:pPr>
        <w:ind w:right="40" w:firstLine="492"/>
        <w:spacing w:after="0" w:line="270" w:lineRule="auto"/>
        <w:rPr>
          <w:sz w:val="20"/>
          <w:szCs w:val="20"/>
          <w:color w:val="auto"/>
        </w:rPr>
      </w:pPr>
      <w:r>
        <w:rPr>
          <w:rFonts w:ascii="Arial" w:cs="Arial" w:eastAsia="Arial" w:hAnsi="Arial"/>
          <w:sz w:val="17"/>
          <w:szCs w:val="17"/>
          <w:color w:val="auto"/>
        </w:rPr>
        <w:t>The Company expects to continue its research and development activities, increase pre-commercial activities and initiate the construction on the tenant improvements on its new manufacturing facility, which will increase the amount of cash used during 2020 and beyond. Specifically, the Company expects continued spending on its current and planned clinical trials, continued expansion of manufacturing activities, including construction of a manufacturing facility, higher payroll expenses as the Company increases its professional and scientific staff, and continuation of pre-commercial activities. Based on the funds the Company has available as of the date these financial statements are issued, the Company believes that it has sufficient capital to fund its anticipated operating expenses and capital expenditures for at least the next twelve months from the date these financial statements are issued. The Company has latitude as to the timing and amount of expenditures for its commercial-scale production facility under construction in Philadelphia, Pennsylvania.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98" w:lineRule="exact"/>
        <w:rPr>
          <w:sz w:val="20"/>
          <w:szCs w:val="20"/>
          <w:color w:val="auto"/>
        </w:rPr>
      </w:pPr>
    </w:p>
    <w:p>
      <w:pPr>
        <w:jc w:val="both"/>
        <w:ind w:right="320" w:firstLine="492"/>
        <w:spacing w:after="0" w:line="342" w:lineRule="auto"/>
        <w:rPr>
          <w:sz w:val="20"/>
          <w:szCs w:val="20"/>
          <w:color w:val="auto"/>
        </w:rPr>
      </w:pPr>
      <w:r>
        <w:rPr>
          <w:rFonts w:ascii="Arial" w:cs="Arial" w:eastAsia="Arial" w:hAnsi="Arial"/>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2020 the World Health Organization (WHO) declared COVID-19 a pandemic (the "COVID-19 Pandemic"). The Secretary of Health and Human Services declared a public health emergency on January 31, 2020, under section 319 of the Public Health Service Act (42 U.S.C. 247d), in response to the COVID-19 Pandemic. The full impact of the COVID-19 Pandemic is unknown and rapidly evolving. While the potential economic impact brought by and the duration of the COVID-19 Pandemic may be difficult to assess or predict, the Company believes the COVID-19 Pandemic has resulted in significant disruption of global financial markets, which could in the future negatively affect its liquidity. In addition, a recession or market volatility resulting from the COVID-19 Pandemic could affect the Company’s business. Given the nature and type of the Company’s short-term investments in US government securities, the Company does not believe the COVID-19 Pandemic will have a material impact on the Company's current investment liquidity.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98" w:lineRule="exact"/>
        <w:rPr>
          <w:sz w:val="20"/>
          <w:szCs w:val="20"/>
          <w:color w:val="auto"/>
        </w:rPr>
      </w:pPr>
    </w:p>
    <w:p>
      <w:pPr>
        <w:ind w:firstLine="492"/>
        <w:spacing w:after="0" w:line="275" w:lineRule="auto"/>
        <w:rPr>
          <w:sz w:val="20"/>
          <w:szCs w:val="20"/>
          <w:color w:val="auto"/>
        </w:rPr>
      </w:pPr>
      <w:r>
        <w:rPr>
          <w:rFonts w:ascii="Arial" w:cs="Arial" w:eastAsia="Arial" w:hAnsi="Arial"/>
          <w:sz w:val="17"/>
          <w:szCs w:val="17"/>
          <w:color w:val="auto"/>
        </w:rPr>
        <w:t>The Company is subject to credit risk from its portfolio of cash equivalents and short-term investments. Under its investment policy, the Company limits amounts invested in such securities by credit rating, maturity, industry group, investment type and issuer, except for securities issued by the U.S. government. The Company does not believe it is exposed to any significant concentrations of credit risk from these financial instruments. The goals of its investment policy, in order of priority, are as follows: safety and preservation of principal and diversification of risk and liquidity of investments sufficient to meet cash flow requirements.</w:t>
      </w:r>
    </w:p>
    <w:p>
      <w:pPr>
        <w:spacing w:after="0" w:line="172" w:lineRule="exact"/>
        <w:rPr>
          <w:sz w:val="20"/>
          <w:szCs w:val="20"/>
          <w:color w:val="auto"/>
        </w:rPr>
      </w:pPr>
    </w:p>
    <w:p>
      <w:pPr>
        <w:ind w:right="4460"/>
        <w:spacing w:after="0" w:line="456" w:lineRule="auto"/>
        <w:rPr>
          <w:sz w:val="20"/>
          <w:szCs w:val="20"/>
          <w:color w:val="auto"/>
        </w:rPr>
      </w:pPr>
      <w:r>
        <w:rPr>
          <w:rFonts w:ascii="Arial" w:cs="Arial" w:eastAsia="Arial" w:hAnsi="Arial"/>
          <w:sz w:val="18"/>
          <w:szCs w:val="18"/>
          <w:b w:val="1"/>
          <w:bCs w:val="1"/>
          <w:u w:val="single" w:color="auto"/>
          <w:color w:val="auto"/>
        </w:rPr>
        <w:t xml:space="preserve">NOTE 2. SUMMARY OF SIGNIFICANT ACCOUNTING POLICIES </w:t>
      </w:r>
      <w:r>
        <w:rPr>
          <w:rFonts w:ascii="Arial" w:cs="Arial" w:eastAsia="Arial" w:hAnsi="Arial"/>
          <w:sz w:val="18"/>
          <w:szCs w:val="18"/>
          <w:b w:val="1"/>
          <w:bCs w:val="1"/>
          <w:i w:val="1"/>
          <w:iCs w:val="1"/>
          <w:color w:val="auto"/>
        </w:rPr>
        <w:t>Cash, Cash Equivalents, and Short-term Investments</w:t>
      </w:r>
    </w:p>
    <w:p>
      <w:pPr>
        <w:ind w:right="40" w:firstLine="492"/>
        <w:spacing w:after="0" w:line="286" w:lineRule="auto"/>
        <w:rPr>
          <w:sz w:val="20"/>
          <w:szCs w:val="20"/>
          <w:color w:val="auto"/>
        </w:rPr>
      </w:pPr>
      <w:r>
        <w:rPr>
          <w:rFonts w:ascii="Arial" w:cs="Arial" w:eastAsia="Arial" w:hAnsi="Arial"/>
          <w:sz w:val="16"/>
          <w:szCs w:val="16"/>
          <w:color w:val="auto"/>
        </w:rPr>
        <w:t>The Company’s cash and cash equivalents include short-term investments with original maturities of three months or less when purchased. The Company's short-term investments are classified as “available-for-sale”. The Company includes these investments in current assets and carries them at fair value. Unrealized gains and losses on available-for-sale securities are included in accumulated other comprehensive income. Any impairment losses related to credit losses (if any) are included in an allowance for credit losses with an offsetting entry to net loss. No impairment losses related to credit losses were recognized for the three months ended March 31, 2020 or for the same period in 2019. The cost of debt securities is adjusted for the amortization of premiums and accretion of discounts to maturity. Such amortization and accretion are included in net interest income in the condensed consolidated statements of operations. Gains and losses on securities sold are recorded based on the specific identification method and are included in net interest income in the condensed consolidated statements of operations. The Company has not incurred any realized gains or losses from sales of securities to date. 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 Currently the Company invests excess cash only in obligations issued by the U.S. government and U.S. government agencies.</w:t>
      </w:r>
    </w:p>
    <w:p>
      <w:pPr>
        <w:spacing w:after="0" w:line="147" w:lineRule="exact"/>
        <w:rPr>
          <w:sz w:val="20"/>
          <w:szCs w:val="20"/>
          <w:color w:val="auto"/>
        </w:rPr>
      </w:pPr>
    </w:p>
    <w:p>
      <w:pPr>
        <w:ind w:right="40" w:firstLine="492"/>
        <w:spacing w:after="0" w:line="269" w:lineRule="auto"/>
        <w:rPr>
          <w:sz w:val="20"/>
          <w:szCs w:val="20"/>
          <w:color w:val="auto"/>
        </w:rPr>
      </w:pPr>
      <w:r>
        <w:rPr>
          <w:rFonts w:ascii="Arial" w:cs="Arial" w:eastAsia="Arial" w:hAnsi="Arial"/>
          <w:sz w:val="17"/>
          <w:szCs w:val="17"/>
          <w:color w:val="auto"/>
        </w:rPr>
        <w:t>The Company maintains a certain minimum balance, currently $5.5 million in a segregated bank account in connection with two letters of credit, one for $5.45 million for the benefit of the landlord for its commercial manufacturing facility used as a security deposit for the lease (See Note 9 - Leases), and a second one for $74,685 for the benefit of a utilities service provider. The total amount is classified as Restricted Cash on the Balance Sheet. The letter of credit will expire on May 28, 2020, however, it will be automatically extended, without written agreement, for one-year periods to May 28 in each succeeding calendar year, through at least 60 days after the lease expiration rate. Further, on the expiration of the seventh year of the lease, and each anniversary date thereafter, the letter of credit may be decreased by $1,000,000, with a minimum security deposit of $1,450,000 maintained through the end of the lease term. The $74,685 letter of credit will expire on February 25, 2021, however, it will be automatically extended, without written agreement, to the expiration date of December 1, 2022. As of March 31, 2020, restricted cash consisted of $5.5 million and this amount has been classified as a non-current asset on the Company’s condensed consolidated balance sheets.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firstLine="492"/>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080" w:type="dxa"/>
            <w:vAlign w:val="bottom"/>
            <w:gridSpan w:val="3"/>
          </w:tcPr>
          <w:p>
            <w:pPr>
              <w:ind w:left="24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58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54,093</w:t>
            </w:r>
          </w:p>
        </w:tc>
      </w:tr>
      <w:tr>
        <w:trPr>
          <w:trHeight w:val="202"/>
        </w:trPr>
        <w:tc>
          <w:tcPr>
            <w:tcW w:w="5820" w:type="dxa"/>
            <w:vAlign w:val="bottom"/>
          </w:tcPr>
          <w:p>
            <w:pPr>
              <w:spacing w:after="0" w:line="201" w:lineRule="exact"/>
              <w:rPr>
                <w:sz w:val="20"/>
                <w:szCs w:val="20"/>
                <w:color w:val="auto"/>
              </w:rPr>
            </w:pPr>
            <w:r>
              <w:rPr>
                <w:rFonts w:ascii="Arial" w:cs="Arial" w:eastAsia="Arial" w:hAnsi="Arial"/>
                <w:sz w:val="18"/>
                <w:szCs w:val="18"/>
                <w:color w:val="auto"/>
                <w:w w:val="92"/>
              </w:rPr>
              <w:t>Restricted cash (included in non-current assets on the condensed consolidated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sheets)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58,065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54,093</w:t>
            </w:r>
          </w:p>
        </w:tc>
      </w:tr>
      <w:tr>
        <w:trPr>
          <w:trHeight w:val="20"/>
        </w:trPr>
        <w:tc>
          <w:tcPr>
            <w:tcW w:w="5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color w:val="auto"/>
        </w:rPr>
        <w:t>Basic net loss per share is computed by dividing the net loss by the weighted average number of common shares outstanding during the period.</w:t>
      </w:r>
    </w:p>
    <w:p>
      <w:pPr>
        <w:spacing w:after="0" w:line="143"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Diluted net loss per share is computed by dividing the net loss by the sum of the weighted average number of shares of common stock outstanding and the dilutive common stock equivalent shares outstanding during the period. The Company’s potentially dilutive common stock equivalent shares, which include incremental common shares issuable upon (i) the exercise of outstanding stock options and warrants (ii) vesting of restricted stock units and restricted stock awards, and (iii) conversion of preferred stock, are only included in the calculation of diluted net loss per share when their effect is dilutive.</w:t>
      </w:r>
    </w:p>
    <w:p>
      <w:pPr>
        <w:spacing w:after="0" w:line="136"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At March 31, 2020 and 2019,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March 31,</w:t>
            </w:r>
          </w:p>
        </w:tc>
      </w:tr>
      <w:tr>
        <w:trPr>
          <w:trHeight w:val="210"/>
        </w:trPr>
        <w:tc>
          <w:tcPr>
            <w:tcW w:w="500" w:type="dxa"/>
            <w:vAlign w:val="bottom"/>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r>
      <w:tr>
        <w:trPr>
          <w:trHeight w:val="210"/>
        </w:trPr>
        <w:tc>
          <w:tcPr>
            <w:tcW w:w="50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12,136,899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9,274,973</w:t>
            </w:r>
          </w:p>
        </w:tc>
      </w:tr>
      <w:tr>
        <w:trPr>
          <w:trHeight w:val="216"/>
        </w:trPr>
        <w:tc>
          <w:tcPr>
            <w:tcW w:w="50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Series A Convertible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rPr>
              <w:t>97,000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97,000</w:t>
            </w:r>
          </w:p>
        </w:tc>
      </w:tr>
      <w:tr>
        <w:trPr>
          <w:trHeight w:val="216"/>
        </w:trPr>
        <w:tc>
          <w:tcPr>
            <w:tcW w:w="50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Convertible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3,581,119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5,854,845</w:t>
            </w:r>
          </w:p>
        </w:tc>
      </w:tr>
      <w:tr>
        <w:trPr>
          <w:trHeight w:val="216"/>
        </w:trPr>
        <w:tc>
          <w:tcPr>
            <w:tcW w:w="500" w:type="dxa"/>
            <w:vAlign w:val="bottom"/>
          </w:tcPr>
          <w:p>
            <w:pPr>
              <w:spacing w:after="0"/>
              <w:rPr>
                <w:sz w:val="18"/>
                <w:szCs w:val="18"/>
                <w:color w:val="auto"/>
              </w:rPr>
            </w:pPr>
          </w:p>
        </w:tc>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stock units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11,458</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57,285</w:t>
            </w:r>
          </w:p>
        </w:tc>
      </w:tr>
      <w:tr>
        <w:trPr>
          <w:trHeight w:val="210"/>
        </w:trPr>
        <w:tc>
          <w:tcPr>
            <w:tcW w:w="500" w:type="dxa"/>
            <w:vAlign w:val="bottom"/>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15,826,476</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15,284,103</w:t>
            </w:r>
          </w:p>
        </w:tc>
      </w:tr>
      <w:tr>
        <w:trPr>
          <w:trHeight w:val="20"/>
        </w:trPr>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500" w:type="dxa"/>
            <w:vAlign w:val="bottom"/>
            <w:tcBorders>
              <w:bottom w:val="single" w:sz="8" w:color="auto"/>
            </w:tcBorders>
          </w:tcPr>
          <w:p>
            <w:pPr>
              <w:spacing w:after="0"/>
              <w:rPr>
                <w:sz w:val="7"/>
                <w:szCs w:val="7"/>
                <w:color w:val="auto"/>
              </w:rPr>
            </w:pPr>
          </w:p>
        </w:tc>
        <w:tc>
          <w:tcPr>
            <w:tcW w:w="1980" w:type="dxa"/>
            <w:vAlign w:val="bottom"/>
            <w:tcBorders>
              <w:bottom w:val="single" w:sz="8" w:color="auto"/>
            </w:tcBorders>
          </w:tcPr>
          <w:p>
            <w:pPr>
              <w:spacing w:after="0"/>
              <w:rPr>
                <w:sz w:val="7"/>
                <w:szCs w:val="7"/>
                <w:color w:val="auto"/>
              </w:rPr>
            </w:pPr>
          </w:p>
        </w:tc>
        <w:tc>
          <w:tcPr>
            <w:tcW w:w="3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on an as-converted basis</w:t>
      </w:r>
    </w:p>
    <w:p>
      <w:pPr>
        <w:spacing w:after="0" w:line="185"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The effect of potentially dilutive securities would be reflected in diluted earnings per common share by application of the treasury stock method. Under the treasury stock method, an increase in the fair market value of the Company's common stock could result in a greater dilutive effect from potentially dilutive securities.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85" w:lineRule="exact"/>
        <w:rPr>
          <w:sz w:val="20"/>
          <w:szCs w:val="20"/>
          <w:color w:val="auto"/>
        </w:rPr>
      </w:pPr>
    </w:p>
    <w:p>
      <w:pPr>
        <w:ind w:right="300" w:firstLine="492"/>
        <w:spacing w:after="0" w:line="257" w:lineRule="auto"/>
        <w:rPr>
          <w:sz w:val="20"/>
          <w:szCs w:val="20"/>
          <w:color w:val="auto"/>
        </w:rPr>
      </w:pPr>
      <w:r>
        <w:rPr>
          <w:rFonts w:ascii="Arial" w:cs="Arial" w:eastAsia="Arial" w:hAnsi="Arial"/>
          <w:sz w:val="18"/>
          <w:szCs w:val="18"/>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47" w:lineRule="exact"/>
        <w:rPr>
          <w:sz w:val="20"/>
          <w:szCs w:val="20"/>
          <w:color w:val="auto"/>
        </w:rPr>
      </w:pPr>
    </w:p>
    <w:p>
      <w:pPr>
        <w:ind w:right="320" w:firstLine="492"/>
        <w:spacing w:after="0" w:line="263" w:lineRule="auto"/>
        <w:rPr>
          <w:sz w:val="20"/>
          <w:szCs w:val="20"/>
          <w:color w:val="auto"/>
        </w:rPr>
      </w:pPr>
      <w:r>
        <w:rPr>
          <w:rFonts w:ascii="Arial" w:cs="Arial" w:eastAsia="Arial" w:hAnsi="Arial"/>
          <w:sz w:val="18"/>
          <w:szCs w:val="18"/>
          <w:color w:val="auto"/>
        </w:rPr>
        <w:t>Assets and liabilities recorded at fair value in the Company’s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43" w:lineRule="exact"/>
        <w:rPr>
          <w:sz w:val="20"/>
          <w:szCs w:val="20"/>
          <w:color w:val="auto"/>
        </w:rPr>
      </w:pPr>
    </w:p>
    <w:p>
      <w:pPr>
        <w:ind w:right="20" w:firstLine="492"/>
        <w:spacing w:after="0" w:line="277" w:lineRule="auto"/>
        <w:rPr>
          <w:sz w:val="20"/>
          <w:szCs w:val="20"/>
          <w:color w:val="auto"/>
        </w:rPr>
      </w:pPr>
      <w:r>
        <w:rPr>
          <w:rFonts w:ascii="Arial" w:cs="Arial" w:eastAsia="Arial" w:hAnsi="Arial"/>
          <w:sz w:val="18"/>
          <w:szCs w:val="18"/>
          <w:color w:val="auto"/>
        </w:rPr>
        <w:t>Level 1–These are investments where values are based on unadjusted quoted prices for identical assets in an active market that the Company has the ability to access.</w:t>
      </w:r>
    </w:p>
    <w:p>
      <w:pPr>
        <w:spacing w:after="0" w:line="143"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Level 2–These are investments where values are based on quoted market prices in markets that are not active or model derived valuations in which all significant inputs are observable in active markets</w:t>
      </w:r>
    </w:p>
    <w:p>
      <w:pPr>
        <w:sectPr>
          <w:pgSz w:w="11900" w:h="16838" w:orient="portrait"/>
          <w:cols w:equalWidth="0" w:num="1">
            <w:col w:w="9900"/>
          </w:cols>
          <w:pgMar w:left="980" w:top="665" w:right="1019" w:bottom="144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does not have fair valued assets classified under Level 2 as of March 31, 2020 and December 31, 2019.</w:t>
      </w:r>
    </w:p>
    <w:p>
      <w:pPr>
        <w:spacing w:after="0" w:line="196" w:lineRule="exact"/>
        <w:rPr>
          <w:sz w:val="20"/>
          <w:szCs w:val="20"/>
          <w:color w:val="auto"/>
        </w:rPr>
      </w:pPr>
    </w:p>
    <w:p>
      <w:pPr>
        <w:ind w:right="340" w:firstLine="492"/>
        <w:spacing w:after="0" w:line="277" w:lineRule="auto"/>
        <w:rPr>
          <w:sz w:val="20"/>
          <w:szCs w:val="20"/>
          <w:color w:val="auto"/>
        </w:rPr>
      </w:pPr>
      <w:r>
        <w:rPr>
          <w:rFonts w:ascii="Arial" w:cs="Arial" w:eastAsia="Arial" w:hAnsi="Arial"/>
          <w:sz w:val="18"/>
          <w:szCs w:val="18"/>
          <w:color w:val="auto"/>
        </w:rPr>
        <w:t>Level 3–These are financial instruments where values are derived from techniques in which one or more significant inputs are unobservable.</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does not have fair valued assets classified under Level 3 as of March 31, 2020 and December 31, 2019.</w:t>
      </w:r>
    </w:p>
    <w:p>
      <w:pPr>
        <w:spacing w:after="0" w:line="196"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The Company’s financial instruments consist of cash and cash equivalents and short-term investments, all of which are reported at their respective fair value on its condensed consolidated balance sheets.</w:t>
      </w:r>
    </w:p>
    <w:p>
      <w:pPr>
        <w:spacing w:after="0" w:line="130"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As of March 31, 2020 and December 31, 2019, financial assets measured at fair value on a recurring basis are categorized in the table below based upon the lowest level of significant input to the valuations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jc w:val="right"/>
              <w:ind w:right="290"/>
              <w:spacing w:after="0"/>
              <w:rPr>
                <w:sz w:val="20"/>
                <w:szCs w:val="20"/>
                <w:color w:val="auto"/>
              </w:rPr>
            </w:pPr>
            <w:r>
              <w:rPr>
                <w:rFonts w:ascii="Arial" w:cs="Arial" w:eastAsia="Arial" w:hAnsi="Arial"/>
                <w:sz w:val="18"/>
                <w:szCs w:val="18"/>
                <w:b w:val="1"/>
                <w:bCs w:val="1"/>
                <w:color w:val="auto"/>
                <w:w w:val="97"/>
              </w:rPr>
              <w:t>Assets at Fair Value as of March 31, 2020</w:t>
            </w:r>
          </w:p>
        </w:tc>
      </w:tr>
      <w:tr>
        <w:trPr>
          <w:trHeight w:val="209"/>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161,512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161,512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31,600</w:t>
            </w:r>
          </w:p>
        </w:tc>
      </w:tr>
      <w:tr>
        <w:trPr>
          <w:trHeight w:val="209"/>
        </w:trPr>
        <w:tc>
          <w:tcPr>
            <w:tcW w:w="5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193,112</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10"/>
          </w:tcPr>
          <w:p>
            <w:pPr>
              <w:jc w:val="right"/>
              <w:ind w:right="170"/>
              <w:spacing w:after="0"/>
              <w:rPr>
                <w:sz w:val="20"/>
                <w:szCs w:val="20"/>
                <w:color w:val="auto"/>
              </w:rPr>
            </w:pPr>
            <w:r>
              <w:rPr>
                <w:rFonts w:ascii="Arial" w:cs="Arial" w:eastAsia="Arial" w:hAnsi="Arial"/>
                <w:sz w:val="18"/>
                <w:szCs w:val="18"/>
                <w:b w:val="1"/>
                <w:bCs w:val="1"/>
                <w:color w:val="auto"/>
                <w:w w:val="91"/>
              </w:rPr>
              <w:t>Assets at Fair Value as of December 31, 2019</w:t>
            </w:r>
          </w:p>
        </w:tc>
      </w:tr>
      <w:tr>
        <w:trPr>
          <w:trHeight w:val="210"/>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242,249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50,863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59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293,112</w:t>
            </w: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the assumptions made in valuing stock instruments issued for services and used in measuring operating right-of-use assets and operating lease liabilities, valuation of short-term investments, accounting for potential liabilities, and the valuation allowance associated with the Company’s deferred tax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40" w:firstLine="492"/>
        <w:spacing w:after="0" w:line="311" w:lineRule="auto"/>
        <w:rPr>
          <w:sz w:val="20"/>
          <w:szCs w:val="20"/>
          <w:color w:val="auto"/>
        </w:rPr>
      </w:pPr>
      <w:r>
        <w:rPr>
          <w:rFonts w:ascii="Arial" w:cs="Arial" w:eastAsia="Arial" w:hAnsi="Arial"/>
          <w:sz w:val="16"/>
          <w:szCs w:val="16"/>
          <w:color w:val="auto"/>
        </w:rPr>
        <w:t>The accompanying condensed consolidated financial statements include the accounts of Iovance Biotherapeutics, Inc. and its wholly-owned subsidiaries, Iovance Biotherapeutics Manufacturing LLC, and Iovance Biotherapeutics GmbH. All intercompany accounts and transactions have been eliminated. The U.S. dollar is the functional currency for all the Company's consolidated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Company accounts for income taxes using the asset and liability method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be realized. Deferred tax assets and liabilities are adjusted for the effects of changes in tax laws and rates on the date of enactment.</w:t>
      </w:r>
    </w:p>
    <w:p>
      <w:pPr>
        <w:spacing w:after="0" w:line="121"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ASC Topic 740-10-30 clarifies the accounting for uncertainty in income taxes recognized in an enterprise’s financial statements and prescribes a recognition threshold and measurement attribute for the financial statement recognition and measurement of a tax position taken or expected to be taken in a tax return. ASC Topic 740-10-40 provides guidance on de-recognition, classification, interest and penalties, accounting in interim periods, disclosure, and transition. The Company will classify as income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tax expense any interest and penalties. The Company has no material uncertain tax positions for any of the reporting periods presented.</w:t>
      </w:r>
    </w:p>
    <w:p>
      <w:pPr>
        <w:spacing w:after="0" w:line="20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The tax relief measures for business include a five-year net operating loss (“NOL”) carrybacks, suspension of annual deduction limitation of 80% taxable income from net operating losses generated in a tax year beginning after December 31, 2017, changes in the deductibility of interest, acceleration of alternative minimum tax credit refunds, payroll tax relief, and technical correction to allow accelerated deductions for qualified improvement property. The CARES Act also provides other non-tax benefits to assist those impacted by the pandemic. The Company evaluated the impact of the CARES Act and determined no material tax provision impact for the quarter ended March 31,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firstLine="492"/>
        <w:spacing w:after="0" w:line="269" w:lineRule="auto"/>
        <w:rPr>
          <w:sz w:val="20"/>
          <w:szCs w:val="20"/>
          <w:color w:val="auto"/>
        </w:rPr>
      </w:pPr>
      <w:r>
        <w:rPr>
          <w:rFonts w:ascii="Arial" w:cs="Arial" w:eastAsia="Arial" w:hAnsi="Arial"/>
          <w:sz w:val="17"/>
          <w:szCs w:val="17"/>
          <w:color w:val="auto"/>
        </w:rPr>
        <w:t>The Company determines if an arrangement includes a lease at inception. Operating leases are included in its condensed consolidated balance sheet as Operating lease right-of-use assets and Operating lease liabilities as of March 31, 2020 and December 31, 2019. Operating lease right-of-use assets represent the Company’s right to use an underlying asset for the lease term and operating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an estimated incremental borrowing rate that is applicable to the Company based on the information available at the later of the lease commencement date or the date of adoption of Accounting Standard Update (ASU) No. 2016-02 and ASU No. 2018-10, Leases (together “Topic 842”). The operating lease right-of-use assets also include any lease payments made less lease incentives. The Company’s leases may include options to extend or terminate the lease, which is considered in the lease term when it is reasonably certain that the Company will exercise any such options. Lease expense is recognized on a straight-line basis over the expected lease term. The Company has elected not to apply the recognition requirements of Topic 842 for short-term leases.</w:t>
      </w:r>
    </w:p>
    <w:p>
      <w:pPr>
        <w:spacing w:after="0" w:line="138" w:lineRule="exact"/>
        <w:rPr>
          <w:sz w:val="20"/>
          <w:szCs w:val="20"/>
          <w:color w:val="auto"/>
        </w:rPr>
      </w:pPr>
    </w:p>
    <w:p>
      <w:pPr>
        <w:ind w:right="140" w:firstLine="492"/>
        <w:spacing w:after="0" w:line="277" w:lineRule="auto"/>
        <w:rPr>
          <w:sz w:val="20"/>
          <w:szCs w:val="20"/>
          <w:color w:val="auto"/>
        </w:rPr>
      </w:pPr>
      <w:r>
        <w:rPr>
          <w:rFonts w:ascii="Arial" w:cs="Arial" w:eastAsia="Arial" w:hAnsi="Arial"/>
          <w:sz w:val="18"/>
          <w:szCs w:val="18"/>
          <w:color w:val="auto"/>
        </w:rPr>
        <w:t>For lease agreements entered into after the adoption of Topic 842 that include lease and non-lease components, such components are generally accounted for separately.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100" w:firstLine="492"/>
        <w:spacing w:after="0" w:line="291" w:lineRule="auto"/>
        <w:rPr>
          <w:sz w:val="20"/>
          <w:szCs w:val="20"/>
          <w:color w:val="auto"/>
        </w:rPr>
      </w:pPr>
      <w:r>
        <w:rPr>
          <w:rFonts w:ascii="Arial" w:cs="Arial" w:eastAsia="Arial" w:hAnsi="Arial"/>
          <w:sz w:val="16"/>
          <w:szCs w:val="16"/>
          <w:color w:val="auto"/>
        </w:rPr>
        <w:t>The Company periodically grants stock options to 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Upon the adoption of ASU No. 2018-07, Compensation-Stock Compensation (“Topic 718”), the Company accounts for stock option grants to non-employees in a similar manner as stock option grants to employees except for the term used in the grant date fair value, therefore no longer requiring a re-measurement at the then-current fair values at each reporting date until the share options have vested. The nonemployee awards that contain a performance condition that affects the quantity or other terms of the award are measured based on the outcome that is probable.</w:t>
      </w:r>
    </w:p>
    <w:p>
      <w:pPr>
        <w:spacing w:after="0" w:line="126"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The stock-based compensation expense is recorded based upon the value derived from the Black-Scholes option pricing model. The assumptions used in the Black-Scholes option pricing model could materially affect compensation expense recorded in future periods.</w:t>
      </w:r>
    </w:p>
    <w:p>
      <w:pPr>
        <w:spacing w:after="0" w:line="161" w:lineRule="exact"/>
        <w:rPr>
          <w:sz w:val="20"/>
          <w:szCs w:val="20"/>
          <w:color w:val="auto"/>
        </w:rPr>
      </w:pPr>
    </w:p>
    <w:p>
      <w:pPr>
        <w:ind w:right="20" w:firstLine="492"/>
        <w:spacing w:after="0" w:line="279" w:lineRule="auto"/>
        <w:rPr>
          <w:sz w:val="20"/>
          <w:szCs w:val="20"/>
          <w:color w:val="auto"/>
        </w:rPr>
      </w:pPr>
      <w:r>
        <w:rPr>
          <w:rFonts w:ascii="Arial" w:cs="Arial" w:eastAsia="Arial" w:hAnsi="Arial"/>
          <w:sz w:val="17"/>
          <w:szCs w:val="17"/>
          <w:color w:val="auto"/>
        </w:rPr>
        <w:t>The Company has in the past issued restricted stock units (RSU) and restricted stock awards (RSA) as part of its share-based compensation programs. The Company measures the compensation cost with respect to RSUs and RSAs issued to employees based upon the estimated fair value of the equity instruments at the date of the grant, which is recognized as an expense over the period during which an employee is required to provide services in exchange for the awards.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RSUs and RSAs is based on the closing price of the Company’s common stock on the grant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492"/>
        <w:spacing w:after="0" w:line="277" w:lineRule="auto"/>
        <w:rPr>
          <w:sz w:val="20"/>
          <w:szCs w:val="20"/>
          <w:color w:val="auto"/>
        </w:rPr>
      </w:pPr>
      <w:r>
        <w:rPr>
          <w:rFonts w:ascii="Arial" w:cs="Arial" w:eastAsia="Arial" w:hAnsi="Arial"/>
          <w:sz w:val="18"/>
          <w:szCs w:val="18"/>
          <w:color w:val="auto"/>
        </w:rPr>
        <w:t>Total stock-based compensation expense related to all of the Company’s stock-based awards was recorded on the statements of operations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r>
      <w:tr>
        <w:trPr>
          <w:trHeight w:val="216"/>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w:t>
            </w:r>
          </w:p>
        </w:tc>
      </w:tr>
      <w:tr>
        <w:trPr>
          <w:trHeight w:val="209"/>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Total stock-based compensation expenses broken down based on each individual instrument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Three Months Ended</w:t>
            </w:r>
          </w:p>
        </w:tc>
      </w:tr>
      <w:tr>
        <w:trPr>
          <w:trHeight w:val="234"/>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Borders>
              <w:bottom w:val="single" w:sz="8" w:color="auto"/>
            </w:tcBorders>
          </w:tcPr>
          <w:p>
            <w:pPr>
              <w:spacing w:after="0"/>
              <w:rPr>
                <w:sz w:val="20"/>
                <w:szCs w:val="20"/>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2019</w:t>
            </w: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5,779</w:t>
            </w:r>
          </w:p>
        </w:tc>
      </w:tr>
      <w:tr>
        <w:trPr>
          <w:trHeight w:val="216"/>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09"/>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9,412</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ind w:right="120" w:firstLine="492"/>
        <w:spacing w:after="0" w:line="296" w:lineRule="auto"/>
        <w:rPr>
          <w:sz w:val="20"/>
          <w:szCs w:val="20"/>
          <w:color w:val="auto"/>
        </w:rPr>
      </w:pPr>
      <w:r>
        <w:rPr>
          <w:rFonts w:ascii="Arial" w:cs="Arial" w:eastAsia="Arial" w:hAnsi="Arial"/>
          <w:sz w:val="16"/>
          <w:szCs w:val="16"/>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185" w:lineRule="exact"/>
        <w:rPr>
          <w:sz w:val="20"/>
          <w:szCs w:val="20"/>
          <w:color w:val="auto"/>
        </w:rPr>
      </w:pPr>
    </w:p>
    <w:p>
      <w:pPr>
        <w:ind w:right="60" w:firstLine="492"/>
        <w:spacing w:after="0" w:line="289" w:lineRule="auto"/>
        <w:rPr>
          <w:sz w:val="20"/>
          <w:szCs w:val="20"/>
          <w:color w:val="auto"/>
        </w:rPr>
      </w:pPr>
      <w:r>
        <w:rPr>
          <w:rFonts w:ascii="Arial" w:cs="Arial" w:eastAsia="Arial" w:hAnsi="Arial"/>
          <w:sz w:val="16"/>
          <w:szCs w:val="16"/>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free-standing derivative financial instruments according to certain criteria. The criteria include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26" w:lineRule="exact"/>
        <w:rPr>
          <w:sz w:val="20"/>
          <w:szCs w:val="20"/>
          <w:color w:val="auto"/>
        </w:rPr>
      </w:pPr>
    </w:p>
    <w:p>
      <w:pPr>
        <w:ind w:right="160" w:firstLine="492"/>
        <w:spacing w:after="0" w:line="263" w:lineRule="auto"/>
        <w:rPr>
          <w:sz w:val="20"/>
          <w:szCs w:val="20"/>
          <w:color w:val="auto"/>
        </w:rPr>
      </w:pPr>
      <w:r>
        <w:rPr>
          <w:rFonts w:ascii="Arial" w:cs="Arial" w:eastAsia="Arial" w:hAnsi="Arial"/>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57" w:lineRule="exact"/>
        <w:rPr>
          <w:sz w:val="20"/>
          <w:szCs w:val="20"/>
          <w:color w:val="auto"/>
        </w:rPr>
      </w:pPr>
    </w:p>
    <w:p>
      <w:pPr>
        <w:ind w:right="460" w:firstLine="492"/>
        <w:spacing w:after="0" w:line="263"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98" w:lineRule="exact"/>
        <w:rPr>
          <w:sz w:val="20"/>
          <w:szCs w:val="20"/>
          <w:color w:val="auto"/>
        </w:rPr>
      </w:pPr>
    </w:p>
    <w:p>
      <w:pPr>
        <w:ind w:right="200" w:firstLine="492"/>
        <w:spacing w:after="0" w:line="296" w:lineRule="auto"/>
        <w:rPr>
          <w:sz w:val="20"/>
          <w:szCs w:val="20"/>
          <w:color w:val="auto"/>
        </w:rPr>
      </w:pPr>
      <w:r>
        <w:rPr>
          <w:rFonts w:ascii="Arial" w:cs="Arial" w:eastAsia="Arial" w:hAnsi="Arial"/>
          <w:sz w:val="16"/>
          <w:szCs w:val="16"/>
          <w:color w:val="auto"/>
        </w:rPr>
        <w:t>In June 2016, the FASB issued ASU 2016-13, Financial Instruments - Credit Losses, and also issued subsequent amendments to the initial guidance, ASU 2018-19, ASU 2019-04, ASU 2019-05, and ASU 2019-11 (collectively, Topic 326), to introduce a new impairment model for recognizing credit losses on financial instruments based on an estimate of current expected credit losses (“CECL”). Under Topic 326, an entity is required to estimate CECL on available-for-sale (“AFS”) debt securities only when the fair value is below the amortized cost of the asset and is no longer based on an impairment being “other-than-temporary”. Topic 326 also</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requires the impairment calculation on an individual security level and requires an entity use present value of cash flows when estimating the CECL. The credit-related losses are required to be recognized through earnings and non-credit related losses are reported in other comprehensive income. In April 2019, the FASB further clarified the scope of Topic 326 and addressed issues related to accrued interest receivable balances, recoveries, variable interest rates and prepayment. Topic 326 will be effective for public entities in fiscal years beginning after December 15, 2019, including interim periods within those fiscal years. The new guidance requires modified retrospective application to all outstanding instruments, with a cumulative effect adjustment recorded to opening retained earnings as of the beginning of the first period in which the guidance becomes effective. The Company adopted this guidance on January 1, 2020, however, the adoption of this new guidance did not have any material impact on its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Computing Arrangements</w:t>
      </w:r>
    </w:p>
    <w:p>
      <w:pPr>
        <w:spacing w:after="0" w:line="198" w:lineRule="exact"/>
        <w:rPr>
          <w:sz w:val="20"/>
          <w:szCs w:val="20"/>
          <w:color w:val="auto"/>
        </w:rPr>
      </w:pPr>
    </w:p>
    <w:p>
      <w:pPr>
        <w:ind w:right="40" w:firstLine="492"/>
        <w:spacing w:after="0" w:line="288"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(ASU 2018-15). The guidance requires a customer in a cloud computing arrangement that is a service contract to follow the internal use software guidance to determine which implementation costs to defer and recognize as an asset. It therefore requires a customer to defer potentially significant implementation costs incurred in a cloud computing arrangement that were often expensed as incurred under the legacy GAAP and recognize them as expense over the term of the hosting arrangement. ASU 2018-15 is effective for fiscal years beginning subsequent to December 15, 2019. The Company adopted this guidance on January 1, 2020. There was no impact on its condensed consolidated balance sheets and statements of operations as of and for the three months ended March 31, 2020, however, the Company believes it will have a material impact on its condensed consolidated balance sheets and statements of operations in 2020 by deferring recognition of costs as it prepares to invest in information technology infrastructure for its commercial manufacturing build-out.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w:t>
      </w:r>
    </w:p>
    <w:p>
      <w:pPr>
        <w:spacing w:after="0" w:line="185" w:lineRule="exact"/>
        <w:rPr>
          <w:sz w:val="20"/>
          <w:szCs w:val="20"/>
          <w:color w:val="auto"/>
        </w:rPr>
      </w:pPr>
    </w:p>
    <w:p>
      <w:pPr>
        <w:ind w:right="200" w:firstLine="492"/>
        <w:spacing w:after="0" w:line="277" w:lineRule="auto"/>
        <w:rPr>
          <w:sz w:val="20"/>
          <w:szCs w:val="20"/>
          <w:color w:val="auto"/>
        </w:rPr>
      </w:pPr>
      <w:r>
        <w:rPr>
          <w:rFonts w:ascii="Arial" w:cs="Arial" w:eastAsia="Arial" w:hAnsi="Arial"/>
          <w:sz w:val="18"/>
          <w:szCs w:val="18"/>
          <w:color w:val="auto"/>
        </w:rPr>
        <w:t>The Company’s management evaluates events that have occurred after the balance sheet date but before the financial statements are issued.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jc w:val="both"/>
        <w:ind w:right="240" w:firstLine="492"/>
        <w:spacing w:after="0" w:line="263" w:lineRule="auto"/>
        <w:rPr>
          <w:sz w:val="20"/>
          <w:szCs w:val="20"/>
          <w:color w:val="auto"/>
        </w:rPr>
      </w:pPr>
      <w:r>
        <w:rPr>
          <w:rFonts w:ascii="Arial" w:cs="Arial" w:eastAsia="Arial" w:hAnsi="Arial"/>
          <w:sz w:val="18"/>
          <w:szCs w:val="18"/>
          <w:color w:val="auto"/>
        </w:rPr>
        <w:t>Certain amounts within the condensed consolidated statements of cash flows and notes to the financial statements for the prior period have been reclassified to conform with the current period presentation. These reclassifications had no impact on the Company's previously reported financial position or cash flows for any of the periods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NOTE 3. CASH EQUIVALENTS AND SHORT-TERM INVESTMENTS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25"/>
        </w:trPr>
        <w:tc>
          <w:tcPr>
            <w:tcW w:w="6680" w:type="dxa"/>
            <w:vAlign w:val="bottom"/>
            <w:gridSpan w:val="3"/>
          </w:tcPr>
          <w:p>
            <w:pPr>
              <w:ind w:left="500"/>
              <w:spacing w:after="0"/>
              <w:rPr>
                <w:sz w:val="20"/>
                <w:szCs w:val="20"/>
                <w:color w:val="auto"/>
              </w:rPr>
            </w:pPr>
            <w:r>
              <w:rPr>
                <w:rFonts w:ascii="Arial" w:cs="Arial" w:eastAsia="Arial" w:hAnsi="Arial"/>
                <w:sz w:val="18"/>
                <w:szCs w:val="18"/>
                <w:color w:val="auto"/>
                <w:w w:val="91"/>
              </w:rPr>
              <w:t>Cash equivalents and short-term investments consist of the following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27"/>
        </w:trPr>
        <w:tc>
          <w:tcPr>
            <w:tcW w:w="10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20" w:type="dxa"/>
            <w:vAlign w:val="bottom"/>
            <w:gridSpan w:val="4"/>
          </w:tcPr>
          <w:p>
            <w:pPr>
              <w:ind w:left="10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000" w:type="dxa"/>
            <w:vAlign w:val="bottom"/>
          </w:tcPr>
          <w:p>
            <w:pPr>
              <w:spacing w:after="0"/>
              <w:rPr>
                <w:sz w:val="20"/>
                <w:szCs w:val="20"/>
                <w:color w:val="auto"/>
              </w:rPr>
            </w:pPr>
          </w:p>
        </w:tc>
        <w:tc>
          <w:tcPr>
            <w:tcW w:w="462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10"/>
        </w:trPr>
        <w:tc>
          <w:tcPr>
            <w:tcW w:w="100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 - Money market funds</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10,049</w:t>
            </w:r>
          </w:p>
        </w:tc>
      </w:tr>
      <w:tr>
        <w:trPr>
          <w:trHeight w:val="210"/>
        </w:trPr>
        <w:tc>
          <w:tcPr>
            <w:tcW w:w="1000" w:type="dxa"/>
            <w:vAlign w:val="bottom"/>
          </w:tcPr>
          <w:p>
            <w:pPr>
              <w:spacing w:after="0"/>
              <w:rPr>
                <w:sz w:val="18"/>
                <w:szCs w:val="18"/>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Cash equivalents total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10,049</w:t>
            </w:r>
          </w:p>
        </w:tc>
      </w:tr>
      <w:tr>
        <w:trPr>
          <w:trHeight w:val="20"/>
        </w:trPr>
        <w:tc>
          <w:tcPr>
            <w:tcW w:w="10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Cash equivalents in the tables above exclude cash demand deposits of $12.6 million and $3.9 million as of March 31, 2020 and December 31, 2019, respectively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80" w:type="dxa"/>
            <w:vAlign w:val="bottom"/>
            <w:gridSpan w:val="3"/>
          </w:tcPr>
          <w:p>
            <w:pPr>
              <w:ind w:left="264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18"/>
                <w:szCs w:val="18"/>
                <w:color w:val="auto"/>
              </w:rPr>
            </w:pP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140" w:type="dxa"/>
            <w:vAlign w:val="bottom"/>
            <w:gridSpan w:val="2"/>
          </w:tcPr>
          <w:p>
            <w:pPr>
              <w:ind w:left="1000"/>
              <w:spacing w:after="0"/>
              <w:rPr>
                <w:sz w:val="20"/>
                <w:szCs w:val="20"/>
                <w:color w:val="auto"/>
              </w:rPr>
            </w:pPr>
            <w:r>
              <w:rPr>
                <w:rFonts w:ascii="Arial" w:cs="Arial" w:eastAsia="Arial" w:hAnsi="Arial"/>
                <w:sz w:val="18"/>
                <w:szCs w:val="18"/>
                <w:color w:val="auto"/>
              </w:rPr>
              <w:t>Short-term Investments</w:t>
            </w:r>
          </w:p>
        </w:tc>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161,512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government agency securities</w:t>
            </w:r>
          </w:p>
        </w:tc>
        <w:tc>
          <w:tcPr>
            <w:tcW w:w="2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Short-term investments total</w:t>
            </w:r>
          </w:p>
        </w:tc>
        <w:tc>
          <w:tcPr>
            <w:tcW w:w="26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193,112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40" w:type="dxa"/>
            <w:vAlign w:val="bottom"/>
            <w:vMerge w:val="restart"/>
          </w:tcPr>
          <w:p>
            <w:pPr>
              <w:jc w:val="right"/>
              <w:ind w:right="1630"/>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The cost and fair value of cash equivalents and short-term investments at March 31, 2020 and December 31, 2019 were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Accretion</w:t>
            </w:r>
          </w:p>
        </w:tc>
        <w:tc>
          <w:tcPr>
            <w:tcW w:w="10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As of March 31, 2020</w:t>
            </w: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20"/>
                <w:szCs w:val="20"/>
                <w:color w:val="auto"/>
              </w:rPr>
            </w:pPr>
          </w:p>
        </w:tc>
        <w:tc>
          <w:tcPr>
            <w:tcW w:w="760" w:type="dxa"/>
            <w:vAlign w:val="bottom"/>
          </w:tcPr>
          <w:p>
            <w:pPr>
              <w:jc w:val="center"/>
              <w:ind w:right="90"/>
              <w:spacing w:after="0"/>
              <w:rPr>
                <w:sz w:val="20"/>
                <w:szCs w:val="20"/>
                <w:color w:val="auto"/>
              </w:rPr>
            </w:pPr>
            <w:r>
              <w:rPr>
                <w:rFonts w:ascii="Arial" w:cs="Arial" w:eastAsia="Arial" w:hAnsi="Arial"/>
                <w:sz w:val="18"/>
                <w:szCs w:val="18"/>
                <w:b w:val="1"/>
                <w:bCs w:val="1"/>
                <w:color w:val="auto"/>
                <w:w w:val="80"/>
              </w:rPr>
              <w:t>Losses</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r>
      <w:tr>
        <w:trPr>
          <w:trHeight w:val="209"/>
        </w:trPr>
        <w:tc>
          <w:tcPr>
            <w:tcW w:w="4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16"/>
        </w:trPr>
        <w:tc>
          <w:tcPr>
            <w:tcW w:w="4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160,708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161,512</w:t>
            </w:r>
          </w:p>
        </w:tc>
      </w:tr>
      <w:tr>
        <w:trPr>
          <w:trHeight w:val="216"/>
        </w:trPr>
        <w:tc>
          <w:tcPr>
            <w:tcW w:w="43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31,600</w:t>
            </w:r>
          </w:p>
        </w:tc>
      </w:tr>
      <w:tr>
        <w:trPr>
          <w:trHeight w:val="209"/>
        </w:trPr>
        <w:tc>
          <w:tcPr>
            <w:tcW w:w="4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192,171</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193,112</w:t>
            </w:r>
          </w:p>
        </w:tc>
      </w:tr>
      <w:tr>
        <w:trPr>
          <w:trHeight w:val="20"/>
        </w:trPr>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Gross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Unrealized</w:t>
            </w: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18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Cost</w:t>
            </w:r>
          </w:p>
        </w:tc>
        <w:tc>
          <w:tcPr>
            <w:tcW w:w="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Accretion</w:t>
            </w:r>
          </w:p>
        </w:tc>
        <w:tc>
          <w:tcPr>
            <w:tcW w:w="180" w:type="dxa"/>
            <w:vAlign w:val="bottom"/>
          </w:tcPr>
          <w:p>
            <w:pPr>
              <w:spacing w:after="0"/>
              <w:rPr>
                <w:sz w:val="20"/>
                <w:szCs w:val="20"/>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Gains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Fair Value</w:t>
            </w:r>
          </w:p>
        </w:tc>
      </w:tr>
      <w:tr>
        <w:trPr>
          <w:trHeight w:val="210"/>
        </w:trPr>
        <w:tc>
          <w:tcPr>
            <w:tcW w:w="4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242,249</w:t>
            </w:r>
          </w:p>
        </w:tc>
      </w:tr>
      <w:tr>
        <w:trPr>
          <w:trHeight w:val="216"/>
        </w:trPr>
        <w:tc>
          <w:tcPr>
            <w:tcW w:w="4400" w:type="dxa"/>
            <w:vAlign w:val="bottom"/>
            <w:gridSpan w:val="2"/>
          </w:tcPr>
          <w:p>
            <w:pPr>
              <w:ind w:left="120"/>
              <w:spacing w:after="0"/>
              <w:rPr>
                <w:sz w:val="20"/>
                <w:szCs w:val="20"/>
                <w:color w:val="auto"/>
              </w:rPr>
            </w:pPr>
            <w:r>
              <w:rPr>
                <w:rFonts w:ascii="Arial" w:cs="Arial" w:eastAsia="Arial" w:hAnsi="Arial"/>
                <w:sz w:val="18"/>
                <w:szCs w:val="18"/>
                <w:color w:val="auto"/>
              </w:rPr>
              <w:t>US government agency securities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50,863</w:t>
            </w:r>
          </w:p>
        </w:tc>
      </w:tr>
      <w:tr>
        <w:trPr>
          <w:trHeight w:val="210"/>
        </w:trPr>
        <w:tc>
          <w:tcPr>
            <w:tcW w:w="440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293,112</w:t>
            </w:r>
          </w:p>
        </w:tc>
      </w:tr>
      <w:tr>
        <w:trPr>
          <w:trHeight w:val="20"/>
        </w:trPr>
        <w:tc>
          <w:tcPr>
            <w:tcW w:w="4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Upon adoption of Topic 326 on January 1, 2020, the Company is required to assess and estimate CECL on AFS debt securities only when the fair value is below the amortized cost of the asset and is no longer based on an impairment being “other-than-temporary”. The credit-related losses are required to be recognized through the statements of operations and non-credit related losses are reported in other comprehensive income. For the three months ended March 31, 2020, no CECL was recognized in the condensed consolidated statement of operations and all unrealized gains and losses are included in accumulated other comprehensive income. All short-term investments held by the Company as of March 31, 2020 and December 31, 2019 have a maturity of less than one year.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
        </w:trPr>
        <w:tc>
          <w:tcPr>
            <w:tcW w:w="36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26"/>
        </w:trPr>
        <w:tc>
          <w:tcPr>
            <w:tcW w:w="7520" w:type="dxa"/>
            <w:vAlign w:val="bottom"/>
            <w:gridSpan w:val="2"/>
          </w:tcPr>
          <w:p>
            <w:pPr>
              <w:ind w:left="500"/>
              <w:spacing w:after="0"/>
              <w:rPr>
                <w:sz w:val="20"/>
                <w:szCs w:val="20"/>
                <w:color w:val="auto"/>
              </w:rPr>
            </w:pPr>
            <w:r>
              <w:rPr>
                <w:rFonts w:ascii="Arial" w:cs="Arial" w:eastAsia="Arial" w:hAnsi="Arial"/>
                <w:sz w:val="18"/>
                <w:szCs w:val="18"/>
                <w:color w:val="auto"/>
              </w:rPr>
              <w:t>Accrued liabilities consist of the following (in thousands):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7"/>
        </w:trPr>
        <w:tc>
          <w:tcPr>
            <w:tcW w:w="36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600" w:type="dxa"/>
            <w:vAlign w:val="bottom"/>
            <w:tcBorders>
              <w:bottom w:val="single" w:sz="8" w:color="CCEEFF"/>
            </w:tcBorders>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Accrued payroll and employee related expenses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related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Commercial manufacturing facility related</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and related services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16"/>
        </w:trPr>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r>
      <w:tr>
        <w:trPr>
          <w:trHeight w:val="210"/>
        </w:trPr>
        <w:tc>
          <w:tcPr>
            <w:tcW w:w="3600" w:type="dxa"/>
            <w:vAlign w:val="bottom"/>
            <w:tcBorders>
              <w:bottom w:val="single" w:sz="8" w:color="CCEEFF"/>
            </w:tcBorders>
            <w:shd w:val="clear" w:color="auto" w:fill="CCEEFF"/>
          </w:tcPr>
          <w:p>
            <w:pPr>
              <w:spacing w:after="0"/>
              <w:rPr>
                <w:sz w:val="18"/>
                <w:szCs w:val="18"/>
                <w:color w:val="auto"/>
              </w:rPr>
            </w:pPr>
          </w:p>
        </w:tc>
        <w:tc>
          <w:tcPr>
            <w:tcW w:w="3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w:t>
            </w:r>
          </w:p>
        </w:tc>
      </w:tr>
      <w:tr>
        <w:trPr>
          <w:trHeight w:val="20"/>
        </w:trPr>
        <w:tc>
          <w:tcPr>
            <w:tcW w:w="36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 Offerings</w:t>
      </w:r>
    </w:p>
    <w:p>
      <w:pPr>
        <w:spacing w:after="0" w:line="185" w:lineRule="exact"/>
        <w:rPr>
          <w:sz w:val="20"/>
          <w:szCs w:val="20"/>
          <w:color w:val="auto"/>
        </w:rPr>
      </w:pPr>
    </w:p>
    <w:p>
      <w:pPr>
        <w:ind w:right="20" w:firstLine="492"/>
        <w:spacing w:after="0" w:line="275" w:lineRule="auto"/>
        <w:rPr>
          <w:sz w:val="20"/>
          <w:szCs w:val="20"/>
          <w:color w:val="auto"/>
        </w:rPr>
      </w:pPr>
      <w:r>
        <w:rPr>
          <w:rFonts w:ascii="Arial" w:cs="Arial" w:eastAsia="Arial" w:hAnsi="Arial"/>
          <w:sz w:val="17"/>
          <w:szCs w:val="17"/>
          <w:color w:val="auto"/>
        </w:rPr>
        <w:t>In January 2018, the Company closed an underwritten public offering of 15,000,000 shares of the Company’s common stock at a public offering price of $11.50 per share, before underwriting discounts, which included 1,956,521 shares issued upon the exercise in full by the underwriter of its option to purchase additional shares at the public offering price less the underwriting discount. The gross proceeds from the offering, before deducting the underwriting discounts and commissions and other offering expenses payable by the Company, were $172.5 million, with net proceeds to the Company of $162.0 million.</w:t>
      </w:r>
    </w:p>
    <w:p>
      <w:pPr>
        <w:spacing w:after="0" w:line="149" w:lineRule="exact"/>
        <w:rPr>
          <w:sz w:val="20"/>
          <w:szCs w:val="20"/>
          <w:color w:val="auto"/>
        </w:rPr>
      </w:pPr>
    </w:p>
    <w:p>
      <w:pPr>
        <w:ind w:right="220" w:firstLine="492"/>
        <w:spacing w:after="0" w:line="296" w:lineRule="auto"/>
        <w:rPr>
          <w:sz w:val="20"/>
          <w:szCs w:val="20"/>
          <w:color w:val="auto"/>
        </w:rPr>
      </w:pPr>
      <w:r>
        <w:rPr>
          <w:rFonts w:ascii="Arial" w:cs="Arial" w:eastAsia="Arial" w:hAnsi="Arial"/>
          <w:sz w:val="16"/>
          <w:szCs w:val="16"/>
          <w:color w:val="auto"/>
        </w:rPr>
        <w:t>On October 17, 2018, the Company completed an underwritten public offering of 25,300,000 shares of the Company’s common stock at a public offering price of $9.97 per share, before underwriting discounts, which included 3,300,000 shares issued upon the exercise in full by the underwriter of its option to purchase additional shares at the public offering price less the underwriting discount. The gross proceeds from the offering, before deducting the underwriting discounts and commissions and other estimated offering expenses payable by the Company, were $252.2 million, with net proceeds to the Company of $236.7 million.</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On June 10, 2019, the certificate of incorporation of the Company was amended to increase the number of authorized shares of the Company’s common stock, par value $0.000041666, from 150,000,000 shares to 300,000,000 shares (the “Certificate of Amendment”). The Certificate of Amendment was approved by the Company’s stockholders at the Company’s 2019 Annual Meeting of Stockholders held on June 10,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198" w:lineRule="exact"/>
        <w:rPr>
          <w:sz w:val="20"/>
          <w:szCs w:val="20"/>
          <w:color w:val="auto"/>
        </w:rPr>
      </w:pPr>
    </w:p>
    <w:p>
      <w:pPr>
        <w:ind w:right="40" w:firstLine="492"/>
        <w:spacing w:after="0" w:line="286" w:lineRule="auto"/>
        <w:rPr>
          <w:sz w:val="20"/>
          <w:szCs w:val="20"/>
          <w:color w:val="auto"/>
        </w:rPr>
      </w:pPr>
      <w:r>
        <w:rPr>
          <w:rFonts w:ascii="Arial" w:cs="Arial" w:eastAsia="Arial" w:hAnsi="Arial"/>
          <w:sz w:val="17"/>
          <w:szCs w:val="17"/>
          <w:color w:val="auto"/>
        </w:rPr>
        <w:t>The Company’s certificate of incorporation authorizes the issuance of up to 50,000,000 shares of “blank check” preferred stock. At March 31, 2020, 17,000 shares were designated as Series A Convertible Preferred Stock (“Series A Convertible Preferred Stock”) and 11,500,000 shares were designated as Series B Convertible Preferred Stock (“Series B Convertible Preferred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185"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A total of 17,000 shares of Series A Convertible Preferred Stock have been authorized for issuance under the Company’s Certificate of Designation of Preferences and Rights of Series A Convertible Preferred Stock. The shares of Series A Convertible Preferred Stock have a stated value of $1,000 per share and are initially convertible into shares of common stock at a price of $2.00 per share, subject to adjustment.</w:t>
      </w:r>
    </w:p>
    <w:p>
      <w:pPr>
        <w:spacing w:after="0" w:line="160"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The Series A Convertible Preferred Stock may, at the option of each investor, be converted into fully paid and non-assessable shares of common stock. The holders of shares of Series A Convertible Preferred Stock do not have the right to vote on matters that come before the Company’s stockholders. In the event of any dissolution or winding up of the Company, proceeds shall be paid pari passu among the holders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Convertible Preferred Stock shall first receive an equal dividend on each outstanding share of Series A Convertible Preferred Stock. The common shares issued were determined on a formula basis of 500 common shares for each share of Series A Convertible Preferred Stock converted.</w:t>
      </w:r>
    </w:p>
    <w:p>
      <w:pPr>
        <w:spacing w:after="0" w:line="125" w:lineRule="exact"/>
        <w:rPr>
          <w:sz w:val="20"/>
          <w:szCs w:val="20"/>
          <w:color w:val="auto"/>
        </w:rPr>
      </w:pPr>
    </w:p>
    <w:p>
      <w:pPr>
        <w:ind w:right="200" w:firstLine="492"/>
        <w:spacing w:after="0" w:line="263" w:lineRule="auto"/>
        <w:rPr>
          <w:sz w:val="20"/>
          <w:szCs w:val="20"/>
          <w:color w:val="auto"/>
        </w:rPr>
      </w:pPr>
      <w:r>
        <w:rPr>
          <w:rFonts w:ascii="Arial" w:cs="Arial" w:eastAsia="Arial" w:hAnsi="Arial"/>
          <w:sz w:val="18"/>
          <w:szCs w:val="18"/>
          <w:color w:val="auto"/>
        </w:rPr>
        <w:t>No Shares of Series A Convertible Preferred Stock were converted during the three months ended March 31, 2020 or 2019. At March 31, 2020 and December 31, 2019, 194 shares of Series A Convertible Preferred Stock (that are convertible into 97,000 shares of common stock) remained outstanding.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Convertible Preferred Stock</w:t>
      </w:r>
    </w:p>
    <w:p>
      <w:pPr>
        <w:spacing w:after="0" w:line="198" w:lineRule="exact"/>
        <w:rPr>
          <w:sz w:val="20"/>
          <w:szCs w:val="20"/>
          <w:color w:val="auto"/>
        </w:rPr>
      </w:pPr>
    </w:p>
    <w:p>
      <w:pPr>
        <w:ind w:right="80" w:firstLine="492"/>
        <w:spacing w:after="0" w:line="259" w:lineRule="auto"/>
        <w:rPr>
          <w:sz w:val="20"/>
          <w:szCs w:val="20"/>
          <w:color w:val="auto"/>
        </w:rPr>
      </w:pPr>
      <w:r>
        <w:rPr>
          <w:rFonts w:ascii="Arial" w:cs="Arial" w:eastAsia="Arial" w:hAnsi="Arial"/>
          <w:sz w:val="18"/>
          <w:szCs w:val="18"/>
          <w:color w:val="auto"/>
        </w:rPr>
        <w:t>A total of 11,500,000 shares of Series B Convertible Preferred Stock are authorized for issuance under the Company’s Series B Certificate of Designation of Rights, Preferences and Privileges of Series B Convertible Preferred Stock. The shares of Series B Convertible Preferred Stock have a stated value of $4.75 per share and are convertible into shares of the Company’s common stock at an initial conversion price of $4.75 per share.</w:t>
      </w:r>
    </w:p>
    <w:p>
      <w:pPr>
        <w:spacing w:after="0" w:line="146" w:lineRule="exact"/>
        <w:rPr>
          <w:sz w:val="20"/>
          <w:szCs w:val="20"/>
          <w:color w:val="auto"/>
        </w:rPr>
      </w:pPr>
    </w:p>
    <w:p>
      <w:pPr>
        <w:ind w:right="140" w:firstLine="492"/>
        <w:spacing w:after="0" w:line="279" w:lineRule="auto"/>
        <w:rPr>
          <w:sz w:val="20"/>
          <w:szCs w:val="20"/>
          <w:color w:val="auto"/>
        </w:rPr>
      </w:pPr>
      <w:r>
        <w:rPr>
          <w:rFonts w:ascii="Arial" w:cs="Arial" w:eastAsia="Arial" w:hAnsi="Arial"/>
          <w:sz w:val="17"/>
          <w:szCs w:val="17"/>
          <w:color w:val="auto"/>
        </w:rPr>
        <w:t>Holders of Series B Convertible Preferred Stock are entitled to dividends on an as-if-converted basis in the same form as any dividends actually paid on shares of the Series A Convertible Preferred Stock or the Company’s common stock. So long as any Series B Convertible Preferred Stock remains outstanding, the Company may not redeem, purchase or otherwise acquire any material amount of the Series A Convertible Preferred Stock or any securities junior to the Series B Convertible Preferred Stock.</w:t>
      </w:r>
    </w:p>
    <w:p>
      <w:pPr>
        <w:spacing w:after="0" w:line="13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No shares of Series B Convertible Preferred Stock were converted during the three months ended March 31, 2020 and 2019. At March 31, 2020 and December 31, 2019, 3,581,119 shares of Series B Preferred Stock (that are convertible into 3,581,119 shares of common stock) remained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Cancellation of Common Shares</w:t>
      </w:r>
    </w:p>
    <w:p>
      <w:pPr>
        <w:spacing w:after="0" w:line="18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On September 30, 2013, Iovance and a third party entered into an agreement under which the Company issued 50,000 shares of unregistered stock in the Company to the third party. On January 16, 2019, the two parties entered into a confidential settlement agreement in connection with a dispute related to their prior relationship and activities. As part of the settlement, the third party returned 32,500 shares of common stock to the Company for cancellation and retained the remaining 17,500 shares. The Company included a gain of $335,000 on cancellation of 32,500 shares in Other income in its condensed consolidated statement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198" w:lineRule="exact"/>
        <w:rPr>
          <w:sz w:val="20"/>
          <w:szCs w:val="20"/>
          <w:color w:val="auto"/>
        </w:rPr>
      </w:pPr>
    </w:p>
    <w:p>
      <w:pPr>
        <w:ind w:right="20" w:firstLine="492"/>
        <w:spacing w:after="0" w:line="287" w:lineRule="auto"/>
        <w:rPr>
          <w:sz w:val="20"/>
          <w:szCs w:val="20"/>
          <w:color w:val="auto"/>
        </w:rPr>
      </w:pPr>
      <w:r>
        <w:rPr>
          <w:rFonts w:ascii="Arial" w:cs="Arial" w:eastAsia="Arial" w:hAnsi="Arial"/>
          <w:sz w:val="16"/>
          <w:szCs w:val="16"/>
          <w:color w:val="auto"/>
        </w:rPr>
        <w:t>On October 14, 2011, the Company adopted the 2011 Equity Incentive Plan (the “2011 Plan”). Employees, directors, consultants and advisors of the Company are eligible to participate in the 2011 Plan. The 2011 Plan initially had 180,000 shares of common stock reserved for issuance in the form of incentive stock options, non-qualified options, common stock, and grant appreciation rights. The 2011 Plan was not approved by the Company’s stockholders within the required one-year period following its adoption and, accordingly, no incentive stock options can be granted under that plan. In August 2013, the Company’s Board of Directors and a majority of the Company’s stockholders approved an amendment to increase the number of shares available under the 2011 Plan from 180,000 shares to 1,700,000 shares, and an amendment to increase the number options or other awards that can be granted to any one person during a twelve (12) month period from 50,000 shares to 300,000 shares. The foregoing amendment to the 2011 Plan became effective in September 2013. On August 20, 2014, the Company’s Board of Directors amended the 2011 Plan to increase the number of shares available for issuance upon the exercise of stock options under the 2011 Plan from 1,700,000 to 1,900,000 shares, effective immediately. At March 31, 2020, 151,240 shares were available for future grant under the 2011 Plan.</w:t>
      </w:r>
    </w:p>
    <w:p>
      <w:pPr>
        <w:spacing w:after="0" w:line="131" w:lineRule="exact"/>
        <w:rPr>
          <w:sz w:val="20"/>
          <w:szCs w:val="20"/>
          <w:color w:val="auto"/>
        </w:rPr>
      </w:pPr>
    </w:p>
    <w:p>
      <w:pPr>
        <w:jc w:val="both"/>
        <w:ind w:firstLine="492"/>
        <w:spacing w:after="0" w:line="293" w:lineRule="auto"/>
        <w:rPr>
          <w:sz w:val="20"/>
          <w:szCs w:val="20"/>
          <w:color w:val="auto"/>
        </w:rPr>
      </w:pPr>
      <w:r>
        <w:rPr>
          <w:rFonts w:ascii="Arial" w:cs="Arial" w:eastAsia="Arial" w:hAnsi="Arial"/>
          <w:sz w:val="16"/>
          <w:szCs w:val="16"/>
          <w:color w:val="auto"/>
        </w:rPr>
        <w:t>On September 19, 2014, the Company’s Board of Directors adopted the Iovance Biotherapeutics, Inc. 2014 Equity Incentive Plan (the “2014 Plan”). The 2014 Plan was approved by the Company’s stockholders at the Company’s 2014 Annual Meeting of Stockholders held in November 2014. The 2014 Plan, as approved by the stockholders, authorized the issuance up to an aggregate of 2,350,000 shares of the Company’s common stock. On April 10, 2015, the Board amended the 2014 Plan to increase the total number of shares that can be issued under the 2014 Plan to 4,000,000 shares of the Company’s common stock. The increase in shares available for issuance under the 2014 Plan was approved by the Company’s stockholders at the Company’s 2015 Annual Meeting of Stockholders in June 2015.</w:t>
      </w:r>
    </w:p>
    <w:p>
      <w:pPr>
        <w:spacing w:after="0" w:line="124" w:lineRule="exact"/>
        <w:rPr>
          <w:sz w:val="20"/>
          <w:szCs w:val="20"/>
          <w:color w:val="auto"/>
        </w:rPr>
      </w:pPr>
    </w:p>
    <w:p>
      <w:pPr>
        <w:ind w:right="100" w:firstLine="492"/>
        <w:spacing w:after="0" w:line="263" w:lineRule="auto"/>
        <w:rPr>
          <w:sz w:val="20"/>
          <w:szCs w:val="20"/>
          <w:color w:val="auto"/>
        </w:rPr>
      </w:pPr>
      <w:r>
        <w:rPr>
          <w:rFonts w:ascii="Arial" w:cs="Arial" w:eastAsia="Arial" w:hAnsi="Arial"/>
          <w:sz w:val="18"/>
          <w:szCs w:val="18"/>
          <w:color w:val="auto"/>
        </w:rPr>
        <w:t>On August 16, 2016, the Company’s stockholders approved an increase in the total number of shares that can be issued under the 2014 Plan to 9,000,000 shares of the Company’s common stock. At March 31, 2020, 89,408 shares were available for grant under the Company’s 2014 Plan.</w:t>
      </w:r>
    </w:p>
    <w:p>
      <w:pPr>
        <w:spacing w:after="0" w:line="157"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On April 22, 2018, the Board of Directors adopted the Iovance Biotherapeutics, Inc. 2018 Equity Incentive Plan (the “2018 Plan”). The 2018 Plan was approved by the Company’s stockholders at the annual meeting of stockholders held in June 2018. The 2018 Plan as approved by the stockholders authorized the issuance up to an aggregate of 6,000,000 shares of common stock reserved for issuance in the form of incentive (qualified) stock options, non-qualified options, common stock, stock appreciation rights, restricted stock awards, restricted stock units, other stock-based awards, other cash-based awards or any combination of the foregoing. At March 31, 2020, 336,222 shares of common stock were available for grant under the Company’s 2018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June 1, 2016, the Company entered into a restricted stock unit agreement with the Company’s new Chief Executive Officer,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Maria Fardis, Ph.D., pursuant to which the Company granted Dr. Fardis 550,000 non-transferrable restricted stock units at fair market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value of $5.87 per share as an inducement of employment pursuant to the exception to The Nasdaq Global Market rules that generally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 stockholder approval of equity incentive plans. The 550,000 restricted stock units vest in installments as follows: (i) 137,500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units vested upon the first anniversary of the effective date of Dr. Fardis’ employment agreement; (ii) 275,000 restricted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units vest upon the satisfaction of certain clinical trial milestones; and (iii) 137,500 restricted stock units vest in equal monthly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installments over the 36-month period following the first anniversary of the effective date of Dr. Fardis’ employment, provided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Dr. Fardis has been continuously employed with the Company as of such vesting dates. At March 31, 2020, 11,458 restricted stock units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remained unvested.</w:t>
      </w:r>
    </w:p>
    <w:p>
      <w:pPr>
        <w:spacing w:after="0" w:line="184" w:lineRule="exact"/>
        <w:rPr>
          <w:sz w:val="20"/>
          <w:szCs w:val="20"/>
          <w:color w:val="auto"/>
        </w:rPr>
      </w:pPr>
    </w:p>
    <w:p>
      <w:pPr>
        <w:ind w:right="440" w:firstLine="492"/>
        <w:spacing w:after="0" w:line="259" w:lineRule="auto"/>
        <w:rPr>
          <w:sz w:val="20"/>
          <w:szCs w:val="20"/>
          <w:color w:val="auto"/>
        </w:rPr>
      </w:pPr>
      <w:r>
        <w:rPr>
          <w:rFonts w:ascii="Arial" w:cs="Arial" w:eastAsia="Arial" w:hAnsi="Arial"/>
          <w:sz w:val="18"/>
          <w:szCs w:val="18"/>
          <w:color w:val="auto"/>
        </w:rPr>
        <w:t>Stock-based compensation expense for restricted stock units are measured based on the closing fair market value of the Company’s common stock on the date of grant. The stock-based compensation expenses relating to restricted stock units were $0.1 million and $0.1 million for the three months ended March 31, 2020 and 2019, respectively, recorded as part of general and administrative expenses.</w:t>
      </w:r>
    </w:p>
    <w:p>
      <w:pPr>
        <w:spacing w:after="0" w:line="146" w:lineRule="exact"/>
        <w:rPr>
          <w:sz w:val="20"/>
          <w:szCs w:val="20"/>
          <w:color w:val="auto"/>
        </w:rPr>
      </w:pPr>
    </w:p>
    <w:p>
      <w:pPr>
        <w:ind w:right="220" w:firstLine="492"/>
        <w:spacing w:after="0" w:line="277" w:lineRule="auto"/>
        <w:rPr>
          <w:sz w:val="20"/>
          <w:szCs w:val="20"/>
          <w:color w:val="auto"/>
        </w:rPr>
      </w:pPr>
      <w:r>
        <w:rPr>
          <w:rFonts w:ascii="Arial" w:cs="Arial" w:eastAsia="Arial" w:hAnsi="Arial"/>
          <w:sz w:val="18"/>
          <w:szCs w:val="18"/>
          <w:color w:val="auto"/>
        </w:rPr>
        <w:t>As of March 31, 2020, $0.04 million of total unrecognized compensation costs related to non-vested restricted stock units to be recognized over a weighted average period of 0.17 years.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A summary of the status of stock options at March 31, 2020, and the changes during the three months then ended, is presented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gridSpan w:val="4"/>
          </w:tcPr>
          <w:p>
            <w:pPr>
              <w:ind w:left="180"/>
              <w:spacing w:after="0"/>
              <w:rPr>
                <w:sz w:val="20"/>
                <w:szCs w:val="20"/>
                <w:color w:val="auto"/>
              </w:rPr>
            </w:pPr>
            <w:r>
              <w:rPr>
                <w:rFonts w:ascii="Arial" w:cs="Arial" w:eastAsia="Arial" w:hAnsi="Arial"/>
                <w:sz w:val="18"/>
                <w:szCs w:val="18"/>
                <w:b w:val="1"/>
                <w:bCs w:val="1"/>
                <w:color w:val="auto"/>
              </w:rPr>
              <w:t>Weighted</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38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Intrinsic</w:t>
            </w:r>
          </w:p>
        </w:tc>
      </w:tr>
      <w:tr>
        <w:trPr>
          <w:trHeight w:val="216"/>
        </w:trPr>
        <w:tc>
          <w:tcPr>
            <w:tcW w:w="38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8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Exercise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Value (in</w:t>
            </w:r>
          </w:p>
        </w:tc>
      </w:tr>
      <w:tr>
        <w:trPr>
          <w:trHeight w:val="234"/>
        </w:trPr>
        <w:tc>
          <w:tcPr>
            <w:tcW w:w="38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 Life</w:t>
            </w:r>
          </w:p>
        </w:tc>
        <w:tc>
          <w:tcPr>
            <w:tcW w:w="104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6"/>
              </w:rPr>
              <w:t>thousands)</w:t>
            </w:r>
          </w:p>
        </w:tc>
      </w:tr>
      <w:tr>
        <w:trPr>
          <w:trHeight w:val="209"/>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9,494,712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3,276,351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(230,089)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9"/>
        </w:trPr>
        <w:tc>
          <w:tcPr>
            <w:tcW w:w="3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March 31,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12,136,899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176,592</w:t>
            </w:r>
          </w:p>
        </w:tc>
      </w:tr>
      <w:tr>
        <w:trPr>
          <w:trHeight w:val="20"/>
        </w:trPr>
        <w:tc>
          <w:tcPr>
            <w:tcW w:w="3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3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3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exercisable at March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5,256,772</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104,569</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92"/>
        <w:spacing w:after="0" w:line="263" w:lineRule="auto"/>
        <w:rPr>
          <w:sz w:val="20"/>
          <w:szCs w:val="20"/>
          <w:color w:val="auto"/>
        </w:rPr>
      </w:pPr>
      <w:r>
        <w:rPr>
          <w:rFonts w:ascii="Arial" w:cs="Arial" w:eastAsia="Arial" w:hAnsi="Arial"/>
          <w:sz w:val="18"/>
          <w:szCs w:val="18"/>
          <w:color w:val="auto"/>
        </w:rPr>
        <w:t>The Company recorded stock-based compensation expenses related to stock options of $9.3 million and $5.8 million for the three months ended March 31, 2020 and 2019. As of March 31, 2020, there was $81.1 million of total unrecognized compensation expense related to the options to be recognized over a weighted average period of 2.24 years.</w:t>
      </w:r>
    </w:p>
    <w:p>
      <w:pPr>
        <w:spacing w:after="0" w:line="157"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The weighted average grant date fair value for employee options granted under the Company’s stock option plans during the three months ended March 31, 2020 and 2019 was $15.67 and $6.99 per option respectively.</w:t>
      </w:r>
    </w:p>
    <w:p>
      <w:pPr>
        <w:spacing w:after="0" w:line="130"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The aggregate intrinsic value in the table above reflects the total pre-tax intrinsic value (the difference between the Company’s closing stock price on the last trading day of the three months ended March 31, 2020 and the exercise price of the options, multiplied by the number of in-the-money stock options) that would have been received by the option holders had all option holders exercised their options on March 31, 2020. The intrinsic value of the Company’s stock options changes based on the closing price of the Company’s common stock.</w:t>
      </w:r>
    </w:p>
    <w:p>
      <w:pPr>
        <w:spacing w:after="0" w:line="188" w:lineRule="exact"/>
        <w:rPr>
          <w:sz w:val="20"/>
          <w:szCs w:val="20"/>
          <w:color w:val="auto"/>
        </w:rPr>
      </w:pPr>
    </w:p>
    <w:p>
      <w:pPr>
        <w:ind w:right="40" w:firstLine="492"/>
        <w:spacing w:after="0" w:line="277" w:lineRule="auto"/>
        <w:rPr>
          <w:sz w:val="20"/>
          <w:szCs w:val="20"/>
          <w:color w:val="auto"/>
        </w:rPr>
      </w:pPr>
      <w:r>
        <w:rPr>
          <w:rFonts w:ascii="Arial" w:cs="Arial" w:eastAsia="Arial" w:hAnsi="Arial"/>
          <w:sz w:val="18"/>
          <w:szCs w:val="18"/>
          <w:color w:val="auto"/>
        </w:rPr>
        <w:t>The following table summarizes the assumptions relating to options granted pursuant to the Company’s equity incentive plans for the three months ended March 31, 2020 and 2019:</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5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34"/>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Assumptions: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6.06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69.99%</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70.78%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1.83%</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2.59%</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Expected Dividend Yield —The Company has never paid dividends and does not expect to pay dividends in the foreseeable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170"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color w:val="auto"/>
        </w:rPr>
        <w:t>Risk-Free Interest Rate —The risk-free interest rate was based on the market yield currently available on United States Treasury securities with maturities approximately equal to the option’s expected term.</w:t>
      </w:r>
    </w:p>
    <w:p>
      <w:pPr>
        <w:spacing w:after="0" w:line="143" w:lineRule="exact"/>
        <w:rPr>
          <w:sz w:val="20"/>
          <w:szCs w:val="20"/>
          <w:color w:val="auto"/>
        </w:rPr>
      </w:pPr>
    </w:p>
    <w:p>
      <w:pPr>
        <w:ind w:right="260" w:firstLine="492"/>
        <w:spacing w:after="0" w:line="277" w:lineRule="auto"/>
        <w:rPr>
          <w:sz w:val="20"/>
          <w:szCs w:val="20"/>
          <w:color w:val="auto"/>
        </w:rPr>
      </w:pPr>
      <w:r>
        <w:rPr>
          <w:rFonts w:ascii="Arial" w:cs="Arial" w:eastAsia="Arial" w:hAnsi="Arial"/>
          <w:sz w:val="18"/>
          <w:szCs w:val="18"/>
          <w:color w:val="auto"/>
        </w:rPr>
        <w:t>Expected Term —The expected term of the stock option grants was calculated based on historical exercises, cancellations, and forfeitures of stock options and outstanding option shares</w:t>
      </w:r>
    </w:p>
    <w:p>
      <w:pPr>
        <w:spacing w:after="0" w:line="130" w:lineRule="exact"/>
        <w:rPr>
          <w:sz w:val="20"/>
          <w:szCs w:val="20"/>
          <w:color w:val="auto"/>
        </w:rPr>
      </w:pPr>
    </w:p>
    <w:p>
      <w:pPr>
        <w:ind w:right="160" w:firstLine="492"/>
        <w:spacing w:after="0" w:line="277" w:lineRule="auto"/>
        <w:rPr>
          <w:sz w:val="20"/>
          <w:szCs w:val="20"/>
          <w:color w:val="auto"/>
        </w:rPr>
      </w:pPr>
      <w:r>
        <w:rPr>
          <w:rFonts w:ascii="Arial" w:cs="Arial" w:eastAsia="Arial" w:hAnsi="Arial"/>
          <w:sz w:val="18"/>
          <w:szCs w:val="18"/>
          <w:color w:val="auto"/>
        </w:rPr>
        <w:t>Expected Volatility —The expected volatility is based on the historical volatility for the Company’s stock over a period equal to the expected terms of the options.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Forfeiture Rate —The Company recognizes forfeitures as they occur.</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of the inputs discussed above is subjective and generally requires significant management judgment.</w:t>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LICENSES AND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185" w:lineRule="exact"/>
        <w:rPr>
          <w:sz w:val="20"/>
          <w:szCs w:val="20"/>
          <w:color w:val="auto"/>
        </w:rPr>
      </w:pPr>
    </w:p>
    <w:p>
      <w:pPr>
        <w:ind w:right="200" w:firstLine="492"/>
        <w:spacing w:after="0" w:line="342" w:lineRule="auto"/>
        <w:rPr>
          <w:sz w:val="20"/>
          <w:szCs w:val="20"/>
          <w:color w:val="auto"/>
        </w:rPr>
      </w:pPr>
      <w:r>
        <w:rPr>
          <w:rFonts w:ascii="Arial" w:cs="Arial" w:eastAsia="Arial" w:hAnsi="Arial"/>
          <w:sz w:val="16"/>
          <w:szCs w:val="16"/>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83" w:lineRule="exact"/>
        <w:rPr>
          <w:sz w:val="20"/>
          <w:szCs w:val="20"/>
          <w:color w:val="auto"/>
        </w:rPr>
      </w:pPr>
    </w:p>
    <w:p>
      <w:pPr>
        <w:ind w:right="140" w:firstLine="492"/>
        <w:spacing w:after="0" w:line="263" w:lineRule="auto"/>
        <w:rPr>
          <w:sz w:val="20"/>
          <w:szCs w:val="20"/>
          <w:color w:val="auto"/>
        </w:rPr>
      </w:pPr>
      <w:r>
        <w:rPr>
          <w:rFonts w:ascii="Arial" w:cs="Arial" w:eastAsia="Arial" w:hAnsi="Arial"/>
          <w:sz w:val="18"/>
          <w:szCs w:val="18"/>
          <w:color w:val="auto"/>
        </w:rPr>
        <w:t>In January 2015, the Company executed an amendment to the CRADA to include four new indications. As amended, in addition to metastatic melanoma, the CRADA included the development of TIL therapy for the treatment of patients with bladder, lung, triple-negative breast, and Human Papilloma Virus (“HPV”)-associated cancers.</w:t>
      </w:r>
    </w:p>
    <w:p>
      <w:pPr>
        <w:spacing w:after="0" w:line="157"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52" w:lineRule="exact"/>
        <w:rPr>
          <w:sz w:val="20"/>
          <w:szCs w:val="20"/>
          <w:color w:val="auto"/>
        </w:rPr>
      </w:pPr>
    </w:p>
    <w:p>
      <w:pPr>
        <w:ind w:firstLine="492"/>
        <w:spacing w:after="0" w:line="290" w:lineRule="auto"/>
        <w:rPr>
          <w:sz w:val="20"/>
          <w:szCs w:val="20"/>
          <w:color w:val="auto"/>
        </w:rPr>
      </w:pPr>
      <w:r>
        <w:rPr>
          <w:rFonts w:ascii="Arial" w:cs="Arial" w:eastAsia="Arial" w:hAnsi="Arial"/>
          <w:sz w:val="16"/>
          <w:szCs w:val="16"/>
          <w:color w:val="auto"/>
        </w:rPr>
        <w:t>Pursuant to the terms of the CRADA, as amended, the Company is required to make quarterly payments of $0.5 million to the NCI for support of research activities. To the extent the Company licenses patent rights relating to a TIL-based product candidate, the Company will be responsible for all patent-related expenses and fees, past and future, relating to the TIL-based product candidate. In addition, the Company may be required to supply certain test articles, including TIL, grown and processed under cGMP conditions, suitable for use in clinical trials, where the Company holds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for the three months ended March 31, 2020 and 2019 as research and development expenses.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198" w:lineRule="exact"/>
        <w:rPr>
          <w:sz w:val="20"/>
          <w:szCs w:val="20"/>
          <w:color w:val="auto"/>
        </w:rPr>
      </w:pPr>
    </w:p>
    <w:p>
      <w:pPr>
        <w:ind w:right="120" w:firstLine="492"/>
        <w:spacing w:after="0" w:line="269" w:lineRule="auto"/>
        <w:rPr>
          <w:sz w:val="20"/>
          <w:szCs w:val="20"/>
          <w:color w:val="auto"/>
        </w:rPr>
      </w:pPr>
      <w:r>
        <w:rPr>
          <w:rFonts w:ascii="Arial" w:cs="Arial" w:eastAsia="Arial" w:hAnsi="Arial"/>
          <w:sz w:val="17"/>
          <w:szCs w:val="17"/>
          <w:color w:val="auto"/>
        </w:rPr>
        <w:t>Effective October 5, 2011, the Company entered into an Exclusive Patent License Agreement (the “Patent License Agreement”) with the NIH, an agency of the United States Public Health Service within the Department of Health and Human Services (NIH), which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 The Company anticipates to pay a milestone payment in conjunction with the submission of Biologics License Application.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185" w:lineRule="exact"/>
        <w:rPr>
          <w:sz w:val="20"/>
          <w:szCs w:val="20"/>
          <w:color w:val="auto"/>
        </w:rPr>
      </w:pPr>
    </w:p>
    <w:p>
      <w:pPr>
        <w:ind w:right="20" w:firstLine="492"/>
        <w:spacing w:after="0" w:line="257" w:lineRule="auto"/>
        <w:rPr>
          <w:sz w:val="20"/>
          <w:szCs w:val="20"/>
          <w:color w:val="auto"/>
        </w:rPr>
      </w:pPr>
      <w:r>
        <w:rPr>
          <w:rFonts w:ascii="Arial" w:cs="Arial" w:eastAsia="Arial" w:hAnsi="Arial"/>
          <w:sz w:val="18"/>
          <w:szCs w:val="18"/>
          <w:color w:val="auto"/>
        </w:rPr>
        <w:t>On February 10, 2015, the Company entered into an exclusive patent license agreement (the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 cell populations that express various inhibitory receptors. Unless terminated sooner, the license shall remain in effect until the last licensed patent right expires.</w:t>
      </w:r>
    </w:p>
    <w:p>
      <w:pPr>
        <w:spacing w:after="0" w:line="161" w:lineRule="exact"/>
        <w:rPr>
          <w:sz w:val="20"/>
          <w:szCs w:val="20"/>
          <w:color w:val="auto"/>
        </w:rPr>
      </w:pPr>
    </w:p>
    <w:p>
      <w:pPr>
        <w:ind w:right="20" w:firstLine="492"/>
        <w:spacing w:after="0" w:line="255" w:lineRule="auto"/>
        <w:rPr>
          <w:sz w:val="20"/>
          <w:szCs w:val="20"/>
          <w:color w:val="auto"/>
        </w:rPr>
      </w:pPr>
      <w:r>
        <w:rPr>
          <w:rFonts w:ascii="Arial" w:cs="Arial" w:eastAsia="Arial" w:hAnsi="Arial"/>
          <w:sz w:val="18"/>
          <w:szCs w:val="18"/>
          <w:color w:val="auto"/>
        </w:rPr>
        <w:t>Under the Exclusive Patent License Agreement, the Company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and Clinical Grant Agreements with Moffitt</w:t>
      </w:r>
    </w:p>
    <w:p>
      <w:pPr>
        <w:spacing w:after="0" w:line="198" w:lineRule="exact"/>
        <w:rPr>
          <w:sz w:val="20"/>
          <w:szCs w:val="20"/>
          <w:color w:val="auto"/>
        </w:rPr>
      </w:pPr>
    </w:p>
    <w:p>
      <w:pPr>
        <w:ind w:firstLine="492"/>
        <w:spacing w:after="0" w:line="270" w:lineRule="auto"/>
        <w:rPr>
          <w:sz w:val="20"/>
          <w:szCs w:val="20"/>
          <w:color w:val="auto"/>
        </w:rPr>
      </w:pPr>
      <w:r>
        <w:rPr>
          <w:rFonts w:ascii="Arial" w:cs="Arial" w:eastAsia="Arial" w:hAnsi="Arial"/>
          <w:sz w:val="17"/>
          <w:szCs w:val="17"/>
          <w:color w:val="auto"/>
        </w:rPr>
        <w:t>In December 2016, the Company entered into a new three-year Sponsored Research Agreement with H. Lee Moffitt Cancer Center (“Moffitt”). At the same time, the Company entered into a clinical grant agreement with Moffitt to support an ongoing clinical trial at Moffitt that combines TIL therapy with nivolumab for the treatment of patients with metastatic melanoma. In June 2017, the Company entered into a second clinical grant agreement with Moffitt to support a new clinical trial at Moffitt that combines TIL therapy with nivolumab for the treatment of patients with non-small cell lung cancer, under which the Company obtained a non-exclusive, royalty-free license to any new Moffitt inventions made in the performance of the agreement. Under both clinical grant agreements with Moffit, the Company has non-exclusive rights to clinical data arising from the respective clinical trials. The Company recorded research and development costs of $0.2 million and $0.3 million for the three months ended March 31, 2020 and 2019, respectively, in connection with the research collaboration and clinical grant agreements with Moffitt.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Agreements with Moffitt</w:t>
      </w:r>
    </w:p>
    <w:p>
      <w:pPr>
        <w:spacing w:after="0" w:line="185" w:lineRule="exact"/>
        <w:rPr>
          <w:sz w:val="20"/>
          <w:szCs w:val="20"/>
          <w:color w:val="auto"/>
        </w:rPr>
      </w:pPr>
    </w:p>
    <w:p>
      <w:pPr>
        <w:ind w:right="140" w:firstLine="492"/>
        <w:spacing w:after="0" w:line="301" w:lineRule="auto"/>
        <w:rPr>
          <w:sz w:val="20"/>
          <w:szCs w:val="20"/>
          <w:color w:val="auto"/>
        </w:rPr>
      </w:pPr>
      <w:r>
        <w:rPr>
          <w:rFonts w:ascii="Arial" w:cs="Arial" w:eastAsia="Arial" w:hAnsi="Arial"/>
          <w:sz w:val="16"/>
          <w:szCs w:val="16"/>
          <w:color w:val="auto"/>
        </w:rPr>
        <w:t>The Company entered into a license agreement with Moffitt (the “First Moffitt License”), effective as of June 28, 2014, under which the Company received a world-wide license to Moffitt’s rights to patent-pending technologies related to methods for improving TIL for adoptive cell therapy using toll-like receptor agonists. Unless earlier terminated, the term of the license extends until the earlier of the expiration of the last issued patent related to the licensed technology or 20 years after the effective date of the license agreement.</w:t>
      </w:r>
    </w:p>
    <w:p>
      <w:pPr>
        <w:spacing w:after="0" w:line="130" w:lineRule="exact"/>
        <w:rPr>
          <w:sz w:val="20"/>
          <w:szCs w:val="20"/>
          <w:color w:val="auto"/>
        </w:rPr>
      </w:pPr>
    </w:p>
    <w:p>
      <w:pPr>
        <w:ind w:right="40" w:firstLine="492"/>
        <w:spacing w:after="0" w:line="253" w:lineRule="auto"/>
        <w:rPr>
          <w:sz w:val="20"/>
          <w:szCs w:val="20"/>
          <w:color w:val="auto"/>
        </w:rPr>
      </w:pPr>
      <w:r>
        <w:rPr>
          <w:rFonts w:ascii="Arial" w:cs="Arial" w:eastAsia="Arial" w:hAnsi="Arial"/>
          <w:sz w:val="18"/>
          <w:szCs w:val="18"/>
          <w:color w:val="auto"/>
        </w:rPr>
        <w:t>Pursuant to the First Moffitt License, the Company paid an upfront licensing fee in the amount of $0.1 million. A patent issuance fee will also be payable under the First Moffitt License,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First Moffitt License related to the treatment of any cancers in the United States, Europe and Japan and in other countries designated by the Company in agreement with Moffitt. No expenses were recorded for the First Moffitt License for the three months ended March 31, 2020 and 2019.</w:t>
      </w:r>
    </w:p>
    <w:p>
      <w:pPr>
        <w:spacing w:after="0" w:line="154" w:lineRule="exact"/>
        <w:rPr>
          <w:sz w:val="20"/>
          <w:szCs w:val="20"/>
          <w:color w:val="auto"/>
        </w:rPr>
      </w:pPr>
    </w:p>
    <w:p>
      <w:pPr>
        <w:ind w:right="260" w:firstLine="492"/>
        <w:spacing w:after="0" w:line="263" w:lineRule="auto"/>
        <w:rPr>
          <w:sz w:val="20"/>
          <w:szCs w:val="20"/>
          <w:color w:val="auto"/>
        </w:rPr>
      </w:pPr>
      <w:r>
        <w:rPr>
          <w:rFonts w:ascii="Arial" w:cs="Arial" w:eastAsia="Arial" w:hAnsi="Arial"/>
          <w:sz w:val="18"/>
          <w:szCs w:val="18"/>
          <w:color w:val="auto"/>
        </w:rPr>
        <w:t>The Company entered into a license agreement with Moffitt effective as of May 7, 2018 (the “Second Moffitt License”), under which the Company received a license to Moffitt’s rights to patent-pending technologies related to the use of 4-1BB agonists in conjunction with TIL manufacturing processes and therapies.</w:t>
      </w:r>
    </w:p>
    <w:p>
      <w:pPr>
        <w:spacing w:after="0" w:line="143" w:lineRule="exact"/>
        <w:rPr>
          <w:sz w:val="20"/>
          <w:szCs w:val="20"/>
          <w:color w:val="auto"/>
        </w:rPr>
      </w:pPr>
    </w:p>
    <w:p>
      <w:pPr>
        <w:ind w:right="60" w:firstLine="492"/>
        <w:spacing w:after="0" w:line="275" w:lineRule="auto"/>
        <w:rPr>
          <w:sz w:val="20"/>
          <w:szCs w:val="20"/>
          <w:color w:val="auto"/>
        </w:rPr>
      </w:pPr>
      <w:r>
        <w:rPr>
          <w:rFonts w:ascii="Arial" w:cs="Arial" w:eastAsia="Arial" w:hAnsi="Arial"/>
          <w:sz w:val="17"/>
          <w:szCs w:val="17"/>
          <w:color w:val="auto"/>
        </w:rPr>
        <w:t>Pursuant to the Second Moffitt License, the Company paid an upfront licensing fee in the amount of $0.1 million in 2018. An annual license maintenance fee will be also payable commencing on the first anniversary of the effective date. In addition, the Company agreed to pay an annual commercial use payment for each indication for which a first sale has occurred, which in the aggregate amounts to up to $0.4 million a year. The Company recorded research and development costs of $0.02 million for the Second Moffit License for the three months ended March 31, 2020. No expenses were recorded for the same period in 2019.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 Anderson Cancer Center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185" w:lineRule="exact"/>
        <w:rPr>
          <w:sz w:val="20"/>
          <w:szCs w:val="20"/>
          <w:color w:val="auto"/>
        </w:rPr>
      </w:pPr>
    </w:p>
    <w:p>
      <w:pPr>
        <w:ind w:right="80" w:firstLine="492"/>
        <w:spacing w:after="0" w:line="288" w:lineRule="auto"/>
        <w:rPr>
          <w:sz w:val="20"/>
          <w:szCs w:val="20"/>
          <w:color w:val="auto"/>
        </w:rPr>
      </w:pPr>
      <w:r>
        <w:rPr>
          <w:rFonts w:ascii="Arial" w:cs="Arial" w:eastAsia="Arial" w:hAnsi="Arial"/>
          <w:sz w:val="16"/>
          <w:szCs w:val="16"/>
          <w:color w:val="auto"/>
        </w:rPr>
        <w:t>On April 17, 2017, the Company entered into a Strategic Alliance Agreement (the “SAA”) with M.D. Anderson Cancer Center (“MDACC”) under which the Company and MDACC agreed to conduct clinical and preclinical research studies. The Company agreed in the SAA to provide total funding not to exceed approximately $14.2 million for the performance of the multi-year studies under the SAA. In return, the Company acquired all rights to inventions resulting from the studies and has been granted a non-exclusive, sub-licensable, royalty-free, and perpetual license to specified background intellectual property of MDACC reasonably necessary to exploit, including the commercialization thereof. The Company has also been granted certain rights in clinical data generated by MDACC outside of the clinical trials to be performed under the SAA. The SAA’s term shall continue in effect until the later of the fourth anniversary of the SAA or the completion or termination of the research and receipt by the Company of all deliverables due from MDACC thereunder. In May 2017, the Company made a prepayment of $1.4 million under this agreement. In light of the COVID-19 Pandemic, MDACC has temporarily suspended their research programs and decommissioned their research</w:t>
      </w:r>
    </w:p>
    <w:p>
      <w:pPr>
        <w:sectPr>
          <w:pgSz w:w="11900" w:h="16838" w:orient="portrait"/>
          <w:cols w:equalWidth="0" w:num="1">
            <w:col w:w="9880"/>
          </w:cols>
          <w:pgMar w:left="980" w:top="665" w:right="1039" w:bottom="1440" w:gutter="0" w:footer="0" w:header="0"/>
        </w:sect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labs, and as a result, enrollment in our MDACC-sponsored studies under the SAA is temporarily paused. The Company recorded $0.2 million and $1.2 million associated with the MDACC SAA for the three months ended March 31, 2020 and 2019, respectively as research and development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WuXi Apptech, Inc. (WuXi)</w:t>
      </w:r>
    </w:p>
    <w:p>
      <w:pPr>
        <w:spacing w:after="0" w:line="202" w:lineRule="exact"/>
        <w:rPr>
          <w:sz w:val="20"/>
          <w:szCs w:val="20"/>
          <w:color w:val="auto"/>
        </w:rPr>
      </w:pPr>
    </w:p>
    <w:p>
      <w:pPr>
        <w:ind w:right="140" w:firstLine="492"/>
        <w:spacing w:after="0" w:line="287" w:lineRule="auto"/>
        <w:rPr>
          <w:sz w:val="20"/>
          <w:szCs w:val="20"/>
          <w:color w:val="auto"/>
        </w:rPr>
      </w:pPr>
      <w:r>
        <w:rPr>
          <w:rFonts w:ascii="Arial" w:cs="Arial" w:eastAsia="Arial" w:hAnsi="Arial"/>
          <w:sz w:val="16"/>
          <w:szCs w:val="16"/>
          <w:color w:val="auto"/>
        </w:rPr>
        <w:t>In November 2016, the Company entered into a three-year manufacturing and services agreement (“MSA”) with WuXi AppTech, Inc. (“WuXi”) pursuant to which WuXi agreed to provide manufacturing and other services. Under the agreement, the Company entered into two statements of work for two cGMP manufacturing suites to be established and operated by WuXi for the Company, both of the suites are expected to be capable of being used for the commercial manufacture of its products. The statements of work for each of the suites were amended in 2019. The statements of work for facility include a fixed component to reserve a dedicated suite and a trained work force, and a variable component, mainly materials and testing used during the manufacturing processes. Both statements of work provide for adjustments to the targeted production capacity levels and the corresponding fixed quarterly fees upon written notice from the Company of 30 days and 90 days for the first and second dedicated suites, respectively. The quarterly fixed fees payable for each of the dedicated manufacturing suites ranges from $1.2 million to $2.7 million depending on the production capacity level targeted. The terms of the related statements of work for the first and second dedicated manufacturing suites currently extend to May 2020 and June 2021, respectively. The Company recorded costs associated with agreements with WuXi of $6.7 million and $3.8 million for the three months ended March 31, 2020 and 2019 respectively, as research and development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Cellectis S.A. (Cellectis)</w:t>
      </w:r>
    </w:p>
    <w:p>
      <w:pPr>
        <w:spacing w:after="0" w:line="189" w:lineRule="exact"/>
        <w:rPr>
          <w:sz w:val="20"/>
          <w:szCs w:val="20"/>
          <w:color w:val="auto"/>
        </w:rPr>
      </w:pPr>
    </w:p>
    <w:p>
      <w:pPr>
        <w:ind w:right="100" w:firstLine="492"/>
        <w:spacing w:after="0" w:line="255" w:lineRule="auto"/>
        <w:rPr>
          <w:sz w:val="20"/>
          <w:szCs w:val="20"/>
          <w:color w:val="auto"/>
        </w:rPr>
      </w:pPr>
      <w:r>
        <w:rPr>
          <w:rFonts w:ascii="Arial" w:cs="Arial" w:eastAsia="Arial" w:hAnsi="Arial"/>
          <w:sz w:val="18"/>
          <w:szCs w:val="18"/>
          <w:color w:val="auto"/>
        </w:rPr>
        <w:t>On January 12, 2020, the Company announced that it had entered into a research collaboration and exclusive worldwide license agreement whereby the Company will license gene-editing technology from Cellectis S.A. ("Cellectis"), a clinical-stage biopharmaceutical company, in order to develop TIL therapies that have been genetically edited. Financial terms of the license include development, regulatory and sales milestone payments from the Company to Cellectis, as well as royalty payments based on net sales of TALEN-modified TIL products. The Company recorded costs associated with the license agreement from Cellectis of $0.1 million for the three months ended March 31,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Pharma AG (Novartis)</w:t>
      </w:r>
    </w:p>
    <w:p>
      <w:pPr>
        <w:spacing w:after="0" w:line="189" w:lineRule="exact"/>
        <w:rPr>
          <w:sz w:val="20"/>
          <w:szCs w:val="20"/>
          <w:color w:val="auto"/>
        </w:rPr>
      </w:pPr>
    </w:p>
    <w:p>
      <w:pPr>
        <w:ind w:right="60" w:firstLine="492"/>
        <w:spacing w:after="0" w:line="293" w:lineRule="auto"/>
        <w:rPr>
          <w:sz w:val="20"/>
          <w:szCs w:val="20"/>
          <w:color w:val="auto"/>
        </w:rPr>
      </w:pPr>
      <w:r>
        <w:rPr>
          <w:rFonts w:ascii="Arial" w:cs="Arial" w:eastAsia="Arial" w:hAnsi="Arial"/>
          <w:sz w:val="16"/>
          <w:szCs w:val="16"/>
          <w:color w:val="auto"/>
        </w:rPr>
        <w:t>On January 12, 2020, the Company announced that it had obtained a license from Novartis Pharma AG (“Novartis”) to develop and commercialize an antibody cytokine engrafted protein, which the Company refers to as IOV-3001. Under the agreement, the Company has paid an upfront payment to Novartis and may pay future milestones related to initiation of patient dosing in various phases of clinical development for IOV-3001 and approval of the product in the U.S, EU and Japan. Novartis is also entitled to low-to-mid single digit royalties from commercial sales of the product. The Company recorded costs associated with the license agreement from Novartis of $10.0 million as research and development expenses for the three months ended March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02" w:lineRule="exact"/>
        <w:rPr>
          <w:sz w:val="20"/>
          <w:szCs w:val="20"/>
          <w:color w:val="auto"/>
        </w:rPr>
      </w:pPr>
    </w:p>
    <w:p>
      <w:pPr>
        <w:ind w:firstLine="492"/>
        <w:spacing w:after="0" w:line="285"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the Company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The Company’s settlement with the SEC is consistent with its previous disclosures (including in its Annual Report on Form 10-K that the Company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 Lion Biotechnologies, Inc., et al.,</w:t>
      </w:r>
      <w:r>
        <w:rPr>
          <w:rFonts w:ascii="Arial" w:cs="Arial" w:eastAsia="Arial" w:hAnsi="Arial"/>
          <w:sz w:val="16"/>
          <w:szCs w:val="16"/>
          <w:color w:val="auto"/>
        </w:rPr>
        <w:t xml:space="preserve"> case no. 3:17cv2086) against the Company and three of its former officers and directors. On April 19, 2017, a second class action complaint </w:t>
      </w:r>
      <w:r>
        <w:rPr>
          <w:rFonts w:ascii="Arial" w:cs="Arial" w:eastAsia="Arial" w:hAnsi="Arial"/>
          <w:sz w:val="16"/>
          <w:szCs w:val="16"/>
          <w:i w:val="1"/>
          <w:iCs w:val="1"/>
          <w:color w:val="auto"/>
        </w:rPr>
        <w:t>(Amra Kuc vs.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et al., </w:t>
      </w:r>
      <w:r>
        <w:rPr>
          <w:rFonts w:ascii="Arial" w:cs="Arial" w:eastAsia="Arial" w:hAnsi="Arial"/>
          <w:sz w:val="16"/>
          <w:szCs w:val="16"/>
          <w:color w:val="auto"/>
        </w:rPr>
        <w:t>case no. 3:17-cv-2188) was filed in the same court. Both complaints allege, among other things,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defendants violated the federal securities laws by making materially false and misleading statements, or by failing to make certain disclosures, regarding the actions taken by Manish Singh, the Company's former CEO, and the Company's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On July 20, 2017, the plaintiff in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case filed a notice to voluntarily dismiss that case. The court 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Biotechnologies, Inc., et al., </w:t>
      </w:r>
      <w:r>
        <w:rPr>
          <w:rFonts w:ascii="Arial" w:cs="Arial" w:eastAsia="Arial" w:hAnsi="Arial"/>
          <w:sz w:val="16"/>
          <w:szCs w:val="16"/>
          <w:color w:val="auto"/>
        </w:rPr>
        <w:t>case no. 3:17-cv-2086) seeking class action status that alleges, among other things, that the defendants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violated federal securities laws by making materially false and misleading statements, or by failing to make certain disclosures, regarding the actions taken by Manish Singh and the Company's former investor relations firm that were the subject of the </w:t>
      </w:r>
      <w:r>
        <w:rPr>
          <w:rFonts w:ascii="Arial" w:cs="Arial" w:eastAsia="Arial" w:hAnsi="Arial"/>
          <w:sz w:val="16"/>
          <w:szCs w:val="16"/>
          <w:i w:val="1"/>
          <w:iCs w:val="1"/>
          <w:color w:val="auto"/>
        </w:rPr>
        <w:t>In the Matter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Promotions </w:t>
      </w:r>
      <w:r>
        <w:rPr>
          <w:rFonts w:ascii="Arial" w:cs="Arial" w:eastAsia="Arial" w:hAnsi="Arial"/>
          <w:sz w:val="16"/>
          <w:szCs w:val="16"/>
          <w:color w:val="auto"/>
        </w:rPr>
        <w:t>SEC investigation. On February 5, 2018, the court entered an order</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dismissing two of plaintiff’s six claims. As a result of mediation, on September 28, 2018, lead plaintiff filed an unopposed motion for settlement.. The court granted preliminary approval to the proposed settlement on November 30, 2018 . A final hearing was held on April 12, 2019 to determine whether the proposed settlement was fair, reasonable, and adequate, and whether the claims should be dismissed. On April 17, 2019, the court approved the final settlement, involving a payment of $3,250,000 by the Company's insurance carrier to a settlement fund, awarded attorney's fees and costs to be paid to plaintiff's counsel from the settlement fund, approved the plan of allocation for settlement class members, and ordered that the claims against us should be dismissed with prejudice. The Company does not expect to incur any costs or expenses in connection with this settlement.</w:t>
      </w:r>
    </w:p>
    <w:p>
      <w:pPr>
        <w:spacing w:after="0" w:line="137"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u w:val="single" w:color="auto"/>
          <w:color w:val="auto"/>
        </w:rPr>
        <w:t>Derivative Lawsuits.</w:t>
      </w:r>
      <w:r>
        <w:rPr>
          <w:rFonts w:ascii="Arial" w:cs="Arial" w:eastAsia="Arial" w:hAnsi="Arial"/>
          <w:sz w:val="16"/>
          <w:szCs w:val="16"/>
          <w:color w:val="auto"/>
        </w:rPr>
        <w:t xml:space="preserve"> On December 15, 2017, a purported stockholder derivative complaint was filed by plaintiff Kevin Fong against the Company, as nominal defendant, and certain of its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its April 10, 2017 settlement thereof, and seeks unspecified damages on behalf of the Company and injunctive relief. On March 28, 2018, a purported stockholder derivative complaint was filed by plaintiff Nazeer Khaleeluddin on behalf of the Company, against the Company, as nominal defendant, and certain of the Company’s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the Company’s April 10, 2017 settlement thereof, and seeks unspecified damages on behalf of the Company and injunctive relief. On May 1, 2018, the court consolidated this case with the aforementioned purported stockholder derivative case filed by plaintiff Kevin Fong. The consolidated case is titled </w:t>
      </w:r>
      <w:r>
        <w:rPr>
          <w:rFonts w:ascii="Arial" w:cs="Arial" w:eastAsia="Arial" w:hAnsi="Arial"/>
          <w:sz w:val="16"/>
          <w:szCs w:val="16"/>
          <w:i w:val="1"/>
          <w:iCs w:val="1"/>
          <w:color w:val="auto"/>
        </w:rPr>
        <w:t>In re Iovance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Biotherapeutics, Inc. Stockholder Derivative Litigation </w:t>
      </w:r>
      <w:r>
        <w:rPr>
          <w:rFonts w:ascii="Arial" w:cs="Arial" w:eastAsia="Arial" w:hAnsi="Arial"/>
          <w:sz w:val="16"/>
          <w:szCs w:val="16"/>
          <w:color w:val="auto"/>
        </w:rPr>
        <w:t>(lead case no. 17-cv-1806). On January 28, 2020, the parties reached a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settlement. On April 24, 2020, the court granted preliminary approval for the proposed settlement. The terms of the settlement will be disseminated to shareholders as part of the notice process by May 8, 2020. If the proposed settlement is given final approval by the court, the Company does not expect to incur any significant costs or expenses in connection with this settlement. Based on the current stage of the litigation, and the uncertainty of final approval by the court, it is not possible to estimate the amount or range of possible loss that might result from an adverse judgment or a settlement of these matters.</w:t>
      </w:r>
    </w:p>
    <w:p>
      <w:pPr>
        <w:spacing w:after="0" w:line="360" w:lineRule="exact"/>
        <w:rPr>
          <w:sz w:val="20"/>
          <w:szCs w:val="20"/>
          <w:color w:val="auto"/>
        </w:rPr>
      </w:pPr>
    </w:p>
    <w:p>
      <w:pPr>
        <w:ind w:right="20" w:firstLine="492"/>
        <w:spacing w:after="0" w:line="285"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401(K) Trust, Solomon Sharbat and Shelhav Raff v. Lion Biotechnologies, Inc. </w:t>
      </w:r>
      <w:r>
        <w:rPr>
          <w:rFonts w:ascii="Arial" w:cs="Arial" w:eastAsia="Arial" w:hAnsi="Arial"/>
          <w:sz w:val="16"/>
          <w:szCs w:val="16"/>
          <w:color w:val="auto"/>
        </w:rPr>
        <w:t>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("Solomon Plaintiffs") against the Company in the Supreme Court of the State of New York, County of New York (index no. 651881/2016 ). The Solomon Plaintiffs allege that, between June and November 2012, they provided to the Company $0.1 million and that they advanced and paid on behalf of the Company an additional $0.2 million. The complaint further alleges that the Company agreed to (i) provide them with promissory notes totaling $0.2 million, plus interest, (ii) issue a total of 1,110 shares to the Solomon Plaintiffs (after the 1-for-100 reverse split of the Company’s common stock effected in March 2013), and (iii) allow the Solomon Plaintiffs to convert the foregoing funds into its securities in the next transaction. The Solomon Plaintiffs allege that they should have been able to convert their advances and payments into shares of the Company’s common stock in the restructuring that took effect in May 2013. Based on the foregoing, the Solomon Plaintiffs allege causes for breach of contract and unjust enrichment and demand judgment against the Company in an unspecified amount exceeding $1.5 million, plus interest. On June 3, 2016, the Company filed an answer and counterclaims in the lawsuit. The Company has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(“FINRA”) that resulted in the loss of his FINRA license. In its counterclaims, the Company is seeking damages in an amount exceeding $0.5 million and an order rescinding any and all agreements that the plaintiffs contend entitled them to obtain shares of Company stock. No trial date has been set for the First Solomon Suit.</w:t>
      </w:r>
    </w:p>
    <w:p>
      <w:pPr>
        <w:spacing w:after="0" w:line="133" w:lineRule="exact"/>
        <w:rPr>
          <w:sz w:val="20"/>
          <w:szCs w:val="20"/>
          <w:color w:val="auto"/>
        </w:rPr>
      </w:pPr>
    </w:p>
    <w:p>
      <w:pPr>
        <w:ind w:right="40" w:firstLine="492"/>
        <w:spacing w:after="0" w:line="289" w:lineRule="auto"/>
        <w:rPr>
          <w:sz w:val="20"/>
          <w:szCs w:val="20"/>
          <w:color w:val="auto"/>
        </w:rPr>
      </w:pPr>
      <w:r>
        <w:rPr>
          <w:rFonts w:ascii="Arial" w:cs="Arial" w:eastAsia="Arial" w:hAnsi="Arial"/>
          <w:sz w:val="16"/>
          <w:szCs w:val="16"/>
          <w:color w:val="auto"/>
        </w:rPr>
        <w:t xml:space="preserve">On September 27, 2019, the Solomon Plaintiffs filed a new lawsuit (through new legal counsel) (the "Second Solomon Suit") titled </w:t>
      </w:r>
      <w:r>
        <w:rPr>
          <w:rFonts w:ascii="Arial" w:cs="Arial" w:eastAsia="Arial" w:hAnsi="Arial"/>
          <w:sz w:val="16"/>
          <w:szCs w:val="16"/>
          <w:i w:val="1"/>
          <w:iCs w:val="1"/>
          <w:color w:val="auto"/>
        </w:rPr>
        <w:t>Solomon Capital, LLC, Solomon Capital 401(K) Trust, Solomon Sharbat and Shelhav Raff v. Iovance Biotherapeutics, Inc., f/k/a/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Lion Biotechnologies Inc. f/k/a/ Genesis Biopharma Inc., and Manish Singh </w:t>
      </w:r>
      <w:r>
        <w:rPr>
          <w:rFonts w:ascii="Arial" w:cs="Arial" w:eastAsia="Arial" w:hAnsi="Arial"/>
          <w:sz w:val="16"/>
          <w:szCs w:val="16"/>
          <w:color w:val="auto"/>
        </w:rPr>
        <w:t>in the Supreme Court of the State of New York, County of</w:t>
      </w:r>
      <w:r>
        <w:rPr>
          <w:rFonts w:ascii="Arial" w:cs="Arial" w:eastAsia="Arial" w:hAnsi="Arial"/>
          <w:sz w:val="16"/>
          <w:szCs w:val="16"/>
          <w:i w:val="1"/>
          <w:iCs w:val="1"/>
          <w:color w:val="auto"/>
        </w:rPr>
        <w:t xml:space="preserve"> </w:t>
      </w:r>
      <w:r>
        <w:rPr>
          <w:rFonts w:ascii="Arial" w:cs="Arial" w:eastAsia="Arial" w:hAnsi="Arial"/>
          <w:sz w:val="16"/>
          <w:szCs w:val="16"/>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the Company and the plaintiffs that the plaintiffs would be paid fees and commissions (in cash and stock) if they obtained financing for the Company, and that they directly and indirectly introduced investors to the Company who invested in the Company, or were willing to invest in the Company. Finally, the Solomon Plaintiffs allege that they were promised a license to use the Company’s technology in Israel. The plaintiffs claim that the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Company breached the foregoing understandings, promises and agreements and, as a result, they are entitled to certain damages. The Solomon Plaintiffs also allege that Manish Singh, the Company’s former Chief Executive Officer, committed fraud and took shares belonging to them. On February 18, 2020, the Company filed a removal petition and removed the Second Solomon Suit to the United States District Court for the Southern District of New York, where the case has been assigned case no. 1:20-cv-1391. The Company has not yet responded to the complaint in the Second Solomon Suit.</w:t>
      </w:r>
    </w:p>
    <w:p>
      <w:pPr>
        <w:spacing w:after="0" w:line="147" w:lineRule="exact"/>
        <w:rPr>
          <w:sz w:val="20"/>
          <w:szCs w:val="20"/>
          <w:color w:val="auto"/>
        </w:rPr>
      </w:pPr>
    </w:p>
    <w:p>
      <w:pPr>
        <w:jc w:val="both"/>
        <w:ind w:right="140" w:firstLine="492"/>
        <w:spacing w:after="0" w:line="263" w:lineRule="auto"/>
        <w:rPr>
          <w:sz w:val="20"/>
          <w:szCs w:val="20"/>
          <w:color w:val="auto"/>
        </w:rPr>
      </w:pPr>
      <w:r>
        <w:rPr>
          <w:rFonts w:ascii="Arial" w:cs="Arial" w:eastAsia="Arial" w:hAnsi="Arial"/>
          <w:sz w:val="18"/>
          <w:szCs w:val="18"/>
          <w:color w:val="auto"/>
        </w:rPr>
        <w:t>The Company intends to vigorously defend these complaints and pursue its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57" w:lineRule="exact"/>
        <w:rPr>
          <w:sz w:val="20"/>
          <w:szCs w:val="20"/>
          <w:color w:val="auto"/>
        </w:rPr>
      </w:pPr>
    </w:p>
    <w:p>
      <w:pPr>
        <w:ind w:right="80" w:firstLine="492"/>
        <w:spacing w:after="0" w:line="269"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w:t>
      </w:r>
      <w:r>
        <w:rPr>
          <w:rFonts w:ascii="Arial" w:cs="Arial" w:eastAsia="Arial" w:hAnsi="Arial"/>
          <w:sz w:val="17"/>
          <w:szCs w:val="17"/>
          <w:color w:val="auto"/>
        </w:rPr>
        <w:t xml:space="preserve"> </w:t>
      </w:r>
      <w:r>
        <w:rPr>
          <w:rFonts w:ascii="Arial" w:cs="Arial" w:eastAsia="Arial" w:hAnsi="Arial"/>
          <w:sz w:val="17"/>
          <w:szCs w:val="17"/>
          <w:i w:val="1"/>
          <w:iCs w:val="1"/>
          <w:color w:val="auto"/>
        </w:rPr>
        <w:t>Maria Fardis</w:t>
      </w:r>
      <w:r>
        <w:rPr>
          <w:rFonts w:ascii="Arial" w:cs="Arial" w:eastAsia="Arial" w:hAnsi="Arial"/>
          <w:sz w:val="17"/>
          <w:szCs w:val="17"/>
          <w:color w:val="auto"/>
        </w:rPr>
        <w:t>, Dr. Steven Fischkoff, the Company's former Vice President and Chief Medical Officer, filed a lawsuit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the Supreme Court of the State of New York, County of New York. Dr. Fischkoff was dismissed by the Company on March 28, 2017. Dr. Fischkoff was terminated “for cause” as that term is defined in his employment agreement. In his complaint,</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the Company's common stock, together with prejudgment interest, costs, expenses and attorneys’ fees. On July 5, 2017, the Company filed a removal petition and removed the lawsuit to the United States District Court for the Southern District of New York, where the case has been assigned case no. 1:17-cv-05041. On July 14, 2017, the Company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the Company’s materials, prohibiting him from disclosing or using the Company's materials, and granting expedited discovery. On June 25, 2018, pursuant to a stipulation between the parties, the court entered a permanent injunction prohibiting Dr. Fischkoff from disclosing, possessing, or using any of the Company’s proprietary materials or trade secrets. On July 5, 2018, the court entered an order dismissing two of Dr. Fischkoff’s claims against the Company and Dr. Fardis. On October 18, 2018, Dr. Fischkoff amended his complaint to assert a new claim for defamation arising from SEC filings in which the Company provided the information about this litigation. No trial date has been set in this matter, and the parties are currently engaged in fact discovery.</w:t>
      </w:r>
    </w:p>
    <w:p>
      <w:pPr>
        <w:spacing w:after="0" w:line="139" w:lineRule="exact"/>
        <w:rPr>
          <w:sz w:val="20"/>
          <w:szCs w:val="20"/>
          <w:color w:val="auto"/>
        </w:rPr>
      </w:pPr>
    </w:p>
    <w:p>
      <w:pPr>
        <w:ind w:right="20" w:firstLine="492"/>
        <w:spacing w:after="0" w:line="259" w:lineRule="auto"/>
        <w:rPr>
          <w:sz w:val="20"/>
          <w:szCs w:val="20"/>
          <w:color w:val="auto"/>
        </w:rPr>
      </w:pPr>
      <w:r>
        <w:rPr>
          <w:rFonts w:ascii="Arial" w:cs="Arial" w:eastAsia="Arial" w:hAnsi="Arial"/>
          <w:sz w:val="18"/>
          <w:szCs w:val="18"/>
          <w:color w:val="auto"/>
        </w:rPr>
        <w:t>The Company intends to vigorously defend against Dr. Fischkoff’s lawsuit and pursue the Company’s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46" w:lineRule="exact"/>
        <w:rPr>
          <w:sz w:val="20"/>
          <w:szCs w:val="20"/>
          <w:color w:val="auto"/>
        </w:rPr>
      </w:pPr>
    </w:p>
    <w:p>
      <w:pPr>
        <w:ind w:right="60" w:firstLine="492"/>
        <w:spacing w:after="0" w:line="271"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In connection with the Company’s reincorporation from Nevada to Delaware in 2017, the Company (as a Delaware corporation) untimely filed a post-effective amendment to adopt a Form S-8 registration statement that the Company filed (as a Nevada corporation) to register the shares underlying the Company's 2011 Equity Incentive Plan. Before the Company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the Company, and the amount of any such liability to the Company, as a result of the issuance of the 200,000 shares is uncertain. Accordingly, no accrual for a potential claim has been made by the Company in its condensed consolidated financial statements.</w:t>
      </w:r>
    </w:p>
    <w:p>
      <w:pPr>
        <w:spacing w:after="0" w:line="151" w:lineRule="exact"/>
        <w:rPr>
          <w:sz w:val="20"/>
          <w:szCs w:val="20"/>
          <w:color w:val="auto"/>
        </w:rPr>
      </w:pPr>
    </w:p>
    <w:p>
      <w:pPr>
        <w:ind w:right="100" w:firstLine="492"/>
        <w:spacing w:after="0" w:line="293" w:lineRule="auto"/>
        <w:rPr>
          <w:sz w:val="20"/>
          <w:szCs w:val="20"/>
          <w:color w:val="auto"/>
        </w:rPr>
      </w:pPr>
      <w:r>
        <w:rPr>
          <w:rFonts w:ascii="Arial" w:cs="Arial" w:eastAsia="Arial" w:hAnsi="Arial"/>
          <w:sz w:val="16"/>
          <w:szCs w:val="16"/>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it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its financial position, results of operations or cash flows.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02"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The Company has evaluated the following existing facility leases and determined that, effective upon the adoption of Topic 842, they were all operating leases. Operating lease right-of-use assets and liabilities were recognized as of January 1, 2019 based on the present value of the remaining lease payments over the lease term. As the Company’s leases do not provide an implicit rate, the Company utilized a third party in determining an incremental borrowing rate based on the information available as of the adoption date of Topic 842 to obtain the present value of lease payments. The Company’s lease terms may include options to extend or terminate the lease which are included in the lease term when it is reasonably certain that it will exercise any such options. Lease expense is recognized on a straight-line basis over the expected lease term. The Company elected not to apply the recognition requirements of Topic 842 for short-term leases that have a lease term of 12 months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185"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had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61" w:lineRule="exact"/>
        <w:rPr>
          <w:sz w:val="20"/>
          <w:szCs w:val="20"/>
          <w:color w:val="auto"/>
        </w:rPr>
      </w:pPr>
    </w:p>
    <w:p>
      <w:pPr>
        <w:ind w:right="180" w:firstLine="492"/>
        <w:spacing w:after="0" w:line="259"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 and rent payments are approximately $20,000 per month. In December 2019, the Company entered into an agreement to extend the lease term to December 18, 2024 for approximately $20,500 a month.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185" w:lineRule="exact"/>
        <w:rPr>
          <w:sz w:val="20"/>
          <w:szCs w:val="20"/>
          <w:color w:val="auto"/>
        </w:rPr>
      </w:pPr>
    </w:p>
    <w:p>
      <w:pPr>
        <w:ind w:right="180" w:firstLine="492"/>
        <w:spacing w:after="0" w:line="263"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will expire in April 2021. Monthly lease payments are approximately $38,000.</w:t>
      </w:r>
    </w:p>
    <w:p>
      <w:pPr>
        <w:spacing w:after="0" w:line="157" w:lineRule="exact"/>
        <w:rPr>
          <w:sz w:val="20"/>
          <w:szCs w:val="20"/>
          <w:color w:val="auto"/>
        </w:rPr>
      </w:pPr>
    </w:p>
    <w:p>
      <w:pPr>
        <w:ind w:right="100" w:firstLine="492"/>
        <w:spacing w:after="0" w:line="259"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for approximately $26,000 per month. The space consists of approximately 11,449 rentable square feet in the building located in San Carlos, California. The sublease for this space expired on October 31, 2018. Monthly lease payments were approximately $26,000.</w:t>
      </w:r>
    </w:p>
    <w:p>
      <w:pPr>
        <w:spacing w:after="0" w:line="146" w:lineRule="exact"/>
        <w:rPr>
          <w:sz w:val="20"/>
          <w:szCs w:val="20"/>
          <w:color w:val="auto"/>
        </w:rPr>
      </w:pPr>
    </w:p>
    <w:p>
      <w:pPr>
        <w:ind w:right="100" w:firstLine="492"/>
        <w:spacing w:after="0" w:line="301" w:lineRule="auto"/>
        <w:rPr>
          <w:sz w:val="20"/>
          <w:szCs w:val="20"/>
          <w:color w:val="auto"/>
        </w:rPr>
      </w:pPr>
      <w:r>
        <w:rPr>
          <w:rFonts w:ascii="Arial" w:cs="Arial" w:eastAsia="Arial" w:hAnsi="Arial"/>
          <w:sz w:val="16"/>
          <w:szCs w:val="16"/>
          <w:color w:val="auto"/>
        </w:rPr>
        <w:t>On October 19, 2018, the Company entered into an agreement to lease 12,322 square feet of office space located adjacent to the Company’s headquarters in San Carlos, California. This lease replaces the sublease of 11,449 square feet of office space in the same facility that expired on October 31, 2018. The term of the lease is 30 months subsequent to the commencement date, November 1, 2018, and will expire in April 2021. Monthly lease payments are approximately $59,000, subject to an annual increase of 3%.</w:t>
      </w:r>
    </w:p>
    <w:p>
      <w:pPr>
        <w:spacing w:after="0" w:line="117" w:lineRule="exact"/>
        <w:rPr>
          <w:sz w:val="20"/>
          <w:szCs w:val="20"/>
          <w:color w:val="auto"/>
        </w:rPr>
      </w:pPr>
    </w:p>
    <w:p>
      <w:pPr>
        <w:ind w:right="60" w:firstLine="492"/>
        <w:spacing w:after="0" w:line="272" w:lineRule="auto"/>
        <w:rPr>
          <w:sz w:val="20"/>
          <w:szCs w:val="20"/>
          <w:color w:val="auto"/>
        </w:rPr>
      </w:pPr>
      <w:r>
        <w:rPr>
          <w:rFonts w:ascii="Arial" w:cs="Arial" w:eastAsia="Arial" w:hAnsi="Arial"/>
          <w:sz w:val="17"/>
          <w:szCs w:val="17"/>
          <w:color w:val="auto"/>
        </w:rPr>
        <w:t>On June 19, 2019, the Company entered into a first amendment (the “Amended Lease”) to its previously disclosed lease agreement with Hudson Skyway Landing, LLC (the “Lease”) for additional space at its corporate headquarters in San Carlos, California. Under the Amended Lease, the Company will lease an additional 8,110 square feet (the “Expansion Space”), for a total of approximately 20,432 square feet of space on the first floor of the building located at 999 Skyway Road, San Carlos, California, commonly known as Skyway Landing II. The term of the Amended Lease remains the same as that of the Lease and expires on April 30, 2021, unless earlier terminated in accordance with the Amended Lease. The Company’s monthly base rent for the Expansion Space under the Amended Lease will be approximately $39,000 for the first year, and $40,000 for the second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185" w:lineRule="exact"/>
        <w:rPr>
          <w:sz w:val="20"/>
          <w:szCs w:val="20"/>
          <w:color w:val="auto"/>
        </w:rPr>
      </w:pPr>
    </w:p>
    <w:p>
      <w:pPr>
        <w:ind w:firstLine="492"/>
        <w:spacing w:after="0" w:line="296" w:lineRule="auto"/>
        <w:rPr>
          <w:sz w:val="20"/>
          <w:szCs w:val="20"/>
          <w:color w:val="auto"/>
        </w:rPr>
      </w:pPr>
      <w:r>
        <w:rPr>
          <w:rFonts w:ascii="Arial" w:cs="Arial" w:eastAsia="Arial" w:hAnsi="Arial"/>
          <w:sz w:val="16"/>
          <w:szCs w:val="16"/>
          <w:color w:val="auto"/>
        </w:rPr>
        <w:t>The Company leased office space in New York for a monthly rental of approximately $18,000 a month from January 2017 through July 2017. On June 5, 2017, the Company entered into an agreement whereby the Company will lease office space from August 1, 2017 to July 31, 2018, for approximately $9,000 a month. On April 20, 2018, the Company entered into an agreement to extend the lease term to January 31, 2019 for approximately $7,000 a month. On November 2, 2018, the Company entered into an agreement to extend the lease term to July 31, 2019 for approximately $4,000 a month. On May 1, 2019, the Company entered into an</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agreement to extend the lease term to January 31, 2020 for approximately $4,000 a month. On October 24, 2019, the Company entered into an agreement to extend the lease term to April 30, 2020 for approximately $4,000 a month. On January 23, 2020, the Company entered into an agreement to extend the lease term to July 31, 2020 for approximately $4,000 a month.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Philadelphia Office Lease</w:t>
      </w:r>
    </w:p>
    <w:p>
      <w:pPr>
        <w:spacing w:after="0" w:line="198" w:lineRule="exact"/>
        <w:rPr>
          <w:sz w:val="20"/>
          <w:szCs w:val="20"/>
          <w:color w:val="auto"/>
        </w:rPr>
      </w:pPr>
    </w:p>
    <w:p>
      <w:pPr>
        <w:jc w:val="both"/>
        <w:ind w:right="20" w:firstLine="492"/>
        <w:spacing w:after="0" w:line="286" w:lineRule="auto"/>
        <w:rPr>
          <w:sz w:val="20"/>
          <w:szCs w:val="20"/>
          <w:color w:val="auto"/>
        </w:rPr>
      </w:pPr>
      <w:r>
        <w:rPr>
          <w:rFonts w:ascii="Arial" w:cs="Arial" w:eastAsia="Arial" w:hAnsi="Arial"/>
          <w:sz w:val="17"/>
          <w:szCs w:val="17"/>
          <w:color w:val="auto"/>
        </w:rPr>
        <w:t>On May 2, 2019, the Company entered into an agreement to lease approximately 1,500 square feet of office space in Philadelphia, Pennsylvania until July 1, 2019 for a rate of $2,000 a month, and then approximately 4,500 square feet of office space for the remainder of a three-year term at an initial rate of $11,063 per month, subject to annual increases of 2.5%.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Manufacturing Facility Agreement</w:t>
      </w:r>
    </w:p>
    <w:p>
      <w:pPr>
        <w:spacing w:after="0" w:line="185" w:lineRule="exact"/>
        <w:rPr>
          <w:sz w:val="20"/>
          <w:szCs w:val="20"/>
          <w:color w:val="auto"/>
        </w:rPr>
      </w:pPr>
    </w:p>
    <w:p>
      <w:pPr>
        <w:ind w:firstLine="492"/>
        <w:spacing w:after="0" w:line="268" w:lineRule="auto"/>
        <w:rPr>
          <w:sz w:val="20"/>
          <w:szCs w:val="20"/>
          <w:color w:val="auto"/>
        </w:rPr>
      </w:pPr>
      <w:r>
        <w:rPr>
          <w:rFonts w:ascii="Arial" w:cs="Arial" w:eastAsia="Arial" w:hAnsi="Arial"/>
          <w:sz w:val="17"/>
          <w:szCs w:val="17"/>
          <w:color w:val="auto"/>
        </w:rPr>
        <w:t>On May 28, 2019, the Company entered into a lease agreement with 300 Rouse Boulevard, LLC (the “Commercial Manufacturing Facility Lease”) for a build-to-suit commercial manufacturing facility, laboratories, and offices located in Philadelphia, Pennsylvania. Under the Commercial Manufacturing Facility Lease, the Company will lease approximately 136,000 rentable square feet of space in a building to be located at 300 Rouse Boulevard, Philadelphia, Pennsylvania (the “Premises”). The commercial manufacturing facility is expected to be constructed in two phases: Phase I-A, the construction of the commercial manufacturing facility, with approximately 66,000 rentable square feet of space; and Phase I-B, the construction of offices and laboratories, with approximately 70,000 rentable square feet of space. The Commercial Manufacturing Facility Lease is for a term of 242 months, commencing on the earlier of (i) the date on which the Company occupies any portion of the Premises for the normal operation of its business or (ii) the date that is the later of (A) one hundred sixty (160) days after the Phase I-A substantial completion date, currently anticipated to be July 16, 2020, or (B) the Phase I-B Substantial Completion Date (the “Commencement Date”). The Commencement Date shall be extended by one day for each day of landlord delay, net of any tenant delay, as defined in the Lease. The Commercial Manufacturing Facility Lease includes an option to extend the term of the lease, exercisable under certain conditions as described in the Commercial Manufacturing Facility Lease, such that the overall term, when added to the initial term, shall be 359 months, by giving the landlord prior written notice thereof at least 18 months in advance of the expiration date.</w:t>
      </w:r>
    </w:p>
    <w:p>
      <w:pPr>
        <w:spacing w:after="0" w:line="157" w:lineRule="exact"/>
        <w:rPr>
          <w:sz w:val="20"/>
          <w:szCs w:val="20"/>
          <w:color w:val="auto"/>
        </w:rPr>
      </w:pPr>
    </w:p>
    <w:p>
      <w:pPr>
        <w:ind w:right="320" w:firstLine="537"/>
        <w:spacing w:after="0" w:line="259" w:lineRule="auto"/>
        <w:rPr>
          <w:sz w:val="20"/>
          <w:szCs w:val="20"/>
          <w:color w:val="auto"/>
        </w:rPr>
      </w:pPr>
      <w:r>
        <w:rPr>
          <w:rFonts w:ascii="Arial" w:cs="Arial" w:eastAsia="Arial" w:hAnsi="Arial"/>
          <w:sz w:val="18"/>
          <w:szCs w:val="18"/>
          <w:color w:val="auto"/>
        </w:rPr>
        <w:t>Beginning on the Commencement Date, the Company’s monthly base rent under the Lease will be approximately $320,000, subject to an annual increase of 2% for the first ten years, and an annual increase of the greater of 2% or 75% of the average ten-year consumer price index. The Company will also be responsible for paying operating expenses, which are expected to be approximately $53,000 per month in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Contracts</w:t>
      </w:r>
    </w:p>
    <w:p>
      <w:pPr>
        <w:spacing w:after="0" w:line="189" w:lineRule="exact"/>
        <w:rPr>
          <w:sz w:val="20"/>
          <w:szCs w:val="20"/>
          <w:color w:val="auto"/>
        </w:rPr>
      </w:pPr>
    </w:p>
    <w:p>
      <w:pPr>
        <w:ind w:firstLine="492"/>
        <w:spacing w:after="0" w:line="286" w:lineRule="auto"/>
        <w:rPr>
          <w:sz w:val="20"/>
          <w:szCs w:val="20"/>
          <w:color w:val="auto"/>
        </w:rPr>
      </w:pPr>
      <w:r>
        <w:rPr>
          <w:rFonts w:ascii="Arial" w:cs="Arial" w:eastAsia="Arial" w:hAnsi="Arial"/>
          <w:sz w:val="16"/>
          <w:szCs w:val="16"/>
          <w:color w:val="auto"/>
        </w:rPr>
        <w:t>The Company uses contract manufacturing organizations (collectively the “CMOs” and each a “CMO”) to manufacture and supply TILs for clinical and commercial purposes. The CMO contractual obligations consist of the use of manufacturing facilities and minimum fixed commitment fees, such as personnel, general support fees, and minimum production or material fees. In addition to the minimum fixed commitment fees, the CMO contractual obligations include variable costs such as production and material costs in excess of the minimum quantity specified in each CMO agreement. During the term of each CMO agreement, the Company has access to and control of the use of a dedicated suite in each of the CMOs’ facilities for manufacturing activities. In conjunction with the adoption of Topic 842 on January 1, 2019, the Company reevaluated all of its material contracts it has, to determine whether they contain a lease under Topic 840. An arrangement is considered a lease or contains a lease if an underlying asset is explicitly or implicitly identified and use of the asset is controlled by the customer. Based on this evaluation, the Company concluded that all of its contracts with CMOs contained embedded operating leases because the suites used for its production are implicitly identified, is only used by the Company exclusively during the contractual term of the arrangements, and the CMOs have no substantive contractual rights to substitute the facilities used by the Company. Further, the Company controls the use of the facilities by obtaining all of the economic benefits from the use of the facilities and direct the use of the facilities throughout the period of use. The terms of the CMO contracts include options to terminate the lease with an advance notice of five to six months. The termination clauses and extension clauses are included in the calculation of the lease term for each of the CMOs when it is reasonably certain that it will not exercise such options.</w:t>
      </w:r>
    </w:p>
    <w:p>
      <w:pPr>
        <w:spacing w:after="0" w:line="140" w:lineRule="exact"/>
        <w:rPr>
          <w:sz w:val="20"/>
          <w:szCs w:val="20"/>
          <w:color w:val="auto"/>
        </w:rPr>
      </w:pPr>
    </w:p>
    <w:p>
      <w:pPr>
        <w:ind w:right="160" w:firstLine="492"/>
        <w:spacing w:after="0" w:line="296" w:lineRule="auto"/>
        <w:rPr>
          <w:sz w:val="20"/>
          <w:szCs w:val="20"/>
          <w:color w:val="auto"/>
        </w:rPr>
      </w:pPr>
      <w:r>
        <w:rPr>
          <w:rFonts w:ascii="Arial" w:cs="Arial" w:eastAsia="Arial" w:hAnsi="Arial"/>
          <w:sz w:val="16"/>
          <w:szCs w:val="16"/>
          <w:color w:val="auto"/>
        </w:rPr>
        <w:t>The guidance requires the Company to first identify a lease deliverable and non-lease deliverable included in the arrangements, and then allocate the fixed contractual consideration to the lease deliverable(s) and the non-lease deliverable(s) on a relative standalone selling price basis to determine the amount of operating lease right-of-use assets and liabilities. The Company identified the use of a dedicated suite as a single lease deliverable, and related labor services as a single non-lease deliverable in each of the CMO arrangements. Judgment is required to determine the relative standalone selling price of each deliverable as the observable</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standalone selling prices are not readily available. Therefore, management used estimates and assumptions in determining relative standalone selling price of lease of a suite and labor service using information that includes market and other observable inputs to the extent possible.</w:t>
      </w:r>
    </w:p>
    <w:p>
      <w:pPr>
        <w:spacing w:after="0" w:line="143"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The Company leases certain furniture and equipment that has a lease term of 12 months or less. Since the commencement date does not include an option to purchase the underlying asset, the Company elected not to apply the recognition requirements of Topic 842 for short-term leases, however, the lease costs that pertain to the short-term leases are disclosed in the components of lease costs table below.</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the Company’s right-of-use asset and lease liabilities was as follows:</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500" w:type="dxa"/>
            <w:vAlign w:val="bottom"/>
            <w:gridSpan w:val="6"/>
          </w:tcPr>
          <w:p>
            <w:pPr>
              <w:jc w:val="center"/>
              <w:ind w:left="510"/>
              <w:spacing w:after="0"/>
              <w:rPr>
                <w:sz w:val="20"/>
                <w:szCs w:val="20"/>
                <w:color w:val="auto"/>
              </w:rPr>
            </w:pPr>
            <w:r>
              <w:rPr>
                <w:rFonts w:ascii="Arial" w:cs="Arial" w:eastAsia="Arial" w:hAnsi="Arial"/>
                <w:sz w:val="18"/>
                <w:szCs w:val="18"/>
                <w:b w:val="1"/>
                <w:bCs w:val="1"/>
                <w:color w:val="auto"/>
                <w:w w:val="95"/>
              </w:rPr>
              <w:t>March 31, 2020  December 31, 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0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9,305</w:t>
            </w:r>
          </w:p>
        </w:tc>
        <w:tc>
          <w:tcPr>
            <w:tcW w:w="700" w:type="dxa"/>
            <w:vAlign w:val="bottom"/>
            <w:gridSpan w:val="2"/>
            <w:shd w:val="clear" w:color="auto" w:fill="CCEEFF"/>
          </w:tcPr>
          <w:p>
            <w:pPr>
              <w:jc w:val="center"/>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Operating lease liabilities</w:t>
            </w: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portion included in current liabilities</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long-term portion included in non-current liabilities</w:t>
            </w:r>
          </w:p>
        </w:tc>
        <w:tc>
          <w:tcPr>
            <w:tcW w:w="6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lease liabilities</w:t>
            </w:r>
          </w:p>
        </w:tc>
        <w:tc>
          <w:tcPr>
            <w:tcW w:w="6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92"/>
        <w:spacing w:after="0" w:line="277" w:lineRule="auto"/>
        <w:rPr>
          <w:sz w:val="20"/>
          <w:szCs w:val="20"/>
          <w:color w:val="auto"/>
        </w:rPr>
      </w:pPr>
      <w:r>
        <w:rPr>
          <w:rFonts w:ascii="Arial" w:cs="Arial" w:eastAsia="Arial" w:hAnsi="Arial"/>
          <w:sz w:val="18"/>
          <w:szCs w:val="18"/>
          <w:color w:val="auto"/>
        </w:rPr>
        <w:t>The components of lease expenses, which were included in Total expenses in the Company’s condensed consolidated statement of operations, were as follows: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w w:val="93"/>
              </w:rPr>
              <w:t>For the 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4"/>
          </w:tcPr>
          <w:p>
            <w:pPr>
              <w:jc w:val="right"/>
              <w:ind w:right="9"/>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Variable lease cost</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1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ind w:left="80"/>
              <w:spacing w:after="0"/>
              <w:rPr>
                <w:sz w:val="20"/>
                <w:szCs w:val="20"/>
                <w:color w:val="auto"/>
              </w:rPr>
            </w:pPr>
            <w:r>
              <w:rPr>
                <w:rFonts w:ascii="Arial" w:cs="Arial" w:eastAsia="Arial" w:hAnsi="Arial"/>
                <w:sz w:val="18"/>
                <w:szCs w:val="18"/>
                <w:color w:val="auto"/>
              </w:rPr>
              <w:t>Total lease cost</w:t>
            </w:r>
          </w:p>
        </w:tc>
        <w:tc>
          <w:tcPr>
            <w:tcW w:w="18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92"/>
        <w:spacing w:after="0" w:line="277" w:lineRule="auto"/>
        <w:rPr>
          <w:sz w:val="20"/>
          <w:szCs w:val="20"/>
          <w:color w:val="auto"/>
        </w:rPr>
      </w:pPr>
      <w:r>
        <w:rPr>
          <w:rFonts w:ascii="Arial" w:cs="Arial" w:eastAsia="Arial" w:hAnsi="Arial"/>
          <w:sz w:val="18"/>
          <w:szCs w:val="18"/>
          <w:color w:val="auto"/>
        </w:rPr>
        <w:t>Variable lease cost is determined based on performance or usage in accordance with the contractual agreements, and not based on an index or rate.</w:t>
      </w:r>
    </w:p>
    <w:p>
      <w:pPr>
        <w:spacing w:after="0" w:line="130" w:lineRule="exact"/>
        <w:rPr>
          <w:sz w:val="20"/>
          <w:szCs w:val="20"/>
          <w:color w:val="auto"/>
        </w:rPr>
      </w:pPr>
    </w:p>
    <w:p>
      <w:pPr>
        <w:ind w:right="60" w:firstLine="492"/>
        <w:spacing w:after="0" w:line="257" w:lineRule="auto"/>
        <w:rPr>
          <w:sz w:val="20"/>
          <w:szCs w:val="20"/>
          <w:color w:val="auto"/>
        </w:rPr>
      </w:pPr>
      <w:r>
        <w:rPr>
          <w:rFonts w:ascii="Arial" w:cs="Arial" w:eastAsia="Arial" w:hAnsi="Arial"/>
          <w:sz w:val="18"/>
          <w:szCs w:val="18"/>
          <w:color w:val="auto"/>
        </w:rPr>
        <w:t>Cash paid for amounts included in the measurement of lease liabilities for the three months ended March 31, 2020 and 2019 were $2.2 million and $1.4 million, respectively, and were included in Net cash provided by operating activities in its condensed consolidated statement of cash flows. During the three months ended March 31, 2020 and 2019, the Company increased operating lease right-of-use assets by $0.5 million and $1.0 million, respectively, and operating lease liability by $0.01 million and $1.0 million, respectively, as a result of lease modifications.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2020, the maturities of the Company’s operating lease liabilities were as follows (in thousands):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b w:val="1"/>
                <w:bCs w:val="1"/>
                <w:color w:val="auto"/>
              </w:rPr>
              <w:t>CMO</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Facility</w:t>
            </w:r>
          </w:p>
        </w:tc>
        <w:tc>
          <w:tcPr>
            <w:tcW w:w="1000" w:type="dxa"/>
            <w:vAlign w:val="bottom"/>
            <w:gridSpan w:val="3"/>
          </w:tcPr>
          <w:p>
            <w:pPr>
              <w:ind w:left="200"/>
              <w:spacing w:after="0"/>
              <w:rPr>
                <w:sz w:val="20"/>
                <w:szCs w:val="20"/>
                <w:color w:val="auto"/>
              </w:rPr>
            </w:pPr>
            <w:r>
              <w:rPr>
                <w:rFonts w:ascii="Arial" w:cs="Arial" w:eastAsia="Arial" w:hAnsi="Arial"/>
                <w:sz w:val="18"/>
                <w:szCs w:val="18"/>
                <w:b w:val="1"/>
                <w:bCs w:val="1"/>
                <w:color w:val="auto"/>
                <w:w w:val="86"/>
              </w:rPr>
              <w:t>embedded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5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leases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leases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4,123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10,195</w:t>
            </w: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adjustment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r>
        <w:trPr>
          <w:trHeight w:val="209"/>
        </w:trPr>
        <w:tc>
          <w:tcPr>
            <w:tcW w:w="5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Operating lease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9,519</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92"/>
        <w:spacing w:after="0" w:line="255"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the date of adoption of Topic 842. As of March 31, 2020, the weighted average remaining lease term is 1.73 years and the weighted average discount rate used to determine the operating lease liabilities was 7.5%. As of March 31, 2020, the Company has a finance lease for the commercial manufacturing facility that has not yet commenced. This finance lease will commence in December 2020 with a lease term of 20 years.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189" w:lineRule="exact"/>
        <w:rPr>
          <w:sz w:val="20"/>
          <w:szCs w:val="20"/>
          <w:color w:val="auto"/>
        </w:rPr>
      </w:pPr>
    </w:p>
    <w:p>
      <w:pPr>
        <w:ind w:right="180" w:firstLine="492"/>
        <w:spacing w:after="0" w:line="269" w:lineRule="auto"/>
        <w:rPr>
          <w:sz w:val="20"/>
          <w:szCs w:val="20"/>
          <w:color w:val="auto"/>
        </w:rPr>
      </w:pPr>
      <w:r>
        <w:rPr>
          <w:rFonts w:ascii="Arial" w:cs="Arial" w:eastAsia="Arial" w:hAnsi="Arial"/>
          <w:sz w:val="17"/>
          <w:szCs w:val="17"/>
          <w:color w:val="auto"/>
        </w:rPr>
        <w:t>On September 14, 2017, the Company entered into a three-year consulting agreement with Iain Dukes, D. Phil, the Chairman of the Board of Directors. As compensation for his consulting services, the Company granted Dr. Dukes a stock option to purchase up to 150,000 shares of the Company’s common stock, at an exercise price of $7.30 per share. Under the consulting agreement, Dr. Dukes agreed to provide the Company with services regarding business development opportunities, licensing transactions and technology acquisitions by the Company, and any such strategic initiatives appropriate for the Company that Dr. Dukes may identify. The granted stock options vest in 12 quarterly installments (with 1/12th of the option shares having vested on the date of grant). The vesting of the granted stock options will accelerate, and the entire award will become fully vested upon the closing of a significant licensing transaction, a material product acquisition, a material strategic transaction, or upon a change of control transaction. The Company recognized $0.1 million and $0.1 million in stock-based compensation expense related to this consulting agreement during the three months ended March 31, 2020 and 2019, respectively. In addition, in connection with the adoption of ASC 2018-07, the Company recognized $0.3 million to retained earnings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80" w:firstLine="492"/>
        <w:spacing w:after="0" w:line="287" w:lineRule="auto"/>
        <w:rPr>
          <w:sz w:val="20"/>
          <w:szCs w:val="20"/>
          <w:color w:val="auto"/>
        </w:rPr>
      </w:pPr>
      <w:r>
        <w:rPr>
          <w:rFonts w:ascii="Arial" w:cs="Arial" w:eastAsia="Arial" w:hAnsi="Arial"/>
          <w:sz w:val="16"/>
          <w:szCs w:val="16"/>
          <w:i w:val="1"/>
          <w:iCs w:val="1"/>
          <w:color w:val="auto"/>
        </w:rPr>
        <w:t>The management’s discussion and analysis of financial condition as of March 31, 2020 and results of operations for the three months ended March 31, 2020, should be read in conjunction with management’s discussion and analysis of financial condition and results of operations included in our Annual Report on Form 10-K for the year ended December 31, 2019 which was filed with the Securities and Exchange Commission, or SEC, on February 25, 2020. Our discussion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including those set forth under the “Business” section of our Annual Report on Form 10-K and elsewhere in this and other reports we file with the SEC. We use words such as “anticipate,” “estimate,” “plan,” “project,” “continuing,” “ongoing,” “expect,” “believe,” “intend,” “may,” “will,” “should,” “could,” and similar expressions to identify forward-looking statements. All forward-looking statements included in this report are based on information available to us on the date hereof and, except as required by law, we assume no obligation to update any such forward-looking statements. Unless the context requires otherwise, references in this Quarterly Report on Form 10-Q to “Iovance,” “we,” “us” and “our” refer to Iovance Biotherapeutics, Inc. and our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We are a clinical-stage biopharmaceutical company focused on the development and commercialization of cell therapies as novel cancer immunotherapy products designed to harness the power of a patient’s own immune system to eradicate cancer cells. Tumor infiltrating lymphocyte, or TIL, therapy is an autologous cell therapy platform technology that was originally developed by the National Cancer Institute, or NCI, which conducted initial clinical trials in diseases such as metastatic melanoma and cervical cancer. We have developed a new, shorter manufacturing process for TIL known as Generation 2, or Gen 2, which yields a cryopreserved TIL product. This proprietary and scalable manufacturing method is being further investigated in multiple indications. Our lead product candidates include lifileucel for metastatic melanoma and LN-145 for metastatic cervical cancer. In addition to metastatic melanoma and metastatic cervical cancer, we are investigating the effectiveness and safety of TIL for the treatment of squamous cell carcinoma of the head and neck, non-small cell lung cancer, and peripheral blood lymphocyte, or PBL, therapy for chronic lymphocytic leukemia through our sponsored trials, as well as in other oncology indications through collaborations.</w:t>
      </w:r>
    </w:p>
    <w:p>
      <w:pPr>
        <w:spacing w:after="0" w:line="168"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are conducting a Phase 2 clinical trial, C-144-01, of our lead product candidate, lifileucel, for the treatment of metastatic melanoma. This multicenter pivotal trial enrolled patients with melanoma whose disease has progressed following treatment with at least one systemic therapy, including a PD-1 inhibitor and if BRAF mutated, a BRAF inhibitor, or a combination of BRAF and MEK inhibitors. Cohort 4 of the C-144-01 clinical trial is a single-arm cohort intended to be used for the registration of lifileucel. The C-144-01 trial uses our proprietary Gen 2 manufacturing process. We completed and closed enrollment of patients into Cohort 2 of the C-144-01 trial in 2018. We announced that the last patient was dosed in pivotal Cohort 4 of this trial in January 2020. Cohort 4 was enrolled with a prospective definition of objective response rate, or ORR, read out by an Independent Review Committee, or IRC, as the primary endpoint based on our interpretation of discussions with the U.S. Food and Drug Administration, or FDA. In October 2018, we announced that lifileucel had received a Regenerative Medicine Advanced Therapy, or RMAT, designation from the FDA. Updated results from Cohort 2 of the C-144-01 clinical trial were initially reported at the American Society of Clinical Oncology, or ASCO, annual meeting on June 1, 2019 and subsequently updated at the Society for Immunotherapy of Cancer, or SITC, annual meeting in November 2019. In 66 patients with metastatic melanoma, treatment with lifileucel resulted in an ORR of 36%, as assessed by investigator, with 2 complete responses and 22 partial responses. The disease control rate, or DCR, was 80%. Patients were heavily pretreated and had a mean of 3.3 prior therapies. For both the ASCO and SITC updates, the median duration of response, or DOR, had not been reached. In January 2020, with a median follow up of 15.5 months for Cohort 2 patients, the median DOR has not been reached per investigator assessment. The adverse event profile was generally consistent with the underlying advanced disease and the profile of the lymphodepletion and IL-2 regimens.</w:t>
      </w:r>
    </w:p>
    <w:p>
      <w:pPr>
        <w:spacing w:after="0" w:line="191"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are also conducting a Phase 2 clinical trial, C-145-04, which is a multicenter pivotal trial that will assess the safety and efficacy of LN-145 for the treatment of patients with recurrent, metastatic or persistent cervical cancer. In February 2019, LN-145 received Fast Track designation from the FDA for development in the treatment of cervical cancer with disease progression on or after chemotherapy. In March 2019, the protocol for this trial was amended to modify the primary endpoint of ORR to be determined by IRC. In May 2019, LN-145 received Breakthrough Therapy designation, or BTD, from the FDA for the development in the treatment of cervical cancer. Updated results from the C-145-04 clinical trial were reported at the ASCO annual meeting on June 1, 2019. In 27 patients with metastatic cervical cancer, treatment with LN-145 resulted in an ORR of 44%. At the time of study data cut, there were 3 complete responses and 9 partial responses. The DCR was 85%. Patients were heavily pretreated and had a mean of 2.4 prior therapies. The DOR had not been reached. The adverse event profile was generally consistent with the underlying advanced disease</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and the profile of the lymphodepletion and IL-2 regimens. Based on an End of Phase 2 meeting held with the FDA in June 2019, the FDA has acknowledged that results from the C-145-04 clinical trial may be sufficient to support registration of LN-145 for the treatment of patients with metastatic cervical cancer. In accordance with the FDA’s recommendations, the protocol was amended to further define the patient population. In November 2019, in order to position LN-145 for potential future use in broader lines of therapy in cervical cancer, we have further amended the C-145-04 trial to collect additional data on early-line patients as well as late-line patients by adding additional cohorts, in anticipation of a changing landscape in this indication, including Cohort 2 for patients that had previously received anti-PD-1 therapy. These additional cohorts also allow access to TIL therapy when the pivotal Cohort 1 is completed and also may support a request from FDA to provide expanded access to LN-145.</w:t>
      </w:r>
    </w:p>
    <w:p>
      <w:pPr>
        <w:spacing w:after="0" w:line="178"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C-145-03 is our ongoing Phase 2, multicenter trial that we are conducting to assess the safety and efficacy of LN-145 for the treatment of patients with recurrent metastatic squamous cell carcinoma of the head and neck. In October 2018, we reported that, to date, preliminary data for 13 patients in the C-145-03 clinical trial yielded an ORR of 31% with a DOR ranging from 2.8 to 7.6 months. The adverse event profile remained consistent with previous reports. We continue to enroll patients in this study. We have redesigned our C-145-03 trial to include multiple cohorts, in order to allow for dosing of TIL therapies produced by multiple manufacturing methods, including our Gen 2 manufacturing process, our Generation 3, or Gen 3, manufacturing process, and our PD-1 selected TIL manufacturing process. Our PD-1 selected TIL manufacturing process is referred to as LN-145-S1.</w:t>
      </w:r>
    </w:p>
    <w:p>
      <w:pPr>
        <w:spacing w:after="0" w:line="177"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We are also investigating the potential of our TIL therapies in earlier lines of treatment and in combination with pembrolizumab, and are studying LN-145 as a monotherapy in relapsed refractory non-small cell lung cancer, or NSCLC, patients. IOV-COM-202 is a Phase 2, multicenter trial that is composed of five cohorts which can enroll up to a total of 75 patients. In May 2019, we reported that the first patient was dosed in the IOV-COM-202 trial. In Cohort 1A, we are enrolling unresectable or metastatic melanoma patients who have not received prior immunotherapy, including checkpoint inhibitors such as anti-PD-1/anti-PD-L1 therapy. The patients receive lifileucel in combination with pembrolizumab. In Cohort 2A, we are enrolling advanced, recurrent, or metastatic head and neck squamous cell carcinoma patients who are naïve to prior immunotherapy including anti-PD-1/anti-PD-L1 therapy. The patients will receive LN-145 in combination with pembrolizumab. Cohort 3A is enrolling advanced or metastatic NSCLC patients who are naïve to prior immunotherapy including anti-PD-1/anti-PD-L1 therapy. The patients in Cohort 3A will receive LN-145 in combination with pembrolizumab. In Cohort 3B, we are enrolling NSCLC patients who have previously received systemic therapy which could include checkpoint inhibitors. The patients are receiving LN-145. In February 2020, we announced the addition of Cohort 1B to the IOV-COM-202 trial, for patients with melanoma whose disease has progressed following treatment with at least one systemic therapy, including a PD-1 inhibitor and if BRAF mutated, a BRAF inhibitor, or a combination of BRAF and MEK inhibitors. The patients will receive LN-145-S1. In addition to its ongoing enrollment in the U.S., the IOV-COM-202 trial has also received regulatory approval in Canada and in certain European countries.</w:t>
      </w:r>
    </w:p>
    <w:p>
      <w:pPr>
        <w:spacing w:after="0" w:line="182"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In November 2019, we announced that our investigational new drug application, or IND, for our PBL therapy, IOV-2001, was approved by the FDA and our sponsored clinical trial using this therapy, IOV-CLL-01, was cleared to proceed. IOV-2001 is a non-genetically modified, polyclonal T cell product that is manufactured using a nine-day process from 50 mL of patient’s blood. IOV-CLL-01 is Phase 1/2 clinical trial evaluating the safety and efficacy of IOV-2001 in patients with relapsed or refractory chronic lymphocytic leukemia or small lymphocytic leukemia. The IOV-CLL-01 trial is expected to enroll up to approximately 70 patients.</w:t>
      </w:r>
    </w:p>
    <w:p>
      <w:pPr>
        <w:spacing w:after="0" w:line="17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As part of our collaboration program with the MD Anderson Cancer Center, or MDACC, two Phase 2 trials were initiated in 2018. Both trials are sponsored by MDACC. The first trial, NCT03449108, is intended to allow for investigation of LN-145 manufactured by Iovance using our manufacturing processes to treat patients with soft tissue sarcoma, osteosarcoma and platinum resistant ovarian cancer. A second trial under the collaboration with MDACC, NCT03610490, is active as well. This trial is treating patients with platinum resistant ovarian cancer, pancreatic and colorectal cancer. This trial uses TIL manufactured by MDACC using urelumab, a 4-1BB agonistic antibody, as part of the manufacturing process. The data obtained using this manufacturing process may not be representative of our data using our Gen 2 manufacturing process.</w:t>
      </w:r>
    </w:p>
    <w:p>
      <w:pPr>
        <w:spacing w:after="0" w:line="17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are also collaborating with Centre hospitalier de l’Université de Montreal, or CHUM, Yale University, or Yale, and Moffitt on investigator-sponsored clinical trials of TIL therapies in other indications. The clinical trials sponsored by CHUM and Moffitt use, or will use, TIL manufactured by different manufacturing processes, which may not be representative of our data using our Gen 2 manufacturing process.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Our current product candidate pipeline and selected investigator-sponsored proof-of-concept studies are summarized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254635</wp:posOffset>
            </wp:positionV>
            <wp:extent cx="6172200" cy="2657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22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8" w:lineRule="exact"/>
        <w:rPr>
          <w:sz w:val="20"/>
          <w:szCs w:val="20"/>
          <w:color w:val="auto"/>
        </w:rPr>
      </w:pPr>
    </w:p>
    <w:p>
      <w:pPr>
        <w:ind w:right="120" w:firstLine="492"/>
        <w:spacing w:after="0" w:line="286" w:lineRule="auto"/>
        <w:rPr>
          <w:sz w:val="20"/>
          <w:szCs w:val="20"/>
          <w:color w:val="auto"/>
        </w:rPr>
      </w:pPr>
      <w:r>
        <w:rPr>
          <w:rFonts w:ascii="Arial" w:cs="Arial" w:eastAsia="Arial" w:hAnsi="Arial"/>
          <w:sz w:val="17"/>
          <w:szCs w:val="17"/>
          <w:color w:val="auto"/>
        </w:rPr>
        <w:t>We have not yet generated any revenues since our formation, and we currently do not anticipate that we will generate any revenues during 2020 from the sale or licensing of our product candidates. Our ability to generate revenues in the future will depend on our ability to complete the development of our product candidates and to obtain regulatory approval for them.</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492"/>
        <w:spacing w:after="0" w:line="257" w:lineRule="auto"/>
        <w:rPr>
          <w:sz w:val="20"/>
          <w:szCs w:val="20"/>
          <w:color w:val="auto"/>
        </w:rPr>
      </w:pPr>
      <w:r>
        <w:rPr>
          <w:rFonts w:ascii="Arial" w:cs="Arial" w:eastAsia="Arial" w:hAnsi="Arial"/>
          <w:sz w:val="18"/>
          <w:szCs w:val="18"/>
          <w:color w:val="auto"/>
        </w:rPr>
        <w:t>Research and development expenses include personnel and facility-related expenses, outside contracted services including clinical trial costs, manufacturing and process development costs, research costs and other consulting services.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w:t>
      </w:r>
    </w:p>
    <w:p>
      <w:pPr>
        <w:spacing w:after="0" w:line="161" w:lineRule="exact"/>
        <w:rPr>
          <w:sz w:val="20"/>
          <w:szCs w:val="20"/>
          <w:color w:val="auto"/>
        </w:rPr>
      </w:pPr>
    </w:p>
    <w:p>
      <w:pPr>
        <w:ind w:right="60" w:firstLine="492"/>
        <w:spacing w:after="0" w:line="291" w:lineRule="auto"/>
        <w:rPr>
          <w:sz w:val="20"/>
          <w:szCs w:val="20"/>
          <w:color w:val="auto"/>
        </w:rPr>
      </w:pPr>
      <w:r>
        <w:rPr>
          <w:rFonts w:ascii="Arial" w:cs="Arial" w:eastAsia="Arial" w:hAnsi="Arial"/>
          <w:sz w:val="16"/>
          <w:szCs w:val="16"/>
          <w:color w:val="auto"/>
        </w:rPr>
        <w:t>Clinical development costs are a significant component of research and development expenses. We have a history of contracting with third parties that perform various clinical trial activities on our behalf in connection with the ongoing development of our product candidates. The financial terms of these contracts are subject to negotiations and may vary from contract to contract and may result in uneven payment flow. We accrue and expense costs for clinical trial activities performed by third parties based upon estimates of work completed to date of the individual trial in accordance with agreements established with contract research organizations and clinical trial sites. We determine our estimates through discussions with internal clinical personnel and outside service providers as to the progress or stage of completion of trials or services and the agreed upon fee to be paid for such services.</w:t>
      </w:r>
    </w:p>
    <w:p>
      <w:pPr>
        <w:spacing w:after="0" w:line="126" w:lineRule="exact"/>
        <w:rPr>
          <w:sz w:val="20"/>
          <w:szCs w:val="20"/>
          <w:color w:val="auto"/>
        </w:rPr>
      </w:pPr>
    </w:p>
    <w:p>
      <w:pPr>
        <w:ind w:right="100" w:firstLine="492"/>
        <w:spacing w:after="0" w:line="311" w:lineRule="auto"/>
        <w:rPr>
          <w:sz w:val="20"/>
          <w:szCs w:val="20"/>
          <w:color w:val="auto"/>
        </w:rPr>
      </w:pPr>
      <w:r>
        <w:rPr>
          <w:rFonts w:ascii="Arial" w:cs="Arial" w:eastAsia="Arial" w:hAnsi="Arial"/>
          <w:sz w:val="16"/>
          <w:szCs w:val="16"/>
          <w:color w:val="auto"/>
        </w:rPr>
        <w:t>We expect our research and development expenses to increase over the next couple of years as we prepare for commercial manufacturing of our products and continue to conduct our clinical trials for other indications. However, it is difficult to determine with certainty the duration and completion costs of our current or future preclinical programs and clinical trials of our product candidates.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20" w:firstLine="492"/>
        <w:spacing w:after="0" w:line="271" w:lineRule="auto"/>
        <w:rPr>
          <w:sz w:val="20"/>
          <w:szCs w:val="20"/>
          <w:color w:val="auto"/>
        </w:rPr>
      </w:pPr>
      <w:r>
        <w:rPr>
          <w:rFonts w:ascii="Arial" w:cs="Arial" w:eastAsia="Arial" w:hAnsi="Arial"/>
          <w:sz w:val="17"/>
          <w:szCs w:val="17"/>
          <w:color w:val="auto"/>
        </w:rPr>
        <w:t>General and administrative expenses consist primarily of salaries, recruiting fees, sign on, retention and special bonuses and other related costs, including stock-based compensation, for personnel in executive, finance, accounting, legal, investor relations, facilities, business development, marketing, commercial, information technology and human resources functions. Other significant costs include facility costs not otherwise included in research and development expenses, legal fees relating to corporate matters and intellectual property, insurance, public company expenses relating to maintaining compliance with Nasdaq listing rules and SEC requirements, investor relations costs, and fees for accounting and consulting services. General and administrative costs are expensed as incurred, and we accrue for services provided by third parties related to the above expenses by monitoring the status of services provided and receiving estimates from its service providers and adjusting its accruals as actual costs become known.</w:t>
      </w:r>
    </w:p>
    <w:p>
      <w:pPr>
        <w:spacing w:after="0" w:line="151"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color w:val="auto"/>
        </w:rPr>
        <w:t>We anticipate general and administrative expenses will increase in 2020 as we continue to prepare for commercialization and support an expected increase in total headcount.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results from our interest-bearing cash and short term investment balances.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generate any revenues during the three months ended March 31, 2020 or March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Research and Development expenses (in thousands)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07"/>
        </w:trPr>
        <w:tc>
          <w:tcPr>
            <w:tcW w:w="374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24"/>
                <w:szCs w:val="24"/>
                <w:color w:val="auto"/>
              </w:rPr>
            </w:pPr>
          </w:p>
        </w:tc>
        <w:tc>
          <w:tcPr>
            <w:tcW w:w="124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7"/>
              </w:rPr>
              <w:t>Increase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7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2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6"/>
              </w:rPr>
              <w:t>(Decrease)</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740" w:type="dxa"/>
            <w:vAlign w:val="bottom"/>
            <w:tcBorders>
              <w:bottom w:val="single" w:sz="8" w:color="CCEEFF"/>
            </w:tcBorders>
          </w:tcPr>
          <w:p>
            <w:pPr>
              <w:spacing w:after="0"/>
              <w:rPr>
                <w:sz w:val="18"/>
                <w:szCs w:val="18"/>
                <w:color w:val="auto"/>
              </w:rPr>
            </w:pPr>
          </w:p>
        </w:tc>
        <w:tc>
          <w:tcPr>
            <w:tcW w:w="23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CEEFF"/>
            </w:tcBorders>
          </w:tcPr>
          <w:p>
            <w:pPr>
              <w:spacing w:after="0"/>
              <w:rPr>
                <w:sz w:val="18"/>
                <w:szCs w:val="18"/>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56,952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30,905</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26,047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 expense included in research and development</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780" w:type="dxa"/>
            <w:vAlign w:val="bottom"/>
          </w:tcPr>
          <w:p>
            <w:pPr>
              <w:jc w:val="right"/>
              <w:spacing w:after="0"/>
              <w:rPr>
                <w:sz w:val="20"/>
                <w:szCs w:val="20"/>
                <w:color w:val="auto"/>
              </w:rPr>
            </w:pPr>
            <w:r>
              <w:rPr>
                <w:rFonts w:ascii="Arial" w:cs="Arial" w:eastAsia="Arial" w:hAnsi="Arial"/>
                <w:sz w:val="18"/>
                <w:szCs w:val="18"/>
                <w:color w:val="auto"/>
              </w:rPr>
              <w:t>4,318</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60 %</w:t>
            </w:r>
          </w:p>
        </w:tc>
      </w:tr>
    </w:tbl>
    <w:p>
      <w:pPr>
        <w:spacing w:after="0" w:line="202"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Research and development expense for the three months ended March 31, 2020 increased by $26.0 million, or 84%, compared to the same period in 2019. The increase was primarily attributable to (i) a $10.0 million for the license to further develop IOV-3001 obtained from Novartis, (ii) a $5.2 million increase in clinical trial costs due to an increase in enrollment across all the trials, (iii) a $5.3 million increase in payroll and related expenses driven by a higher number of full-time research and development employees, (iv) a $4.4 million increase in manufacturing costs due to increased production runs for patients and additional manufacturing capacity costs to support the ongoing clinical trials, and (v) a $1.6 million increase in stock-based compensation expenses.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General and Administrative expenses (in thousands)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48"/>
        </w:trPr>
        <w:tc>
          <w:tcPr>
            <w:tcW w:w="378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87"/>
              </w:rPr>
              <w:t>Increase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7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7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86"/>
              </w:rPr>
              <w:t>(Decrease)</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78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CEEFF"/>
            </w:tcBorders>
          </w:tcPr>
          <w:p>
            <w:pPr>
              <w:spacing w:after="0"/>
              <w:rPr>
                <w:sz w:val="18"/>
                <w:szCs w:val="18"/>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13,858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9,081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4,777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2"/>
        </w:trPr>
        <w:tc>
          <w:tcPr>
            <w:tcW w:w="612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 expense included in general and administrative</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780" w:type="dxa"/>
            <w:vAlign w:val="bottom"/>
          </w:tcPr>
          <w:p>
            <w:pPr>
              <w:jc w:val="right"/>
              <w:spacing w:after="0"/>
              <w:rPr>
                <w:sz w:val="20"/>
                <w:szCs w:val="20"/>
                <w:color w:val="auto"/>
              </w:rPr>
            </w:pPr>
            <w:r>
              <w:rPr>
                <w:rFonts w:ascii="Arial" w:cs="Arial" w:eastAsia="Arial" w:hAnsi="Arial"/>
                <w:sz w:val="18"/>
                <w:szCs w:val="18"/>
                <w:color w:val="auto"/>
              </w:rPr>
              <w:t>5,094</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Arial" w:cs="Arial" w:eastAsia="Arial" w:hAnsi="Arial"/>
                <w:sz w:val="18"/>
                <w:szCs w:val="18"/>
                <w:color w:val="auto"/>
                <w:w w:val="97"/>
              </w:rPr>
              <w:t>1,949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62 %</w:t>
            </w:r>
          </w:p>
        </w:tc>
      </w:tr>
    </w:tbl>
    <w:p>
      <w:pPr>
        <w:spacing w:after="0" w:line="20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General and administrative expenses for the three months ended March 31, 2020 increased by $4.8 million, or 53%, compared to the same period in 2019. The increase was primarily attributable to (i) a $1.9 million increase in stock-based compensation expenses driven by a higher number of full-time general and administrative employees and a higher average stock price, (ii) a $1.4 million increase in payroll and related expenses, and (iii) a $0.7 million increase in legal costs.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612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716"/>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Interest Income (in thousands)</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8"/>
        </w:trPr>
        <w:tc>
          <w:tcPr>
            <w:tcW w:w="220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24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7"/>
              </w:rPr>
              <w:t>Increase</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2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80" w:type="dxa"/>
            <w:vAlign w:val="bottom"/>
          </w:tcPr>
          <w:p>
            <w:pPr>
              <w:spacing w:after="0"/>
              <w:rPr>
                <w:sz w:val="20"/>
                <w:szCs w:val="20"/>
                <w:color w:val="auto"/>
              </w:rPr>
            </w:pPr>
          </w:p>
        </w:tc>
        <w:tc>
          <w:tcPr>
            <w:tcW w:w="1240" w:type="dxa"/>
            <w:vAlign w:val="bottom"/>
            <w:tcBorders>
              <w:bottom w:val="single" w:sz="8" w:color="auto"/>
            </w:tcBorders>
            <w:gridSpan w:val="3"/>
          </w:tcPr>
          <w:p>
            <w:pPr>
              <w:jc w:val="center"/>
              <w:ind w:left="350"/>
              <w:spacing w:after="0"/>
              <w:rPr>
                <w:sz w:val="20"/>
                <w:szCs w:val="20"/>
                <w:color w:val="auto"/>
              </w:rPr>
            </w:pPr>
            <w:r>
              <w:rPr>
                <w:rFonts w:ascii="Arial" w:cs="Arial" w:eastAsia="Arial" w:hAnsi="Arial"/>
                <w:sz w:val="18"/>
                <w:szCs w:val="18"/>
                <w:b w:val="1"/>
                <w:bCs w:val="1"/>
                <w:color w:val="auto"/>
                <w:w w:val="86"/>
              </w:rPr>
              <w:t>(Decrease)</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20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bottom w:val="single" w:sz="8" w:color="CCEEFF"/>
            </w:tcBorders>
          </w:tcPr>
          <w:p>
            <w:pPr>
              <w:spacing w:after="0"/>
              <w:rPr>
                <w:sz w:val="18"/>
                <w:szCs w:val="18"/>
                <w:color w:val="auto"/>
              </w:rPr>
            </w:pPr>
          </w:p>
        </w:tc>
      </w:tr>
      <w:tr>
        <w:trPr>
          <w:trHeight w:val="210"/>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1,215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3,036</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(1,821)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13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Net interest income decreased by $1.8 million or 60% due to interest income earned on the lower cash balance, and a decrease in interest rates for the three months ended March 31, 2020 as compared to the same period in 2019. As our cash, cash equivalents and short term investment balance decrease, we anticipate interest income to decrease.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Net Loss (in thousands)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48"/>
        </w:trPr>
        <w:tc>
          <w:tcPr>
            <w:tcW w:w="172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19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(Increase)</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6"/>
              </w:rPr>
              <w:t>March 31,</w:t>
            </w:r>
          </w:p>
        </w:tc>
        <w:tc>
          <w:tcPr>
            <w:tcW w:w="124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4"/>
              </w:rPr>
              <w:t>Decrease</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17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tcPr>
          <w:p>
            <w:pPr>
              <w:spacing w:after="0"/>
              <w:rPr>
                <w:sz w:val="18"/>
                <w:szCs w:val="18"/>
                <w:color w:val="auto"/>
              </w:rPr>
            </w:pPr>
          </w:p>
        </w:tc>
      </w:tr>
      <w:tr>
        <w:trPr>
          <w:trHeight w:val="209"/>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(69,595)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(36,950)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(32,645)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34"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Net loss for the three months ended March 31, 2020 increased by $32.6 million or 88%, compared to the same period in 2019. The increase in our net loss was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and commercial preparation activities.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We have incurred losses and generated negative cash flows from operations since inception. We expect to continue to incur significant losses in 2020 and may incur significant losses and negative cash flows from operations for the foreseeable future. We have funded our operations from various public and private offerings of our equity securities (both common stock and preferred stock), from option and warrant exercises, and from interest income.</w:t>
      </w:r>
    </w:p>
    <w:p>
      <w:pPr>
        <w:spacing w:after="0" w:line="18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On December 28, 2017, we filed a shelf registration statement with the SEC for the issuance of common stock, preferred stock, warrants, rights, debt securities and units up to an aggregate amount of $250 million, which we refer to as the 2017 Shelf Registration Statement. The 2017 Shelf Registration Statement was declared effective on January 19, 2018. On January 29, 2018, we sold 15,000,000 shares of our common stock at a public offering price of $11.50 per share pursuant to the 2017 Shelf Registration Statement. We received gross proceeds of approximately $172.5 million and net proceeds of approximately $162.0 million, after deducting underwriting discounts and offering expenses. The 2017 Shelf Registration Statement was terminated upon effectiveness of the 2018 Shelf Registration Statement (as discussed below).</w:t>
      </w:r>
    </w:p>
    <w:p>
      <w:pPr>
        <w:spacing w:after="0" w:line="12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On September 7, 2018, we filed a shelf registration statement with the SEC for the issuance of common stock, preferred stock, warrants, rights, debt securities and units up to an aggregate amount of $250 million, which we refer to as the 2018 Shelf Registration Statement. The 2018 Shelf Registration Statement was declared effective on October 3, 2018 and the aggregate amount of securities we could issue thereunder was subsequently increased by $50 million through a post-effective amendment that we filed on October 11, 2018, pursuant to Rule 462(b) of the Securities Act. On October 17, 2018, we sold 25,300,000 shares of our common stock at a public offering price of $9.97 per share pursuant to the 2018 Shelf Registration Statement. We received gross proceeds of approximately $252.2 million and net proceeds of $236.7 million, after deducting underwriting discounts and offering expenses. The 2018 Shelf Registration Statement is no longer available for future offerings.</w:t>
      </w:r>
    </w:p>
    <w:p>
      <w:pPr>
        <w:spacing w:after="0" w:line="111"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On September 17, 2019, we filed a shelf registration statement with the SEC for the issuance of common stock, preferred stock, warrants, rights, debt securities and units up to an aggregate amount of $400 million, which we refer to as the 2019 Shelf Registration Statement. The 2019 Shelf Registration Statement was declared effective on September 24, 2019. We have not yet sold any securities pursuant to the 2019 Shelf Registration Statement.</w:t>
      </w:r>
    </w:p>
    <w:p>
      <w:pPr>
        <w:spacing w:after="0" w:line="119"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In the future, we may periodically offer one or more of these securities in amounts, prices and terms to be announced when and if the securities are offered. If any of the securities covered by the 2019 Shelf Registration Statement are offered for sale, a prospectus supplement will be prepared and filed with the SEC containing specific information about the terms of such offering at that time.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2020 from the sale or licensing of any products. We have incurred a net loss of $69.6 million for the three months ended March 31, 2020 and used $65.3 million of cash in our operating activities for the three months ended March 31, 2020. As of March 31, 2020, we had $52.5 million of cash and cash equivalents, $193.1 million of short-term investments, $5.5 million of restricted cash, $243.3 million of stockholders’ equity and had working capital of $216.8 million.</w:t>
      </w:r>
    </w:p>
    <w:p>
      <w:pPr>
        <w:spacing w:after="0" w:line="178"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We expect to continue our research and development activities, initiate pre-commercial activities and to begin construction on our tenant improvements to our new production facility, which will increase the amount of cash we will use during 2020 and beyond. Specifically, we expect continued spending on clinical trials, research and development activities, higher payroll expenses as we increase our professional, commercial and scientific staff and continue our expansion of manufacturing activities including building our own facility. Based on the funds we have available as of the date of filing of this Quarterly Report on Form 10-Q, and after consideration of the possible impacts of the COVID-19 Pandemic, we believe that we have sufficient capital to fund our anticipated operating expenses and capital expenditure for at least 12 months from the date of filing this report. We have latitude as to the timing and amount of expenditures for our commercial-scale production facility under construction in Philadelphia, Pennsylvania.</w:t>
      </w:r>
    </w:p>
    <w:p>
      <w:pPr>
        <w:spacing w:after="0" w:line="16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summarizes our cash flows for the periods presented from Operating, Investing and Financing Activities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3"/>
              </w:rPr>
              <w:t>Three Months Ended March 31,</w:t>
            </w:r>
          </w:p>
        </w:tc>
      </w:tr>
      <w:tr>
        <w:trPr>
          <w:trHeight w:val="209"/>
        </w:trPr>
        <w:tc>
          <w:tcPr>
            <w:tcW w:w="6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Operating activities</w:t>
            </w:r>
          </w:p>
        </w:tc>
        <w:tc>
          <w:tcPr>
            <w:tcW w:w="146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(65,292)</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(29,090)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16"/>
        </w:trPr>
        <w:tc>
          <w:tcPr>
            <w:tcW w:w="6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Financing activities</w:t>
            </w:r>
          </w:p>
        </w:tc>
        <w:tc>
          <w:tcPr>
            <w:tcW w:w="1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38,646</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(28,059)</w:t>
            </w:r>
          </w:p>
        </w:tc>
      </w:tr>
      <w:tr>
        <w:trPr>
          <w:trHeight w:val="20"/>
        </w:trPr>
        <w:tc>
          <w:tcPr>
            <w:tcW w:w="6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Net cash used in operating activities for the three months ended March 31, 2020 was $65.3 million compared to $29.1 million for the same period in 2019. The increase of $36.2 million was primarily due to increased costs in research and development activities. Included in $65.3 million used in 2020 was the $10.0 million upfront payment we paid for IOV-3001.</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Net cash provided by investing activities for the three months ended March 31, 2020 was $100.1 million compared to $1.0 million for the same period in 2019. The increase of $99.1 million was primarily due to the timing of maturities and purchases of short-term investments.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Net cash provided by financing activities for the three months ended March 31, 2020 was $3.8 million. Net cash used for the same period in 2019 was nil. The increase of $3.8 million was primarily due to cash proceeds received from the exercise of stock options.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CARES Act</w:t>
      </w:r>
    </w:p>
    <w:p>
      <w:pPr>
        <w:spacing w:after="0" w:line="225"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 CARES Act, among other things, permits net operating losses, or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are currently evaluating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2020, we had no obligations that would require disclosure as off-balance sheet arrangements.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and Recent Accounting Standards</w:t>
      </w:r>
    </w:p>
    <w:p>
      <w:pPr>
        <w:spacing w:after="0" w:line="22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See Note 2 of the financial statements for a discussion of our significant accounting policies, including the discussion of recently issued and adopted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exposure to market risk is limited primarily to interest income sensitivity, which is affected by changes in the general level of U.S. interest rates, particularly because a significant portion of our investments are in interest bearing cash accounts consisting of short-term debt securities issued by the U.S. government. The primary objective of our investment activities is to preserve principal. We adhere to an investment policy that requires us to limit amounts invested in securities based on credit rating, maturity, industry group and investment type and issuer, except for securities issued by the U.S. government. We do not have any derivative financial instruments or foreign currency instruments. At March 31, 2020, we had $193.1 million invested in short-term marketable securities with a maturity date of less than one year. As such we believe that we are not exposed to any material market risk. If interest rates had varied by 1% in the three months ended March 31, 2020, the fair value of our investment portfolio would increase or decrease by approximately $0.6 million.</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6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 on Form 10-Q.</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2" w:lineRule="exact"/>
        <w:rPr>
          <w:sz w:val="20"/>
          <w:szCs w:val="20"/>
          <w:color w:val="auto"/>
        </w:rPr>
      </w:pPr>
    </w:p>
    <w:p>
      <w:pPr>
        <w:jc w:val="both"/>
        <w:ind w:right="240" w:firstLine="492"/>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quarter ended March 31, 2020 that have materially affected, or are reasonably likely to materially affect, our internal control over financial reporting.</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u w:val="single" w:color="auto"/>
          <w:color w:val="auto"/>
        </w:rPr>
        <w:t>Class Action Lawsuit</w:t>
      </w:r>
      <w:r>
        <w:rPr>
          <w:rFonts w:ascii="Arial" w:cs="Arial" w:eastAsia="Arial" w:hAnsi="Arial"/>
          <w:sz w:val="16"/>
          <w:szCs w:val="16"/>
          <w:color w:val="auto"/>
        </w:rPr>
        <w:t xml:space="preserve">. On April 10, 2017, the SEC announced settlements with us and with other public companies and unrelated parties in the </w:t>
      </w:r>
      <w:r>
        <w:rPr>
          <w:rFonts w:ascii="Arial" w:cs="Arial" w:eastAsia="Arial" w:hAnsi="Arial"/>
          <w:sz w:val="16"/>
          <w:szCs w:val="16"/>
          <w:i w:val="1"/>
          <w:iCs w:val="1"/>
          <w:color w:val="auto"/>
        </w:rPr>
        <w:t>In the Matter of Certain Stock Promotion</w:t>
      </w:r>
      <w:r>
        <w:rPr>
          <w:rFonts w:ascii="Arial" w:cs="Arial" w:eastAsia="Arial" w:hAnsi="Arial"/>
          <w:sz w:val="16"/>
          <w:szCs w:val="16"/>
          <w:color w:val="auto"/>
        </w:rPr>
        <w:t xml:space="preserve"> investigation. Our settlement with the SEC is consistent with our previous disclosures (including in our Annual Report on Form 10-K that we filed with the SEC on March 9, 2017). On April 14, 2017, a purported shareholder filed a complaint seeking class action status in the United States District Court, Northern District of California for violations of the federal securities laws (</w:t>
      </w:r>
      <w:r>
        <w:rPr>
          <w:rFonts w:ascii="Arial" w:cs="Arial" w:eastAsia="Arial" w:hAnsi="Arial"/>
          <w:sz w:val="16"/>
          <w:szCs w:val="16"/>
          <w:i w:val="1"/>
          <w:iCs w:val="1"/>
          <w:color w:val="auto"/>
        </w:rPr>
        <w:t>Leonard DeSilvio v. Lion Biotechnologies, Inc., et al.,</w:t>
      </w:r>
      <w:r>
        <w:rPr>
          <w:rFonts w:ascii="Arial" w:cs="Arial" w:eastAsia="Arial" w:hAnsi="Arial"/>
          <w:sz w:val="16"/>
          <w:szCs w:val="16"/>
          <w:color w:val="auto"/>
        </w:rPr>
        <w:t xml:space="preserve"> case no. 3:17cv2086) against our company and three of our former officers and directors. On April 19, 2017, a second class action complaint </w:t>
      </w:r>
      <w:r>
        <w:rPr>
          <w:rFonts w:ascii="Arial" w:cs="Arial" w:eastAsia="Arial" w:hAnsi="Arial"/>
          <w:sz w:val="16"/>
          <w:szCs w:val="16"/>
          <w:i w:val="1"/>
          <w:iCs w:val="1"/>
          <w:color w:val="auto"/>
        </w:rPr>
        <w:t>(Amra Kuc vs. Lion Biotechnologies, Inc., et al.,</w:t>
      </w:r>
      <w:r>
        <w:rPr>
          <w:rFonts w:ascii="Arial" w:cs="Arial" w:eastAsia="Arial" w:hAnsi="Arial"/>
          <w:sz w:val="16"/>
          <w:szCs w:val="16"/>
          <w:color w:val="auto"/>
        </w:rPr>
        <w:t xml:space="preserve"> case no. 3:17-cv-2188) was filed in the same court. Both complaints allege, among other things, that the defendants violated the federal securities laws by making materially false and misleading statements, or by failing to make certain disclosures, regarding the actions taken by Manish Singh, our former CEO, and our former investor relations firm that were the subject of the </w:t>
      </w:r>
      <w:r>
        <w:rPr>
          <w:rFonts w:ascii="Arial" w:cs="Arial" w:eastAsia="Arial" w:hAnsi="Arial"/>
          <w:sz w:val="16"/>
          <w:szCs w:val="16"/>
          <w:i w:val="1"/>
          <w:iCs w:val="1"/>
          <w:color w:val="auto"/>
        </w:rPr>
        <w:t>In the Matter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Stock Promotions </w:t>
      </w:r>
      <w:r>
        <w:rPr>
          <w:rFonts w:ascii="Arial" w:cs="Arial" w:eastAsia="Arial" w:hAnsi="Arial"/>
          <w:sz w:val="16"/>
          <w:szCs w:val="16"/>
          <w:color w:val="auto"/>
        </w:rPr>
        <w:t>investigation. On July 20, 2017, the plaintiff in the</w:t>
      </w:r>
      <w:r>
        <w:rPr>
          <w:rFonts w:ascii="Arial" w:cs="Arial" w:eastAsia="Arial" w:hAnsi="Arial"/>
          <w:sz w:val="16"/>
          <w:szCs w:val="16"/>
          <w:i w:val="1"/>
          <w:iCs w:val="1"/>
          <w:color w:val="auto"/>
        </w:rPr>
        <w:t xml:space="preserve"> Kuc </w:t>
      </w:r>
      <w:r>
        <w:rPr>
          <w:rFonts w:ascii="Arial" w:cs="Arial" w:eastAsia="Arial" w:hAnsi="Arial"/>
          <w:sz w:val="16"/>
          <w:szCs w:val="16"/>
          <w:color w:val="auto"/>
        </w:rPr>
        <w:t>case filed a notice to voluntarily dismiss that case. The court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entered an order dismissing the </w:t>
      </w:r>
      <w:r>
        <w:rPr>
          <w:rFonts w:ascii="Arial" w:cs="Arial" w:eastAsia="Arial" w:hAnsi="Arial"/>
          <w:sz w:val="16"/>
          <w:szCs w:val="16"/>
          <w:i w:val="1"/>
          <w:iCs w:val="1"/>
          <w:color w:val="auto"/>
        </w:rPr>
        <w:t>Kuc</w:t>
      </w:r>
      <w:r>
        <w:rPr>
          <w:rFonts w:ascii="Arial" w:cs="Arial" w:eastAsia="Arial" w:hAnsi="Arial"/>
          <w:sz w:val="16"/>
          <w:szCs w:val="16"/>
          <w:color w:val="auto"/>
        </w:rPr>
        <w:t xml:space="preserve"> complaint on July 21, 2017. On July 26, 2017, the court appointed a movant as lead plaintiff. On September 8, 2017, the lead plaintiff filed an amended complaint (</w:t>
      </w:r>
      <w:r>
        <w:rPr>
          <w:rFonts w:ascii="Arial" w:cs="Arial" w:eastAsia="Arial" w:hAnsi="Arial"/>
          <w:sz w:val="16"/>
          <w:szCs w:val="16"/>
          <w:i w:val="1"/>
          <w:iCs w:val="1"/>
          <w:color w:val="auto"/>
        </w:rPr>
        <w:t>Jay Rabkin v. Lion Biotechnologies, Inc., et al.,</w:t>
      </w:r>
      <w:r>
        <w:rPr>
          <w:rFonts w:ascii="Arial" w:cs="Arial" w:eastAsia="Arial" w:hAnsi="Arial"/>
          <w:sz w:val="16"/>
          <w:szCs w:val="16"/>
          <w:color w:val="auto"/>
        </w:rPr>
        <w:t xml:space="preserve"> case no. 3:17-cv-2086) seeking class action status that alleges, among other things, that the defendants violated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SEC investigation. On February 5, 2018, the court entered an order dismissing two of plaintiff’s six claims. As a result of mediation, on September 28, 2018, the lead plaintiff filed an unopposed motion for settlement. The court granted preliminary approval to the proposed settlement on November 30, 2018. A final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We do not expect to incur any costs or expenses in connection with this settlement.</w:t>
      </w:r>
    </w:p>
    <w:p>
      <w:pPr>
        <w:spacing w:after="0" w:line="178"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u w:val="single" w:color="auto"/>
          <w:color w:val="auto"/>
        </w:rPr>
        <w:t>Derivative Lawsuits.</w:t>
      </w:r>
      <w:r>
        <w:rPr>
          <w:rFonts w:ascii="Arial" w:cs="Arial" w:eastAsia="Arial" w:hAnsi="Arial"/>
          <w:sz w:val="17"/>
          <w:szCs w:val="17"/>
          <w:color w:val="auto"/>
        </w:rPr>
        <w:t xml:space="preserve"> 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investigation and our April 10, 2017 settlement thereof, and seeks unspecified damages on behalf of our company and injunctive relief. On March 28, 2018, a purported stockholder derivative complaint was filed by plaintiff Nazeer Khaleeluddin on our behalf,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7"/>
          <w:szCs w:val="17"/>
          <w:i w:val="1"/>
          <w:iCs w:val="1"/>
          <w:color w:val="auto"/>
        </w:rPr>
        <w:t>In the Matter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Promotions </w:t>
      </w:r>
      <w:r>
        <w:rPr>
          <w:rFonts w:ascii="Arial" w:cs="Arial" w:eastAsia="Arial" w:hAnsi="Arial"/>
          <w:sz w:val="17"/>
          <w:szCs w:val="17"/>
          <w:color w:val="auto"/>
        </w:rPr>
        <w:t>investigation and our April 10, 2017 settlement thereof and seeks unspecified damages on behalf of our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injunctive relief. On May 1, 2018, the court consolidated this case with the aforementioned purported stockholder derivative case filed by plaintiff Kevin Fong. The consolidated case is titled </w:t>
      </w:r>
      <w:r>
        <w:rPr>
          <w:rFonts w:ascii="Arial" w:cs="Arial" w:eastAsia="Arial" w:hAnsi="Arial"/>
          <w:sz w:val="17"/>
          <w:szCs w:val="17"/>
          <w:i w:val="1"/>
          <w:iCs w:val="1"/>
          <w:color w:val="auto"/>
        </w:rPr>
        <w:t>In re Iovance Biotherapeutics, Inc. Stockholder Derivative Litigation</w:t>
      </w:r>
      <w:r>
        <w:rPr>
          <w:rFonts w:ascii="Arial" w:cs="Arial" w:eastAsia="Arial" w:hAnsi="Arial"/>
          <w:sz w:val="17"/>
          <w:szCs w:val="17"/>
          <w:color w:val="auto"/>
        </w:rPr>
        <w:t xml:space="preserve"> (lead case no. 17-cv-1806). On January 28, 2020, we reached a proposed settlement with the plaintiffs. On April 24, 2020, the court granted preliminary approval for the proposed settlement. The terms of the settlement will be disseminated to shareholders as part of the notice process by May 8, 2020. If the proposed settlement is given final approval by the court, we do not expect to incur any significant costs or expenses in connection with this settlement. Based on the current stage of the litigation, and the uncertainty of final approval by the court, it is not possible to estimate the amount or range of possible loss that might result from an adverse judgment or a settlement of these matters.</w:t>
      </w:r>
    </w:p>
    <w:p>
      <w:pPr>
        <w:spacing w:after="0" w:line="18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u w:val="single" w:color="auto"/>
          <w:color w:val="auto"/>
        </w:rPr>
        <w:t>Solomon Capital, LLC.</w:t>
      </w:r>
      <w:r>
        <w:rPr>
          <w:rFonts w:ascii="Arial" w:cs="Arial" w:eastAsia="Arial" w:hAnsi="Arial"/>
          <w:sz w:val="16"/>
          <w:szCs w:val="16"/>
          <w:color w:val="auto"/>
        </w:rPr>
        <w:t xml:space="preserve"> On April 8, 2016, a lawsuit, or the First Solomon Suit, titled </w:t>
      </w:r>
      <w:r>
        <w:rPr>
          <w:rFonts w:ascii="Arial" w:cs="Arial" w:eastAsia="Arial" w:hAnsi="Arial"/>
          <w:sz w:val="16"/>
          <w:szCs w:val="16"/>
          <w:i w:val="1"/>
          <w:iCs w:val="1"/>
          <w:color w:val="auto"/>
        </w:rPr>
        <w:t>Solomon Capital, LLC, Solomon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401(K) Trust, Solomon Sharbat and Shelhav Raff v. Lion Biotechnologies, Inc</w:t>
      </w:r>
      <w:r>
        <w:rPr>
          <w:rFonts w:ascii="Arial" w:cs="Arial" w:eastAsia="Arial" w:hAnsi="Arial"/>
          <w:sz w:val="16"/>
          <w:szCs w:val="16"/>
          <w:color w:val="auto"/>
        </w:rPr>
        <w:t>. was filed by Solomon Capital, LLC, Solomon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401(k) Trust, Solomon Sharbat and Shelhav Raff, which we refer to as the Solomon Plaintiffs, against us in the Supreme Court of the State of New York, County of New York (index no. 651881/2016). The Solomon Plaintiffs allege that, between June and November 2012, they provided to us $0.1 million and that they advanced and paid on our behalf an additional $0.2 million. The complaint further alleges that we agreed to (i) provide them with promissory notes totaling $0.2 million, plus interest, (ii) issue a total of 1,110 shares to the Solomon Plaintiffs (after the 1-for-100 reverse split of our common stock effected in March 2013), and (iii) allow the Solomon</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Plaintiffs to convert the foregoing funds into our securities in the next transaction. The Solomon Plaintiffs allege that they should have been able to convert their advances and payments into shares of our common stock in the restructuring that took effect in May 2013. Based on the foregoing, the Solomon Plaintiffs allege causes for breach of contract and unjust enrichment and demand judgment against us in an unspecified amount exceeding $1.5 million, plus interest. On June 3, 2016, we filed an answer and counterclaims in the lawsuit. We have asserted counterclaims for fraudulent inducement, fraudulent misrepresentation, fraudulent concealment, breach of fiduciary duty, and breach of contract, alleging principally that the counterclaim defendants misrepresented their qualifications and failed to disclose that Solomon Sharbat was the subject of an investigation by the Financial Industry Regulatory Authority, or FINRA, that resulted in the loss of his FINRA license. In our counterclaims, we are seeking damages in an amount exceeding $0.5 million and an order rescinding any and all agreements that the plaintiffs contend entitled them to obtain shares of our stock. No trial date has been set for the First Solomon Suit.</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 xml:space="preserve">On September 27, 2019, the Solomon Plaintiffs filed a new lawsuit (through new legal counsel), or the Second Solomon Suit, titled </w:t>
      </w:r>
      <w:r>
        <w:rPr>
          <w:rFonts w:ascii="Arial" w:cs="Arial" w:eastAsia="Arial" w:hAnsi="Arial"/>
          <w:sz w:val="17"/>
          <w:szCs w:val="17"/>
          <w:i w:val="1"/>
          <w:iCs w:val="1"/>
          <w:color w:val="auto"/>
        </w:rPr>
        <w:t>Solomon Capital, LLC, Solomon Capital 401(K) Trust, Solomon Sharbat and Shelhav Raff v. Iovance Biotherapeutics, Inc., f/k/a/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Lion Biotechnologies Inc. f/k/a/ Genesis Biopharma Inc., and Manish Singh </w:t>
      </w:r>
      <w:r>
        <w:rPr>
          <w:rFonts w:ascii="Arial" w:cs="Arial" w:eastAsia="Arial" w:hAnsi="Arial"/>
          <w:sz w:val="17"/>
          <w:szCs w:val="17"/>
          <w:color w:val="auto"/>
        </w:rPr>
        <w:t>in the Supreme Court of the State of New York, County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(index no. 655668/2019). In the Second Solomon Suit, the Solomon Plaintiffs allege that they are third party beneficiaries of a “finder’s fee agreement” that prior management entered into with a third party unlicensed entity in 2012 in connection with seeking financing, that an agreement or understanding existed between us and the plaintiffs that the plaintiffs would be paid fees and commissions (in cash and stock) if they obtained financing for us, and that they directly and indirectly introduced investors to us who invested, or were willing to invest in our company. Finally, the Solomon Plaintiffs allege that they were promised a license to use our technology in Israel. The plaintiffs claim that we breached the foregoing understandings, promises and agreements and, as a result, they are entitled to certain damages. The Solomon Plaintiffs also allege that Manish Singh, our former Chief Executive Officer, committed fraud and took shares belonging to them. On February 18, 2020, we filed a removal petition and removed the Second Solomon Suit to the United States District Court for the Southern District of New York, where the case has been assigned case no. 1:20-cv-1391. We have not yet responded to the complaint in the Second Solomon Suit.</w:t>
      </w:r>
    </w:p>
    <w:p>
      <w:pPr>
        <w:spacing w:after="0" w:line="18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We intend to vigorously defend these complaints and pursue our counterclaims, as applicable. At the current stage of the litigation, in both the First Solomon Suit and the Second Solomon Suit, it is not possible to estimate the amount or range of possible loss that might result from an adverse judgment or a settlement of these matters.</w:t>
      </w:r>
    </w:p>
    <w:p>
      <w:pPr>
        <w:spacing w:after="0" w:line="184"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u w:val="single" w:color="auto"/>
          <w:color w:val="auto"/>
        </w:rPr>
        <w:t>Litigation Involving Dr. Steven Fischkoff</w:t>
      </w:r>
      <w:r>
        <w:rPr>
          <w:rFonts w:ascii="Arial" w:cs="Arial" w:eastAsia="Arial" w:hAnsi="Arial"/>
          <w:sz w:val="17"/>
          <w:szCs w:val="17"/>
          <w:color w:val="auto"/>
        </w:rPr>
        <w:t xml:space="preserve">. On June 13, 2017, in an action titled </w:t>
      </w:r>
      <w:r>
        <w:rPr>
          <w:rFonts w:ascii="Arial" w:cs="Arial" w:eastAsia="Arial" w:hAnsi="Arial"/>
          <w:sz w:val="17"/>
          <w:szCs w:val="17"/>
          <w:i w:val="1"/>
          <w:iCs w:val="1"/>
          <w:color w:val="auto"/>
        </w:rPr>
        <w:t>Steven Fischkoff v. Lion Biotechnologies, Inc. and</w:t>
      </w:r>
      <w:r>
        <w:rPr>
          <w:rFonts w:ascii="Arial" w:cs="Arial" w:eastAsia="Arial" w:hAnsi="Arial"/>
          <w:sz w:val="17"/>
          <w:szCs w:val="17"/>
          <w:color w:val="auto"/>
        </w:rPr>
        <w:t xml:space="preserve"> </w:t>
      </w:r>
      <w:r>
        <w:rPr>
          <w:rFonts w:ascii="Arial" w:cs="Arial" w:eastAsia="Arial" w:hAnsi="Arial"/>
          <w:sz w:val="17"/>
          <w:szCs w:val="17"/>
          <w:i w:val="1"/>
          <w:iCs w:val="1"/>
          <w:color w:val="auto"/>
        </w:rPr>
        <w:t>Maria Fardis</w:t>
      </w:r>
      <w:r>
        <w:rPr>
          <w:rFonts w:ascii="Arial" w:cs="Arial" w:eastAsia="Arial" w:hAnsi="Arial"/>
          <w:sz w:val="17"/>
          <w:szCs w:val="17"/>
          <w:color w:val="auto"/>
        </w:rPr>
        <w:t>, Dr. Steven Fischkoff, our former Vice President and Chief Medical Officer, filed a lawsuit against us in the Supreme Court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State of New York, County of New York. Dr. Fischkoff was dismissed by us on March 28, 2017. Dr. Fischkoff was terminated “for cause” as that term is defined in his employment agreement. In his complaint, Dr. Fischkoff alleges breaches of his employment agreement and violation of New York Labor Law for failure to pay monies purportedly owed to him, and seeks to recover amounts including severance pay and retention bonus (totaling $300,000), a prorated incentive bonus, and amounts relating to unvested options to 150,000 shares of our common stock, together with prejudgment interest, costs, expenses and attorneys’ fees. On July 5, 2017, we filed a removal petition and removed the lawsuit to the United States District Court for the Southern District of New York, where the case has been assigned case no. 1:17-cv-05041. On July 14, 2017, we filed a partial answer and counterclaims against Dr. Fischkoff, denying his allegations, and alleging breach of contract and related claims, breach of fiduciary duty, and state and federal trade secret misappropriation and related claims, and sought a temporary restraining order and preliminary injunction against Dr. Fischkoff. On July 18, 2017, the court issued a temporary restraining order against Dr. Fischkoff requiring him to return our materials, prohibiting him from disclosing or using our company materials, and granting expedited discovery. On June 25, 2018, pursuant to a stipulation between the parties, the court entered a permanent injunction prohibiting Dr. Fischkoff from disclosing, possessing, or using any of our proprietary materials or trade secrets. On July 5, 2018, the court entered an order dismissing two of Dr. Fischkoff’s claims against us and Dr. Fardis. On October 18, 2018, Dr. Fischkoff amended his complaint to assert a new claim for defamation arising from SEC filings in which we provided the information about this litigation. No trial date has been set in this matter, and the parties are currently engaged in fact discovery.</w:t>
      </w:r>
    </w:p>
    <w:p>
      <w:pPr>
        <w:spacing w:after="0" w:line="190"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We intend to vigorously defend against Dr. Fischkoff’s lawsuit and pursue our counterclaims. Based on the current stage of the litigation, it is not possible to estimate the amount or range of (i) a possible loss that might result from an adverse judgment or settlement of this action, or (ii) the potential recovery that might result from a favorable judgment or a settlement of this action.</w:t>
      </w:r>
    </w:p>
    <w:p>
      <w:pPr>
        <w:spacing w:after="0" w:line="165"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In connection with our reincorporation from Nevada to Delaware in 2017, we (as a Delaware corporation) untimely filed a post-effective amendment to adopt a Form S-8 registration statement that we filed (as a Nevada corporation) to register the shares underlying our 2011 Equity Incentive Plan. Before we filed the required post-effective amendment, options to</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as a result of the issuance of the 200,000 shares is uncertain. Accordingly, we have not made any accrual for a potential claim in our condensed consolidated financial statements.</w:t>
      </w:r>
    </w:p>
    <w:p>
      <w:pPr>
        <w:spacing w:after="0" w:line="15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may be involved, from time to time, in legal proceedings and claims arising in the ordinary course of our business. Such matters are subject to many uncertainties and outcomes are not predictable with assurance. We accrue amounts, to the extent they can be reasonably estimated, that we believe are adequate to address any liabilities related to legal proceedings and other loss contingencies that we believe will result in a probable loss. While there can be no assurances as to the ultimate outcome of any legal proceeding or other loss contingency involving us, management does not believe any pending matter will be resolved in a manner that would have a material adverse effect on our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492"/>
        <w:spacing w:after="0" w:line="255"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risks described below may not be the only ones relating to our company. Additional risks that we currently believe are immaterial may also impair our business operations. Our business, financial conditions and future prospects and the trading price of our common stock could be harmed as a result of any of these risks. Investors should also refer to the other information contained or incorporated by reference in our </w:t>
      </w:r>
      <w:hyperlink r:id="rId49">
        <w:r>
          <w:rPr>
            <w:rFonts w:ascii="Arial" w:cs="Arial" w:eastAsia="Arial" w:hAnsi="Arial"/>
            <w:sz w:val="18"/>
            <w:szCs w:val="18"/>
            <w:i w:val="1"/>
            <w:iCs w:val="1"/>
            <w:u w:val="single" w:color="auto"/>
            <w:color w:val="0000EE"/>
          </w:rPr>
          <w:t>Annual Report on Form 10-K for the year ended December 31, 2019 filed on February 25, 2020</w:t>
        </w:r>
      </w:hyperlink>
      <w:r>
        <w:rPr>
          <w:rFonts w:ascii="Arial" w:cs="Arial" w:eastAsia="Arial" w:hAnsi="Arial"/>
          <w:sz w:val="18"/>
          <w:szCs w:val="18"/>
          <w:i w:val="1"/>
          <w:iCs w:val="1"/>
          <w:color w:val="auto"/>
        </w:rPr>
        <w:t>, including our financial statements and related notes, and our other filings from time to time with the Securities and Exchange Commission or SEC.</w:t>
      </w:r>
    </w:p>
    <w:p>
      <w:pPr>
        <w:spacing w:after="0" w:line="192" w:lineRule="exact"/>
        <w:rPr>
          <w:sz w:val="20"/>
          <w:szCs w:val="20"/>
          <w:color w:val="auto"/>
        </w:rPr>
      </w:pPr>
    </w:p>
    <w:p>
      <w:pPr>
        <w:jc w:val="both"/>
        <w:ind w:firstLine="492"/>
        <w:spacing w:after="0" w:line="277" w:lineRule="auto"/>
        <w:rPr>
          <w:sz w:val="20"/>
          <w:szCs w:val="20"/>
          <w:color w:val="auto"/>
        </w:rPr>
      </w:pPr>
      <w:r>
        <w:rPr>
          <w:rFonts w:ascii="Arial" w:cs="Arial" w:eastAsia="Arial" w:hAnsi="Arial"/>
          <w:sz w:val="18"/>
          <w:szCs w:val="18"/>
          <w:i w:val="1"/>
          <w:iCs w:val="1"/>
          <w:color w:val="auto"/>
        </w:rPr>
        <w:t>We have marked with an asterisk (*) those risk factors below that reflect a substantive change from the risk factors included in our Annual Report on Form 10-K filed with the SEC on February 25,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 profitable.*</w:t>
      </w:r>
    </w:p>
    <w:p>
      <w:pPr>
        <w:spacing w:after="0" w:line="22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are a clinical-stage biotechnology company focused on the development and commercialization of novel cancer immunotherapy products designed to harness the power of a patient's own immune system to eradicate cancer. We do not have products approved for commercial sale and have not generated revenue from operations. As of March 31, 2020, we had an accumulated deficit of $640.2 million. In addition, during the three months ended March 31, 2020, we incurred a net loss of $69.6 million. Since our inception we have not generated any revenues from operations. We are preparing for the commercial launch of our products, if approved, in 2021. We do not expect to generate any meaningful product sales or royalty revenues until we have a product approved. We expect to incur significant additional operating losses in the future as we expand our development and clinical trial activities in support of demonstrating the effectiveness of our products.</w:t>
      </w:r>
    </w:p>
    <w:p>
      <w:pPr>
        <w:spacing w:after="0" w:line="192"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Our ability to achieve long-term profitability is dependent upon obtaining regulatory approvals for our products and successfully commercializing our products alone or with third parties. However, our operations may not be profitable even if any of our products under development are successfully developed and produced and thereafter commercialized.</w:t>
      </w:r>
    </w:p>
    <w:p>
      <w:pPr>
        <w:spacing w:after="0" w:line="184"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Our current line of business, and the biotechnology industry in which we operate, makes it difficult to evaluate our business plan and our prospects.</w:t>
      </w:r>
    </w:p>
    <w:p>
      <w:pPr>
        <w:spacing w:after="0" w:line="170"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We have only a limited operating history in our current line of business on which a decision to invest in our company can be based. The future of our company currently is dependent upon our ability to implement our business plan, as that business plan may be modified from time to time by our management and Board of Directors. While we believe that we have a reasonable business plan and research and development strategy, we have only a limited operating history against which we can test our plans and assumptions, and investors therefore cannot evaluate the likelihood of our success.</w:t>
      </w:r>
    </w:p>
    <w:p>
      <w:pPr>
        <w:spacing w:after="0" w:line="176"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face the problems, expenses, difficulties, complications and delays normally associated with a pre-commercial biotechnology company, many of which are beyond our control. Accordingly, our prospects should be considered in light of the risks, expenses and difficulties frequently encountered in the establishment of a new business developing technologies in an industry that is characterized by a number of market entrants and intense competition. Because of our size and limited resources, we may not possess the ability to successfully overcome many of the risks and uncertainties frequently encountered by pre-commercial companies involved in the rapidly evolving field of immunotherapy. If our research and development efforts are successful, we may also face the risks associated with the shift from development to commercialization of new products based on innovative technologies. There can be no assurance that we will be successful in developing our business.</w:t>
      </w:r>
    </w:p>
    <w:p>
      <w:pPr>
        <w:spacing w:after="0" w:line="178"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these product candidates will successfully complete development, receive regulatory approval, or be successfully commercialized.*</w:t>
      </w:r>
    </w:p>
    <w:p>
      <w:pPr>
        <w:spacing w:after="0" w:line="124"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currently have no products approved for commercial sale. We have invested a significant portion of our efforts and financial resources in the development of our current product candidates, lifileucel and LN-145 and expect that we will continue to invest heavily in our current product candidates, as well as in any future product candidates we may develop. Our business depends entirely on the successful development and commercialization of our product candidates, which may never occur. Our ability to generate revenues in the future is substantially dependent on our ability to develop, obtain regulatory approval for, and then</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successfully commercialize our product candidates. We currently generate no revenue from the sale of any products, and we may never be able to develop or commercialize a marketable product.</w:t>
      </w:r>
    </w:p>
    <w:p>
      <w:pPr>
        <w:spacing w:after="0" w:line="17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 from product sales. We cannot assure you that we will meet our timelines for our current or future clinical trials, which may be delayed or not completed for a number of reasons , including the negative impact of the COVID-19 Pandemic.</w:t>
      </w:r>
    </w:p>
    <w:p>
      <w:pPr>
        <w:spacing w:after="0" w:line="15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or regulatory approval that will allow us to successfully commercialize our product candidates. If we do not receive FDA approval with the necessary conditions to allow successful commercialization, and then successfully commercialize our product candidates, we will not be able to generate revenue from those product candidates in the United States in the foreseeable future, or at all. Any significant delays in obtaining approval for and commercializing our product candidates will have a material adverse impact on our business and financial condition.</w:t>
      </w:r>
    </w:p>
    <w:p>
      <w:pPr>
        <w:spacing w:after="0" w:line="195"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have not previously submitted a Biologics License Application, or BLA, to the FDA, or similar marketing application to comparable foreign authorities, for any product candidate, and we cannot be certain that our current or any future product candidates will be successful in clinical trials or receive regulatory approval. Furthermore, although we do not expect to submit our BLA with comparisons to existing or more established therapies and likewise do not expect FDA to base its determination with respect to product approval on such comparisons, FDA may factor these comparisons into its decision whether to approve our TIL therapies, including lifileucel for metastatic melanoma and LN-145 for metastatic cervical cancer. FDA may also consider its approvals of competing products, which may alter the treatment landscape concurrently with their review of our BLA filings, and which may lead to changes in FDA’s review requirements that have been previously communicated to us and our interpretation thereof, including changes to requirements for clinical data or clinical study design. Such changes could delay approval or necessitate withdrawal of our BLA filings.</w:t>
      </w:r>
    </w:p>
    <w:p>
      <w:pPr>
        <w:spacing w:after="0" w:line="166"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Our product candidates are susceptible to the risks of failure inherent at any stage of product development, including the appearance of unexpected adverse events or failure to achieve primary endpoints in clinical trials. Further, our product candidates may not receive regulatory approval even if they are successful in clinical trials.</w:t>
      </w:r>
    </w:p>
    <w:p>
      <w:pPr>
        <w:spacing w:after="0" w:line="184"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will depend on our ability to:</w:t>
      </w:r>
    </w:p>
    <w:p>
      <w:pPr>
        <w:spacing w:after="0" w:line="170" w:lineRule="exact"/>
        <w:rPr>
          <w:sz w:val="20"/>
          <w:szCs w:val="20"/>
          <w:color w:val="auto"/>
        </w:rPr>
      </w:pPr>
    </w:p>
    <w:p>
      <w:pPr>
        <w:ind w:left="820" w:right="540" w:hanging="320"/>
        <w:spacing w:after="0" w:line="258"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our product candidates competitively such that third-party and government reimbursement leads to broad product adoption;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a broad network of clinical sites for administration of our product;</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ind w:left="820" w:right="3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receive regulatory approval for the targeted patient population(s) and claims that are necessary or desirable for successful marketing;</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commercialize our products;</w:t>
      </w:r>
    </w:p>
    <w:p>
      <w:pPr>
        <w:spacing w:after="0" w:line="9"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product candidates through CMOs or in our own manufacturing facility in sufficient quantities and at acceptable quality and manufacturing cost to meet commercial demand at launch and thereafter;</w:t>
      </w:r>
    </w:p>
    <w:p>
      <w:pPr>
        <w:ind w:left="820" w:right="66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pharmacies, and group purchasing organizations on commercially reasonable terms;</w:t>
      </w: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 commercial sales of our product candidates;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compliance with applicable laws, regulations, and guidance specific to commercialization including interactions with health care professionals, patient advocacy groups, and communication of health care economic information to payors and formularies;</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third-party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9" w:lineRule="exact"/>
        <w:rPr>
          <w:rFonts w:ascii="Arial" w:cs="Arial" w:eastAsia="Arial" w:hAnsi="Arial"/>
          <w:sz w:val="18"/>
          <w:szCs w:val="18"/>
          <w:color w:val="auto"/>
        </w:rPr>
      </w:pPr>
    </w:p>
    <w:p>
      <w:pPr>
        <w:ind w:left="820" w:right="200" w:hanging="320"/>
        <w:spacing w:after="0" w:line="260" w:lineRule="auto"/>
        <w:tabs>
          <w:tab w:leader="none" w:pos="814"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 distribution and logistics network capable of product storage within our specifications and regulatory guidelines, and further capable of timely product delivery to commercial clinical sites;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effectively compete with other therapies or competitors; and</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following launch, assure that our product will be used as directed and that additional unexpected safety risks will not arise.</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face risks due to the need to rely on third parties, including clinical trial sites.*</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heavily reliant on third parties to conduct our clinical trials. We have a limited history of conducting clinical trials and have no experience as a company in filing and supporting the applications necessary to gain marketing approvals. Securing marketing approval requires the submission of extensive preclinical and clinical data and supporting information to regulatory authorities for each therapeutic indication to establish the product candidate’s safety, purity, and potency for that indication. Securing marketing approval also requires the submission of information about the product manufacturing process to, and inspection of manufacturing facilities and clinical trial sites by, applicable regulatory authorities. Clinical testing is expensive and can take many years to complete, and its outcome is inherently uncertain. Failure can occur at any time during the clinical trial process. As a result of the COVID-19 Pandemic, institutions and research sites that currently conduct clinical trials may not be able to return to normal clinical trial operations for some time, or may no longer choose to participate in studies in the future. As a result, clinical trials may be delayed or otherwise may be more difficult to execute in the future.</w:t>
      </w:r>
    </w:p>
    <w:p>
      <w:pPr>
        <w:spacing w:after="0" w:line="18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have recruited a team that has experience with clinical trials and in the development of preclinical assets for translation into clinical trials; however, we as a company have limited experience completing pivotal clinical trials for cell therapy products or developing preclinical immunotherapy products. In part because of this lack of experience, we cannot be certain that our ongoing pivotal clinical trials will be completed on time, if at all, will progress according to our plans or expectations, or that our planned clinical trials will be initiated or initiated in a timely manner, progress according to our plans or expectations, or be completed on time, if they are completed at all.</w:t>
      </w:r>
    </w:p>
    <w:p>
      <w:pPr>
        <w:spacing w:after="0" w:line="1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Large-scale clinical trials require significant financial and management resources, and reliance on third-party clinical investigators, contract research organizations or CROs, contract manufacturing organizations or CMOs, or consultants. Relying on third-party clinical investigators, CROs or CMOs may force us to encounter delays and challenges that are outside of our control. We rely on CMOs in the United States and Europe to manufacture TIL for use in our trials. We may not be able to demonstrate sufficient comparability between products manufactured at different facilities to allow for inclusion of the clinical results from patients treated with products from these different facilities, in our product registrations. Further, our CMOs may not be able to manufacture TIL or otherwise fulfill their obligations to us because of interruptions to their business, including the loss of their key staff or interruptions to their raw material supply.</w:t>
      </w:r>
    </w:p>
    <w:p>
      <w:pPr>
        <w:spacing w:after="0" w:line="192"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We rely on third party CROs and clinical trial sites to conduct, supervise, and monitor our clinical trials for our product candidates. We expect to continue to rely on third parties, such as CROs, clinical data management organizations, medical institutions, independent review organizations and clinical investigators, to conduct our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clinical trials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66"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clinical trial sites, and other third parties does not relieve us of these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Practices, or GLPs, as appropriate. Moreover, the FDA and comparable foreign regulatory authorities require us to comply with GCPs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(including pre-approval inspections once a BLA is filed with the FDA) of trial sponsors, clinical investigators, trial sites and certain third parties including CMOs. If we, our CROs, clinical trial sites, or other third parties fail to comply with applicable GCPs or other regulatory requirements, we or they may be subject to enforcement or other legal actions, the clinical data generated in our clinical trials may be deemed unreliable and the FDA or comparable foreign regulatory</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authorities may require us to perform additional clinical trials. We cannot assure you that upon inspection by a given regulatory authority, such regulatory authority will determine that any of our clinical trials comply with GCP regulations.</w:t>
      </w:r>
    </w:p>
    <w:p>
      <w:pPr>
        <w:spacing w:after="0" w:line="170"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that are determined to have conflicts of interest.</w:t>
      </w:r>
    </w:p>
    <w:p>
      <w:pPr>
        <w:spacing w:after="0" w:line="16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our clinical trials must be conducted with product candidates that were produced under cGMP regulations. Our failure to comply or our CMOs’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could result in enforcement actions and adverse publicity.</w:t>
      </w:r>
    </w:p>
    <w:p>
      <w:pPr>
        <w:spacing w:after="0" w:line="188"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Our CROs, clinical trial sites, and other third parties may also have relationships with other entities, some of which may be our competitors, for whom they may also be conducting clinical trials or other therapeutic development activities that could harm our competitive position. In addition, these third parties are not our employees, and except for remedies available to us under our agreements with them, we cannot control whether or not they devote sufficient time and resources to our ongoing clinical, non-clinical, and preclinical programs. If these third parties do not successfully carry out their contractual duties, meet expected deadlines or conduct our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 party service providers in the future, our business may be materially and adversely affected.</w:t>
      </w:r>
    </w:p>
    <w:p>
      <w:pPr>
        <w:spacing w:after="0" w:line="18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If any of our relationships with these third parties terminate, we may not be able to enter into arrangements or do so on commercially reasonable terms. Switching or adding additional contractors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our third-party service providers, there can be no assurance that we will not encounter similar challenges or delays in the future or that these delays or challenges will not have a material adverse impact on our business, financial condition and prospects or results of operations.</w:t>
      </w:r>
    </w:p>
    <w:p>
      <w:pPr>
        <w:spacing w:after="0" w:line="16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We also rely on other third parties to manufacture and ship our products for the clinical trials that we conduct. Any performance failure on the part of these third parties could delay clinical development or marketing approval of our product candidates or any additional product candidates or commercialization of our product candidates, if approved, producing additional losses and depriving us of potential product revenue.</w:t>
      </w:r>
    </w:p>
    <w:p>
      <w:pPr>
        <w:spacing w:after="0" w:line="187" w:lineRule="exact"/>
        <w:rPr>
          <w:sz w:val="20"/>
          <w:szCs w:val="20"/>
          <w:color w:val="auto"/>
        </w:rPr>
      </w:pPr>
    </w:p>
    <w:p>
      <w:pPr>
        <w:jc w:val="both"/>
        <w:ind w:right="220" w:firstLine="486"/>
        <w:spacing w:after="0" w:line="263"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our trials on the timelines we expect and we may be required to conduct additional clinical trials or modify current or future clinical trials based on feedback we receive from the FDA.*</w:t>
      </w:r>
    </w:p>
    <w:p>
      <w:pPr>
        <w:spacing w:after="0" w:line="184"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Clinical testing is expensive, time consuming, and subject to uncertainty. We cannot guarantee that any current or future clinical studies will be conducted as planned or completed on schedule, if at all, or that any of our product candidates will receive regulatory approval. We initiated clinical trials in patients with metastatic melanoma, cervical, head and neck and non-small cell lung cancers, and in other indications in collaboration with third parties. We have completed enrollment in the pivotal study for melanoma, C-144-01 and have not experienced any delays in this study so far. We remain on track to file the BLA by the end of 2020. We plan to initiate trials in new indications, and new cohorts in existing trials. Even as these trials progress, issues may arise that could require us to suspend or terminate such clinical trials or could cause the results of one cohort to differ from a prior cohort. For example, we may experience slower than anticipated enrollment in our pivotal clinical trials, which may consequently delay our BLA filing timelines or permit competitors to obtain approvals that may alter our BLA filing strategy. A failure of one or more clinical studies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can occur at any stage of testing, and our future clinical studies may not be successful. Events that may prevent successful or timely initiation or completion of clinical development, or product approval include:</w:t>
      </w:r>
    </w:p>
    <w:p>
      <w:pPr>
        <w:spacing w:after="0" w:line="170" w:lineRule="exact"/>
        <w:rPr>
          <w:sz w:val="20"/>
          <w:szCs w:val="20"/>
          <w:color w:val="auto"/>
        </w:rPr>
      </w:pPr>
    </w:p>
    <w:p>
      <w:pPr>
        <w:ind w:left="820" w:right="20" w:hanging="320"/>
        <w:spacing w:after="0" w:line="255"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conduct a clinical trial at a prospective trial site, or amend trial protocols, or regulators or IRBs may require that we modify or amend our clinical trial protocols;</w:t>
      </w:r>
    </w:p>
    <w:p>
      <w:pPr>
        <w:spacing w:after="0" w:line="2"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a consensus or inability to obtain agreement with regulatory agencies on study design;</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 study design or our interpretation of data from preclinical studies and clinical trials or find that a product candidate’s benefits do not outweigh its safety risks;</w:t>
      </w:r>
    </w:p>
    <w:p>
      <w:pPr>
        <w:spacing w:after="0" w:line="1" w:lineRule="exact"/>
        <w:rPr>
          <w:rFonts w:ascii="Arial" w:cs="Arial" w:eastAsia="Arial" w:hAnsi="Arial"/>
          <w:sz w:val="18"/>
          <w:szCs w:val="18"/>
          <w:color w:val="auto"/>
        </w:rPr>
      </w:pPr>
    </w:p>
    <w:p>
      <w:pPr>
        <w:ind w:left="820" w:right="4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jc w:val="both"/>
        <w:ind w:left="820" w:right="6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not allow us to use the clinical trial data from a research institution to support an IND if we cannot demonstrate the comparability of our product candidates with the product candidate used by the relevant research institution in its clinical studies;</w:t>
      </w:r>
    </w:p>
    <w:p>
      <w:pPr>
        <w:spacing w:after="0" w:line="1" w:lineRule="exact"/>
        <w:rPr>
          <w:rFonts w:ascii="Arial" w:cs="Arial" w:eastAsia="Arial" w:hAnsi="Arial"/>
          <w:sz w:val="18"/>
          <w:szCs w:val="18"/>
          <w:color w:val="auto"/>
        </w:rPr>
      </w:pPr>
    </w:p>
    <w:p>
      <w:pPr>
        <w:ind w:left="820" w:right="30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delays in or failure to reach an agreement on acceptable terms with prospective CROs and clinical study sites, the terms of which can be subject to extensive negotiation and may vary significantly among different CROs and clinical study sites;</w:t>
      </w:r>
    </w:p>
    <w:p>
      <w:pPr>
        <w:spacing w:after="0" w:line="1" w:lineRule="exact"/>
        <w:rPr>
          <w:rFonts w:ascii="Arial" w:cs="Arial" w:eastAsia="Arial" w:hAnsi="Arial"/>
          <w:sz w:val="16"/>
          <w:szCs w:val="16"/>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9" w:lineRule="exact"/>
        <w:rPr>
          <w:rFonts w:ascii="Arial" w:cs="Arial" w:eastAsia="Arial" w:hAnsi="Arial"/>
          <w:sz w:val="18"/>
          <w:szCs w:val="18"/>
          <w:color w:val="auto"/>
        </w:rPr>
      </w:pPr>
    </w:p>
    <w:p>
      <w:pPr>
        <w:ind w:left="820" w:right="6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imposition of a temporary or permanent clinical hold, suspensions or terminations by regulatory agencies, IRBs, or us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biologically or mechanistically similar therapeutic or therapeutic candidate;</w:t>
      </w:r>
    </w:p>
    <w:p>
      <w:pPr>
        <w:spacing w:after="0" w:line="2" w:lineRule="exact"/>
        <w:rPr>
          <w:rFonts w:ascii="Arial" w:cs="Arial" w:eastAsia="Arial" w:hAnsi="Arial"/>
          <w:sz w:val="16"/>
          <w:szCs w:val="16"/>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in adding new investigators or clinical trial sites, or withdrawal of clinical trial sites from a study;</w:t>
      </w:r>
    </w:p>
    <w:p>
      <w:pPr>
        <w:spacing w:after="0" w:line="9" w:lineRule="exact"/>
        <w:rPr>
          <w:rFonts w:ascii="Arial" w:cs="Arial" w:eastAsia="Arial" w:hAnsi="Arial"/>
          <w:sz w:val="18"/>
          <w:szCs w:val="18"/>
          <w:color w:val="auto"/>
        </w:rPr>
      </w:pPr>
    </w:p>
    <w:p>
      <w:pPr>
        <w:jc w:val="both"/>
        <w:ind w:left="820" w:right="12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 or change in strategic direction for an indication resulting from differences in results between cohorts in a clinical trial, such as Cohort 2 and Cohort 4 of the C-144-01 clinical trial or the previously disclosed preliminary results for the C-145-04 trial and the final patient population and results, including differences in patient population, or from different interpretations of investigator results by IRC;</w:t>
      </w:r>
    </w:p>
    <w:p>
      <w:pPr>
        <w:spacing w:after="0" w:line="1" w:lineRule="exact"/>
        <w:rPr>
          <w:rFonts w:ascii="Arial" w:cs="Arial" w:eastAsia="Arial" w:hAnsi="Arial"/>
          <w:sz w:val="18"/>
          <w:szCs w:val="18"/>
          <w:color w:val="auto"/>
        </w:rPr>
      </w:pPr>
    </w:p>
    <w:p>
      <w:pPr>
        <w:ind w:left="82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by our CROs, clinical trial sites, patients, or other third parties, or us to adhere to clinical study requirements, including regulatory, contractual or protocol requirements;</w:t>
      </w:r>
    </w:p>
    <w:p>
      <w:pPr>
        <w:ind w:left="820" w:hanging="320"/>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perform in accordance with the FDA’s cGCP requirements, or applicable regulatory guidelines in other countries;</w:t>
      </w:r>
    </w:p>
    <w:p>
      <w:pPr>
        <w:spacing w:after="0" w:line="32" w:lineRule="exact"/>
        <w:rPr>
          <w:rFonts w:ascii="Arial" w:cs="Arial" w:eastAsia="Arial" w:hAnsi="Arial"/>
          <w:sz w:val="16"/>
          <w:szCs w:val="16"/>
          <w:color w:val="auto"/>
        </w:rPr>
      </w:pPr>
    </w:p>
    <w:p>
      <w:pPr>
        <w:ind w:left="820" w:right="1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or enrollment in these clinical trials may be slower than we anticipate, potentially affecting our timelines for approval of our product candidates;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that enroll in our studies may misrepresent their eligibility or may otherwise not comply with the clinical trial protocol, resulting in the need to drop such patients from the study or clinical trial, increase the needed enrollment size for the study or clinical trial or extend the study’s or clinical trial’s duration;</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occurrence of adverse events associated with the product candidate that are viewed to outweigh its potential benefits;</w:t>
      </w:r>
    </w:p>
    <w:p>
      <w:pPr>
        <w:spacing w:after="0" w:line="20" w:lineRule="exact"/>
        <w:rPr>
          <w:rFonts w:ascii="Arial" w:cs="Arial" w:eastAsia="Arial" w:hAnsi="Arial"/>
          <w:sz w:val="17"/>
          <w:szCs w:val="17"/>
          <w:color w:val="auto"/>
        </w:rPr>
      </w:pPr>
    </w:p>
    <w:p>
      <w:pPr>
        <w:ind w:left="820" w:right="340" w:hanging="320"/>
        <w:spacing w:after="0" w:line="281"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regulatory requirements and guidance that require amending or submitting new clinical protocols to regulatory authorities and IRBs, and which may cause delays in our development programs, or changes to regulatory review times;</w:t>
      </w:r>
    </w:p>
    <w:p>
      <w:pPr>
        <w:spacing w:after="0" w:line="1" w:lineRule="exact"/>
        <w:rPr>
          <w:rFonts w:ascii="Arial" w:cs="Arial" w:eastAsia="Arial" w:hAnsi="Arial"/>
          <w:sz w:val="16"/>
          <w:szCs w:val="16"/>
          <w:color w:val="auto"/>
        </w:rPr>
      </w:pPr>
    </w:p>
    <w:p>
      <w:pPr>
        <w:ind w:left="820" w:right="3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may be regulatory questions or disagreements regarding interpretations of data and results, or new information may emerge regarding our product candidates;</w:t>
      </w:r>
    </w:p>
    <w:p>
      <w:pPr>
        <w:ind w:left="820" w:hanging="320"/>
        <w:spacing w:after="0"/>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the standard of care on which a clinical development plan was based, which may require new or additional trials;</w:t>
      </w:r>
    </w:p>
    <w:p>
      <w:pPr>
        <w:spacing w:after="0" w:line="32" w:lineRule="exact"/>
        <w:rPr>
          <w:rFonts w:ascii="Arial" w:cs="Arial" w:eastAsia="Arial" w:hAnsi="Arial"/>
          <w:sz w:val="16"/>
          <w:szCs w:val="16"/>
          <w:color w:val="auto"/>
        </w:rPr>
      </w:pPr>
    </w:p>
    <w:p>
      <w:pPr>
        <w:ind w:left="820" w:right="10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clinical studies of our product candidates being greater than we anticipate, or we may have insufficient funds for a clinical trial or to pay the substantial user fees required by the FDA upon the filing of a BLA;</w:t>
      </w:r>
    </w:p>
    <w:p>
      <w:pPr>
        <w:ind w:left="820" w:right="80" w:hanging="320"/>
        <w:spacing w:after="0" w:line="250" w:lineRule="auto"/>
        <w:tabs>
          <w:tab w:leader="none" w:pos="814"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studies of our product candidates producing negative or inconclusive results may fail to provide sufficient data and information to support product approval, or our studies may fail to reach the necessary level of statistical or clinical significance, which may result in our deciding, or regulators requiring us, to conduct additional clinical studies, or preclinical studies, or abandon product development programs;</w:t>
      </w:r>
    </w:p>
    <w:p>
      <w:pPr>
        <w:spacing w:after="0" w:line="1" w:lineRule="exact"/>
        <w:rPr>
          <w:rFonts w:ascii="Arial" w:cs="Arial" w:eastAsia="Arial" w:hAnsi="Arial"/>
          <w:sz w:val="18"/>
          <w:szCs w:val="18"/>
          <w:color w:val="auto"/>
        </w:rPr>
      </w:pPr>
    </w:p>
    <w:p>
      <w:pPr>
        <w:ind w:left="820" w:right="200" w:hanging="320"/>
        <w:spacing w:after="0" w:line="323"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early results from our clinical studies of our product candidates may be negatively affected by changes in efficacy measures such as overall response rate and duration of response as more patients are enrolled in our clinical trials or as new</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200"/>
        <w:spacing w:after="0" w:line="291" w:lineRule="auto"/>
        <w:rPr>
          <w:sz w:val="20"/>
          <w:szCs w:val="20"/>
          <w:color w:val="auto"/>
        </w:rPr>
      </w:pPr>
      <w:r>
        <w:rPr>
          <w:rFonts w:ascii="Arial" w:cs="Arial" w:eastAsia="Arial" w:hAnsi="Arial"/>
          <w:sz w:val="16"/>
          <w:szCs w:val="16"/>
          <w:color w:val="auto"/>
        </w:rPr>
        <w:t>cohorts of our clinical trials are tested, and overall response rate and duration of response may be negatively affected by the inclusion of unconfirmed responses in preliminary results that we report if such responses are not later confirmed;</w:t>
      </w:r>
    </w:p>
    <w:p>
      <w:pPr>
        <w:ind w:left="820" w:right="4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820" w:right="56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may be changes to the therapeutics or their regulatory status which we are administering in combination with our product candidates;</w:t>
      </w:r>
    </w:p>
    <w:p>
      <w:pPr>
        <w:ind w:left="820" w:right="18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or subsequently find fault with the manufacturing processes or our manufacturing facilities for clinical and future commercial supplies;</w:t>
      </w:r>
    </w:p>
    <w:p>
      <w:pPr>
        <w:ind w:left="820" w:right="80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or comparable regulatory authorities may take longer than we anticipate making a decision on our product candidates;</w:t>
      </w:r>
    </w:p>
    <w:p>
      <w:pPr>
        <w:ind w:left="82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transfer of our manufacturing processes to our CMOs or other larger-scale facilities operated by a CMO or by us and delays or failure by our CMOs or us to make any necessary changes to such manufacturing process;</w:t>
      </w:r>
    </w:p>
    <w:p>
      <w:pPr>
        <w:ind w:left="820" w:right="260" w:hanging="320"/>
        <w:spacing w:after="0" w:line="250"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use of different manufacturing processes within our clinical trials, including our Gen 1 and Gen 2 manufacturing processes, and any effects that may result from the use of different processes on the clinical data that we have reported and will report in the future; and</w:t>
      </w:r>
    </w:p>
    <w:p>
      <w:pPr>
        <w:spacing w:after="0" w:line="1" w:lineRule="exact"/>
        <w:rPr>
          <w:rFonts w:ascii="Arial" w:cs="Arial" w:eastAsia="Arial" w:hAnsi="Arial"/>
          <w:sz w:val="18"/>
          <w:szCs w:val="18"/>
          <w:color w:val="auto"/>
        </w:rPr>
      </w:pPr>
    </w:p>
    <w:p>
      <w:pPr>
        <w:ind w:left="820" w:right="420" w:hanging="320"/>
        <w:spacing w:after="0" w:line="255" w:lineRule="auto"/>
        <w:tabs>
          <w:tab w:leader="none" w:pos="814"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 including as a result of any quality issues associated with the contract manufacturer.</w:t>
      </w:r>
    </w:p>
    <w:p>
      <w:pPr>
        <w:spacing w:after="0" w:line="190"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We also may conduct clinical and preclinical research in collaboration with other academic, pharmaceutical, biotechnology and biologics entities in which we combine our technologies with those of our collaborators. Such collaborations may be subject to additional delays because of the management of the trials, contract negotiations, the need to obtain agreement from multiple parties, and the necessity of obtaining additional approvals for therapeutics used in the combination trials. These combination therapies will require additional testing and clinical trials will require additional FDA regulatory approval and will increase our future cost of expenses.</w:t>
      </w:r>
    </w:p>
    <w:p>
      <w:pPr>
        <w:spacing w:after="0" w:line="16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Any inability to successfully complete preclinical and clinical development could result in additional costs to us or impair our ability to generate revenue. In addition, if we make manufacturing changes to our product candidates, we may be required to, or we may elect to, conduct additional studies to bridge our modified product candidates to earlier versions. These changes may require the FDA approval or notification, may not have their desired effect and the FDA may not accept data from prior versions of the product to support an application, delaying our clinical trials or programs or necessitating additional clinical or preclinical studies. For example, we changed our manufacturing process from our first generation, or Gen 1 to our second generation, or Gen 2 to decrease the production time and allow for the cryopreservation of the product. We may find that this update has unintended consequences that necessitates additional development and manufacturing work, additional clinical and preclinical studies, or that results in refusal to file or non-approval of a BLA.</w:t>
      </w:r>
    </w:p>
    <w:p>
      <w:pPr>
        <w:spacing w:after="0" w:line="196"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Clinical study delays could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184"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Regulatory authorities have substantial discretion in the approval process and may refuse to accept any application or may decide that our data are insufficient for approval and require additional preclinical, clinical or other studies.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It is possible that any product candidates we may seek to develop in the future will ever obtain the appropriate regulatory approvals necessary for us or any future collaborators to commence product sales. Any delay in completing development, obtaining or failure to obtain required approvals could also materially adversely affect our ability or that of any of our collaborators to generate revenue from any such product candidate, which likely would result in significant harm to our financial position and adversely impact our stock price.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It may take longer and cost more to complete our clinical trials than we project, or we may not be able to complete them at all.*</w:t>
      </w:r>
    </w:p>
    <w:p>
      <w:pPr>
        <w:spacing w:after="0" w:line="260"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For budgeting and planning purposes, we have projected the date for the commencement of future trials, and continuation and completion of our ongoing clinical trials. However, a number of factors, including scheduling conflicts with participating clinicians and clinical institutions, and difficulties in identifying and enrolling patients who meet trial eligibility criteria, may cause significant delays. We may not commence or complete clinical trials involving any of our products as projected or may not conduct them successfully.</w:t>
      </w:r>
    </w:p>
    <w:p>
      <w:pPr>
        <w:spacing w:after="0" w:line="157"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We are currently enrolling our company-sponsored, Phase 2 clinical trials to assess its overall safety and efficacy in patients with melanoma, cervical, head and neck and lung cancers. However, we may experience difficulties in patient enrollment in our clinical trials for a variety of reasons. Our ability to enroll or treat patients in our other studies, or the duration or costs of those studies, could be affected by multiple factors, including, preliminary clinical results, which may include efficacy and safety results from our ongoing Phase 2 studies, but may not be reflected in the final analyses of these trials. For example, our studies of TIL therapy LN-145 in patients with recurrent, metastatic or persistent cervical cancers and TIL therapy lifileucel in advanced melanoma utilize an “open-label” trial design. An open-label trial is one where both the patient and investigator know whether the patient is receiving the test article or either an existing approved drug or placebo, which has the potential to create selection bias in the investigators. In our Phase 2 open-label studies of TIL therapy LN-145 in patients with recurrent, metastatic or persistent cervical cancers and TIL therapy lifileucel in metastatic melanoma, the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regimes. As the trials continue, the investigators may prioritize patients with more progressed forms of cancer than the initial patient population, based on the success or perceived success of that initial population. Patients with more progressed forms of cancer may be less responsive to treatment, and accordingly, interim efficacy data may show a decline in patient response rate or other assessment metrics. As the trials continue, investigators may shift their approach to the patient population, which may ultimately result in a decline in both interim and final efficacy data from the preliminary data, or conversely, an increase in final efficacy data following a decline in the interim efficacy data, as patients with more progressed forms of cancer are cycled out of the trials and replaced by patients with less advanced forms of cancer. This opportunity for investigator selection bias in our trials as a result of open-label design may not be adequately handled and may cause a decline in or distortion of clinical trial data from our preliminary results. Depending on the outcome of our open-label studies, we may need to conduct one or more follow-up or supporting studies in order to successfully develop our products for FDA approval. Many companies in the biotechnology, pharmaceutical and medical device industries have suffered significant setbacks in late-stage clinical trials after achieving positive results in earlier development, and we cannot be certain that we will not face such setbacks.</w:t>
      </w:r>
    </w:p>
    <w:p>
      <w:pPr>
        <w:spacing w:after="0" w:line="39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Furthermore, the timely completion of clinical trials in accordance with their protocols depends, among other things, on our ability to enroll a sufficient number of patients who remain in the study until its conclusion, including the ability of us or our collaborators to conduct clinical trials under the constraints of the COVID-19 Pandemic.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Accordingly, we cannot guarantee that the trial will progress as planned or as scheduled. 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spacing w:after="0" w:line="19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expect to rely on medical institutions, academic institutions or CROs to conduct, supervise or monitor some or all aspects of clinical trials involving our products. We will have less control over the timing and other aspects of these clinical trials than if we conducted them entirely on our own. If we fail to commence or complete, or experience delays in, any of our planned clinical trials, our stock price and our ability to conduct our business as currently planned could be harmed.</w:t>
      </w:r>
    </w:p>
    <w:p>
      <w:pPr>
        <w:spacing w:after="0" w:line="187"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We currently anticipate that we will have to rely on our CMOs to manufacture our adoptive cell therapy and biologic products for clinical trials. If they fail to commence or complete, or experiences delays in, manufacturing our adoptive cell therapy and other biologic products, our planned clinical trials will be delayed, which will adversely affect our stock price and our ability to conduct our business as currently planned.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our clinical trial costs may be higher than for more conventional therapeutic technologies or drug products.</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Clinical trials are expensive and difficult to design and implement, in part because they are subject to rigorous regulatory requirements. Because our product candidates include candidates based on new cell therapy technologies and manufactured on a patient-by-patient basis, we expect that they will require extensive research and development and have substantial manufacturing costs. In addition, costs to treat patients with relapsed/refractory cancer and to treat potential side effects that may result from our product candidates can be significant. Some clinical trial sites may not bill, or obtain coverage from Medicare, Medicaid, or other third-party payors for some or all of these costs for patients enrolled in our clinical trials, and we may be required by those trial sites to pay such costs. Accordingly, our clinical trial costs are likely to be significantly higher per patient than those of more conventional therapeutic technologies or drug products. In addition, our proposed personalized product candidates involve several complex and costly manufacturing and processing steps, the costs of which will be borne by us. We are also responsible for the manufacturing costs of products for patients that may have a tumor resection but ultimately do not receive an infusion. Depending on the number of patients that we ultimately screen and enroll in our trials, and the number of trials that we may need to conduct, our overall clinical trial costs may be higher than for more conventional treatments.</w:t>
      </w:r>
    </w:p>
    <w:p>
      <w:pPr>
        <w:spacing w:after="0" w:line="17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would prevent or delay regulatory approval and commercialization.</w:t>
      </w:r>
    </w:p>
    <w:p>
      <w:pPr>
        <w:spacing w:after="0" w:line="170"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The clinical trials of our product candidates are, and the manufacturing and marketing of our products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Because our product candidates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our product candidates may not be sufficient to obtain regulatory approval unless we can also show an adequate duration of response. Regulatory authorities may ultimately disagree with our chosen endpoints or may find that our studies or study results do not support product approval. Clinical testing is expensive and can take many years to complete, and its outcome is inherently uncertain. Failure can occur at any time during the clinical trial process. The results of preclinical studies and early clinical trials of our product candidates with small patient populations may not be predictive of the results of later-stage clinical trials or the results once the applicable clinical trials are completed. Preliminary, single cohort, or top-line results from clinical studies may not be representative of the final study results. The results of studies in one set of patients or line of treatment may not be predictive of those obtained in another and the results in various human clinical trials reported in scientific and medical literature may not be indicative of results we obtain in our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w:t>
      </w:r>
    </w:p>
    <w:p>
      <w:pPr>
        <w:spacing w:after="0" w:line="38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expect there may be greater variability in results for products processed and administered on a patient-by-patient basis, as anticipated for our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7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Our current and future clinical trial results may not be successful. Moreover, should there be a flaw in a clinical trial, it may not become apparent until the clinical trial is well advanced. Further, because we currently plan to test our product candidates for use with other oncology products, the design, implementation, and interpretation of the clinical trials necessary for marketing approval may be more complex than if we were developing our product candidates alone.</w:t>
      </w:r>
    </w:p>
    <w:p>
      <w:pPr>
        <w:sectPr>
          <w:pgSz w:w="11900" w:h="16838" w:orient="portrait"/>
          <w:cols w:equalWidth="0" w:num="1">
            <w:col w:w="9900"/>
          </w:cols>
          <w:pgMar w:left="980" w:top="665" w:right="1019"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w:t>
      </w:r>
    </w:p>
    <w:p>
      <w:pPr>
        <w:spacing w:after="0" w:line="18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We have reported preliminary results for clinical trials of our product candidates, including TIL for the treatment of metastatic melanoma, cervical cancer, and head and neck cancers. These preliminary results, which include assessments of efficacy such as ORR, are subject to substantial risk of change due to small sample sizes and may change as patients are evaluated or as additional patients are enrolled in these clinical trials. These outcomes may be unfavorable, deviate from our earlier reports, and/or delay or prevent regulatory approval or commercialization of our product candidates, including candidates for which we have reported preliminary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78"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70"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or similar patients in the pivotal program to the Phase 2, who remain in the trial until its conclusion. We may experience difficulties or delays in patient enrollment in our clinical trials for a variety of reasons, including:</w:t>
      </w:r>
    </w:p>
    <w:p>
      <w:pPr>
        <w:spacing w:after="0" w:line="165" w:lineRule="exact"/>
        <w:rPr>
          <w:sz w:val="20"/>
          <w:szCs w:val="20"/>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other new therapeutics not involving cell-based immunotherapy;</w:t>
      </w:r>
    </w:p>
    <w:p>
      <w:pPr>
        <w:spacing w:after="0" w:line="9" w:lineRule="exact"/>
        <w:rPr>
          <w:rFonts w:ascii="Arial" w:cs="Arial" w:eastAsia="Arial" w:hAnsi="Arial"/>
          <w:sz w:val="18"/>
          <w:szCs w:val="18"/>
          <w:color w:val="auto"/>
        </w:rPr>
      </w:pPr>
    </w:p>
    <w:p>
      <w:pPr>
        <w:jc w:val="both"/>
        <w:ind w:left="820" w:right="18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 w:lineRule="exact"/>
        <w:rPr>
          <w:rFonts w:ascii="Arial" w:cs="Arial" w:eastAsia="Arial" w:hAnsi="Arial"/>
          <w:sz w:val="18"/>
          <w:szCs w:val="18"/>
          <w:color w:val="auto"/>
        </w:rPr>
      </w:pPr>
    </w:p>
    <w:p>
      <w:pPr>
        <w:ind w:left="820" w:right="120" w:hanging="320"/>
        <w:spacing w:after="0" w:line="250"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the clinical trial;</w:t>
      </w: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9" w:lineRule="exact"/>
        <w:rPr>
          <w:rFonts w:ascii="Arial" w:cs="Arial" w:eastAsia="Arial" w:hAnsi="Arial"/>
          <w:sz w:val="18"/>
          <w:szCs w:val="18"/>
          <w:color w:val="auto"/>
        </w:rPr>
      </w:pPr>
    </w:p>
    <w:p>
      <w:pPr>
        <w:ind w:left="820" w:hanging="320"/>
        <w:spacing w:after="0" w:line="253" w:lineRule="auto"/>
        <w:tabs>
          <w:tab w:leader="none" w:pos="81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 return for post-treatment follow-up, or follow the required study procedures. For instance, patients, including patients in any control groups, may withdraw from the clinical trial if they are not experiencing improvement in their underlying disease or condition. Withdrawal of patients from our clinical trials may compromise the quality of our data.</w:t>
      </w:r>
    </w:p>
    <w:p>
      <w:pPr>
        <w:spacing w:after="0" w:line="193" w:lineRule="exact"/>
        <w:rPr>
          <w:sz w:val="20"/>
          <w:szCs w:val="20"/>
          <w:color w:val="auto"/>
        </w:rPr>
      </w:pPr>
    </w:p>
    <w:p>
      <w:pPr>
        <w:ind w:right="20" w:firstLine="492"/>
        <w:spacing w:after="0" w:line="270" w:lineRule="auto"/>
        <w:rPr>
          <w:sz w:val="20"/>
          <w:szCs w:val="20"/>
          <w:color w:val="auto"/>
        </w:rPr>
      </w:pPr>
      <w:r>
        <w:rPr>
          <w:rFonts w:ascii="Arial" w:cs="Arial" w:eastAsia="Arial" w:hAnsi="Arial"/>
          <w:sz w:val="17"/>
          <w:szCs w:val="17"/>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Because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approved immunotherapies, rather than enroll patients in any future clinical trial. In addition, potential enrollees may opt to participate in other clinical trials because of the length of time between the time that their tumor is excised and the TIL is infused back into the patient.</w:t>
      </w:r>
    </w:p>
    <w:p>
      <w:pPr>
        <w:sectPr>
          <w:pgSz w:w="11900" w:h="16838" w:orient="portrait"/>
          <w:cols w:equalWidth="0" w:num="1">
            <w:col w:w="9900"/>
          </w:cols>
          <w:pgMar w:left="980" w:top="665" w:right="101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Amendments to our clinical protocols may affect enrollment in, or results of, our trials, including amendments we have made to further define the patient population to be studied.</w:t>
      </w:r>
    </w:p>
    <w:p>
      <w:pPr>
        <w:spacing w:after="0" w:line="170" w:lineRule="exact"/>
        <w:rPr>
          <w:sz w:val="20"/>
          <w:szCs w:val="20"/>
          <w:color w:val="auto"/>
        </w:rPr>
      </w:pPr>
    </w:p>
    <w:p>
      <w:pPr>
        <w:jc w:val="both"/>
        <w:ind w:right="160" w:firstLine="492"/>
        <w:spacing w:after="0" w:line="263"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or small population size may result in increased costs or may affect the timing or outcome of the planned clinical trials, which could prevent completion of these trials and adversely affect our ability to advance the development of our product candidates.</w:t>
      </w:r>
    </w:p>
    <w:p>
      <w:pPr>
        <w:spacing w:after="0" w:line="184"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124"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Results of our trials could reveal a high and unacceptable severity and prevalence of side effects or unexpected characteristics. Undesirable side effects caused by our product candidates could cause us, IRBs, Drug Safety Monitoring Boards or DSMBs, or regulatory authorities to interrupt, delay or halt clinical trials and could result in a more restrictive label or the delay or denial of regulatory approval by the FDA or other comparable foreign regulatory authorities. Even if we were to receive product approval, such approval could be contingent on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requirements for costly post marketing testing and surveillance, or other requirements, including REMS, to monitor the safety or efficacy of the products, and in turn prevent us from commercializing and generating revenues from the sale of our current or future product candidates.</w:t>
      </w:r>
    </w:p>
    <w:p>
      <w:pPr>
        <w:spacing w:after="0" w:line="16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If unacceptable toxicities or side effects arise in the development of our product candidates, we, an IRB, DSMB or the FDA or comparable foreign regulatory authorities could order us to cease clinical trials, order our clinical trials to be placed on clinical hold, or deny approval of our product candidates for any or all targeted indications. The FDA or comparable foreign regulatory authorities may also require additional data, clinical, or pre-clinical studies should unacceptable toxicities arise. We may need to abandon development or limit development of that product candidate to certain uses or subpopulations in which the undesirable side effects or other characteristics are less prevalent, less severe or more acceptable from a risk/benefit perspective. Toxicities associated with our trials and products may also negatively impact our ability to conduct clinical trials using TIL therapy in larger patient populations, such as in patients that have not yet been treated with other therapies or have not yet progressed on other therapies.</w:t>
      </w:r>
    </w:p>
    <w:p>
      <w:pPr>
        <w:spacing w:after="0" w:line="178"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Treatment-related side effects could also affect patient recruitment or the ability of enrolled subjects to complete our trials or result in potential product liability claims. Such toxicities, which may arise from TIL therapy in general, including co-therapies, may include, for example, thrombocytopenia, chills, anemia, pyrexia, febrile neutropenia, diarrhea, neutropenia, vomiting, hypotension, and dyspnea. For example, the update in October 2018 from the C-144-01 trial included two grade 5 treatment emergent adverse events. In addition, these side effects and deaths may not be appropriately recognized or managed by the treating medical staff, as toxicities resulting from personalized cell therapy are not normally encountered in the general patient population and by medical personnel. Any of these occurrences may harm our business, financial condition and prospects significantly.</w:t>
      </w:r>
    </w:p>
    <w:p>
      <w:pPr>
        <w:spacing w:after="0" w:line="177" w:lineRule="exact"/>
        <w:rPr>
          <w:sz w:val="20"/>
          <w:szCs w:val="20"/>
          <w:color w:val="auto"/>
        </w:rPr>
      </w:pPr>
    </w:p>
    <w:p>
      <w:pPr>
        <w:ind w:right="200" w:firstLine="486"/>
        <w:spacing w:after="0" w:line="327" w:lineRule="auto"/>
        <w:rPr>
          <w:sz w:val="20"/>
          <w:szCs w:val="20"/>
          <w:color w:val="auto"/>
        </w:rPr>
      </w:pPr>
      <w:r>
        <w:rPr>
          <w:rFonts w:ascii="Arial" w:cs="Arial" w:eastAsia="Arial" w:hAnsi="Arial"/>
          <w:sz w:val="15"/>
          <w:szCs w:val="15"/>
          <w:b w:val="1"/>
          <w:bCs w:val="1"/>
          <w:i w:val="1"/>
          <w:iCs w:val="1"/>
          <w:color w:val="auto"/>
        </w:rPr>
        <w:t>The manufacture of our product candidates is complex, and we may encounter difficulties in production, particularly with respect to process development, quality control, or scaling-up of our manufacturing capabilities. If we, or any of our third-party manufacturers encounter such difficulties, our ability to provide supply of our product candidates for clinical trials or our products for patients, if approved, could be delayed or stopped, or we may be unable to maintain a commercially viable cost structure.*</w:t>
      </w:r>
    </w:p>
    <w:p>
      <w:pPr>
        <w:spacing w:after="0" w:line="14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product candidates are biologics and the process of manufacturing our products is complex, highly regulated and subject to multiple risks. The manufacture of our product candidates involves complex processes, including harvesting tumor fragments from patients, isolating the T cells from the tumor fragments, multiplying the T cells to obtain the desired dose, and ultimately infusing the T cells back into a patient. As a result of the complexities, the cost to manufacture biologics is generally higher than traditional small molecule chemical compounds, and the manufacturing process is less reliable and is more difficult to reproduce. Our manufacturing process will be susceptible to product loss or failure due to logistical issues associated with the collection of tumor fragments, or starting material, from the patient, shipping such material to the manufacturing site, shipping the final product back to the patient, and infusing the patient with the product, manufacturing issues associated with the differences in patient starting material, interruptions in the manufacturing process, contamination, equipment failure, assay failures, improper installation or operation of equipment, vendor or operator error, inconsistency in cell growth, meeting pre-specified release criteria, and variability in product characteristics. Even minor deviations from normal manufacturing processes could result in reduced production yields, product defects, and other supply disruptions. If for any reason we lose a patient’s starting material, or later-developed product at any point in the process, or if any</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product does not meet the applicable specifications, the manufacturing process for that patient will need to be restarted, including resection of the proper amount of tumor fragment and the resulting delay may adversely affect that patient’s outcome. If microbial, viral, environmental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8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Because our product candidates are manufactured specifically for each individual patient, we will be required to maintain a chain of identity with respect to the patient’s tumor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our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or otherwise necessitate the conduct of additional studies.</w:t>
      </w:r>
    </w:p>
    <w:p>
      <w:pPr>
        <w:spacing w:after="0" w:line="18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Currently, our product candidates are manufactured using processes developed or modified by us or by our third-party research institution collaborators that we may not intend to use for more advanced clinical trials or commercialization. We have selected Gen 2 as the manufacturing process for product registration, and all ongoing and future company-sponsored clinical trials. Although we believe Gen 2 is a commercially viable process, there are risks associated with scaling to the level required for advanced clinical trials or commercialization, including, among others, cost overruns, potential problems with process scale-up, process reproducibility, stability issues, lot consistency, and timely availability of raw materials. This includes potential risks associated with FDA not agreeing with all of the details of our validation data or our potency assay for Cohort 4 of our C-144-01 clinical trial. As a result of these challenges, we may experience delays in our clinical development and/or commercialization plans. We may ultimately be unable to reduce the cost of goods for our product candidates to levels that will allow for an attractive return on investment if and when those product candidates are commercialized.</w:t>
      </w:r>
    </w:p>
    <w:p>
      <w:pPr>
        <w:spacing w:after="0" w:line="185"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Our current manufacturing strategy involves the use of CMOs. Currently our product candidates are manufactured by WuXi, Lonza Netherlands, and Moffitt. Should we continue to use CMOs, we may not succeed in maintaining our relationships with our current CMOs or establishing relationships with additional or alternative CMOs. Our product candidates may compete with other products and product candidates for access to manufacturing facilities. There are a limited number of manufacturers that operate under cGMP regulations and that are both capable of manufacturing for us and willing to do so. If our CMOs should cease manufacturing for us, we would experience delays in obtaining sufficient quantities of our product candidates for clinical trials and, if approved, commercial supply. Further, our CMOs may breach, terminate, or not renew these agreements. If we were to need to find alternative manufacturing facilities it would significantly impact our ability to develop, obtain regulatory approval for or market our product candidates, if approved. The commercial terms of any new arrangement could be less favorable than our existing arrangements and the expenses relating to the transfer of necessary technology and processes could be significant.</w:t>
      </w:r>
    </w:p>
    <w:p>
      <w:pPr>
        <w:spacing w:after="0" w:line="18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Reliance on third-party manufacturers entails exposure to risks to which we would not be subject if we manufactured the product candidate ourselves, including:</w:t>
      </w:r>
    </w:p>
    <w:p>
      <w:pPr>
        <w:spacing w:after="0" w:line="170" w:lineRule="exact"/>
        <w:rPr>
          <w:sz w:val="20"/>
          <w:szCs w:val="20"/>
          <w:color w:val="auto"/>
        </w:rPr>
      </w:pP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negotiate manufacturing and quality agreements with third parties under commercially reasonable terms;</w:t>
      </w:r>
    </w:p>
    <w:p>
      <w:pPr>
        <w:spacing w:after="0" w:line="34" w:lineRule="exact"/>
        <w:rPr>
          <w:rFonts w:ascii="Arial" w:cs="Arial" w:eastAsia="Arial" w:hAnsi="Arial"/>
          <w:sz w:val="17"/>
          <w:szCs w:val="17"/>
          <w:color w:val="auto"/>
        </w:rPr>
      </w:pPr>
    </w:p>
    <w:p>
      <w:pPr>
        <w:ind w:left="820" w:right="700" w:hanging="320"/>
        <w:spacing w:after="0" w:line="25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day-to-day control over the manufacturing process for our product candidates as a result of using third-party manufacturers for all aspects of manufacturing activities;</w:t>
      </w:r>
    </w:p>
    <w:p>
      <w:pPr>
        <w:ind w:left="820" w:hanging="320"/>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reduced control over the protection of our trade secrets and know-how from misappropriation or inadvertent disclosure;</w:t>
      </w:r>
    </w:p>
    <w:p>
      <w:pPr>
        <w:spacing w:after="0" w:line="20" w:lineRule="exact"/>
        <w:rPr>
          <w:rFonts w:ascii="Arial" w:cs="Arial" w:eastAsia="Arial" w:hAnsi="Arial"/>
          <w:sz w:val="17"/>
          <w:szCs w:val="17"/>
          <w:color w:val="auto"/>
        </w:rPr>
      </w:pPr>
    </w:p>
    <w:p>
      <w:pPr>
        <w:ind w:left="820" w:right="460" w:hanging="320"/>
        <w:spacing w:after="0" w:line="281" w:lineRule="auto"/>
        <w:tabs>
          <w:tab w:leader="none" w:pos="814" w:val="left"/>
        </w:tabs>
        <w:numPr>
          <w:ilvl w:val="0"/>
          <w:numId w:val="8"/>
        </w:numPr>
        <w:rPr>
          <w:rFonts w:ascii="Arial" w:cs="Arial" w:eastAsia="Arial" w:hAnsi="Arial"/>
          <w:sz w:val="16"/>
          <w:szCs w:val="16"/>
          <w:color w:val="auto"/>
        </w:rPr>
      </w:pPr>
      <w:r>
        <w:rPr>
          <w:rFonts w:ascii="Arial" w:cs="Arial" w:eastAsia="Arial" w:hAnsi="Arial"/>
          <w:sz w:val="16"/>
          <w:szCs w:val="16"/>
          <w:color w:val="auto"/>
        </w:rPr>
        <w:t>termination or nonrenewal of manufacturing agreements with third parties in a manner or at a time that may be costly or damaging to us or result in delays in the development or commercialization of our product candidates; and</w:t>
      </w:r>
    </w:p>
    <w:p>
      <w:pPr>
        <w:spacing w:after="0" w:line="1" w:lineRule="exact"/>
        <w:rPr>
          <w:rFonts w:ascii="Arial" w:cs="Arial" w:eastAsia="Arial" w:hAnsi="Arial"/>
          <w:sz w:val="16"/>
          <w:szCs w:val="16"/>
          <w:color w:val="auto"/>
        </w:rPr>
      </w:pPr>
    </w:p>
    <w:p>
      <w:pPr>
        <w:ind w:left="820" w:right="220" w:hanging="320"/>
        <w:spacing w:after="0" w:line="260" w:lineRule="auto"/>
        <w:tabs>
          <w:tab w:leader="none" w:pos="81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85" w:lineRule="exact"/>
        <w:rPr>
          <w:sz w:val="20"/>
          <w:szCs w:val="20"/>
          <w:color w:val="auto"/>
        </w:rPr>
      </w:pPr>
    </w:p>
    <w:p>
      <w:pPr>
        <w:ind w:right="160" w:firstLine="486"/>
        <w:spacing w:after="0" w:line="296" w:lineRule="auto"/>
        <w:rPr>
          <w:sz w:val="20"/>
          <w:szCs w:val="20"/>
          <w:color w:val="auto"/>
        </w:rPr>
      </w:pPr>
      <w:r>
        <w:rPr>
          <w:rFonts w:ascii="Arial" w:cs="Arial" w:eastAsia="Arial" w:hAnsi="Arial"/>
          <w:sz w:val="16"/>
          <w:szCs w:val="16"/>
          <w:color w:val="auto"/>
        </w:rPr>
        <w:t>In May 2019 we entered into a lease agreement to build a commercial-scale manufacturing facility in Philadelphia, Pennsylvania for commercial and clinical production of autologous TIL products, including our product candidates lifileucel and LN-145. We would expect that development of our own manufacturing facility would provide us with enhanced control of material supply for both clinical trials and the commercial market, enable the more rapid implementation of process changes, and allow for better long-term margins. However, we have no experience as a company in developing a manufacturing facility and we may not be</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successful in finalizing the development of our own manufacturing facility or capability. We may establish multiple manufacturing facilities as we expand our commercial footprint to multiple geographies, which may lead to regulatory delays or prove costly. Even if we are successful,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w:t>
      </w:r>
    </w:p>
    <w:p>
      <w:pPr>
        <w:spacing w:after="0" w:line="17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local and foreign regulations.</w:t>
      </w:r>
    </w:p>
    <w:p>
      <w:pPr>
        <w:spacing w:after="0" w:line="188" w:lineRule="exact"/>
        <w:rPr>
          <w:sz w:val="20"/>
          <w:szCs w:val="20"/>
          <w:color w:val="auto"/>
        </w:rPr>
      </w:pPr>
    </w:p>
    <w:p>
      <w:pPr>
        <w:ind w:right="260" w:firstLine="486"/>
        <w:spacing w:after="0" w:line="293" w:lineRule="auto"/>
        <w:rPr>
          <w:sz w:val="20"/>
          <w:szCs w:val="20"/>
          <w:color w:val="auto"/>
        </w:rPr>
      </w:pPr>
      <w:r>
        <w:rPr>
          <w:rFonts w:ascii="Arial" w:cs="Arial" w:eastAsia="Arial" w:hAnsi="Arial"/>
          <w:sz w:val="16"/>
          <w:szCs w:val="16"/>
          <w:color w:val="auto"/>
        </w:rPr>
        <w:t>Moreover, any problems or delays we or our CMOs experience in preparing for commercial scale manufacturing of a product candidate or component may result in a delay in the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Furthermore, if we or our commercial manufacturers fail to deliver the required commercial quantities of our product candidates on a timely basis and at reasonable costs, we would likely be unable to meet demand for our products and we would lose potential revenues.</w:t>
      </w:r>
    </w:p>
    <w:p>
      <w:pPr>
        <w:spacing w:after="0" w:line="164" w:lineRule="exact"/>
        <w:rPr>
          <w:sz w:val="20"/>
          <w:szCs w:val="20"/>
          <w:color w:val="auto"/>
        </w:rPr>
      </w:pPr>
    </w:p>
    <w:p>
      <w:pPr>
        <w:ind w:right="200" w:firstLine="486"/>
        <w:spacing w:after="0" w:line="289" w:lineRule="auto"/>
        <w:rPr>
          <w:sz w:val="20"/>
          <w:szCs w:val="20"/>
          <w:color w:val="auto"/>
        </w:rPr>
      </w:pPr>
      <w:r>
        <w:rPr>
          <w:rFonts w:ascii="Arial" w:cs="Arial" w:eastAsia="Arial" w:hAnsi="Arial"/>
          <w:sz w:val="16"/>
          <w:szCs w:val="16"/>
          <w:color w:val="auto"/>
        </w:rPr>
        <w:t>In addition, the manufacturing process and facilities for any products that we may develop is subject to FDA and foreign regulatory authority approval processes, and we or our CMOs will need to meet all applicable FDA and foreign regulatory authority requirements, including cGMPs, on an ongoing basis. The cGMP requirements include quality control, quality assurance, and the maintenance of records and documentation. The FDA and other regulatory authorities enforce these requirements through facility inspections. Manufacturing facilities must submit to pre-approval inspections by the FDA that will be conducted after we submit our marketing applications, including our BLAs, to the FDA. Manufacturers are also subject to continuing FDA and other regulatory authority inspections following marketing approval. Further, we, in cooperation with our CMOs, must supply all necessary chemistry, manufacturing, and control documentation in support of a BLA on a timely basis. There is no guarantee that us or our CMOs will be able to successfully pass all aspects of a pre-approval inspection by the FDA or other foreign regulatory authorities.</w:t>
      </w:r>
    </w:p>
    <w:p>
      <w:pPr>
        <w:spacing w:after="0" w:line="166"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or our CMOs’ manufacturing facilities may be unable to comply with our specifications, cGMPs, and with other FDA, state, and foreign regulatory requirements. Poor control of production processes can lead to the introduction of adventitious agents or other contaminants, or to inadvertent changes in the properties or stability of product candidate that may not be detectable in final product testing. If we or our CMOs are unable to reliably produce products to specifications acceptable to the FDA or other regulatory authorities, or in accordance with the strict regulatory requirements,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us or a third party to implement and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79"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Even to the extent we use and continue to use CMOs, we are ultimately responsible for the manufacture of our products and product candidates. A failure to comply with these requirements may result in regulatory enforcement actions against our manufacturers or us, including fines and civil and criminal penalties, which could result in imprisonment, suspension or restrictions of production, injunctions, delay or denial of product approval or supplements to approved products, clinical holds or termination of clinical studies, warning or untitled letters, regulatory authority communications warning the public about safety issues with the biologic, refusal to permit the import or export of the products, product seizure, detention, or recall, operating restrictions, suits under the civil False Claims Act, corporate integrity agreements, consent decrees, or withdrawal of product approval.</w:t>
      </w:r>
    </w:p>
    <w:p>
      <w:pPr>
        <w:spacing w:after="0" w:line="177"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ectPr>
          <w:pgSz w:w="11900" w:h="16838" w:orient="portrait"/>
          <w:cols w:equalWidth="0" w:num="1">
            <w:col w:w="9840"/>
          </w:cols>
          <w:pgMar w:left="980" w:top="665" w:right="107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486"/>
        <w:spacing w:after="0" w:line="340" w:lineRule="auto"/>
        <w:rPr>
          <w:sz w:val="20"/>
          <w:szCs w:val="20"/>
          <w:color w:val="auto"/>
        </w:rPr>
      </w:pPr>
      <w:r>
        <w:rPr>
          <w:rFonts w:ascii="Arial" w:cs="Arial" w:eastAsia="Arial" w:hAnsi="Arial"/>
          <w:sz w:val="15"/>
          <w:szCs w:val="15"/>
          <w:b w:val="1"/>
          <w:bCs w:val="1"/>
          <w:i w:val="1"/>
          <w:iCs w:val="1"/>
          <w:color w:val="auto"/>
        </w:rPr>
        <w:t>Cell-based therapies and biologics rely on the availability of reagents, specialized equipment, and other specialty materials,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13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Manufacturing our product candidates requires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Some of these suppliers may not have the capacity to support clinical trials and commercial products manufactured under cGMP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78"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For some of these reagents, equipment, and materials, we rely and may in the future rely on sole source vendors or a limited number of vendors.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78"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 xml:space="preserve">As we continue to develop and scale our manufacturing process, we expect that we will need to obtain rights to and supplies of certain materials and equipment to be used as part of that process. We may not be able to obtain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product candidate that is already in clinical testing, the change may require us to perform both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comparability studies and to collect additional data from patients prior to undertaking more advanced clinical trials.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will be unable to commercialize our products if our trials are not successful.</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With the exception of lifileucel and LN-145 for metastatic cervical cancer, our research and development programs are at an early stage. We must demonstrate our products’ safety and efficacy in humans through extensive clinical testing. We may experience numerous unforeseen events during, or as a result of, the testing process that could delay or prevent commercialization of our products, including but not limited to the following:</w:t>
      </w:r>
    </w:p>
    <w:p>
      <w:pPr>
        <w:spacing w:after="0" w:line="187" w:lineRule="exact"/>
        <w:rPr>
          <w:sz w:val="20"/>
          <w:szCs w:val="20"/>
          <w:color w:val="auto"/>
        </w:rPr>
      </w:pPr>
    </w:p>
    <w:p>
      <w:pPr>
        <w:ind w:left="820" w:right="20" w:hanging="320"/>
        <w:spacing w:after="0" w:line="258"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we obtain in our clinical trials;</w:t>
      </w:r>
    </w:p>
    <w:p>
      <w:pPr>
        <w:spacing w:after="0" w:line="1" w:lineRule="exact"/>
        <w:rPr>
          <w:rFonts w:ascii="Arial" w:cs="Arial" w:eastAsia="Arial" w:hAnsi="Arial"/>
          <w:sz w:val="18"/>
          <w:szCs w:val="18"/>
          <w:color w:val="auto"/>
        </w:rPr>
      </w:pPr>
    </w:p>
    <w:p>
      <w:pPr>
        <w:ind w:left="820" w:right="54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reviewing test results, we or our collaborators may abandon projects that we might previously have believed to be promising;</w:t>
      </w:r>
    </w:p>
    <w:p>
      <w:pPr>
        <w:ind w:left="820" w:right="18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our collaborators or regulators, may suspend or terminate clinical trials if the participating subjects or patients are being exposed to unacceptable health risks;</w:t>
      </w:r>
    </w:p>
    <w:p>
      <w:pPr>
        <w:ind w:left="820" w:right="70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our potential products have may not be the desired effects or may include undesirable side effects or other characteristics that preclude regulatory approval or limit their commercial use if approved;</w:t>
      </w:r>
    </w:p>
    <w:p>
      <w:pPr>
        <w:ind w:left="820" w:right="20" w:hanging="320"/>
        <w:spacing w:after="0" w:line="250" w:lineRule="auto"/>
        <w:tabs>
          <w:tab w:leader="none" w:pos="814"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 and</w:t>
      </w:r>
    </w:p>
    <w:p>
      <w:pPr>
        <w:ind w:left="820" w:hanging="320"/>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authorities may find that our clinical trial design or conduct does not meet the applicable approval requirements.</w:t>
      </w:r>
    </w:p>
    <w:p>
      <w:pPr>
        <w:spacing w:after="0" w:line="234"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Clinical testing is very expensive, can take many years, and the outcome is uncertain. It could take as much as 12 months or more before we learn the results from any clinical trial using our adoptive cell therapy with TIL. The data collected from our clinical trials may not be sufficient to support approval by the FDA of our TIL-based product candidates for the treatment of solid tumors. The clinical trials for our products under development may not be completed on schedule and the FDA may not ultimately approve any of our product candidates for commercial sale. If we fail to adequately demonstrate the safety and efficacy of any product candidate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under development, we may not receive regulatory approval for those products, which would prevent us from generating revenues or achieving profitability.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Even if our lead products, lifileucel and LN-145, are approved and commercialized, we may not become profitable.</w:t>
      </w:r>
    </w:p>
    <w:p>
      <w:pPr>
        <w:spacing w:after="0" w:line="23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lead products, lifileucel and LN-145, are initially targeting a small population of refractory patients that suffer from metastatic melanoma and metastatic cervical cancer. Even if the FDA approves these new therapies, and even if we obtain significant market share for each product candidate, because the potential target population for lifileucel and LN-145 in refractory patients may be small, we may never achieve profitability without obtaining regulatory approval for additional indications. The FDA often approves new therapies initially only for use in patients with relapsed or refractory metastatic disease. We expect to initially seek approval of our product candidates in this setting and are currently studying these patient populations.</w:t>
      </w:r>
    </w:p>
    <w:p>
      <w:pPr>
        <w:spacing w:after="0" w:line="17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b w:val="1"/>
          <w:bCs w:val="1"/>
          <w:i w:val="1"/>
          <w:iCs w:val="1"/>
          <w:color w:val="auto"/>
        </w:rPr>
        <w:t>We collaborate with governmental, academic and corporate partners to improve and develop TIL therapies for new indications for use in combination with other therapies and to evaluate new TIL manufacturing methods, the results of which, because the manufacturing processes are not within our control, may be incorrect or unreliable.</w:t>
      </w:r>
    </w:p>
    <w:p>
      <w:pPr>
        <w:spacing w:after="0" w:line="165"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 addition to our own research and process development efforts, we seek to collaborate with government, academic research institutions and corporate partners to improve TIL manufacturing and to develop TIL therapies for new indications. In 2017-2019, we announced collaborations with Moffitt, MDACC, Ohio State University, and CHUM to evaluate several new solid tumor and hematologic indications for TIL therapy in clinical and preclinical studies as well as, in some cases, new TIL manufacturing approaches. The results of these collaborations may be used to support our filing with the FDA of INDs to conduct more advanced clinical trials of our product candidates, or to otherwise analyze or make predictions or decisions with respect to our current or future product candidates. However, because the majority of our collaborations are conducted at outside laboratories and we do not have complete control over how the studies are conducted or reported or over the manufacturing methods used to manufacture TIL product, the results of such studies, which we may use as the basis for our conclusions, projections or decisions with respect to our current or future product candidates, may be incorrect or unreliable, or may have a negative impact on us if the results of such studies are imputed to our products or proposed indications, even if such imputation is improper. For example, we have entered into collaborations with Moffitt, MDACC and CHUM to perform clinical trials using TIL products that differ from our products, but the results of these clinical trials, if negative, may adversely impact our stock price and our development plans for our products. Additionally, we may use third party data to analyze, reach conclusions or make predictions or decisions with respect to our product candidates that may be incomplete, inaccurate or otherwise unreliable.</w:t>
      </w:r>
    </w:p>
    <w:p>
      <w:pPr>
        <w:spacing w:after="0" w:line="182"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b w:val="1"/>
          <w:bCs w:val="1"/>
          <w:i w:val="1"/>
          <w:iCs w:val="1"/>
          <w:color w:val="auto"/>
        </w:rPr>
        <w:t>We will need additional financing to fund our operations and complete the development and commercialization of our various product candidates, and if we are unable to obtain such financing, we may be unable to complete the development and commercialization of our product candidates. Raising additional capital may cause dilution to our existing stockholders, restrict our operations or require us to relinquish rights to our technologies or product candidates.*</w:t>
      </w:r>
    </w:p>
    <w:p>
      <w:pPr>
        <w:spacing w:after="0" w:line="157"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operations have consumed substantial amounts of cash since inception. From our inception to March 31, 2020, we have an accumulated deficit of $640.2 million. In addition, our research and development and our operating costs have also been substantial and are expected to increase. In January 2018, we closed an underwritten public offering of our common stock. The net proceeds from the offering, after deducting the underwriting discounts and commissions and other offering expenses payable by us, were $162.0 million. In October 2018, we closed an underwritten public offering of our common stock. The net proceeds from the offering, after deducting the underwriting discounts and commissions and other estimated offering expenses payable by us, were $236.7 million. In September 2019, we filed a shelf registration statement with the SEC for the issuance of common stock, preferred stock, warrants, rights, debt securities and units up to an aggregate amount of $400 million. In addition to our continued spending for our product candidates, we expect to spend approximately $75 million to $85 million over the next three years for equipment and construction costs for our commercial-scale production facility under construction in Philadelphia, Pennsylvania, for which we have latitude as to the timing and amount of expenditures. As of March 31, 2020, we had $251.2 million in cash, cash equivalents and short-term investments ($52.5 million of cash and cash equivalents and $193.1 million in short-term investments and $5.5 million in restricted cash).</w:t>
      </w:r>
    </w:p>
    <w:p>
      <w:pPr>
        <w:spacing w:after="0" w:line="168"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Accordingly, we believe that our existing cash, cash equivalents and short-term investments will be sufficient to fund our operations for at least the next twelve months from the date this Quarterly Report on Form 10-Q is issued. However, in order to complete the development of our current product candidates, and in order to affect our business plan, including establishing our own manufacturing facility, we anticipate that we will have to spend more than the funds currently available to us. Furthermore, changing</w:t>
      </w:r>
    </w:p>
    <w:p>
      <w:pPr>
        <w:sectPr>
          <w:pgSz w:w="11900" w:h="16838" w:orient="portrait"/>
          <w:cols w:equalWidth="0" w:num="1">
            <w:col w:w="9900"/>
          </w:cols>
          <w:pgMar w:left="980" w:top="665" w:right="1019" w:bottom="1440" w:gutter="0" w:footer="0" w:header="0"/>
        </w:sect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circumstances may cause us to increase our spending significantly faster than we currently anticipate, and we may require additional capital for the further development and commercialization of our product candidates and may need to raise additional funds sooner if we choose to expand more rapidly than we presently anticipate. Moreover, our fixed expenses such as rent, minimum payments to our contract manufacturers, and other contractual commitments, including those for our research collaborations, are substantial and are expected to increase in the future.</w:t>
      </w:r>
    </w:p>
    <w:p>
      <w:pPr>
        <w:spacing w:after="0" w:line="188"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We will need to obtain additional financing to fund our future operations, including completing the development and commercialization of our product candidates. Our future funding requirements will depend on many factors, including, but not limited to:</w:t>
      </w:r>
    </w:p>
    <w:p>
      <w:pPr>
        <w:spacing w:after="0" w:line="124" w:lineRule="exact"/>
        <w:rPr>
          <w:sz w:val="20"/>
          <w:szCs w:val="20"/>
          <w:color w:val="auto"/>
        </w:rPr>
      </w:pPr>
    </w:p>
    <w:p>
      <w:pPr>
        <w:ind w:left="820" w:right="120" w:hanging="320"/>
        <w:spacing w:after="0" w:line="258"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progress, timing, scope and costs of our clinical trials, including the ability to timely initiate clinical sites, enroll subjects and manufacture TIL for treatment for patients in our ongoing, planned and potential future clinical trials;</w:t>
      </w:r>
    </w:p>
    <w:p>
      <w:pPr>
        <w:spacing w:after="0" w:line="1" w:lineRule="exact"/>
        <w:rPr>
          <w:rFonts w:ascii="Arial" w:cs="Arial" w:eastAsia="Arial" w:hAnsi="Arial"/>
          <w:sz w:val="18"/>
          <w:szCs w:val="18"/>
          <w:color w:val="auto"/>
        </w:rPr>
      </w:pPr>
    </w:p>
    <w:p>
      <w:pPr>
        <w:ind w:left="820" w:right="8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 and cost necessary to obtain regulatory approvals that may be required by regulatory authorities to execute clinical trials or commercialize our product;</w:t>
      </w: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approved;</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have clinical and commercial product successfully manufactured consistent with FDA and European Medicines Agency, or EMA, regulations;</w:t>
      </w:r>
    </w:p>
    <w:p>
      <w:pPr>
        <w:ind w:left="820" w:right="220" w:hanging="320"/>
        <w:spacing w:after="0" w:line="281" w:lineRule="auto"/>
        <w:tabs>
          <w:tab w:leader="none" w:pos="8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of sales and other revenues from product candidates that we may commercialize, if any, including the selling prices for such potential products and the availability of adequate third-party coverage and reimbursement for patients;</w:t>
      </w:r>
    </w:p>
    <w:p>
      <w:pPr>
        <w:spacing w:after="0" w:line="1" w:lineRule="exact"/>
        <w:rPr>
          <w:rFonts w:ascii="Arial" w:cs="Arial" w:eastAsia="Arial" w:hAnsi="Arial"/>
          <w:sz w:val="16"/>
          <w:szCs w:val="16"/>
          <w:color w:val="auto"/>
        </w:rPr>
      </w:pPr>
    </w:p>
    <w:p>
      <w:pPr>
        <w:ind w:left="820" w:right="62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our products, if approved, including the cost and timing of building our marketing and sales capabilities;</w:t>
      </w: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of building, staffing and validating our own manufacturing facility in the United States;</w:t>
      </w:r>
    </w:p>
    <w:p>
      <w:pPr>
        <w:spacing w:after="0" w:line="9" w:lineRule="exact"/>
        <w:rPr>
          <w:rFonts w:ascii="Arial" w:cs="Arial" w:eastAsia="Arial" w:hAnsi="Arial"/>
          <w:sz w:val="18"/>
          <w:szCs w:val="18"/>
          <w:color w:val="auto"/>
        </w:rPr>
      </w:pPr>
    </w:p>
    <w:p>
      <w:pPr>
        <w:ind w:left="820" w:right="700" w:hanging="320"/>
        <w:spacing w:after="0" w:line="25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terms and timing of our current and any potential future collaborations, licensing or other arrangements that we have established or may establish;</w:t>
      </w: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9" w:lineRule="exact"/>
        <w:rPr>
          <w:rFonts w:ascii="Arial" w:cs="Arial" w:eastAsia="Arial" w:hAnsi="Arial"/>
          <w:sz w:val="18"/>
          <w:szCs w:val="18"/>
          <w:color w:val="auto"/>
        </w:rPr>
      </w:pPr>
    </w:p>
    <w:p>
      <w:pPr>
        <w:ind w:left="820" w:right="280" w:hanging="320"/>
        <w:spacing w:after="0" w:line="260" w:lineRule="auto"/>
        <w:tabs>
          <w:tab w:leader="none" w:pos="8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we may establish.</w:t>
      </w:r>
    </w:p>
    <w:p>
      <w:pPr>
        <w:spacing w:after="0" w:line="18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Unless and until we can generate a sufficient amount of revenue, we may finance future cash needs through public or private equity offerings, license agreements, debt financings, collaborations, strategic alliances and marketing or distribution arrangements. Additional funds may not be available when we need them on terms that are acceptable to us, or at all. We have no committed source of additional capital and if we are unable to raise additional capital in sufficient amounts or on terms acceptable to us, we may be required to delay or reduce the scope of or eliminate one or more of our research or development programs or our commercialization efforts. Our current license and collaboration agreements may also be terminated if we are unable to meet the payment obligations under those agreements. As a result, we may seek to access the public or private capital markets whenever conditions are favorable, even if we do not have an immediate need for additional capital at that time.</w:t>
      </w:r>
    </w:p>
    <w:p>
      <w:pPr>
        <w:spacing w:after="0" w:line="178"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95"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b w:val="1"/>
          <w:bCs w:val="1"/>
          <w:i w:val="1"/>
          <w:iCs w:val="1"/>
          <w:color w:val="auto"/>
        </w:rPr>
        <w:t>Subject to various spending levels approved by our Board of Directors, our management will have broad discretion in the use of the net proceeds from our capital raises, including our October 2018 and January 2018 public offerings, and may not use them effectively.</w:t>
      </w:r>
    </w:p>
    <w:p>
      <w:pPr>
        <w:spacing w:after="0" w:line="184"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Our management will have discretion in the application of the net proceeds from our capital raises, and our stockholders will not have the opportunity as part of their investment decision to assess whether the net proceeds from our capital raises are being used appropriately. You may not agree with our decisions, and our use of the proceeds from our capital raises may not yield any return to</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Stockholders will not have the opportunity to influence our decisions on how to use our net proceeds from our capital raises. Pending their use, we may invest the net proceeds from our capital raises in interest and non-interest bearing cash accounts, short-term, investment-grade, interest-bearing instruments and U.S. government securities. These temporary investments are not likely to yield a significant return.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22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net operating loss carryforwards and any future research and development tax credits may expire and not be used. As of December 31, 2019, we had U.S. federal net operating loss carryforwards of approximately $426.7 million. Our net operating loss carryforwards arising in taxable years ending on or prior to December 31, 2017 will begin expiring in 2027 if we have not used them prior to that time. Net operating loss carryforwards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w:t>
      </w:r>
    </w:p>
    <w:p>
      <w:pPr>
        <w:spacing w:after="0" w:line="17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have performed an analysis under Section 382 of the Code as of December 31, 2018. Per the analysis, the May 2013 recapitalization, and private placements in 2014 and 2016 may have already triggered such an ownership change. As a result, the federal and state carryforwards associated with the net operating loss and credit deferred tax assets were reduced by the amount of tax attributes estimated to expire during their respective carryforward periods. In addition, since we will need to raise substantial additional funding to finance our operations, we may undergo further ownership changes in the future. Any such annual limitation may significantly reduce the utilization of the net operating loss carryforwards and research tax credits before they expire. Depending on our future tax position, limitation of our ability to use net operating loss carryforwards in states in which we are subject to income tax could have an adverse impact on our results of operations and financial condition.</w:t>
      </w:r>
    </w:p>
    <w:p>
      <w:pPr>
        <w:spacing w:after="0" w:line="178"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b w:val="1"/>
          <w:bCs w:val="1"/>
          <w:i w:val="1"/>
          <w:iCs w:val="1"/>
          <w:color w:val="auto"/>
        </w:rPr>
        <w:t>Recently enacted tax reform legislation in the U.S., changes to existing tax laws, or challenges to our tax positions could adversely affect our business and financial condition.</w:t>
      </w:r>
    </w:p>
    <w:p>
      <w:pPr>
        <w:spacing w:after="0" w:line="170"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On December 22, 2017, the Tax Cuts and Jobs Act of 2017, or the Tax Act, was signed into law, making significant changes to the Internal Revenue Code. Changes under the Tax Act include, but are not limited to, a corporate tax rate decrease from 35% to 21% effective for tax years beginning after December 31, 2017, a one-time transition tax on the mandatory deemed repatriation of cumulative foreign earnings,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(including reducing the business tax credit for certain clinical testing expenses incurred in the testing of orphan drugs). The overall impact of the new federal tax law is uncertain, and our business and financial condition could be adversely affected. For example, because of the tax rate decrease, our deferred tax assets and our corresponding valuation allowance against these deferred tax assets have been reduced and may continue to be adversely impacted. In addition, it is uncertain if and to what extent various states will conform to Tax Act and what effect that legal challenges will have on the Tax Act, including litigation in the U.S. and international challenges brought at organizations such as the World Trade Organization. The impact of the Tax Act on holders of our common stock is also uncertain and could be adverse. Investors should consult with their legal and tax advisors with respect to this legislation and the potential tax consequences of investing in or holding our common stock.</w:t>
      </w:r>
    </w:p>
    <w:p>
      <w:pPr>
        <w:spacing w:after="0" w:line="180"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In addition, U.S. federal, state and local tax laws are extremely complex and subject to various interpretations. Although we believe that our tax estimates and positions are reasonable, including our decision to build our commercial manufacturing facility at the Navy Yard in Philadelphia in order to take advantage of the site's designation as a Keystone Opportunity Zone, Keystone Opportunity Expansion Zone, or Keystone Opportunity Improvement Zone, or collectively KOZ, which allows incentives for business development, as well as certain other financial incentives provided by the Commonwealth of Pennsylvania, the City of Philadelphia and the Philadelphia Industrial Development Corporation, there can be no assurance that our tax positions will not be challenged by relevant tax authorities or that we would be successful in any such challenge. Further, challenges to the site's designation as a KOZ or broader challenges to Pennsylvania's KOZ program could result in the revocation of the site's designation as a KOZ and the attendant</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tax advantages associated with such designation. If we are unsuccessful in such a challenge, or if the site's status as a KOZ is revoked, the relevant tax authorities may assess additional taxes, which could result in adjustments to, or impact the timing or amount of, taxable income, deductions or other tax allocations, which may adversely affect our results of operations and financial position.</w:t>
      </w:r>
    </w:p>
    <w:p>
      <w:pPr>
        <w:spacing w:after="0" w:line="149"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extensive regulation, which can be costly, time consuming and can subject us to unanticipated delays; even if we obtain regulatory approval for some of our products, those products may still face regulatory difficulties.</w:t>
      </w:r>
    </w:p>
    <w:p>
      <w:pPr>
        <w:spacing w:after="0" w:line="124" w:lineRule="exact"/>
        <w:rPr>
          <w:sz w:val="20"/>
          <w:szCs w:val="20"/>
          <w:color w:val="auto"/>
        </w:rPr>
      </w:pPr>
    </w:p>
    <w:p>
      <w:pPr>
        <w:ind w:right="180" w:firstLine="486"/>
        <w:spacing w:after="0" w:line="296" w:lineRule="auto"/>
        <w:rPr>
          <w:sz w:val="20"/>
          <w:szCs w:val="20"/>
          <w:color w:val="auto"/>
        </w:rPr>
      </w:pPr>
      <w:r>
        <w:rPr>
          <w:rFonts w:ascii="Arial" w:cs="Arial" w:eastAsia="Arial" w:hAnsi="Arial"/>
          <w:sz w:val="16"/>
          <w:szCs w:val="16"/>
          <w:color w:val="auto"/>
        </w:rPr>
        <w:t>Our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 In addition, regulatory agencies may lack experience with our technologies and products, which may lengthen the regulatory review process, increase our development costs and delay or prevent their commercialization.</w:t>
      </w:r>
    </w:p>
    <w:p>
      <w:pPr>
        <w:spacing w:after="0" w:line="16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No adoptive cell therapy using TIL has been approved for marketing in the FDA. Consequently, there is no precedent for the successful commercialization of products based on our technologies. In addition, we have had only limited experience in filing and pursuing applications necessary to gain regulatory approvals, which may impede our ability to obtain timely FDA approvals, if at all. We have not yet sought FDA approval for any adoptive cell therapy product. We will not be able to commercialize any of our potential products until we obtain FDA approval, and so any delay in obtaining, or inability to obtain, FDA approval would harm our business.</w:t>
      </w:r>
    </w:p>
    <w:p>
      <w:pPr>
        <w:spacing w:after="0" w:line="16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If we violate regulatory requirements at any stage, whether before or after marketing approval is obtained, we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we may not be able to obtain the labeling claims necessary or desirable for the promotion of our products. We may also be required to undertake post-marketing trials. In addition, if we or others identify side effects after any of our adoptive cell therapies are on the market, or if manufacturing problems occur, regulatory approval may be withdrawn, and reformulation of our products may be required.</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license new technology from third parties.</w:t>
      </w:r>
    </w:p>
    <w:p>
      <w:pPr>
        <w:spacing w:after="0" w:line="225"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An element of our intellectual property portfolio is to license additional rights and technologies from third parties, including the NIH and others. Our inability to license the rights and technologies that we have identified, or that we may in the future identify, could have a material adverse impact on our ability to complete the development of our products or to develop additional products. No assurance can be given that we will be successful in licensing any additional rights or technologies from third parties, including the NIH and others. Failure to obtain additional rights and licenses may detrimentally affect our planned development of additional product candidates and could increase the cost, and extend the timelines associated with our development of such other products.</w:t>
      </w:r>
    </w:p>
    <w:p>
      <w:pPr>
        <w:spacing w:after="0" w:line="17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7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who are in a position to receive second- or third- line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by third parties, and may prove to be incorrect. Further, new studies or approvals of new therapeutics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and may also be limited by the cost of our treatments and the reimbursement of those treatment costs by third-party payors. For instance, we expect lifileucel to initially target a small patient population that suffers from metastatic melanoma. Even if we obtain significant market share for our product candidates,</w:t>
      </w:r>
    </w:p>
    <w:p>
      <w:pPr>
        <w:sectPr>
          <w:pgSz w:w="11900" w:h="16838" w:orient="portrait"/>
          <w:cols w:equalWidth="0" w:num="1">
            <w:col w:w="9900"/>
          </w:cols>
          <w:pgMar w:left="980" w:top="665"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because the potential target populations are small, we may never achieve profitability without obtaining regulatory approval for additional indications.</w:t>
      </w:r>
    </w:p>
    <w:p>
      <w:pPr>
        <w:spacing w:after="0" w:line="170" w:lineRule="exact"/>
        <w:rPr>
          <w:sz w:val="20"/>
          <w:szCs w:val="20"/>
          <w:color w:val="auto"/>
        </w:rPr>
      </w:pPr>
    </w:p>
    <w:p>
      <w:pPr>
        <w:ind w:right="160" w:firstLine="486"/>
        <w:spacing w:after="0" w:line="308" w:lineRule="auto"/>
        <w:rPr>
          <w:sz w:val="20"/>
          <w:szCs w:val="20"/>
          <w:color w:val="auto"/>
        </w:rPr>
      </w:pPr>
      <w:r>
        <w:rPr>
          <w:rFonts w:ascii="Arial" w:cs="Arial" w:eastAsia="Arial" w:hAnsi="Arial"/>
          <w:sz w:val="17"/>
          <w:szCs w:val="17"/>
          <w:b w:val="1"/>
          <w:bCs w:val="1"/>
          <w:i w:val="1"/>
          <w:iCs w:val="1"/>
          <w:color w:val="auto"/>
        </w:rPr>
        <w:t>We are required to pay substantial royalties and lump sum benchmark payments under our license agreements with the NIH, Moffitt, Novartis, and Cellectis, and we must meet certain milestones to maintain our license rights.</w:t>
      </w:r>
    </w:p>
    <w:p>
      <w:pPr>
        <w:spacing w:after="0" w:line="14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our license agreements with the NIH, Novartis, and Cellectis for our adoptive cell therapy and immunotherapy technologies, we are currently required to pay both substantial benchmark payments and royalties to that institution based on our revenues from sales of our products utilizing the licensed technologies. These payments could adversely affect the overall profitability for us of any products that we may seek to commercialize under these license agreements. In order to maintain our license rights under the NIH, Moffitt, Novartis, and Cellectis license agreements, we will need to meet certain specified milestones, subject to certain cure provisions, in the development of our product candidates. There is no assurance that we will be successful in meeting these milestones on a timely basis, or at all.</w:t>
      </w:r>
    </w:p>
    <w:p>
      <w:pPr>
        <w:spacing w:after="0" w:line="195" w:lineRule="exact"/>
        <w:rPr>
          <w:sz w:val="20"/>
          <w:szCs w:val="20"/>
          <w:color w:val="auto"/>
        </w:rPr>
      </w:pPr>
    </w:p>
    <w:p>
      <w:pPr>
        <w:jc w:val="both"/>
        <w:ind w:right="360" w:firstLine="486"/>
        <w:spacing w:after="0" w:line="263" w:lineRule="auto"/>
        <w:rPr>
          <w:sz w:val="20"/>
          <w:szCs w:val="20"/>
          <w:color w:val="auto"/>
        </w:rPr>
      </w:pPr>
      <w:r>
        <w:rPr>
          <w:rFonts w:ascii="Arial" w:cs="Arial" w:eastAsia="Arial" w:hAnsi="Arial"/>
          <w:sz w:val="18"/>
          <w:szCs w:val="18"/>
          <w:b w:val="1"/>
          <w:bCs w:val="1"/>
          <w:i w:val="1"/>
          <w:iCs w:val="1"/>
          <w:color w:val="auto"/>
        </w:rPr>
        <w:t>Because our current products represent, and our other potential product candidates will represent novel approaches to the treatment of disease, there are many uncertainties regarding the development, the market acceptance, third-party reimbursement coverage and the commercial potential of our product candidates.</w:t>
      </w:r>
    </w:p>
    <w:p>
      <w:pPr>
        <w:spacing w:after="0" w:line="184"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our product candidates. There can be no assurance as to the length of the trial period, the number of patients the FDA will require to be enrolled in the trials in order to establish the safety, efficacy, purity and potency of immunotherapy products, or that the data generated in these trials will be acceptable to the FDA to support marketing approval. The FDA may take longer than usual to come to a decision on any BLA that we submit and may ultimately determine that there is not enough data, information, or experience with our product candidates to support an approval decision. The FDA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68"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We may also find that the manufacture of our product candidates is more difficult than anticipated, resulting in an inability to produce a sufficient amount of our product candidates for our clinical trials or, if approved, commercial supply. Moreover, because of the complexity and novelty of our manufacturing process, there are only a limited number of manufacturers who have the capability of producing our product candidates. Should any of our contract manufacturers no longer produce our product candidates, it may take us significant time to find a replacement, if we are able to find a replacement at all.</w:t>
      </w:r>
    </w:p>
    <w:p>
      <w:pPr>
        <w:spacing w:after="0" w:line="176"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There is no assurance that the approaches offered by our products will gain broad acceptance among doctors or patients or that governmental agencies or third-party medical insurers will be willing to provide reimbursement coverage for proposed product candidates. Moreover, we do not have verifiable internal marketing data regarding the potential size of the commercial market for our product candidates, nor have we obtained current independent marketing surveys to verify the potential size of the commercial markets for our current product candidates or any future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Our goal is to reduce the cost of manufacturing and providing our therapies. However, unless we can reduce those costs to an acceptable amount, we may never be able to develop a commercially viable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71"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TIL therapies and our other therapies may be provided to patients in combination with other agents provided by third parties. The cost of such combination therapy may increase the overall cost of therapy and may result in issues regarding the allocation of reimbursements between our therapy and the other agents, all of which may affect our ability to obtain reimbursement coverage for the combination therapy from governmental or private third party medical insurers.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No assurance can be given that the Gen 2 manufacturing process we have selected will be FDA-compliant, more efficient and lower the cost to manufacture TIL products.</w:t>
      </w:r>
    </w:p>
    <w:p>
      <w:pPr>
        <w:spacing w:after="0" w:line="170"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Pursuant to the CRADA, and in cooperation with our contract manufacturers and potentially other manufacturers, we have developed and are developing improved methods for the generating and selecting autologous TILs, and methods for large-scale production of autologous TILs that are in accord with current cGMP procedures. We have developed a new and more efficient TIL manufacturing process that we believe can be more efficient and cost effective, and in a more automated manner than previous processes. The production and control of the physical and/or chemical attributes of our products in a cGMP facility is subject to many uncertainties and difficulties. We have never manufactured our adoptive cell therapy product candidate on a commercial scale, nor have our partners. As a result, we cannot give any assurance that the Gen 2 process or any future process that we select will be a manufacturing process that can produce our products in compliance with the applicable regulatory requirements, at a cost or in quantities necessary to make them commercially viable. Moreover, our third-party manufacturers will have to continually adhere to current cGMP regulations enforced by the FDA through its facilities inspection program. If our facilities or any of the facilities of these manufacturers cannot pass a pre-approval plant inspection, the FDA pre-market approval of our products will not be granted. In complying with cGMP and foreign regulatory requirements, we and any of our third-party manufacturers will be obligated to expend time, money and effort in production, record-keeping and quality control to assure that our products meet applicable specifications and other requirements. If we or any of our third-party manufacturers fail to comply with these requirements, we may be subject to regulatory action. No assurance can be given that we will be able to develop such a manufacturing process, or that our partners will thereafter be able to establish and operate such a production facility.</w:t>
      </w:r>
    </w:p>
    <w:p>
      <w:pPr>
        <w:spacing w:after="0" w:line="180"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1" w:lineRule="exact"/>
        <w:rPr>
          <w:sz w:val="20"/>
          <w:szCs w:val="20"/>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withdrawal of clinical trial participants or sites and potential termination of clinical trial sites or entire clinical programs;</w:t>
      </w:r>
    </w:p>
    <w:p>
      <w:pPr>
        <w:spacing w:after="0" w:line="20" w:lineRule="exact"/>
        <w:rPr>
          <w:rFonts w:ascii="Arial" w:cs="Arial" w:eastAsia="Arial" w:hAnsi="Arial"/>
          <w:sz w:val="17"/>
          <w:szCs w:val="17"/>
          <w:color w:val="auto"/>
        </w:rPr>
      </w:pPr>
    </w:p>
    <w:p>
      <w:pPr>
        <w:ind w:left="820" w:right="580" w:hanging="320"/>
        <w:spacing w:after="0" w:line="250" w:lineRule="auto"/>
        <w:tabs>
          <w:tab w:leader="none" w:pos="8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 in the price of our stock and overall value of our company;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exhaustion of our available insurance coverage and our capital resources;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clinical trial insurance for our Phase 2 clinical trials, we may have to pay amounts awarded by a court or negotiated in a settlement that exceed our coverage limitations or that are not covered by our insurance, and we may not have, or be able to</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60"/>
        <w:spacing w:after="0" w:line="308" w:lineRule="auto"/>
        <w:rPr>
          <w:sz w:val="20"/>
          <w:szCs w:val="20"/>
          <w:color w:val="auto"/>
        </w:rPr>
      </w:pPr>
      <w:r>
        <w:rPr>
          <w:rFonts w:ascii="Arial" w:cs="Arial" w:eastAsia="Arial" w:hAnsi="Arial"/>
          <w:sz w:val="17"/>
          <w:szCs w:val="17"/>
          <w:color w:val="auto"/>
        </w:rPr>
        <w:t>obtain, sufficient capital to pay such amounts. Even if our agreements with any future corporate collaborators entitle us to indemnification against losses, such indemnification may not be available or adequate should any claim arise.</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We face significant competition from other biotechnology and pharmaceutical companies and from non-profit institutions.*</w:t>
      </w:r>
    </w:p>
    <w:p>
      <w:pPr>
        <w:spacing w:after="0" w:line="248"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color w:val="auto"/>
        </w:rPr>
        <w:t>Competition in the field of cancer therapy is intense and is accentuated by the rapid pace of technological development. Research and discoveries by others may result in breakthroughs which may render our products obsolete even before they generate any revenue. There are products that are approved and currently under development by others that could compete with the products that we are developing. Many of our potential competitors have substantially greater research and development capabilities and approval, manufacturing, marketing, financial and managerial resources and experience than we do. Our competitors may:</w:t>
      </w:r>
    </w:p>
    <w:p>
      <w:pPr>
        <w:spacing w:after="0" w:line="161" w:lineRule="exact"/>
        <w:rPr>
          <w:sz w:val="20"/>
          <w:szCs w:val="20"/>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safer, more convenient or more effective immunotherapies and other therapeutic products;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 therapies that are less expensive or have better reimbursement from private or public payors;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 the market more rapidly, reducing the potential sales of our products;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superior proprietary positions.</w:t>
      </w:r>
    </w:p>
    <w:p>
      <w:pPr>
        <w:spacing w:after="0" w:line="211"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Due to the promising clinical therapeutic effect of competitor therapies in clinical exploratory trials, we anticipate substantial direct competition from other organizations developing advanced T cell therapies targeting patients who have received prior anti-PD-1/PD-L1 therapies. In particular, we expect to compete with other new therapies for our lead indications developed by companies such as Bristol-Myers Squibb, Merck, Nektar Therapeutics, Idera Pharmaceuticals, Checkmate Pharmaceuticals, WindMIL Therapeutics, Seattle Genetics, and others. We also may compete with therapies based on genetically engineered T cells rendered reactive against tumor-associated antigens prior to their administration to patients. Genetically engineered T cells are being pursued by several companies, including Adaptimmune, Bristol-Myers Squibb, Gilead Sciences, Novartis and others. To date, these technologies have been primarily applicable to hematologic malignancies, but their application in solid tumor indications may create competition with us. Many of these companies and our other current and potential competitors have substantially greater research and development capabilities and financial, scientific, regulatory, manufacturing, marketing, sales, human resources, and experience than we do. Many of our competitors have several therapeutic products that have already been developed, approved and successfully commercialized, or are in the process of obtaining regulatory approval for their therapeutic products in the United States and internationally. Our competitors may obtain regulatory approval for their products more rapidly than we may obtain approval for ours, which could result in competitors establishing a strong market position before we are able to enter the market.</w:t>
      </w:r>
    </w:p>
    <w:p>
      <w:pPr>
        <w:spacing w:after="0" w:line="1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Universities and public and private research institutions in the U.S. and Europe are also potential competitors. For example, a Phase 3 trial comparing TIL to standard ipilimumab in patients with metastatic melanoma is currently being conducted in Europe by the Netherlands Cancer Institute, the Copenhagen County Herlev University Hospital, and the University of Manchester.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92"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Our lead product candidates, lifileucel and LN-145, are therapies for the treatment of metastatic melanoma and metastatic cervical cancer. Currently, there are numerous companies that are developing various alternate treatments for melanoma and cervical cancer, including patients that have progressed after prior treatment with checkpoint inhibitors and chemotherapy. Accordingly, lifileucel and LN-145 face significant competition in the melanoma and cervical cancer treatment space from multiple companies. Even if we obtain regulatory approval for lifileucel, the availability and price of our competitors’ products could limit the demand and the price we are able to charge for our therapies. We may not be able to implement our business plan if the acceptance of our products is inhibited by price competition or the reluctance of physicians to switch from other methods of treatment to our product, or if physicians switch to other new therapies, drugs or biologic products or choose to reserve our product for use in limited circumstances.</w:t>
      </w:r>
    </w:p>
    <w:p>
      <w:pPr>
        <w:spacing w:after="0" w:line="165"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b w:val="1"/>
          <w:bCs w:val="1"/>
          <w:i w:val="1"/>
          <w:iCs w:val="1"/>
          <w:color w:val="auto"/>
        </w:rPr>
        <w:t>We are dependent on third parties to support our research, development and manufacturing activities and, therefore, are subject to the efforts of these parties and our ability to successfully collaborate with these third parties.</w:t>
      </w:r>
    </w:p>
    <w:p>
      <w:pPr>
        <w:spacing w:after="0" w:line="124" w:lineRule="exact"/>
        <w:rPr>
          <w:sz w:val="20"/>
          <w:szCs w:val="20"/>
          <w:color w:val="auto"/>
        </w:rPr>
      </w:pPr>
    </w:p>
    <w:p>
      <w:pPr>
        <w:jc w:val="both"/>
        <w:ind w:right="60" w:firstLine="486"/>
        <w:spacing w:after="0" w:line="287" w:lineRule="auto"/>
        <w:rPr>
          <w:sz w:val="20"/>
          <w:szCs w:val="20"/>
          <w:color w:val="auto"/>
        </w:rPr>
      </w:pPr>
      <w:r>
        <w:rPr>
          <w:rFonts w:ascii="Arial" w:cs="Arial" w:eastAsia="Arial" w:hAnsi="Arial"/>
          <w:sz w:val="16"/>
          <w:szCs w:val="16"/>
          <w:color w:val="auto"/>
        </w:rPr>
        <w:t>As a result of our current strategy to outsource most of our manufacturing, we rely very heavily on third parties to perform for us the manufacturing of our products for our clinical trials. We also license a portion of our technology from others. We intend to rely upon our contract manufacturers to produce large quantities of materials needed for clinical trials and potentially product commercialization.</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Third party manufacturers may not be able to meet our needs with respect to timing, quantity or quality. If we are unable to contract for a sufficient supply of needed materials on acceptable terms, or if we should encounter delays or difficulties in our relationships with manufacturers, our clinical testing may be delayed, thereby delaying the submission of products for regulatory approval or the market introduction and subsequent sales of our products. Any such delay may lower our revenues and potential profitability.</w:t>
      </w:r>
    </w:p>
    <w:p>
      <w:pPr>
        <w:spacing w:after="0" w:line="176"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addition, in order to supplement our own efforts to improve TIL manufacturing and develop TIL therapies in new indications in clinical trials, we currently work and collaborate with government and academic research institutions, medical institutions and corporate partners such as the NCI, Moffitt, Ohio State University, Cellectis, Yale University, Novartis, and CHUM. We also intend to continue to enter into additional third-party collaborative agreements in the future. However, we may not be able to successfully negotiate any additional collaborative arrangements. If established, these relationships may not be scientifically or commercially successful, or may be unable to enroll patients, which has occurred in one of our prior collaborations. The success of these and future collaborations and joint development arrangements may be subject to numerous risks and uncertainties, including the inability or unwillingness of our partners to perform in the manner, or to the extent anticipated, and may also be subject to disagreements regarding the rights, interests, and performance of the counterparties under our licenses and development agreements. Disagreements between parties to a collaboration arrangement regarding clinical development and commercialization matters can lead to delays in the development process or commercialization of the applicable product candidate and, in some cases, termination of the collaboration arrangement. These disagreements can be difficult to resolve if neither of the parties has final decision-making authority under the collaboration agreement.</w:t>
      </w:r>
    </w:p>
    <w:p>
      <w:pPr>
        <w:spacing w:after="0" w:line="16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With regard to future collaboration efforts, we face significant competition in seeking appropriate collaborators. Our ability to reach a definitive agreement for collaboration will depend, among other things, upon our assessment of the collaborator’s resources and expertise, the terms and conditions of the proposed collaboration and, an evaluation by the proposed collaborator of a number of similar or unique factors.</w:t>
      </w:r>
    </w:p>
    <w:p>
      <w:pPr>
        <w:spacing w:after="0" w:line="18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Collaborations with biopharmaceutical companies and other third parties often are terminated or allowed to expire by the other party. Any such termination or expiration would adversely affect us financially and could harm our business reputation. Any collaboration may pose a number of risks, including the following:</w:t>
      </w:r>
    </w:p>
    <w:p>
      <w:pPr>
        <w:spacing w:after="0" w:line="184" w:lineRule="exact"/>
        <w:rPr>
          <w:sz w:val="20"/>
          <w:szCs w:val="20"/>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 w:lineRule="exact"/>
        <w:rPr>
          <w:rFonts w:ascii="Arial" w:cs="Arial" w:eastAsia="Arial" w:hAnsi="Arial"/>
          <w:sz w:val="18"/>
          <w:szCs w:val="18"/>
          <w:color w:val="auto"/>
        </w:rPr>
      </w:pPr>
    </w:p>
    <w:p>
      <w:pPr>
        <w:ind w:left="820" w:hanging="32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ind w:left="820" w:right="20" w:hanging="320"/>
        <w:spacing w:after="0" w:line="265" w:lineRule="auto"/>
        <w:tabs>
          <w:tab w:leader="none" w:pos="8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ind w:left="820" w:right="160" w:hanging="320"/>
        <w:spacing w:after="0" w:line="250" w:lineRule="auto"/>
        <w:tabs>
          <w:tab w:leader="none" w:pos="8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 w:lineRule="exact"/>
        <w:rPr>
          <w:rFonts w:ascii="Arial" w:cs="Arial" w:eastAsia="Arial" w:hAnsi="Arial"/>
          <w:sz w:val="18"/>
          <w:szCs w:val="18"/>
          <w:color w:val="auto"/>
        </w:rPr>
      </w:pPr>
    </w:p>
    <w:p>
      <w:pPr>
        <w:jc w:val="both"/>
        <w:ind w:left="820" w:right="620" w:hanging="320"/>
        <w:spacing w:after="0" w:line="323" w:lineRule="auto"/>
        <w:tabs>
          <w:tab w:leader="none" w:pos="814"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right="160" w:hanging="320"/>
        <w:spacing w:after="0" w:line="254"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2" w:lineRule="exact"/>
        <w:rPr>
          <w:rFonts w:ascii="Arial" w:cs="Arial" w:eastAsia="Arial" w:hAnsi="Arial"/>
          <w:sz w:val="18"/>
          <w:szCs w:val="18"/>
          <w:color w:val="auto"/>
        </w:rPr>
      </w:pPr>
    </w:p>
    <w:p>
      <w:pPr>
        <w:ind w:left="820" w:right="14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ind w:left="820" w:right="80" w:hanging="320"/>
        <w:spacing w:after="0" w:line="250" w:lineRule="auto"/>
        <w:tabs>
          <w:tab w:leader="none" w:pos="8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collaborators may be involved in a business combination, resulting in the decreased emphasis or termination of development or commercialization of any product candidate subject to the collaboration agreement; and</w:t>
      </w:r>
    </w:p>
    <w:p>
      <w:pPr>
        <w:ind w:left="820" w:right="20" w:hanging="320"/>
        <w:spacing w:after="0" w:line="323" w:lineRule="auto"/>
        <w:tabs>
          <w:tab w:leader="none" w:pos="8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termination of a collaboration agreement may make it more difficult to attract new collaborators and our and our products’ or product candidates’ reputation in the medical, business, and financial communities could be adversely affected.</w:t>
      </w:r>
    </w:p>
    <w:p>
      <w:pPr>
        <w:spacing w:after="0" w:line="138"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If any third-party collaborator breaches or terminates its agreement with us or fails to conduct its activities in a timely manner, the commercialization of our products under development could be delayed or blocked completely. It is possible that our collaborators will change their strategic focus, pursue alternative technologies or develop alternative products, either on their own or in collaboration with others, as a means for developing treatments for the diseases targeted by our collaborative programs. The effectiveness of our collaborators in marketing our products will also affect our revenues and earnings.</w:t>
      </w:r>
    </w:p>
    <w:p>
      <w:pPr>
        <w:spacing w:after="0" w:line="17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Our collaborators will also be required to comply with the applicable regulatory requirements, and, as such, are subject to the same risks as we are. If they do not or are not able to comply with these requirements, we may not be able to use the data generated through their studies to support our future investigational or marketing applications. Collaborator noncompliance may also expose them and us to regulatory enforcement actions.</w:t>
      </w:r>
    </w:p>
    <w:p>
      <w:pPr>
        <w:spacing w:after="0" w:line="18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No assurance can be given that we will be able to successfully collaborate with our partners as anticipated and that our current or future collaborations and clinical trials will be completed as contemplated, support the regulatory approval of our current product candidates, or result in any viable additional product candidates. For instance, to the extent that these collaborators conduct their studies with manufacturing processes that are different than ours or product that is different than ours, the results generated from their studies may not be seen in our current or future studies that employ our manufacturing processes and the results generated from their studies may not support approval of our product candidates.</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If we are unable to obtain or maintain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187"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170"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are currently developing lifileucel and LN-145 for use along with IL-2. We and our collaborators are also studying TIL therapy along with other products, such as pembrolizumab, ipilimumab and nivolumab. The development of product candidates for use in combination with another product may present challenges. For example, the FDA may require us to use more complex clinical trial designs, in order to evaluate the contribution of each product and product candidate to any observed effects. It is possible that the results of these trials could show that any positive results are attributable to the already approved product. Moreover, following product approval, the FDA may require that products used in conjunction with each other be cross labeled for combined use. To the extent that we do not have rights to already approved products, this may require us to work with another company to satisfy such a requirement. Moreover, developments related to the already approved products may impact our clinical trials for the combination as well as our commercial prospects should we receive marketing approval. Such developments may include changes to the approved product’s safety or efficacy profile, changes to the availability of the approved product, and changes to the standard of care.</w:t>
      </w:r>
    </w:p>
    <w:p>
      <w:pPr>
        <w:spacing w:after="0" w:line="168"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b w:val="1"/>
          <w:bCs w:val="1"/>
          <w:i w:val="1"/>
          <w:iCs w:val="1"/>
          <w:color w:val="auto"/>
        </w:rPr>
        <w:t>A Fast Track product designation, Breakthrough Therapy designation or other designation to facilitate product candidate development may not lead to faster development or a faster regulatory review or approval process, and it does not increase the likelihood that our product candidates will receive marketing approval.</w:t>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We were granted Fast Track designation by the FDA for lifileucel in advanced melanoma and LN-145 for metastatic cervical cancer. We were granted Breakthrough Therapy designation, or BTD, for LN-145 for metastatic cervical cancer and Regenerative Medicine Advanced Therapy, or RMAT, designation for lifileucel in advanced melanoma. We may seek Fast Track or Breakthrough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product candidates considered for approval under conventional the FDA procedures and does not assure ultimate marketing approval by the FDA. In addition, the FDA may later decide that the products no longer meet the designation conditions.</w:t>
      </w:r>
    </w:p>
    <w:p>
      <w:pPr>
        <w:spacing w:after="0" w:line="19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b w:val="1"/>
          <w:bCs w:val="1"/>
          <w:i w:val="1"/>
          <w:iCs w:val="1"/>
          <w:color w:val="auto"/>
        </w:rPr>
        <w:t>While lifileucel has received orphan drug designation for melanoma stages IIB-IV and LN-145 has received orphan drug designation for cervical cancer patients with tumors greater than 2 cm, there is no guarantee that we will be able to maintain this designation, receive these designations for any of our other product candidates, or receive or maintain any corresponding benefits, including periods of exclusivity.</w:t>
      </w:r>
    </w:p>
    <w:p>
      <w:pPr>
        <w:spacing w:after="0" w:line="18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received orphan drug designation in the United States for lifileucel to treat malignant melanoma stages IIB-IV and LN-145 for cervical cancer patients with tumors greater than 2 cm. We may also seek orphan drug designation for our other product candidates, as appropriate. Orphan designation, however, may be lost if the indication for which we develop our designated product candidates do not meet the orphan criteria. Moreover, following product approval, orphan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exclusivity, that exclusivity may not effectively protect the product from competition because different products can be approved for the same condition and the same product can be approved for different conditions.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Moreover, the FDA may grant orphan drug designations to multiple of the same products for the same indication. If another sponsor receives FDA approval for an orphan drug designated product that is the same as our product candidates and intended for the same indication before we do, we would be prevented from launching our product in the United States for this indication for a period of at least 7 years.</w:t>
      </w:r>
    </w:p>
    <w:p>
      <w:pPr>
        <w:spacing w:after="0" w:line="18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response to a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8"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b w:val="1"/>
          <w:bCs w:val="1"/>
          <w:i w:val="1"/>
          <w:iCs w:val="1"/>
          <w:color w:val="auto"/>
        </w:rPr>
        <w:t>As a condition of approval, the FDA may require that we implement various post-marketing requirements and conduct post-marketing studies, any of which would require a substantial investment of time, effort, and money, and which may limit our commercial prospects.</w:t>
      </w:r>
    </w:p>
    <w:p>
      <w:pPr>
        <w:spacing w:after="0" w:line="18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As a condition of biologic licensing, the FDA is authorized to require that sponsors of approved BLAs implement various post-market requirements, including REMS and Phase 4 studies. For example, when the FDA approved Novartis’ Kymriah in August 2017, a CAR-T cell therapy for the treatment of patients up to 25 years of age with B-cell precursor acute lymphoblastic leukemia, or ALL,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 requirements, the implementation of a Kymriah training program, and limited distribution only to certified hospitals and their associated clinics. If we receive approval of our product candidates, the FDA may determine that similar or additional post-approval requirements are necessary to ensure that our product candidates are safe, pure, and potent. To the extent that we are required to establish and implement any post-approval requirements, we will likely need to invest a significant amount of time, effort, and money. Such post-approval requirements may also limit the commercial prospects of our product candidates.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firstLine="486"/>
        <w:spacing w:after="0" w:line="342" w:lineRule="auto"/>
        <w:rPr>
          <w:sz w:val="20"/>
          <w:szCs w:val="20"/>
          <w:color w:val="auto"/>
        </w:rPr>
      </w:pPr>
      <w:r>
        <w:rPr>
          <w:rFonts w:ascii="Arial" w:cs="Arial" w:eastAsia="Arial" w:hAnsi="Arial"/>
          <w:sz w:val="16"/>
          <w:szCs w:val="16"/>
          <w:b w:val="1"/>
          <w:bCs w:val="1"/>
          <w:i w:val="1"/>
          <w:iCs w:val="1"/>
          <w:color w:val="auto"/>
        </w:rPr>
        <w:t>We may be unable to establish effective marketing and sales capabilities or enter into agreements with third parties to market and sell our product candidates, if they are approved, and as a result, we may be unable to generate product revenues.</w:t>
      </w:r>
    </w:p>
    <w:p>
      <w:pPr>
        <w:spacing w:after="0" w:line="124"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We currently have a small commercial team focused on our commercial strategy, but we do not have a commercial infrastructure for the marketing, sale, and distribution of biopharmaceutical products. If approved, in order to commercialize our products, we must build our marketing, sales, and distribution capabilities or make arrangements with third parties to perform these services, which will take time and require significant financial expenditures and we may not be successful in doing so. Even if we are able to effectively establish a sales force and develop a marketing and sales infrastructure, our sales force and marketing teams may not be successful in commercializing our current or future product candidates. To the extent we rely on third parties to commercialize any products for which we obtain regulatory approval, we would have less control over their sales efforts, and could be held liable if they failed to comply with applicable legal or regulatory requirements.</w:t>
      </w:r>
    </w:p>
    <w:p>
      <w:pPr>
        <w:spacing w:after="0" w:line="178"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have no prior experience in the marketing, sale, and distribution of biopharmaceutical products, and there are significant risks involved in the building and managing of a commercial infrastructure. The establishment and development of commercial capabilities, including a comprehensive healthcare compliance program, to market any products we may develop will be expensive and time consuming and could delay any product launch, and we may not be able to successfully develop this capability. We, or our collaborators, will have to compete with other pharmaceutical and biotechnology companies to recruit, hire, train, manage, and retain marketing, sales and commercial support personnel. In the event we are unable to develop a commercial infrastructure, we may not be able to commercialize our current or future product candidates, which would limit our ability to generate product revenues. Factors that may inhibit our efforts to commercialize our current or future product candidates and generate product revenues include:</w:t>
      </w:r>
    </w:p>
    <w:p>
      <w:pPr>
        <w:spacing w:after="0" w:line="165" w:lineRule="exact"/>
        <w:rPr>
          <w:sz w:val="20"/>
          <w:szCs w:val="20"/>
          <w:color w:val="auto"/>
        </w:rPr>
      </w:pPr>
    </w:p>
    <w:p>
      <w:pPr>
        <w:ind w:left="820" w:right="300" w:hanging="320"/>
        <w:spacing w:after="0" w:line="291" w:lineRule="auto"/>
        <w:tabs>
          <w:tab w:leader="none" w:pos="8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COVID-19 Pandemic continues or reoccurs it may negatively impact our ability to establish commercial operations, educate and interact with healthcare professionals, and successfully launch our product on a timely basis;</w:t>
      </w:r>
    </w:p>
    <w:p>
      <w:pPr>
        <w:ind w:left="820" w:right="3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current or future product candidates;</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9" w:lineRule="exact"/>
        <w:rPr>
          <w:rFonts w:ascii="Arial" w:cs="Arial" w:eastAsia="Arial" w:hAnsi="Arial"/>
          <w:sz w:val="18"/>
          <w:szCs w:val="18"/>
          <w:color w:val="auto"/>
        </w:rPr>
      </w:pPr>
    </w:p>
    <w:p>
      <w:pPr>
        <w:ind w:left="820" w:right="2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monitoring their actions;</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the products are approved and the claims that we may make for the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9" w:lineRule="exact"/>
        <w:rPr>
          <w:rFonts w:ascii="Arial" w:cs="Arial" w:eastAsia="Arial" w:hAnsi="Arial"/>
          <w:sz w:val="18"/>
          <w:szCs w:val="18"/>
          <w:color w:val="auto"/>
        </w:rPr>
      </w:pPr>
    </w:p>
    <w:p>
      <w:pPr>
        <w:ind w:left="820" w:right="30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ind w:left="820" w:hanging="32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liability for sales or marketing personnel who fail to comply with the applicable legal and regulatory requirements;</w:t>
      </w:r>
    </w:p>
    <w:p>
      <w:pPr>
        <w:spacing w:after="0" w:line="9" w:lineRule="exact"/>
        <w:rPr>
          <w:rFonts w:ascii="Arial" w:cs="Arial" w:eastAsia="Arial" w:hAnsi="Arial"/>
          <w:sz w:val="18"/>
          <w:szCs w:val="18"/>
          <w:color w:val="auto"/>
        </w:rPr>
      </w:pPr>
    </w:p>
    <w:p>
      <w:pPr>
        <w:ind w:left="820" w:right="40" w:hanging="320"/>
        <w:spacing w:after="0" w:line="25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right="540" w:hanging="320"/>
        <w:spacing w:after="0" w:line="260" w:lineRule="auto"/>
        <w:tabs>
          <w:tab w:leader="none" w:pos="8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85"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b w:val="1"/>
          <w:bCs w:val="1"/>
          <w:i w:val="1"/>
          <w:iCs w:val="1"/>
          <w:color w:val="auto"/>
        </w:rPr>
        <w:t>If our product candidates do not achieve broad market acceptance, the revenues that we generate from their sales will be limited.</w:t>
      </w:r>
    </w:p>
    <w:p>
      <w:pPr>
        <w:spacing w:after="0" w:line="170"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significant product revenues or become profitable.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77"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market acceptance, we may not generate significant revenues and we may not become profitable. The degree of market acceptance of any of our product candidates will depend on a number of factors, including:</w:t>
      </w:r>
    </w:p>
    <w:p>
      <w:pPr>
        <w:spacing w:after="0" w:line="170" w:lineRule="exact"/>
        <w:rPr>
          <w:sz w:val="20"/>
          <w:szCs w:val="20"/>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clinical indications for which the products are approved and the approved claims that we may make for the products;</w:t>
      </w:r>
    </w:p>
    <w:p>
      <w:pPr>
        <w:spacing w:after="0" w:line="20" w:lineRule="exact"/>
        <w:rPr>
          <w:rFonts w:ascii="Arial" w:cs="Arial" w:eastAsia="Arial" w:hAnsi="Arial"/>
          <w:sz w:val="17"/>
          <w:szCs w:val="17"/>
          <w:color w:val="auto"/>
        </w:rPr>
      </w:pPr>
    </w:p>
    <w:p>
      <w:pPr>
        <w:ind w:left="820" w:right="34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including potential limitations or warnings for such products that may be more restrictive than other competitive products;</w:t>
      </w: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relative difficulty of administration of such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9" w:lineRule="exact"/>
        <w:rPr>
          <w:rFonts w:ascii="Arial" w:cs="Arial" w:eastAsia="Arial" w:hAnsi="Arial"/>
          <w:sz w:val="18"/>
          <w:szCs w:val="18"/>
          <w:color w:val="auto"/>
        </w:rPr>
      </w:pPr>
    </w:p>
    <w:p>
      <w:pPr>
        <w:ind w:left="820" w:right="34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 parties, such as insurance companies and other healthcare payors, and by government healthcare programs, including Medicare and Medicaid;</w:t>
      </w: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candidates;</w:t>
      </w:r>
    </w:p>
    <w:p>
      <w:pPr>
        <w:spacing w:after="0" w:line="9" w:lineRule="exact"/>
        <w:rPr>
          <w:rFonts w:ascii="Arial" w:cs="Arial" w:eastAsia="Arial" w:hAnsi="Arial"/>
          <w:sz w:val="18"/>
          <w:szCs w:val="18"/>
          <w:color w:val="auto"/>
        </w:rPr>
      </w:pPr>
    </w:p>
    <w:p>
      <w:pPr>
        <w:ind w:left="820" w:right="26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ind w:left="820" w:right="20" w:hanging="320"/>
        <w:spacing w:after="0" w:line="250" w:lineRule="auto"/>
        <w:tabs>
          <w:tab w:leader="none" w:pos="8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with respect to such product candidates or to which we agree as part of a mandatory risk evaluation and mitigation strategy or voluntary risk management plan;</w:t>
      </w: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candidates, as well as competitive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offer such product candidates for sale at competitive prices;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11"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Our efforts to educate the medical community and third-party payors on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revenues from our product candidates, and we may not become profitable.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225"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The enactment of the Biologics Price Competition and Innovation Act of 2009, or BPCIA, created an abbreviated pathway for the approval of biosimilar and interchangeable biological products. The abbreviated regulatory pathway establishes legal authority for the FDA to review and approve biosimilar biologics, including the possible designation of a biosimilar as “interchangeable” based on its similarity to an existing brand product. Under the BPCIA, the FDA cannot make an approval of an application for a biosimilar product effective until 12 years after the original branded product was approved under a BLA. Certain changes, however, and supplements to an approved BLA, and subsequent applications filed by the same sponsor, manufacturer, licensor, predecessor in interest, or other related entity do not qualify for the 12-year exclusivity period.</w:t>
      </w:r>
    </w:p>
    <w:p>
      <w:pPr>
        <w:spacing w:after="0" w:line="17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Our product candidates may qualify for the BPCIA’s 12-year period of exclusivity. However, there is a risk that the FDA will not consider our product candidates to be reference products for competing products, potentially creating the opportunity for biosimilar competition sooner than anticipated. Additionally, this period of regulatory exclusivity does not block companies pursuing regulatory approval via their own traditional BLA, rather than via the abbreviated pathway. Changes may also be made to this exclusivity period as a result of future legislation as there has been ongoing efforts to reduce the period of exclusivity. Even if we receive a period of BPCIA exclusivity for our first licensed product, if subsequent products do not include a modification to the structure of the product that impacts safety, purity, or potency, we may not receive additional periods of exclusivity for those products.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Medicare Part B encourages use of biosimilars by paying the provider the same percentage</w:t>
      </w:r>
    </w:p>
    <w:p>
      <w:pPr>
        <w:sectPr>
          <w:pgSz w:w="11900" w:h="16838" w:orient="portrait"/>
          <w:cols w:equalWidth="0" w:num="1">
            <w:col w:w="9920"/>
          </w:cols>
          <w:pgMar w:left="980" w:top="66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of the reference product, average sale price, or ASP as a mark-up, regardless of which product is reimbursed. It is also possible that payors will give reimbursement preference to biosimilars even over reference biologics absent a determination of interchangeability.</w:t>
      </w:r>
    </w:p>
    <w:p>
      <w:pPr>
        <w:spacing w:after="0" w:line="124"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branded product names, and any failure or delay associated with such approval may adversely affect our business.</w:t>
      </w:r>
    </w:p>
    <w:p>
      <w:pPr>
        <w:spacing w:after="0" w:line="17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6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contract research organizations or other contractors or consultants, may fail or suffer security breaches.</w:t>
      </w:r>
    </w:p>
    <w:p>
      <w:pPr>
        <w:spacing w:after="0" w:line="170"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our operations, it could result in a disruption of our drug development programs. For example, the loss of clinical trial data from completed or ongoing clinical trials for a product candidate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the further development of any product candidates could be delayed.</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dependent on information technology, systems, infrastructure and data.</w:t>
      </w:r>
    </w:p>
    <w:p>
      <w:pPr>
        <w:spacing w:after="0" w:line="225"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We are dependent upon information technology systems, infrastructure and data. The multitude and complexity of our computer systems make them inherently vulnerable to service interruption or destruction, malicious intrusion and random attack. Likewise, data privacy or security breaches by third parties, employees, contractors or others may pose a risk that sensitive data, including our intellectual property, trade secrets or personal information of our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Our business and technology partners face similar risks and any security breach of their systems could adversely affect our security posture. While we have invested, and continue to invest, in the protection of our data and information technology infrastructure, there can be no assurance that our efforts, or the efforts of our partners and vendors, will prevent service interruptions, or identify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8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b w:val="1"/>
          <w:bCs w:val="1"/>
          <w:i w:val="1"/>
          <w:iCs w:val="1"/>
          <w:color w:val="auto"/>
        </w:rPr>
        <w:t>Our business could be adversely affected by the effects of health epidemics, including the recent spread of the disease caused by the novel coronavirus, SARS-CoV-2 (the "COVID-19 Pandemic"), in regions where we or third parties on which we rely have significant manufacturing facilities, concentrations of clinical trial sites or other business operations. The COVID-19 Pandemic could materially affect our operations, including at our headquarters in San Carlos and at our manufacturing facility in Philadelphia, which are currently subject to state executive orders and shelter-in-place orders, and at our clinical trial sites, as well as the business or operations of our other manufacturers, CROs or other third parties with whom we conduct business.*</w:t>
      </w:r>
    </w:p>
    <w:p>
      <w:pPr>
        <w:spacing w:after="0" w:line="164"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Our business could be adversely affected by health epidemics in regions where we have offices, manufacturing facilities, concentrations of clinical trial sites or other business operations, and could cause significant disruption in the operations of clinical trial sites, third party manufacturers and CROs upon whom we rely. For example, starting in December 2019, the COVID-19 Pandemic has spread to multiple countries, including the United States and several European countries. Our headquarters is located in</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San Francisco Bay Area. The President of the United States declared the COVID-19 Pandemic a national emergency. Similarly, the State of California declared a state of emergency related to the spread of the COVID-19 Pandemic. In March 2020, the health officers of six San Francisco Bay Area counties, including San Mateo County where our headquarters in San Carlos are located, issued shelter-in-place orders. The shelter-in-place orders took effect on March 17, 2020 and will continue through the end of May 2020, unless further extended. In addition, on March 19, 2020, the Governor of California and the State Public Health Officer and Director of the California Department of Public Health ordered all individuals living in the State of California to stay at their place of residence for an indefinite period of time (subject to certain exceptions to facilitate authorized necessary activities) to mitigate the impact of the COVID-19 pandemic. Similar executive orders have been issued by state and local governments in Pennsylvania, Florida, and elsewhere, and states of emergency have been declared at the state and local level in most jurisdictions throughout the United States.</w:t>
      </w:r>
    </w:p>
    <w:p>
      <w:pPr>
        <w:spacing w:after="0" w:line="16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the COVID-19 Pandemic or other infectious diseases could impact personnel at third-party manufacturing facilities in the United States and other countries, or the availability or cost of materials, which would disrupt our supply chain. In addition, our clinical trials may be affected by the COVID-19 Pandemic. Clinical site initiation, patient enrollment and patient monitoring may be delayed due to prioritization of hospital resources toward the COVID-19 Pandemic. Some sites may no longer be available to see patients for clinical trials. Some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the virus that causes the COVID-19 Pandemic and adversely impact our clinical trial operations.</w:t>
      </w:r>
    </w:p>
    <w:p>
      <w:pPr>
        <w:spacing w:after="0" w:line="181"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continue to monitor the impact, if any, of the COVID-19 Pandemic on our current and future operations, including our regulatory filing timelines and strategy as well as our preparation for commercial launch. Should the COVID-19 Pandemic continue for an extended period of time and travel, face to face interactions, and resources are not allowed or are severely limited, either by us or our contractors, including our CMOs, our regulatory strategy, BLA filing timelines, or commercial launch preparations may be negatively impacted. The COVID-19 Pandemic may also impact the FDA and their ability to timely review our regulatory filings.</w:t>
      </w:r>
    </w:p>
    <w:p>
      <w:pPr>
        <w:spacing w:after="0" w:line="176"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70"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European Union, or EU, member states and other foreign jurisdictions, including Switzerland, have adopted data protection laws and regulations which impose significant compliance obligations on us.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7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or HIPAA, and associated regulations. For example, California recently enacted legislation - the California Consumer Privacy Act, or CCPA</w:t>
      </w:r>
    </w:p>
    <w:p>
      <w:pPr>
        <w:spacing w:after="0" w:line="2" w:lineRule="exact"/>
        <w:rPr>
          <w:sz w:val="20"/>
          <w:szCs w:val="20"/>
          <w:color w:val="auto"/>
        </w:rPr>
      </w:pPr>
    </w:p>
    <w:p>
      <w:pPr>
        <w:ind w:right="260" w:firstLine="8"/>
        <w:spacing w:after="0" w:line="290" w:lineRule="auto"/>
        <w:tabs>
          <w:tab w:leader="none" w:pos="105"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which went into effect January 1, 2020. The CCPA, among other things, creates new data privacy obligations for covered companies and provides new privacy rights to California residents, including the right to opt out of certain disclosures of their</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information. The CCPA also creates a private right of action with statutory damages for certain data breaches, thereby potentially increasing risks associated with a data breach. The California Attorney General will issue final regulations. Although the law includes limited exceptions, including for certain information collected as part of clinical trials as specified in the law, it may regulate or impact our processing of personal information depending on the context. It remains unclear what language the final Attorney General regulations will contain, or how the statute and regulations will be interpreted.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will need to grow the size and capabilities of our organization, and we may experience difficulties in managing this growth.</w:t>
      </w:r>
    </w:p>
    <w:p>
      <w:pPr>
        <w:spacing w:after="0" w:line="260"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Our operations are dependent upon the services of our executives and our employees who are engaged in research and development. The loss of the services of our executive officers or senior research personnel could delay our product development programs and our research and development efforts. In order to develop our business in accordance with our business plan, we will have to hire additional qualified personnel, including in the areas of research, manufacturing, clinical trials management, regulatory affairs, and sales and marketing. We are continuing our efforts to recruit and hire the necessary employees to support our planned operations in the near term. However, competition for qualified employees among companies in the biotechnology and biopharmaceutical industry is intense, and no assurance can be given that we will be able attract, hire, retain and motivate the highly skilled employees that we need. Future growth will impose significant added responsibilities on members of management, including:</w:t>
      </w:r>
    </w:p>
    <w:p>
      <w:pPr>
        <w:spacing w:after="0" w:line="165" w:lineRule="exact"/>
        <w:rPr>
          <w:sz w:val="20"/>
          <w:szCs w:val="20"/>
          <w:color w:val="auto"/>
        </w:rPr>
      </w:pP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23" w:lineRule="exact"/>
        <w:rPr>
          <w:rFonts w:ascii="Arial" w:cs="Arial" w:eastAsia="Arial" w:hAnsi="Arial"/>
          <w:sz w:val="18"/>
          <w:szCs w:val="18"/>
          <w:color w:val="auto"/>
        </w:rPr>
      </w:pPr>
    </w:p>
    <w:p>
      <w:pPr>
        <w:ind w:left="820" w:right="660" w:hanging="320"/>
        <w:spacing w:after="0" w:line="265" w:lineRule="auto"/>
        <w:tabs>
          <w:tab w:leader="none" w:pos="8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820" w:hanging="32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1"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compliance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192" w:lineRule="exact"/>
        <w:rPr>
          <w:sz w:val="20"/>
          <w:szCs w:val="20"/>
          <w:color w:val="auto"/>
        </w:rPr>
      </w:pPr>
    </w:p>
    <w:p>
      <w:pPr>
        <w:ind w:right="240" w:firstLine="486"/>
        <w:spacing w:after="0" w:line="311" w:lineRule="auto"/>
        <w:rPr>
          <w:sz w:val="20"/>
          <w:szCs w:val="20"/>
          <w:color w:val="auto"/>
        </w:rPr>
      </w:pPr>
      <w:r>
        <w:rPr>
          <w:rFonts w:ascii="Arial" w:cs="Arial" w:eastAsia="Arial" w:hAnsi="Arial"/>
          <w:sz w:val="16"/>
          <w:szCs w:val="16"/>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 on a timely basis, or at all.</w:t>
      </w:r>
    </w:p>
    <w:p>
      <w:pPr>
        <w:spacing w:after="0" w:line="149" w:lineRule="exact"/>
        <w:rPr>
          <w:sz w:val="20"/>
          <w:szCs w:val="20"/>
          <w:color w:val="auto"/>
        </w:rPr>
      </w:pPr>
    </w:p>
    <w:p>
      <w:pPr>
        <w:ind w:right="920" w:firstLine="486"/>
        <w:spacing w:after="0" w:line="308"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146"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84" w:lineRule="exact"/>
        <w:rPr>
          <w:sz w:val="20"/>
          <w:szCs w:val="20"/>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9" w:lineRule="exact"/>
        <w:rPr>
          <w:rFonts w:ascii="Arial" w:cs="Arial" w:eastAsia="Arial" w:hAnsi="Arial"/>
          <w:sz w:val="18"/>
          <w:szCs w:val="18"/>
          <w:color w:val="auto"/>
        </w:rPr>
      </w:pPr>
    </w:p>
    <w:p>
      <w:pPr>
        <w:ind w:left="820" w:right="580" w:hanging="320"/>
        <w:spacing w:after="0" w:line="25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ind w:left="820" w:right="240" w:hanging="320"/>
        <w:spacing w:after="0" w:line="260" w:lineRule="auto"/>
        <w:tabs>
          <w:tab w:leader="none" w:pos="8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programs and initiatives in pursuing such a strategic merger or acquisition;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820" w:hanging="320"/>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46" w:lineRule="exact"/>
        <w:rPr>
          <w:rFonts w:ascii="Arial" w:cs="Arial" w:eastAsia="Arial" w:hAnsi="Arial"/>
          <w:sz w:val="16"/>
          <w:szCs w:val="16"/>
          <w:color w:val="auto"/>
        </w:rPr>
      </w:pPr>
    </w:p>
    <w:p>
      <w:pPr>
        <w:ind w:left="820" w:right="320" w:hanging="320"/>
        <w:spacing w:after="0" w:line="25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820" w:right="200" w:hanging="320"/>
        <w:spacing w:after="0" w:line="260" w:lineRule="auto"/>
        <w:tabs>
          <w:tab w:leader="none" w:pos="8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Depending on the size and nature of future strategic acquisitions, we may acquire assets or businesses that require us to raise additional capital or to operate or manage businesses in which we have limited experience. Making larger acquisitions that require us to raise additional capital to fund the acquisition will expose us to the risks associated with capital raising activities. Acquiring and thereafter operating larger new businesses will also increase our management, operating and reporting costs and burdens.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78" w:lineRule="exact"/>
        <w:rPr>
          <w:sz w:val="20"/>
          <w:szCs w:val="20"/>
          <w:color w:val="auto"/>
        </w:rPr>
      </w:pPr>
    </w:p>
    <w:p>
      <w:pPr>
        <w:ind w:right="40" w:firstLine="486"/>
        <w:spacing w:after="0" w:line="327" w:lineRule="auto"/>
        <w:rPr>
          <w:sz w:val="20"/>
          <w:szCs w:val="20"/>
          <w:color w:val="auto"/>
        </w:rPr>
      </w:pPr>
      <w:r>
        <w:rPr>
          <w:rFonts w:ascii="Arial" w:cs="Arial" w:eastAsia="Arial" w:hAnsi="Arial"/>
          <w:sz w:val="15"/>
          <w:szCs w:val="15"/>
          <w:b w:val="1"/>
          <w:bCs w:val="1"/>
          <w:i w:val="1"/>
          <w:iCs w:val="1"/>
          <w:color w:val="auto"/>
        </w:rPr>
        <w:t>We may rely on third parties to perform many essential services for any products that we commercialize, including services related to distribution, government price reporting, customer service, accounts receivable management, cash collection, and adverse event reporting. If these third parties fail to perform as expected or to comply with legal and regulatory requirements, our ability to commercialize our current or future product candidates will be significantly impacted and we may be subject to regulatory sanctions.</w:t>
      </w:r>
    </w:p>
    <w:p>
      <w:pPr>
        <w:spacing w:after="0" w:line="14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may retain third-party service providers to perform a variety of functions related to the sale and distribution of our current or future product candidates, key aspects of which will be out of our direct control. These service providers may provide key services related to distribution, customer service, accounts receivable management, and cash collection. If we retain a service provider, we would substantially rely on it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92"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71"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Additionally, we may contract with a third-party to calculate and report pricing information mandated by various government programs. If a third party fails to timely report or adjust prices as required or errs in calculating government pricing information from transactional data in our financial records, it could impact our discount and rebate liability, and potentially subject us to regulatory sanctions or False Claims Act lawsuits.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The SEC has issued an administrative order against us that may make it more difficult for us to raise capital in the future.</w:t>
      </w:r>
    </w:p>
    <w:p>
      <w:pPr>
        <w:spacing w:after="0" w:line="248"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 xml:space="preserve">On April 10, 2017, the SEC issued an administrative order that requires us to cease and desist from committing or causing any violations and any future violations of Sections 5(b), 17(a), and 17(b) of the Securities Act of 1933, as amended, or the Securities Act, and of Section 10(b) of the Securities Exchange Act of 1934 and Rule 10b-5 thereunder. The order was entered into as part of our settlement with the SEC in the investigation titled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The SEC’s investigation, in part, involved the conduct of our former Chief Executive Officer and director, Manish Singh, during the period between September 2013 and April 2014, and the failure by authors of certain articles about our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 Some of the limitations placed on us as a result of the SEC administrative order relating to ineligibility for statutory safe harbors, including under the Private</w:t>
      </w:r>
    </w:p>
    <w:p>
      <w:pPr>
        <w:sectPr>
          <w:pgSz w:w="11900" w:h="16838" w:orient="portrait"/>
          <w:cols w:equalWidth="0" w:num="1">
            <w:col w:w="9880"/>
          </w:cols>
          <w:pgMar w:left="980" w:top="665" w:right="1039" w:bottom="1440" w:gutter="0" w:footer="0" w:header="0"/>
        </w:sect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Securities Litigation Reform Act, and limitations on our communications and status as an ineligible issuer under Rule 405 of the Securities Act, have ended as of April 2020.</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b w:val="1"/>
          <w:bCs w:val="1"/>
          <w:i w:val="1"/>
          <w:iCs w:val="1"/>
          <w:color w:val="auto"/>
        </w:rPr>
        <w:t>We are, and in the future may be, subject to Federal or state securities or related legal actions that could adversely affect our results of operations and our business.*</w:t>
      </w:r>
    </w:p>
    <w:p>
      <w:pPr>
        <w:spacing w:after="0" w:line="197"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 xml:space="preserve">Shortly after the SEC announced settlements with us, with other public companies, and with unrelated parties in the </w:t>
      </w:r>
      <w:r>
        <w:rPr>
          <w:rFonts w:ascii="Arial" w:cs="Arial" w:eastAsia="Arial" w:hAnsi="Arial"/>
          <w:sz w:val="17"/>
          <w:szCs w:val="17"/>
          <w:i w:val="1"/>
          <w:iCs w:val="1"/>
          <w:color w:val="auto"/>
        </w:rPr>
        <w:t>In the Matter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Certain Stock Promotions </w:t>
      </w:r>
      <w:r>
        <w:rPr>
          <w:rFonts w:ascii="Arial" w:cs="Arial" w:eastAsia="Arial" w:hAnsi="Arial"/>
          <w:sz w:val="17"/>
          <w:szCs w:val="17"/>
          <w:color w:val="auto"/>
        </w:rPr>
        <w:t>investigation, two securities class action complaints were filed in the U.S. District Court for the Northern</w:t>
      </w:r>
      <w:r>
        <w:rPr>
          <w:rFonts w:ascii="Arial" w:cs="Arial" w:eastAsia="Arial" w:hAnsi="Arial"/>
          <w:sz w:val="17"/>
          <w:szCs w:val="17"/>
          <w:i w:val="1"/>
          <w:iCs w:val="1"/>
          <w:color w:val="auto"/>
        </w:rPr>
        <w:t xml:space="preserve"> </w:t>
      </w:r>
      <w:r>
        <w:rPr>
          <w:rFonts w:ascii="Arial" w:cs="Arial" w:eastAsia="Arial" w:hAnsi="Arial"/>
          <w:sz w:val="17"/>
          <w:szCs w:val="17"/>
          <w:color w:val="auto"/>
        </w:rPr>
        <w:t>District of California against our company, Manish Singh, and two of our other former officers. On July 20, 2017, the plaintiff in one of the cases filed a notice to voluntarily dismiss that case, and the court entered an order dismissing the complaint on July 21, 2017. On July 26, 2017, the court appointed a movant as lead plaintiff. On September 8, 2017, the lead plaintiff, individually and on behalf of all others similarly situated, filed an amended complaint seeking class action status in the United States District Court for the Northern District of California (</w:t>
      </w:r>
      <w:r>
        <w:rPr>
          <w:rFonts w:ascii="Arial" w:cs="Arial" w:eastAsia="Arial" w:hAnsi="Arial"/>
          <w:sz w:val="17"/>
          <w:szCs w:val="17"/>
          <w:i w:val="1"/>
          <w:iCs w:val="1"/>
          <w:color w:val="auto"/>
        </w:rPr>
        <w:t>Jay Rabkin v. Lion Biotechnologies, Inc., et al.,</w:t>
      </w:r>
      <w:r>
        <w:rPr>
          <w:rFonts w:ascii="Arial" w:cs="Arial" w:eastAsia="Arial" w:hAnsi="Arial"/>
          <w:sz w:val="17"/>
          <w:szCs w:val="17"/>
          <w:color w:val="auto"/>
        </w:rPr>
        <w:t xml:space="preserve"> case no. 3:17-cv-0286) against us, two of our former officers, and the managing member of our former investor relations firm. The amended complaint alleges, among other things, that the defendants violated various provisions of the Securities Exchange Act of 1934 by making materially false and misleading statements, or by failing to make certain disclosures, regarding the actions taken by Manish Singh, our former Chief Executive Officer and a former director,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On February 5, 2018, the court entered an order dismissing two of plaintiff’s six claims. As the result of mediation, on September 28, 2018, lead plaintiff filed an unopposed motion for settlement, the cost of which, was expected to be borne by our insurance carrier and would result in no loss to us. The court gave preliminary approval to the proposed settlement on November 30, 2018. A hearing was held on April 12, 2019 to determine whether the proposed settlement was fair, reasonable, and adequate, and whether the claims should be dismissed. On April 17, 2019, the court approved the final settlement, involving a payment of $3,250,000 by our insurance carrier to a settlement fund, awarded attorney’s fees and costs to be paid to plaintiff’s counsel from the settlement fund, approved the plan of allocation for settlement class members, and ordered that the claims against us should be dismissed with prejudice. The court retains jurisdiction over the parties and class members in the case for the purposes of administration, interpretation, implementation, and enforcement of the settlement, and related matters.</w:t>
      </w:r>
    </w:p>
    <w:p>
      <w:pPr>
        <w:spacing w:after="0" w:line="187" w:lineRule="exact"/>
        <w:rPr>
          <w:sz w:val="20"/>
          <w:szCs w:val="20"/>
          <w:color w:val="auto"/>
        </w:rPr>
      </w:pPr>
    </w:p>
    <w:p>
      <w:pPr>
        <w:ind w:right="20" w:firstLine="486"/>
        <w:spacing w:after="0" w:line="284" w:lineRule="auto"/>
        <w:rPr>
          <w:sz w:val="20"/>
          <w:szCs w:val="20"/>
          <w:color w:val="auto"/>
        </w:rPr>
      </w:pPr>
      <w:r>
        <w:rPr>
          <w:rFonts w:ascii="Arial" w:cs="Arial" w:eastAsia="Arial" w:hAnsi="Arial"/>
          <w:sz w:val="16"/>
          <w:szCs w:val="16"/>
          <w:color w:val="auto"/>
        </w:rPr>
        <w:t xml:space="preserve">On December 15, 2017, a purported stockholder derivative complaint was filed by plaintiff Kevin Fong against us, as nominal defendant, and certain of our current and former officers and directors, and others, as defendants, in the U.S. District Court for the District of Delaware (case no. 1:17-cv-1806). The complaint alleges breaches of fiduciary duties, unjust enrichment, and violations of Section 14(a) of the Securities Exchange Act of 1934 and Rule 14a-9 promulgated thereunder arising from the SEC’s investigation in the </w:t>
      </w:r>
      <w:r>
        <w:rPr>
          <w:rFonts w:ascii="Arial" w:cs="Arial" w:eastAsia="Arial" w:hAnsi="Arial"/>
          <w:sz w:val="16"/>
          <w:szCs w:val="16"/>
          <w:i w:val="1"/>
          <w:iCs w:val="1"/>
          <w:color w:val="auto"/>
        </w:rPr>
        <w:t xml:space="preserve">In the Matter of Certain Stock Promotions </w:t>
      </w:r>
      <w:r>
        <w:rPr>
          <w:rFonts w:ascii="Arial" w:cs="Arial" w:eastAsia="Arial" w:hAnsi="Arial"/>
          <w:sz w:val="16"/>
          <w:szCs w:val="16"/>
          <w:color w:val="auto"/>
        </w:rPr>
        <w:t>matter and our April 10, 2017 settlement thereof, and seeks unspecified damages on behalf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company and injunctive relief. On March 28, 2018, a purported stockholder derivative complaint was filed by plaintiff Nazeer Khaleeluddin on behalf of our company, against us, as nominal defendant, and certain of our current and former officers and directors, and others, as defendants, in the U.S. District Court for the District of Delaware (case no. 1:18-cv-00469). The complaint alleges, among other things, violations of securities law, breach of fiduciary duty, aiding and abetting, waste of corporate assets, and unjust enrichment. The complaint is based on claims arising from the SEC’s investigation in the </w:t>
      </w:r>
      <w:r>
        <w:rPr>
          <w:rFonts w:ascii="Arial" w:cs="Arial" w:eastAsia="Arial" w:hAnsi="Arial"/>
          <w:sz w:val="16"/>
          <w:szCs w:val="16"/>
          <w:i w:val="1"/>
          <w:iCs w:val="1"/>
          <w:color w:val="auto"/>
        </w:rPr>
        <w:t>In the Matter of Certain Stock Promotions</w:t>
      </w:r>
      <w:r>
        <w:rPr>
          <w:rFonts w:ascii="Arial" w:cs="Arial" w:eastAsia="Arial" w:hAnsi="Arial"/>
          <w:sz w:val="16"/>
          <w:szCs w:val="16"/>
          <w:color w:val="auto"/>
        </w:rPr>
        <w:t xml:space="preserve"> investigation and our April 10, 2017 settlement thereof, and seeks unspecified damages on behalf of our company and injunctive relief. On May 1, 2018, the court consolidated this case with the aforementioned purported stockholder derivative case filed by plaintiff Kevin Fong. The consolidated cases are titled </w:t>
      </w:r>
      <w:r>
        <w:rPr>
          <w:rFonts w:ascii="Arial" w:cs="Arial" w:eastAsia="Arial" w:hAnsi="Arial"/>
          <w:sz w:val="16"/>
          <w:szCs w:val="16"/>
          <w:i w:val="1"/>
          <w:iCs w:val="1"/>
          <w:color w:val="auto"/>
        </w:rPr>
        <w:t>In re Iovance Biotherapeutics, Inc. Stockholder Derivative Litigation</w:t>
      </w:r>
      <w:r>
        <w:rPr>
          <w:rFonts w:ascii="Arial" w:cs="Arial" w:eastAsia="Arial" w:hAnsi="Arial"/>
          <w:sz w:val="16"/>
          <w:szCs w:val="16"/>
          <w:color w:val="auto"/>
        </w:rPr>
        <w:t xml:space="preserve"> (lead case no. 17-cv-1806). We agreed to a proposed settlement in this matter on January 28, 2020, which was given preliminary approval by the court on April 24, 2020. If the proposed settlement is given final approval by the court, we do not expect to incur any significant costs or expenses in connection with this settlement. However, the settlement may not be finally approved, in which case we intend to vigorously defend against these complaints, which may incur additional costs. Based on the current stage of the litigation matters, it is not possible to estimate the amount or range of possible loss that might result from an adverse judgment or a settlement of these matters. Furthermore, litigation is inherently uncertain, and there is no assurance as to the outcome of these,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 currently pending cases also may distract the time and attention of our officers and directors or divert our other resources away from our ongoing commercial and development programs. An unfavorable outcome in these matters could damage our business and reputation or result in additional claims or proceedings against us.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The FDA regulatory approval process is lengthy and time-consuming, and we may experience significant delays in the clinical development and regulatory approval of our product candidates.</w:t>
      </w:r>
    </w:p>
    <w:p>
      <w:pPr>
        <w:spacing w:after="0" w:line="170"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We have not previously submitted a BLA to the FDA, or similar approval filings to comparable foreign authorities. A BLA must include extensive preclinical and clinical data and supporting information to establish the product candidate’s safety and effectiveness for each desired indication. For example, following our End of Phase 2 meeting with the FDA, we increased enrollment in Cohort 1 of our ongoing C-145-04 clinical trial of TIL therapy LN-145 to at least 75 patients of the appropriate population to address the expected sample size in anticipation of a BLA submission in late 2020. Additionally, the patient population is defined per the discussion with FDA as patients who have progressed following initial systemic therapy for recurrent or metastatic disease which include many of the more advanced patients enrolled to date. Based on feedback we received from the FDA following our End of Phase 2 meeting, we are planning for a BLA submission in late 2020 subsequent to discussions with the FDA. However, our current beliefs regarding the registration pathway for the LN-145 product candidate are based on our interpretation of communications with the FDA to date and our efforts to address such communications, which may be incorrect. Our statements that the study may support a BLA submission also assume that our as-adjusted study has addressed the additional requests by the FDA that were raised at our End of Phase 2 meeting. Further, enrollment in this study may need to be further adjusted based on future feedback from the FDA or other regulatory agency input. The revised protocol which further defines the patient population to include more advanced patients in the study, may have an adverse effect on the results reported to date, changes to implement an independent review committee and assay validation and implementation, and the data within this study may not ultimately be supportive of product approval, all of which could result in significant delays to our currently anticipated timeline for development and approval of our product candidate or prevent its approval entirely. Similarly, our current beliefs for our lifileucel product candidate for the treatment of melanoma are based on our interpretation of communications received from the FDA to date regarding this product candidate and our ongoing C-144-01 clinical trial, and may also be incorrect.</w:t>
      </w:r>
    </w:p>
    <w:p>
      <w:pPr>
        <w:spacing w:after="0" w:line="17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 BLA must also include significant information regarding the chemistry, manufacturing and controls for the product. Additionally, we expect the novel nature of our product candidates to create further challenges in obtaining regulatory approval. For example, the FDA has limited experience with commercial development of cell therapies for cancer. We may also not be able to successfully utilize the BTD or RMAT designations we have received for metastatic cervical cancer and advanced melanoma, respectively, to successfully complete the development and commercialization of lifileucel. We may not be able to reach agreement with FDA on an interpretation of outcomes from our meetings, including meetings we have held with FDA in relation to our C-145-04 and C-144-01 clinical trials and future meetings. Accordingly, the regulatory approval pathway for our product candidates may be uncertain, complex, expensive and lengthy, and approval may not be obtained.</w:t>
      </w:r>
    </w:p>
    <w:p>
      <w:pPr>
        <w:spacing w:after="0" w:line="17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We may also experience delays, including delays arising from the need to increase enrollment, in completing planned clinical trials for a variety of reasons, including delays related to:</w:t>
      </w:r>
    </w:p>
    <w:p>
      <w:pPr>
        <w:spacing w:after="0" w:line="170" w:lineRule="exact"/>
        <w:rPr>
          <w:sz w:val="20"/>
          <w:szCs w:val="20"/>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the planned trials;</w:t>
      </w:r>
    </w:p>
    <w:p>
      <w:pPr>
        <w:spacing w:after="0" w:line="23"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contract terms with prospective CROs and clinical trial sites, the terms of which can be subject to extensive negotiation and may vary significantly among different CROs and trial sites;</w:t>
      </w: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independent institutional review board, or IRB, or central IRB;</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9" w:lineRule="exact"/>
        <w:rPr>
          <w:rFonts w:ascii="Arial" w:cs="Arial" w:eastAsia="Arial" w:hAnsi="Arial"/>
          <w:sz w:val="18"/>
          <w:szCs w:val="18"/>
          <w:color w:val="auto"/>
        </w:rPr>
      </w:pPr>
    </w:p>
    <w:p>
      <w:pPr>
        <w:ind w:left="820" w:right="220" w:hanging="320"/>
        <w:spacing w:after="0" w:line="25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qualified materials under cGMPs and applying them on a subject by subject basis for use in clinical trials; or</w:t>
      </w:r>
    </w:p>
    <w:p>
      <w:pPr>
        <w:ind w:left="820" w:right="120" w:hanging="320"/>
        <w:spacing w:after="0" w:line="260" w:lineRule="auto"/>
        <w:tabs>
          <w:tab w:leader="none" w:pos="81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timely implementing or validating changes to our manufacturing or quality control processes and methods needed to address FDA feedback.</w:t>
      </w:r>
    </w:p>
    <w:p>
      <w:pPr>
        <w:spacing w:after="0" w:line="185" w:lineRule="exact"/>
        <w:rPr>
          <w:sz w:val="20"/>
          <w:szCs w:val="20"/>
          <w:color w:val="auto"/>
        </w:rPr>
      </w:pPr>
    </w:p>
    <w:p>
      <w:pPr>
        <w:ind w:right="100" w:firstLine="486"/>
        <w:spacing w:after="0" w:line="296" w:lineRule="auto"/>
        <w:rPr>
          <w:sz w:val="20"/>
          <w:szCs w:val="20"/>
          <w:color w:val="auto"/>
        </w:rPr>
      </w:pPr>
      <w:r>
        <w:rPr>
          <w:rFonts w:ascii="Arial" w:cs="Arial" w:eastAsia="Arial" w:hAnsi="Arial"/>
          <w:sz w:val="16"/>
          <w:szCs w:val="16"/>
          <w:color w:val="auto"/>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by the FDA or other regulatory authorities, or recommended for suspension or termination by DSMBs due to a number of factors, including failure to conduct the clinical trial in accordance with regulatory requirements or our clinical protocols, inspection of the clinical trial</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64" w:lineRule="exact"/>
        <w:rPr>
          <w:sz w:val="20"/>
          <w:szCs w:val="20"/>
          <w:color w:val="auto"/>
        </w:rPr>
      </w:pPr>
    </w:p>
    <w:p>
      <w:pPr>
        <w:ind w:right="300" w:firstLine="486"/>
        <w:spacing w:after="0" w:line="308" w:lineRule="auto"/>
        <w:rPr>
          <w:sz w:val="20"/>
          <w:szCs w:val="20"/>
          <w:color w:val="auto"/>
        </w:rPr>
      </w:pPr>
      <w:r>
        <w:rPr>
          <w:rFonts w:ascii="Arial" w:cs="Arial" w:eastAsia="Arial" w:hAnsi="Arial"/>
          <w:sz w:val="17"/>
          <w:szCs w:val="17"/>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46"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order to market and sell our products outside the United States, we or our third-party collaborators may be required to obtain separate marketing approvals and comply with numerous and varying regulatory requirements. 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We or our collaborators may not be able to file for regulatory approval of our product candidates in international jurisdictions or obtain approvals from regulatory authorities outside the United States on a timely basis, if at all.</w:t>
      </w:r>
    </w:p>
    <w:p>
      <w:pPr>
        <w:spacing w:after="0" w:line="17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92"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b w:val="1"/>
          <w:bCs w:val="1"/>
          <w:i w:val="1"/>
          <w:iCs w:val="1"/>
          <w:color w:val="auto"/>
        </w:rPr>
        <w:t>We are, and if we receive regulatory approval of our product candidates, will continue to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Any regulatory approvals that we receive for our product candidates will require surveillance to monitor the safety and efficacy of the product candidate. The FDA may also require a REMS to approve our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8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addition, we, our contractors, and our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our product candidates. We and any of our collaborators, including our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our operating results and financial condition.</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Later discovery of previously unknown problems with our product candidates, including adverse events of unanticipated severity or frequency, that the product is less effective than previously thought, problems with our third-party manufacturers or manufacturing processes, or failure to comply with regulatory requirements, may result in, among other things:</w:t>
      </w:r>
    </w:p>
    <w:p>
      <w:pPr>
        <w:spacing w:after="0" w:line="165" w:lineRule="exact"/>
        <w:rPr>
          <w:sz w:val="20"/>
          <w:szCs w:val="20"/>
          <w:color w:val="auto"/>
        </w:rPr>
      </w:pPr>
    </w:p>
    <w:p>
      <w:pPr>
        <w:ind w:left="820" w:right="300" w:hanging="320"/>
        <w:spacing w:after="0" w:line="258"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our product candidates, withdrawal of the product from the market, or voluntary or mandatory product recalls;</w:t>
      </w:r>
    </w:p>
    <w:p>
      <w:pPr>
        <w:spacing w:after="0" w:line="1" w:lineRule="exact"/>
        <w:rPr>
          <w:rFonts w:ascii="Arial" w:cs="Arial" w:eastAsia="Arial" w:hAnsi="Arial"/>
          <w:sz w:val="18"/>
          <w:szCs w:val="18"/>
          <w:color w:val="auto"/>
        </w:rPr>
      </w:pPr>
    </w:p>
    <w:p>
      <w:pPr>
        <w:ind w:left="820" w:right="32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labeling of our product candidates, including required additional warnings, such as black box warnings, contraindications, precautions, and restrictions on the approved indication or use;</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9" w:lineRule="exact"/>
        <w:rPr>
          <w:rFonts w:ascii="Arial" w:cs="Arial" w:eastAsia="Arial" w:hAnsi="Arial"/>
          <w:sz w:val="18"/>
          <w:szCs w:val="18"/>
          <w:color w:val="auto"/>
        </w:rPr>
      </w:pPr>
    </w:p>
    <w:p>
      <w:pPr>
        <w:ind w:left="820" w:right="38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license approvals;</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9" w:lineRule="exact"/>
        <w:rPr>
          <w:rFonts w:ascii="Arial" w:cs="Arial" w:eastAsia="Arial" w:hAnsi="Arial"/>
          <w:sz w:val="18"/>
          <w:szCs w:val="18"/>
          <w:color w:val="auto"/>
        </w:rPr>
      </w:pPr>
    </w:p>
    <w:p>
      <w:pPr>
        <w:ind w:left="820" w:right="10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ind w:left="820" w:right="540" w:hanging="320"/>
        <w:spacing w:after="0" w:line="250" w:lineRule="auto"/>
        <w:tabs>
          <w:tab w:leader="none" w:pos="8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biologic;</w:t>
      </w: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11"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2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be subject to other regulatory enforcement action, and we may not achieve or sustain profitability.</w:t>
      </w:r>
    </w:p>
    <w:p>
      <w:pPr>
        <w:spacing w:after="0" w:line="192" w:lineRule="exact"/>
        <w:rPr>
          <w:sz w:val="20"/>
          <w:szCs w:val="20"/>
          <w:color w:val="auto"/>
        </w:rPr>
      </w:pPr>
    </w:p>
    <w:p>
      <w:pPr>
        <w:jc w:val="both"/>
        <w:ind w:right="560" w:firstLine="486"/>
        <w:spacing w:after="0" w:line="263" w:lineRule="auto"/>
        <w:rPr>
          <w:sz w:val="20"/>
          <w:szCs w:val="20"/>
          <w:color w:val="auto"/>
        </w:rPr>
      </w:pPr>
      <w:r>
        <w:rPr>
          <w:rFonts w:ascii="Arial" w:cs="Arial" w:eastAsia="Arial" w:hAnsi="Arial"/>
          <w:sz w:val="18"/>
          <w:szCs w:val="18"/>
          <w:b w:val="1"/>
          <w:bCs w:val="1"/>
          <w:i w:val="1"/>
          <w:iCs w:val="1"/>
          <w:color w:val="auto"/>
        </w:rPr>
        <w:t>If we fail to comply with federal and state healthcare and promotional laws, including fraud and abuse and information privacy and security laws, we could face substantial penalties and our business, financial condition, results of operations, and prospects could be adversely affected.</w:t>
      </w:r>
    </w:p>
    <w:p>
      <w:pPr>
        <w:spacing w:after="0" w:line="184"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As a biopharmaceutical company, we are subject to many federal and state healthcare laws, including the federal AKS, the federal civil and criminal FCA,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If we do not comply with all applicable fraud and abuse laws, we may be subject to healthcare fraud and abuse enforcement by both the federal government and the states in which we conduct our business.</w:t>
      </w:r>
    </w:p>
    <w:p>
      <w:pPr>
        <w:spacing w:after="0" w:line="19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Laws and regulations require calculation and reporting of complex pricing information for prescription drugs, and compliance will require us to invest in significant resources and develop a price reporting infrastructure, or depend on third parties to compute and report our drug pricing. Pricing reported to CMS must be certified. Non-compliant activities expose us to FCA risk if they result in overcharging agencies, underpaying rebates to agencies, or causing agencies to overpay providers.</w:t>
      </w:r>
    </w:p>
    <w:p>
      <w:pPr>
        <w:spacing w:after="0" w:line="171" w:lineRule="exact"/>
        <w:rPr>
          <w:sz w:val="20"/>
          <w:szCs w:val="20"/>
          <w:color w:val="auto"/>
        </w:rPr>
      </w:pPr>
    </w:p>
    <w:p>
      <w:pPr>
        <w:jc w:val="both"/>
        <w:ind w:right="240" w:firstLine="486"/>
        <w:spacing w:after="0" w:line="311" w:lineRule="auto"/>
        <w:rPr>
          <w:sz w:val="20"/>
          <w:szCs w:val="20"/>
          <w:color w:val="auto"/>
        </w:rPr>
      </w:pPr>
      <w:r>
        <w:rPr>
          <w:rFonts w:ascii="Arial" w:cs="Arial" w:eastAsia="Arial" w:hAnsi="Arial"/>
          <w:sz w:val="16"/>
          <w:szCs w:val="16"/>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they may be subject to criminal, civil, or administrative sanctions, including but not limited to, exclusions from participation in government healthcare programs, which could also materially affect our business.</w:t>
      </w:r>
    </w:p>
    <w:p>
      <w:pPr>
        <w:spacing w:after="0" w:line="176"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particular, if we are found to have impermissibly promoted any of our product candidates, we may become subject to significant liability and government fines. We, and any of our collaborators, must comply with requirements concerning advertising and promotion for any of our product candidates for which we or they obtain marketing approval. Promotional communications with respect to therapeutics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products and product candidates, we may not market or promote our products for those indications and uses, referred to as off-label uses, and our business may be adversely affected. We further must be able to sufficiently substantiate any claims that we make for our products including claims comparing our products to other companies’ products and must abide by the FDA’s strict requirements regarding the content of promotion and advertising.</w:t>
      </w:r>
    </w:p>
    <w:p>
      <w:pPr>
        <w:spacing w:after="0" w:line="182"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While physicians may choose to prescribe products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spacing w:after="0" w:line="164"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164"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future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71" w:lineRule="exact"/>
        <w:rPr>
          <w:sz w:val="20"/>
          <w:szCs w:val="20"/>
          <w:color w:val="auto"/>
        </w:rPr>
      </w:pPr>
    </w:p>
    <w:p>
      <w:pPr>
        <w:ind w:right="140" w:firstLine="486"/>
        <w:spacing w:after="0" w:line="342" w:lineRule="auto"/>
        <w:rPr>
          <w:sz w:val="20"/>
          <w:szCs w:val="20"/>
          <w:color w:val="auto"/>
        </w:rPr>
      </w:pPr>
      <w:r>
        <w:rPr>
          <w:rFonts w:ascii="Arial" w:cs="Arial" w:eastAsia="Arial" w:hAnsi="Arial"/>
          <w:sz w:val="16"/>
          <w:szCs w:val="16"/>
          <w:color w:val="auto"/>
        </w:rPr>
        <w:t>Although an effective compliance program can mitigate the risk of investigation and prosecution for violations of these laws, the risks cannot be entirely eliminated. Moreover, achieving and sustaining compliance with applicable federal and state fraud laws</w:t>
      </w:r>
    </w:p>
    <w:p>
      <w:pPr>
        <w:sectPr>
          <w:pgSz w:w="11900" w:h="16838" w:orient="portrait"/>
          <w:cols w:equalWidth="0" w:num="1">
            <w:col w:w="9900"/>
          </w:cols>
          <w:pgMar w:left="980" w:top="665" w:right="1019"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may prove costly. Any action against us for violation of these laws, even if we successfully defend against it, could cause us to incur significant legal expenses and divert our management’s attention from the operation of our business.</w:t>
      </w:r>
    </w:p>
    <w:p>
      <w:pPr>
        <w:spacing w:after="0" w:line="170"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70"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In both domestic and foreign markets, sales of our product candidates, if approved, depend on the availability of coverage and adequate reimbursement from third-party payors. Such third-party payors include government health programs such as Medicare and Medicaid, managed care providers, private health insurers, and other organizations. In addition, because our product candidates represent new approaches to the treatment of cancer, we cannot accurately estimate the potential revenue from our product candidates.</w:t>
      </w:r>
    </w:p>
    <w:p>
      <w:pPr>
        <w:spacing w:after="0" w:line="15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Obtaining coverage and adequate reimbursement from governmental healthcare programs, such as Medicare and Medicaid, and commercial payors is critical to new product acceptance.</w:t>
      </w:r>
    </w:p>
    <w:p>
      <w:pPr>
        <w:spacing w:after="0" w:line="184"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Government authorities and third-party payors decide which drugs and treatments they will cover and the amount of reimbursement.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 Reimbursement by a third-party payor may depend upon a number of factors, including, but not limited to, the third-party payor’s determination that use of a product is:</w:t>
      </w:r>
    </w:p>
    <w:p>
      <w:pPr>
        <w:spacing w:after="0" w:line="181" w:lineRule="exact"/>
        <w:rPr>
          <w:sz w:val="20"/>
          <w:szCs w:val="20"/>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Obtaining coverage and reimbursement approval of a product from a government or other third-party payor is a time-consuming and costly process that could require us to provide to the payor supporting scientific, clinical and cost-effectiveness data for the use of our products. Even if we obtain coverage for a given product, the resulting reimbursement payment rates might not be adequate for us to achieve or sustain profitability or may require co-payments that patients find unacceptably high. Moreover, the factors noted above have continued to be the focus of policy and regulatory debate that has, thus far, shown the potential for movement towards permanent policy changes; this trend is apt to continue, and may result in more or less favorable impacts on pricing. Patients are unlikely to use our product candidates unless coverage is provided, and reimbursement is adequate to cover a significant portion of the cost of our product candidates.</w:t>
      </w:r>
    </w:p>
    <w:p>
      <w:pPr>
        <w:spacing w:after="0" w:line="192"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15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2"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In addition, federal programs impose penalties on manufacturers of drugs marketed under an NDA or BLA, in the form of mandatory additional rebates and/or discounts if commercial prices increase at a rate greater than the Consumer Price Index-Urban, and these rebates and/or discounts, which can be substantial, may impact our ability to raise commercial prices. Regulatory authorities</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 Moreover, the recent and ongoing series of congressional hearings relating to drug pricing has presented heightened attention to the biopharmaceutical industry, creating the potential for political and public pressure, while the potential for resulting legislative or policy changes presents uncertainty.</w:t>
      </w:r>
    </w:p>
    <w:p>
      <w:pPr>
        <w:spacing w:after="0" w:line="185"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decline prescriptions and seek alternative therapies. We may need to conduct post-marketing studies in order to demonstrate the cost-effectiveness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65"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addition,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71" w:lineRule="exact"/>
        <w:rPr>
          <w:sz w:val="20"/>
          <w:szCs w:val="20"/>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23"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820" w:hanging="3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Any reduction in reimbursement from Medicare or other government programs may result in a similar reduction in payments from private payors, which may adversely affect our future profitability. A particular challenge for our product candidates arises from the fact that they will primarily be used in an inpatient setting. Inpatient reimbursement generally relies on stringent packaging rules that may mean that there is no separate payment for our product candidates. Additionally, data used to set the payment rates for inpatient admissions is usually several years old and would not take into account all of the additional therapy costs associated with the administration of our product candidates. If special rules are not created for reimbursement for immunotherapy treatments such as our product candidates, hospitals might not receive enough reimbursement to cover their costs of treatment, which will have a negative effect on their adoption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firstLine="486"/>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2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192"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Since enactment of the ACA in 2010, in both the United States and certain foreign jurisdictions, there have been a number of legislative and regulatory changes to the health care system that could impact our ability to sell our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or ATRA,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on July 9, 2019, the U.S. Court of Appeals for the Fifth Circuit heard arguments on appeal in this matter. On December 18, 2019, the Fifth Circuit ruled that the ACA's individual mandate is unconstitutional given that the Tax Act eliminated the tax penalty associated with the individual mandate. In concluding that the individual mandate is unconstitutional, the question remains whether, or how much of, the rest of the ACA is severable from that constitutional defect. The Fifth Circuit further remanded the case to the U.S. District Court for the Northern District of Texas to further analyze whether the other provisions of the ACA are severable as they currently exist under the law. It is unclear how the eventual decision from this appeal, subsequent appeals, and other efforts to repeal and replace the ACA will impact the ACA and our business.</w:t>
      </w:r>
    </w:p>
    <w:p>
      <w:pPr>
        <w:spacing w:after="0" w:line="17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Additional federal and state healthcare reform measures may be adopted in the future that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78"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61" w:lineRule="exact"/>
        <w:rPr>
          <w:sz w:val="20"/>
          <w:szCs w:val="20"/>
          <w:color w:val="auto"/>
        </w:rPr>
      </w:pPr>
    </w:p>
    <w:p>
      <w:pPr>
        <w:ind w:right="180" w:firstLine="486"/>
        <w:spacing w:after="0" w:line="301" w:lineRule="auto"/>
        <w:rPr>
          <w:sz w:val="20"/>
          <w:szCs w:val="20"/>
          <w:color w:val="auto"/>
        </w:rPr>
      </w:pPr>
      <w:r>
        <w:rPr>
          <w:rFonts w:ascii="Arial" w:cs="Arial" w:eastAsia="Arial" w:hAnsi="Arial"/>
          <w:sz w:val="16"/>
          <w:szCs w:val="16"/>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proposals related to the administration’s Blueprint may require additional authorization to become effective, may ultimately be 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We are unable to predict the future course of federal or state healthcare legislation in the United States directed at broadening the availability of healthcare and containing or lowering the cost of healthcare. The ACA and any further changes in the law or regulatory framework that reduce our revenue or increase our costs could also have a material and adverse effect on our business, financial condition and results of operations.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Governments outside the United States tend to impose strict price controls, which may adversely affect our revenues, if any.</w:t>
      </w:r>
    </w:p>
    <w:p>
      <w:pPr>
        <w:spacing w:after="0" w:line="26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There can be no assurance that our products will be considered cost-effective by third-party payors, that an adequate level of reimbursement will be available, or that the third-party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81"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71"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adopted a Code of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comply with such laws or regulations. Efforts to ensure that our business arrangements will comply with applicable healthcare laws may involve substantial costs. It is possible that governmental and enforcement authorities will conclude that our, or our employees’, consultants’, collaborators’, contractors’, or vendors’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our operations, among other things, any of which could adversely affect our ability to operate our business and our results of operations. In addition, the approval</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and commercialization of any of our product candidates outside the United States will also likely subject us to foreign equivalents of the healthcare laws mentioned above, among other foreign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b w:val="1"/>
          <w:bCs w:val="1"/>
          <w:i w:val="1"/>
          <w:iCs w:val="1"/>
          <w:color w:val="auto"/>
        </w:rPr>
        <w:t>We may be involved in lawsuits to protect or enforce our patents or the patents of our licensors, or lawsuits accusing our products of patent infringement, which could be expensive, time-consuming and unsuccessful.</w:t>
      </w:r>
    </w:p>
    <w:p>
      <w:pPr>
        <w:spacing w:after="0" w:line="146"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Competitors may infringe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be enjoined from manufacturing, use, and marketing our products, or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168" w:lineRule="exact"/>
        <w:rPr>
          <w:sz w:val="20"/>
          <w:szCs w:val="20"/>
          <w:color w:val="auto"/>
        </w:rPr>
      </w:pPr>
    </w:p>
    <w:p>
      <w:pPr>
        <w:ind w:right="200" w:firstLine="486"/>
        <w:spacing w:after="0" w:line="289" w:lineRule="auto"/>
        <w:rPr>
          <w:sz w:val="20"/>
          <w:szCs w:val="20"/>
          <w:color w:val="auto"/>
        </w:rPr>
      </w:pPr>
      <w:r>
        <w:rPr>
          <w:rFonts w:ascii="Arial" w:cs="Arial" w:eastAsia="Arial" w:hAnsi="Arial"/>
          <w:sz w:val="16"/>
          <w:szCs w:val="16"/>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We may incur substantial costs as a result of litigation or other proceedings relating to patent and other intellectual property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w:t>
      </w:r>
    </w:p>
    <w:p>
      <w:pPr>
        <w:spacing w:after="0" w:line="211"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cost to us of any litigation or other proceeding relating to intellectual property rights, even if resolved in our favor, could be substantial. Some of our competitors may be better able to sustain the costs of complex patent litigation because they have substantially greater resources. If there is litigation against us, we may not be able to continue our operations.</w:t>
      </w:r>
    </w:p>
    <w:p>
      <w:pPr>
        <w:spacing w:after="0" w:line="165"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us, we may be required to participate in interference proceedings in the USPTO to determine priority of invention. We may be required to participate in interference proceedings involving our issued patents and pending applications. We may be required to cease using the technology or to license rights from prevailing third parties as a result of an unfavorable outcome in an interference proceeding. A prevailing party in that case may not offer us a license on commercially acceptable terms.</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5"/>
          <w:szCs w:val="15"/>
          <w:b w:val="1"/>
          <w:bCs w:val="1"/>
          <w:i w:val="1"/>
          <w:iCs w:val="1"/>
          <w:color w:val="auto"/>
        </w:rPr>
        <w:t>Issued patents covering our product candidates could be found invalid or unenforceable if challenged in court or the USPTO.</w:t>
      </w:r>
    </w:p>
    <w:p>
      <w:pPr>
        <w:spacing w:after="0" w:line="260" w:lineRule="exact"/>
        <w:rPr>
          <w:sz w:val="20"/>
          <w:szCs w:val="20"/>
          <w:color w:val="auto"/>
        </w:rPr>
      </w:pPr>
    </w:p>
    <w:p>
      <w:pPr>
        <w:ind w:right="80" w:firstLine="486"/>
        <w:spacing w:after="0" w:line="288" w:lineRule="auto"/>
        <w:rPr>
          <w:sz w:val="20"/>
          <w:szCs w:val="20"/>
          <w:color w:val="auto"/>
        </w:rPr>
      </w:pPr>
      <w:r>
        <w:rPr>
          <w:rFonts w:ascii="Arial" w:cs="Arial" w:eastAsia="Arial" w:hAnsi="Arial"/>
          <w:sz w:val="16"/>
          <w:szCs w:val="16"/>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w:t>
      </w:r>
    </w:p>
    <w:p>
      <w:pPr>
        <w:sectPr>
          <w:pgSz w:w="11900" w:h="16838" w:orient="portrait"/>
          <w:cols w:equalWidth="0" w:num="1">
            <w:col w:w="9900"/>
          </w:cols>
          <w:pgMar w:left="980" w:top="665" w:right="101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unenforceability, we would lose at least part, and perhaps all, of the patent protection on our product candidates. Such a loss of patent protection could have a material adverse impact on our business.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If we are unable to protect our proprietary rights, we may not be able to compete effectively or operate profitably.</w:t>
      </w:r>
    </w:p>
    <w:p>
      <w:pPr>
        <w:spacing w:after="0" w:line="23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Our success is dependent in part on maintaining and enforcing the patents and other proprietary rights that we have licensed and may develop, and on our ability to avoid infringing the proprietary rights of others. Certain of our intellectual property rights are licensed from another entity, and as such the preparation and prosecution of these patents and patent applications was not performed by us or under our control. Furthermore, patent law relating to the scope of claims in the biotechnology field in which we operate is still evolving and, consequently, patent positions in our industry may not be as strong as in other more well-established fields. The patent positions of biotechnology companies can be highly uncertain and involve complex legal and factual questions for which important legal principles remain unresolved. No consistent policy regarding the breadth of claims allowed in biotechnology patents has emerged to date.</w:t>
      </w:r>
    </w:p>
    <w:p>
      <w:pPr>
        <w:spacing w:after="0" w:line="166"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issuance of a patent is not conclusive as to its validity or enforceability and it is uncertain how much protection, if any, will be given to the patents we have licensed from the NIH, Moffitt, or MDACC if any of these parties, or we, attempt to enforce the patents and/or if they are challenged in court or in other proceedings, such as oppositions, which may be brought in foreign jurisdictions to challenge the validity of a patent. A third party may challenge the validity or enforceability of a patent after its issuance by the Patent Office. It is possible that a competitor may successfully challenge our patents or that a challenge will result in limiting their coverage. Moreover, the cost of litigation to uphold the validity of patents and to prevent infringement can be substantial. If the outcome of litigation is adverse to us, third parties may be able to use our patented invention without payment to us. Moreover, it is possible that competitors may infringe our patents or successfully avoid the patented technology through design innovation. To stop these activities, we may need to file a lawsuit. These lawsuits are expensive and would consume time and other resources, even if we were successful in stopping the violation of our patent rights. In addition, there is a risk that a court would decide that our patents are not valid and that we do not have the right to stop the other party from using the inventions. There is also the risk that, even if the validity of our patents were upheld, a court would refuse to stop the other party on the grounds that its activities are not covered by, that is, do not infringe, our patents.</w:t>
      </w:r>
    </w:p>
    <w:p>
      <w:pPr>
        <w:spacing w:after="0" w:line="186"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Should third parties file patent applications, or be issued patents claiming technology also used or claimed by our licensor(s) or by us in any future patent application, we may be required to participate in interference proceedings in the USPTO to determine priority of invention for those patents or patent applications that are subject to the first-to-invent law in the United States, or may be required to participate in derivation proceedings in the USPTO for those patents or patent applications that are subject to the first-inventor-to-file law in the United States. We may be required to participate in such interference or derivation proceedings involving our issued patents and pending applications. We may be required to cease using the technology or to license rights from prevailing third parties as a result of an unfavorable outcome in an interference proceeding or derivation proceeding. A prevailing party in that case may not offer us a license on commercially acceptable terms.</w:t>
      </w:r>
    </w:p>
    <w:p>
      <w:pPr>
        <w:spacing w:after="0" w:line="178"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b w:val="1"/>
          <w:bCs w:val="1"/>
          <w:i w:val="1"/>
          <w:iCs w:val="1"/>
          <w:color w:val="auto"/>
        </w:rPr>
        <w:t>We cannot prevent other companies from licensing most of the same intellectual properties that we have licensed or from otherwise duplicating our business model and operations.</w:t>
      </w:r>
    </w:p>
    <w:p>
      <w:pPr>
        <w:spacing w:after="0" w:line="1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Certain intellectual properties that we are using to develop TIL-based cancer therapy products were licensed to us by the NIH. The issued or pending patents that the NIH licensed to us are exclusive, and specific with respect to melanoma, breast, HPV-associated, bladder and lung cancers. No assurance can be given that the NIH has not previously licensed, or that the NIH hereafter will not license to other biotechnology companies some or all of the non-exclusive technologies available to us under the NIH License Agreement. In addition, one pending U.S. patent application in the NIH License Agreement is not owned solely by the NIH. No assurance can be given that NIH’s co-owner of the certain pending U.S. patent application in the NIH License Agreement has not previously licensed, or that the co-owner thereafter will not license, to other biotechnology companies some or all of the technologies available to us. Co-ownership of these intellectual properties will create issues with respect to our ability to enforce the intellectual property rights in courts, and will create issues with respect to the accountability of one entity with respect to the other.</w:t>
      </w:r>
    </w:p>
    <w:p>
      <w:pPr>
        <w:spacing w:after="0" w:line="18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Since the NCI, Moffitt, MDACC, and others already use TIL therapy for the treatment of metastatic melanoma and other indications, their methods and data are also available to third parties, who may want to enter into our line of business and compete against us. Other than the Gen 2 manufacturing process, we currently do not own any exclusive rights on our entire product portfolio that could be used to prevent third parties from duplicating our business plan or from otherwise directly competing against us. While additional technologies that may be developed under our CRADA may be licensed to us on an exclusive basis, no assurance can be</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given that our existing exclusive rights and will be sufficient to prevent others from competing with us and developing substantially similar products.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Our potential competitors or others may have or acquire patent rights that they could enforce against us. If they do so, then we may be required to alter our products, pay licensing fees or cease activities. If our products conflict with patent rights of others, third parties could bring legal actions against us or our collaborators, licensees, suppliers or customers, claiming damages and seeking to enjoin manufacturing, use and marketing of the affected products. If these legal actions are successful, in addition to any potential liability for damages (including treble damages and attorneys’ fees for willful infringement), we could be required to obtain a license to continue manufacturing, promoting the use or marketing the affected products. We may not prevail in any legal action and a required license under the patent may not be available on acceptable terms or at all.</w:t>
      </w:r>
    </w:p>
    <w:p>
      <w:pPr>
        <w:spacing w:after="0" w:line="17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conducted an extensive freedom-to-operate, or FTO, analyses of the patent landscape with respect to our lead product candidates. Although we continue to undertake FTO analyses of our manufacturing processes, our lead TIL products, and contemplated future processes and products, because patent applications do not publish for 18 months, and because the claims of patent applications can change over time, no FTO analysis can be considered exhaustive. Furthermore, patent and other intellectual property rights in biotechnology remains an evolving area with many risks and uncertainties. As such, we may not be able to ensure that we can market our product candidates without conflict with the rights of others.</w:t>
      </w:r>
    </w:p>
    <w:p>
      <w:pPr>
        <w:spacing w:after="0" w:line="178"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70"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As is the case with other cell therapy and biopharmaceutical companies, our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While we do not believe that any of the patents owned or licensed by us will be found invalid based on this decision, we cannot predict how future decisions by the courts, the U.S. Congress or the USPTO may impact the value of our patents.</w:t>
      </w:r>
    </w:p>
    <w:p>
      <w:pPr>
        <w:spacing w:after="0" w:line="18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170"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6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w:t>
      </w:r>
    </w:p>
    <w:p>
      <w:pPr>
        <w:sectPr>
          <w:pgSz w:w="11900" w:h="16838" w:orient="portrait"/>
          <w:cols w:equalWidth="0" w:num="1">
            <w:col w:w="9900"/>
          </w:cols>
          <w:pgMar w:left="980" w:top="665"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firstLine="492"/>
        <w:spacing w:after="0" w:line="272" w:lineRule="auto"/>
        <w:rPr>
          <w:sz w:val="20"/>
          <w:szCs w:val="20"/>
          <w:color w:val="auto"/>
        </w:rPr>
      </w:pPr>
      <w:r>
        <w:rPr>
          <w:rFonts w:ascii="Arial" w:cs="Arial" w:eastAsia="Arial" w:hAnsi="Arial"/>
          <w:sz w:val="17"/>
          <w:szCs w:val="17"/>
          <w:color w:val="auto"/>
        </w:rPr>
        <w:t>We have received confidential and proprietary information from third parties and our employees and contractors.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or pursue these claims. For example, we are currently engaged in litigation involving counterclaims that we have brought relating to theft of certain of our trade secrets, breach of confidentiality, and related counterclaims. Even if we are successful in resolving these claims, litigation could result in substantial cost and be a distraction to our management and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ind w:right="360" w:firstLine="492"/>
        <w:spacing w:after="0" w:line="277" w:lineRule="auto"/>
        <w:rPr>
          <w:sz w:val="20"/>
          <w:szCs w:val="20"/>
          <w:color w:val="auto"/>
        </w:rPr>
      </w:pPr>
      <w:r>
        <w:rPr>
          <w:rFonts w:ascii="Arial" w:cs="Arial" w:eastAsia="Arial" w:hAnsi="Arial"/>
          <w:sz w:val="18"/>
          <w:szCs w:val="18"/>
          <w:b w:val="1"/>
          <w:bCs w:val="1"/>
          <w:i w:val="1"/>
          <w:iCs w:val="1"/>
          <w:color w:val="auto"/>
        </w:rPr>
        <w:t>Our existing directors and executive officers hold a substantial amount of our common stock and may be able to influence significant corporate decisions.*</w:t>
      </w:r>
    </w:p>
    <w:p>
      <w:pPr>
        <w:spacing w:after="0" w:line="170" w:lineRule="exact"/>
        <w:rPr>
          <w:sz w:val="20"/>
          <w:szCs w:val="20"/>
          <w:color w:val="auto"/>
        </w:rPr>
      </w:pPr>
    </w:p>
    <w:p>
      <w:pPr>
        <w:ind w:firstLine="492"/>
        <w:spacing w:after="0" w:line="263" w:lineRule="auto"/>
        <w:rPr>
          <w:sz w:val="20"/>
          <w:szCs w:val="20"/>
          <w:color w:val="auto"/>
        </w:rPr>
      </w:pPr>
      <w:r>
        <w:rPr>
          <w:rFonts w:ascii="Arial" w:cs="Arial" w:eastAsia="Arial" w:hAnsi="Arial"/>
          <w:sz w:val="18"/>
          <w:szCs w:val="18"/>
          <w:color w:val="auto"/>
        </w:rPr>
        <w:t>As of March 31, 2020, our officers and directors beneficially owned approximately 9.7% of our outstanding common stock. These stockholders, if they act together, may be able to materially affect the outcome of matters presented to our stockholders, including the election of our directors and other corporate actions such as:</w:t>
      </w:r>
    </w:p>
    <w:p>
      <w:pPr>
        <w:spacing w:after="0" w:line="184" w:lineRule="exact"/>
        <w:rPr>
          <w:sz w:val="20"/>
          <w:szCs w:val="20"/>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merger with or into another company;</w:t>
      </w:r>
    </w:p>
    <w:p>
      <w:pPr>
        <w:spacing w:after="0" w:line="23"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sale of substantially all of our assets; and</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amendments to our certificate of incorporation.</w:t>
      </w:r>
    </w:p>
    <w:p>
      <w:pPr>
        <w:spacing w:after="0" w:line="211" w:lineRule="exact"/>
        <w:rPr>
          <w:sz w:val="20"/>
          <w:szCs w:val="20"/>
          <w:color w:val="auto"/>
        </w:rPr>
      </w:pPr>
    </w:p>
    <w:p>
      <w:pPr>
        <w:ind w:right="80" w:firstLine="492"/>
        <w:spacing w:after="0" w:line="277" w:lineRule="auto"/>
        <w:rPr>
          <w:sz w:val="20"/>
          <w:szCs w:val="20"/>
          <w:color w:val="auto"/>
        </w:rPr>
      </w:pPr>
      <w:r>
        <w:rPr>
          <w:rFonts w:ascii="Arial" w:cs="Arial" w:eastAsia="Arial" w:hAnsi="Arial"/>
          <w:sz w:val="18"/>
          <w:szCs w:val="18"/>
          <w:color w:val="auto"/>
        </w:rPr>
        <w:t>Additionally, the decisions of these stockholders may conflict with our interests or those of our other stockholders and the market price of our stock may be adversely affected by market volatility.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stock price may be volatile, and our stockholders' investment in our stock could decline in value.</w:t>
      </w:r>
    </w:p>
    <w:p>
      <w:pPr>
        <w:spacing w:after="0" w:line="225" w:lineRule="exact"/>
        <w:rPr>
          <w:sz w:val="20"/>
          <w:szCs w:val="20"/>
          <w:color w:val="auto"/>
        </w:rPr>
      </w:pPr>
    </w:p>
    <w:p>
      <w:pPr>
        <w:ind w:right="240" w:firstLine="492"/>
        <w:spacing w:after="0" w:line="277" w:lineRule="auto"/>
        <w:rPr>
          <w:sz w:val="20"/>
          <w:szCs w:val="20"/>
          <w:color w:val="auto"/>
        </w:rPr>
      </w:pPr>
      <w:r>
        <w:rPr>
          <w:rFonts w:ascii="Arial" w:cs="Arial" w:eastAsia="Arial" w:hAnsi="Arial"/>
          <w:sz w:val="18"/>
          <w:szCs w:val="18"/>
          <w:color w:val="auto"/>
        </w:rPr>
        <w:t>The market price of our common stock is likely to be volatile and could fluctuate widely in response to many factors, including but not limited to:</w:t>
      </w:r>
    </w:p>
    <w:p>
      <w:pPr>
        <w:spacing w:after="0" w:line="170" w:lineRule="exact"/>
        <w:rPr>
          <w:sz w:val="20"/>
          <w:szCs w:val="20"/>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and instability in the capital markets due to the COVID-19 Pandemic;</w:t>
      </w:r>
    </w:p>
    <w:p>
      <w:pPr>
        <w:spacing w:after="0" w:line="23" w:lineRule="exact"/>
        <w:rPr>
          <w:rFonts w:ascii="Arial" w:cs="Arial" w:eastAsia="Arial" w:hAnsi="Arial"/>
          <w:sz w:val="18"/>
          <w:szCs w:val="18"/>
          <w:color w:val="auto"/>
        </w:rPr>
      </w:pPr>
    </w:p>
    <w:p>
      <w:pPr>
        <w:ind w:left="840" w:right="320" w:hanging="319"/>
        <w:spacing w:after="0" w:line="250"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the results of clinical trials by us, our collaborators, or our competitors, or negative developments with respect to similar products, including those being developed by our collaborators;</w:t>
      </w: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with respect to patents or proprietary rights;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products or new contracts by us or our competitors;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variations in our operating results due to the level of development expenses and other factors;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financial estimates by equities research analysts and whether our earnings meet or exceed such estimates;</w:t>
      </w:r>
    </w:p>
    <w:p>
      <w:pPr>
        <w:spacing w:after="0" w:line="20" w:lineRule="exact"/>
        <w:rPr>
          <w:rFonts w:ascii="Arial" w:cs="Arial" w:eastAsia="Arial" w:hAnsi="Arial"/>
          <w:sz w:val="17"/>
          <w:szCs w:val="17"/>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and trends in the pharmaceutical, biotechnology and other industries;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or lack of receipt, of funding in support of conducing our business;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within, and outside of, the United States;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arbitration;</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volatility in the financial markets;</w:t>
      </w:r>
    </w:p>
    <w:p>
      <w:pPr>
        <w:spacing w:after="0" w:line="9" w:lineRule="exact"/>
        <w:rPr>
          <w:rFonts w:ascii="Arial" w:cs="Arial" w:eastAsia="Arial" w:hAnsi="Arial"/>
          <w:sz w:val="18"/>
          <w:szCs w:val="18"/>
          <w:color w:val="auto"/>
        </w:rPr>
      </w:pPr>
    </w:p>
    <w:p>
      <w:pPr>
        <w:ind w:left="840" w:hanging="319"/>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other factors; and</w:t>
      </w:r>
    </w:p>
    <w:p>
      <w:pPr>
        <w:spacing w:after="0" w:line="9" w:lineRule="exact"/>
        <w:rPr>
          <w:rFonts w:ascii="Arial" w:cs="Arial" w:eastAsia="Arial" w:hAnsi="Arial"/>
          <w:sz w:val="18"/>
          <w:szCs w:val="18"/>
          <w:color w:val="auto"/>
        </w:rPr>
      </w:pPr>
    </w:p>
    <w:p>
      <w:pPr>
        <w:ind w:left="840" w:right="60" w:hanging="319"/>
        <w:spacing w:after="0" w:line="260"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any of the risks described in this Quarterly Report on Form 10-Q or our Annual Report on Form 10-K filed with the SEC on February 25, 2020.</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 or other equity issuances.</w:t>
      </w:r>
    </w:p>
    <w:p>
      <w:pPr>
        <w:spacing w:after="0" w:line="225" w:lineRule="exact"/>
        <w:rPr>
          <w:sz w:val="20"/>
          <w:szCs w:val="20"/>
          <w:color w:val="auto"/>
        </w:rPr>
      </w:pPr>
    </w:p>
    <w:p>
      <w:pPr>
        <w:ind w:right="40" w:firstLine="492"/>
        <w:spacing w:after="0" w:line="273" w:lineRule="auto"/>
        <w:rPr>
          <w:sz w:val="20"/>
          <w:szCs w:val="20"/>
          <w:color w:val="auto"/>
        </w:rPr>
      </w:pPr>
      <w:r>
        <w:rPr>
          <w:rFonts w:ascii="Arial" w:cs="Arial" w:eastAsia="Arial" w:hAnsi="Arial"/>
          <w:sz w:val="17"/>
          <w:szCs w:val="17"/>
          <w:color w:val="auto"/>
        </w:rPr>
        <w:t>We will have to raise additional capital in the future. To raise additional capital, we may in the future offer additional shares of our common stock or other securities convertible into or exchangeable for our common stock at prices that may be lower than the current price per share of our common stock. In addition,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prior offerings. Any such issuance could result in substantial dilution to our existing stockholders.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stock price to fall.*</w:t>
      </w:r>
    </w:p>
    <w:p>
      <w:pPr>
        <w:spacing w:after="0" w:line="225" w:lineRule="exact"/>
        <w:rPr>
          <w:sz w:val="20"/>
          <w:szCs w:val="20"/>
          <w:color w:val="auto"/>
        </w:rPr>
      </w:pPr>
    </w:p>
    <w:p>
      <w:pPr>
        <w:ind w:right="360" w:firstLine="492"/>
        <w:spacing w:after="0" w:line="263" w:lineRule="auto"/>
        <w:rPr>
          <w:sz w:val="20"/>
          <w:szCs w:val="20"/>
          <w:color w:val="auto"/>
        </w:rPr>
      </w:pPr>
      <w:r>
        <w:rPr>
          <w:rFonts w:ascii="Arial" w:cs="Arial" w:eastAsia="Arial" w:hAnsi="Arial"/>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84" w:lineRule="exact"/>
        <w:rPr>
          <w:sz w:val="20"/>
          <w:szCs w:val="20"/>
          <w:color w:val="auto"/>
        </w:rPr>
      </w:pPr>
    </w:p>
    <w:p>
      <w:pPr>
        <w:ind w:firstLine="492"/>
        <w:spacing w:after="0" w:line="254" w:lineRule="auto"/>
        <w:rPr>
          <w:sz w:val="20"/>
          <w:szCs w:val="20"/>
          <w:color w:val="auto"/>
        </w:rPr>
      </w:pPr>
      <w:r>
        <w:rPr>
          <w:rFonts w:ascii="Arial" w:cs="Arial" w:eastAsia="Arial" w:hAnsi="Arial"/>
          <w:sz w:val="18"/>
          <w:szCs w:val="18"/>
          <w:color w:val="auto"/>
        </w:rPr>
        <w:t>As of March 31, 2020, we had 126,823,156 shares of common stock outstanding. In addition, we had 15,826,476 shares of common stock equivalents that would increase the number of common stock outstanding if these instruments were exercised or converted, including stock options and restricted stock units to purchase common stock based on vesting requirements and common stock issuable upon the conversion of preferred stock. The issuance and subsequent sale of the shares underlying these common stock equivalents could depress the trading price of our common stock. On June 10, 2019, our certificate of incorporation was amended to increase the number of authorized shares of our common stock, par value $0.000041666, from 150,000,000 shares to 300,000,000 shares, which was approved by our stockholders at our 2019 Annual Meeting of Stockholders held on June 10, 2019. However, no additional shares have been issued to date.</w:t>
      </w:r>
    </w:p>
    <w:p>
      <w:pPr>
        <w:spacing w:after="0" w:line="192" w:lineRule="exact"/>
        <w:rPr>
          <w:sz w:val="20"/>
          <w:szCs w:val="20"/>
          <w:color w:val="auto"/>
        </w:rPr>
      </w:pPr>
    </w:p>
    <w:p>
      <w:pPr>
        <w:ind w:right="140" w:firstLine="492"/>
        <w:spacing w:after="0" w:line="293" w:lineRule="auto"/>
        <w:rPr>
          <w:sz w:val="20"/>
          <w:szCs w:val="20"/>
          <w:color w:val="auto"/>
        </w:rPr>
      </w:pPr>
      <w:r>
        <w:rPr>
          <w:rFonts w:ascii="Arial" w:cs="Arial" w:eastAsia="Arial" w:hAnsi="Arial"/>
          <w:sz w:val="16"/>
          <w:szCs w:val="16"/>
          <w:color w:val="auto"/>
        </w:rPr>
        <w:t>In addition, in the future, we may issue additional shares of common stock or other equity or debt securities convertible into common stock in connection with a financing, acquisition, litigation settlement, employee arrangements or otherwise. For example, in January 2018 and October 2018, we issued 15,000,000 shares and 25,300,000 shares of common stock, respectively, in connection with underwritten public offerings. Further, in September 2019, we filed a shelf registration statement with the SEC for the issuance of common stock, preferred stock, warrants, rights, debt securities and units up to an aggregate amount of $400 million. Such issuances could result in substantial dilution to our existing stockholders and could cause our stock price to decline.</w:t>
      </w:r>
    </w:p>
    <w:p>
      <w:pPr>
        <w:spacing w:after="0" w:line="164" w:lineRule="exact"/>
        <w:rPr>
          <w:sz w:val="20"/>
          <w:szCs w:val="20"/>
          <w:color w:val="auto"/>
        </w:rPr>
      </w:pPr>
    </w:p>
    <w:p>
      <w:pPr>
        <w:ind w:right="300" w:firstLine="492"/>
        <w:spacing w:after="0" w:line="277" w:lineRule="auto"/>
        <w:rPr>
          <w:sz w:val="20"/>
          <w:szCs w:val="20"/>
          <w:color w:val="auto"/>
        </w:rPr>
      </w:pPr>
      <w:r>
        <w:rPr>
          <w:rFonts w:ascii="Arial" w:cs="Arial" w:eastAsia="Arial" w:hAnsi="Arial"/>
          <w:sz w:val="18"/>
          <w:szCs w:val="18"/>
          <w:b w:val="1"/>
          <w:bCs w:val="1"/>
          <w:i w:val="1"/>
          <w:iCs w:val="1"/>
          <w:color w:val="auto"/>
        </w:rPr>
        <w:t>If equities or industry analysts do not publish research or reports about our company, or if they issue adverse or misleading opinions regarding us or our stock, our stock price and trading volume could decline.</w:t>
      </w:r>
    </w:p>
    <w:p>
      <w:pPr>
        <w:spacing w:after="0" w:line="170" w:lineRule="exact"/>
        <w:rPr>
          <w:sz w:val="20"/>
          <w:szCs w:val="20"/>
          <w:color w:val="auto"/>
        </w:rPr>
      </w:pPr>
    </w:p>
    <w:p>
      <w:pPr>
        <w:ind w:right="80" w:firstLine="492"/>
        <w:spacing w:after="0" w:line="255" w:lineRule="auto"/>
        <w:rPr>
          <w:sz w:val="20"/>
          <w:szCs w:val="20"/>
          <w:color w:val="auto"/>
        </w:rPr>
      </w:pPr>
      <w:r>
        <w:rPr>
          <w:rFonts w:ascii="Arial" w:cs="Arial" w:eastAsia="Arial" w:hAnsi="Arial"/>
          <w:sz w:val="18"/>
          <w:szCs w:val="18"/>
          <w:color w:val="auto"/>
        </w:rPr>
        <w:t>Although we have research coverage by equities analysts, if coverage is not maintained, the market price for our stock may be adversely affected. Our stock price also may decline if any analyst who covers us issues an adverse or erroneous opinion regarding us, our business model, our intellectual property or our stock performance, or if our clinical trials and operating results fail to meet analysts’ expectations. If one or more analysts cease coverage of us or fail to regularly publish reports on us, we could lose visibility in the financial markets, which could cause our stock price or trading volume to decline and possibly adversely affect our ability to engage in future financings</w:t>
      </w:r>
    </w:p>
    <w:p>
      <w:pPr>
        <w:spacing w:after="0" w:line="192" w:lineRule="exact"/>
        <w:rPr>
          <w:sz w:val="20"/>
          <w:szCs w:val="20"/>
          <w:color w:val="auto"/>
        </w:rPr>
      </w:pPr>
    </w:p>
    <w:p>
      <w:pPr>
        <w:ind w:right="100" w:firstLine="492"/>
        <w:spacing w:after="0" w:line="286"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As a result, we could become subject to sanctions or investigations by regulatory authorities and/or stockholder litigation, which could harm our business and have an adverse effect on our stock price.</w:t>
      </w:r>
    </w:p>
    <w:p>
      <w:pPr>
        <w:spacing w:after="0" w:line="165" w:lineRule="exact"/>
        <w:rPr>
          <w:sz w:val="20"/>
          <w:szCs w:val="20"/>
          <w:color w:val="auto"/>
        </w:rPr>
      </w:pPr>
    </w:p>
    <w:p>
      <w:pPr>
        <w:ind w:right="40" w:firstLine="492"/>
        <w:spacing w:after="0" w:line="271" w:lineRule="auto"/>
        <w:rPr>
          <w:sz w:val="20"/>
          <w:szCs w:val="20"/>
          <w:color w:val="auto"/>
        </w:rPr>
      </w:pPr>
      <w:r>
        <w:rPr>
          <w:rFonts w:ascii="Arial" w:cs="Arial" w:eastAsia="Arial" w:hAnsi="Arial"/>
          <w:sz w:val="17"/>
          <w:szCs w:val="17"/>
          <w:color w:val="auto"/>
        </w:rPr>
        <w:t>As a public reporting company, we are subject to various regulatory requirements, including the Sarbanes-Oxley Act of 2002, which requires our management to assess and report on our internal controls over financial reporting. Nevertheless, in future years, our testing, or the subsequent testing by our independent registered public accounting firm, may reveal deficiencies in our internal controls that we would be required to remediate in a timely manner to be able to comply with the requirements of Section 404 of the Sarbanes-Oxley Act each year. If we are not able to comply with the requirements of Section 404 of the Sarbanes-Oxley Act each year, we could be subject to sanctions or investigations by the SEC, Nasdaq or other regulatory authorities which would require additional financial and management resources and could adversely affect the market price of our common stock. In addition, material weaknesses in our internal controls could result in a loss of investor confidence in our financial reports.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492"/>
        <w:spacing w:after="0" w:line="277" w:lineRule="auto"/>
        <w:rPr>
          <w:sz w:val="20"/>
          <w:szCs w:val="20"/>
          <w:color w:val="auto"/>
        </w:rPr>
      </w:pPr>
      <w:r>
        <w:rPr>
          <w:rFonts w:ascii="Arial" w:cs="Arial" w:eastAsia="Arial" w:hAnsi="Arial"/>
          <w:sz w:val="18"/>
          <w:szCs w:val="18"/>
          <w:b w:val="1"/>
          <w:bCs w:val="1"/>
          <w:i w:val="1"/>
          <w:iCs w:val="1"/>
          <w:color w:val="auto"/>
        </w:rPr>
        <w:t>Our Board of Directors could issue one or more additional series of preferred stock without stockholder approval with the effect of diluting existing stockholders and impairing their voting and other rights.</w:t>
      </w:r>
    </w:p>
    <w:p>
      <w:pPr>
        <w:spacing w:after="0" w:line="170" w:lineRule="exact"/>
        <w:rPr>
          <w:sz w:val="20"/>
          <w:szCs w:val="20"/>
          <w:color w:val="auto"/>
        </w:rPr>
      </w:pPr>
    </w:p>
    <w:p>
      <w:pPr>
        <w:ind w:right="140" w:firstLine="492"/>
        <w:spacing w:after="0" w:line="271" w:lineRule="auto"/>
        <w:rPr>
          <w:sz w:val="20"/>
          <w:szCs w:val="20"/>
          <w:color w:val="auto"/>
        </w:rPr>
      </w:pPr>
      <w:r>
        <w:rPr>
          <w:rFonts w:ascii="Arial" w:cs="Arial" w:eastAsia="Arial" w:hAnsi="Arial"/>
          <w:sz w:val="17"/>
          <w:szCs w:val="17"/>
          <w:color w:val="auto"/>
        </w:rPr>
        <w:t>Our certificate of incorporation, as amended, authorizes the issuance of up to 50,000,000 shares of “blank check” preferred stock (of which only 17,000 shares were issued as Series A Convertible Preferred Stock and 11,500,000 shares were issued as Series B Convertible Preferred Stock) with designations, rights and preferences as may be determined from time to time by our Board of Directors. Our Board of Directors is empowered, without stockholder approval, to issue one or more series of preferred stock with dividend, liquidation, conversion, voting or other rights which could dilute the interest of, or impair the voting power of, our common stockholders. The issuance of a series of preferred stock could be used as a method of discouraging, delaying or preventing a change in control. For example, it would be possible for our Board of Directors to issue preferred stock with voting or other rights or preferences that could impede the success of any attempt to effect a change in control of our company.</w:t>
      </w:r>
    </w:p>
    <w:p>
      <w:pPr>
        <w:spacing w:after="0" w:line="178" w:lineRule="exact"/>
        <w:rPr>
          <w:sz w:val="20"/>
          <w:szCs w:val="20"/>
          <w:color w:val="auto"/>
        </w:rPr>
      </w:pPr>
    </w:p>
    <w:p>
      <w:pPr>
        <w:ind w:right="120" w:firstLine="492"/>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for the foreseeable future, and therefore investors should not buy our stock if they wish to receive cash dividends.</w:t>
      </w:r>
    </w:p>
    <w:p>
      <w:pPr>
        <w:spacing w:after="0" w:line="170" w:lineRule="exact"/>
        <w:rPr>
          <w:sz w:val="20"/>
          <w:szCs w:val="20"/>
          <w:color w:val="auto"/>
        </w:rPr>
      </w:pPr>
    </w:p>
    <w:p>
      <w:pPr>
        <w:ind w:right="80" w:firstLine="492"/>
        <w:spacing w:after="0" w:line="263" w:lineRule="auto"/>
        <w:rPr>
          <w:sz w:val="20"/>
          <w:szCs w:val="20"/>
          <w:color w:val="auto"/>
        </w:rPr>
      </w:pPr>
      <w:r>
        <w:rPr>
          <w:rFonts w:ascii="Arial" w:cs="Arial" w:eastAsia="Arial" w:hAnsi="Arial"/>
          <w:sz w:val="18"/>
          <w:szCs w:val="18"/>
          <w:color w:val="auto"/>
        </w:rPr>
        <w:t>We have never declared or paid any cash dividends or distributions on our common stock. We currently intend to retain our future earnings to support operations and to finance expansion and, therefore, we do not anticipate paying any cash dividends on our common stock in the foreseeable future.</w:t>
      </w:r>
    </w:p>
    <w:p>
      <w:pPr>
        <w:spacing w:after="0" w:line="184" w:lineRule="exact"/>
        <w:rPr>
          <w:sz w:val="20"/>
          <w:szCs w:val="20"/>
          <w:color w:val="auto"/>
        </w:rPr>
      </w:pPr>
    </w:p>
    <w:p>
      <w:pPr>
        <w:jc w:val="both"/>
        <w:ind w:right="80" w:firstLine="492"/>
        <w:spacing w:after="0" w:line="263"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84" w:lineRule="exact"/>
        <w:rPr>
          <w:sz w:val="20"/>
          <w:szCs w:val="20"/>
          <w:color w:val="auto"/>
        </w:rPr>
      </w:pPr>
    </w:p>
    <w:p>
      <w:pPr>
        <w:ind w:right="20" w:firstLine="492"/>
        <w:spacing w:after="0" w:line="272" w:lineRule="auto"/>
        <w:rPr>
          <w:sz w:val="20"/>
          <w:szCs w:val="20"/>
          <w:color w:val="auto"/>
        </w:rPr>
      </w:pPr>
      <w:r>
        <w:rPr>
          <w:rFonts w:ascii="Arial" w:cs="Arial" w:eastAsia="Arial" w:hAnsi="Arial"/>
          <w:sz w:val="17"/>
          <w:szCs w:val="17"/>
          <w:color w:val="auto"/>
        </w:rPr>
        <w:t>There are provisions in our certificate of incorporation, as amended, and amended and restated bylaws that may make it difficult for a third party to acquire, or attempt to acquire, control of our company, even if a change in control was considered favorable by you and other stockholders. For example, our Board of Directors has the authority to issue up to 38,483,000 additional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7" w:lineRule="exact"/>
        <w:rPr>
          <w:sz w:val="20"/>
          <w:szCs w:val="20"/>
          <w:color w:val="auto"/>
        </w:rPr>
      </w:pPr>
    </w:p>
    <w:p>
      <w:pPr>
        <w:ind w:right="40" w:firstLine="492"/>
        <w:spacing w:after="0" w:line="255" w:lineRule="auto"/>
        <w:rPr>
          <w:sz w:val="20"/>
          <w:szCs w:val="20"/>
          <w:color w:val="auto"/>
        </w:rPr>
      </w:pPr>
      <w:r>
        <w:rPr>
          <w:rFonts w:ascii="Arial" w:cs="Arial" w:eastAsia="Arial" w:hAnsi="Arial"/>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2" w:lineRule="exact"/>
        <w:rPr>
          <w:sz w:val="20"/>
          <w:szCs w:val="20"/>
          <w:color w:val="auto"/>
        </w:rPr>
      </w:pPr>
    </w:p>
    <w:p>
      <w:pPr>
        <w:ind w:right="560" w:firstLine="492"/>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as amended,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r>
        <w:rPr>
          <w:rFonts w:ascii="Arial" w:cs="Arial" w:eastAsia="Arial" w:hAnsi="Arial"/>
          <w:sz w:val="15"/>
          <w:szCs w:val="15"/>
          <w:color w:val="auto"/>
        </w:rPr>
        <w:t>.</w:t>
      </w:r>
    </w:p>
    <w:p>
      <w:pPr>
        <w:spacing w:after="0" w:line="1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certificate of incorporation, as amended, provides that, subject to limited exceptions, the Court of Chancery of the State of Delaware shall, to the fullest extent permitted by law, be the sole and exclusive forum for (1) any derivative action or proceeding brought on our behalf, (2) any action asserting a claim of breach of a fiduciary duty owed by any of our directors, officers , employees or agents to us or our stockholders, creditors or other constituents (3) any action asserting a claim against us arising pursuant to any provision of the Delaware General Corporation Law, our certificate of incorporation, as amended, or our amended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w:t>
      </w:r>
    </w:p>
    <w:p>
      <w:pPr>
        <w:sectPr>
          <w:pgSz w:w="11900" w:h="16838" w:orient="portrait"/>
          <w:cols w:equalWidth="0" w:num="1">
            <w:col w:w="9920"/>
          </w:cols>
          <w:pgMar w:left="980" w:top="665"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95" w:lineRule="exact"/>
        <w:rPr>
          <w:sz w:val="20"/>
          <w:szCs w:val="20"/>
          <w:color w:val="auto"/>
        </w:rPr>
      </w:pPr>
    </w:p>
    <w:p>
      <w:pPr>
        <w:jc w:val="both"/>
        <w:ind w:right="60" w:firstLine="492"/>
        <w:spacing w:after="0" w:line="301" w:lineRule="auto"/>
        <w:rPr>
          <w:sz w:val="20"/>
          <w:szCs w:val="20"/>
          <w:color w:val="auto"/>
        </w:rPr>
      </w:pPr>
      <w:r>
        <w:rPr>
          <w:rFonts w:ascii="Arial" w:cs="Arial" w:eastAsia="Arial" w:hAnsi="Arial"/>
          <w:sz w:val="16"/>
          <w:szCs w:val="16"/>
          <w:color w:val="auto"/>
        </w:rPr>
        <w:t>If a court were to find these provisions of our certificate of incorporation, as amended inapplicable to, or unenforceable in respect of, one or more of the specified types of actions or proceedings, we may incur additional costs associated with resolving such matters in other jurisdictions, which could adversely affect our business, results of operations and financial condition. Even if we are successful in defending against these claims, litigation could result in substantial costs and be a distraction to management and other employees.</w:t>
      </w:r>
    </w:p>
    <w:p>
      <w:pPr>
        <w:spacing w:after="0" w:line="157" w:lineRule="exact"/>
        <w:rPr>
          <w:sz w:val="20"/>
          <w:szCs w:val="20"/>
          <w:color w:val="auto"/>
        </w:rPr>
      </w:pPr>
    </w:p>
    <w:p>
      <w:pPr>
        <w:ind w:right="180" w:firstLine="492"/>
        <w:spacing w:after="0" w:line="277" w:lineRule="auto"/>
        <w:rPr>
          <w:sz w:val="20"/>
          <w:szCs w:val="20"/>
          <w:color w:val="auto"/>
        </w:rPr>
      </w:pPr>
      <w:r>
        <w:rPr>
          <w:rFonts w:ascii="Arial" w:cs="Arial" w:eastAsia="Arial" w:hAnsi="Arial"/>
          <w:sz w:val="18"/>
          <w:szCs w:val="18"/>
          <w:b w:val="1"/>
          <w:bCs w:val="1"/>
          <w:i w:val="1"/>
          <w:iCs w:val="1"/>
          <w:color w:val="auto"/>
        </w:rPr>
        <w:t>We may be subject to claims for rescission or damages in connection with certain sales of shares of our common stock in the open market.</w:t>
      </w:r>
    </w:p>
    <w:p>
      <w:pPr>
        <w:spacing w:after="0" w:line="170" w:lineRule="exact"/>
        <w:rPr>
          <w:sz w:val="20"/>
          <w:szCs w:val="20"/>
          <w:color w:val="auto"/>
        </w:rPr>
      </w:pPr>
    </w:p>
    <w:p>
      <w:pPr>
        <w:ind w:firstLine="492"/>
        <w:spacing w:after="0" w:line="271" w:lineRule="auto"/>
        <w:rPr>
          <w:sz w:val="20"/>
          <w:szCs w:val="20"/>
          <w:color w:val="auto"/>
        </w:rPr>
      </w:pPr>
      <w:r>
        <w:rPr>
          <w:rFonts w:ascii="Arial" w:cs="Arial" w:eastAsia="Arial" w:hAnsi="Arial"/>
          <w:sz w:val="17"/>
          <w:szCs w:val="17"/>
          <w:color w:val="auto"/>
        </w:rPr>
        <w:t>In January 2014, the SEC declared effective a registration statement that we filed to cover the resale of shares issued and sold (or to be issued and sold) by certain selling stockholders. On March 11, 2016, that registration statement (and the prospectus contained therein) became ineligible for future use, and selling stockholders could no longer sell any shares of our common stock in open market transactions by means of that prospectus. We believe that certain stockholders did sell up to 128,500 shares of our common stock in open market transactions in May 2016 by means of the ineffective registration statement. Accordingly, those sales were not made in accordance with Sections 5 and 10(a)(3) of the Securities Act, and the purchasers of those shares may have rescission rights (if they still own the shares) or claims for damages (if they no longer own the shares). In addition, we also may have indemnification obligations to the selling stockholders. The amount of any such liability is uncertain.</w:t>
      </w:r>
    </w:p>
    <w:p>
      <w:pPr>
        <w:spacing w:after="0" w:line="178" w:lineRule="exact"/>
        <w:rPr>
          <w:sz w:val="20"/>
          <w:szCs w:val="20"/>
          <w:color w:val="auto"/>
        </w:rPr>
      </w:pPr>
    </w:p>
    <w:p>
      <w:pPr>
        <w:ind w:right="80" w:firstLine="492"/>
        <w:spacing w:after="0" w:line="291" w:lineRule="auto"/>
        <w:rPr>
          <w:sz w:val="20"/>
          <w:szCs w:val="20"/>
          <w:color w:val="auto"/>
        </w:rPr>
      </w:pPr>
      <w:r>
        <w:rPr>
          <w:rFonts w:ascii="Arial" w:cs="Arial" w:eastAsia="Arial" w:hAnsi="Arial"/>
          <w:sz w:val="16"/>
          <w:szCs w:val="16"/>
          <w:color w:val="auto"/>
        </w:rPr>
        <w:t>In connection with our reincorporation from Nevada to Delaware in 2017, we (as a Delaware corporation) untimely filed a post-effective amendment to adopt a Form S-8 registration statement that we filed (as a Nevada corporation) to register the shares underlying our2011 Equity Incentive Plan. Before we filed the required post-effective amendment, options to purchase 200,000 shares were exercised under the 2011 Equity Incentive Plan. The effect of the delayed post-effective amendment filing on the 200,000 option shares is uncertain, but the issuance and sale of the shares may not have been in compliance with the Form S-8 registration statement. The existence of any liability to us, and the amount of any such liability to us, as a result of the issuance of the 200,000 shares is uncertain. Accordingly, no accrual for a potential claim has been made in our financial statements.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1960" w:type="dxa"/>
            <w:vAlign w:val="bottom"/>
            <w:gridSpan w:val="4"/>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7960" w:type="dxa"/>
            <w:vAlign w:val="bottom"/>
          </w:tcPr>
          <w:p>
            <w:pPr>
              <w:spacing w:after="0"/>
              <w:rPr>
                <w:sz w:val="20"/>
                <w:szCs w:val="20"/>
                <w:color w:val="auto"/>
              </w:rPr>
            </w:pPr>
          </w:p>
        </w:tc>
      </w:tr>
      <w:tr>
        <w:trPr>
          <w:trHeight w:val="756"/>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79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tcPr>
          <w:p>
            <w:pPr>
              <w:ind w:left="230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8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960" w:type="dxa"/>
            <w:vAlign w:val="bottom"/>
          </w:tcPr>
          <w:p>
            <w:pPr>
              <w:ind w:left="3080"/>
              <w:spacing w:after="0"/>
              <w:rPr>
                <w:sz w:val="20"/>
                <w:szCs w:val="20"/>
                <w:color w:val="auto"/>
              </w:rPr>
            </w:pPr>
            <w:r>
              <w:rPr>
                <w:rFonts w:ascii="Arial" w:cs="Arial" w:eastAsia="Arial" w:hAnsi="Arial"/>
                <w:sz w:val="18"/>
                <w:szCs w:val="18"/>
                <w:color w:val="auto"/>
              </w:rPr>
              <w:t>Description</w:t>
            </w:r>
          </w:p>
        </w:tc>
      </w:tr>
      <w:tr>
        <w:trPr>
          <w:trHeight w:val="195"/>
        </w:trPr>
        <w:tc>
          <w:tcPr>
            <w:tcW w:w="20" w:type="dxa"/>
            <w:vAlign w:val="bottom"/>
          </w:tcPr>
          <w:p>
            <w:pPr>
              <w:spacing w:after="0"/>
              <w:rPr>
                <w:sz w:val="16"/>
                <w:szCs w:val="16"/>
                <w:color w:val="auto"/>
              </w:rPr>
            </w:pPr>
          </w:p>
        </w:tc>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6"/>
                <w:szCs w:val="16"/>
                <w:color w:val="auto"/>
              </w:rPr>
            </w:pPr>
          </w:p>
        </w:tc>
        <w:tc>
          <w:tcPr>
            <w:tcW w:w="8920" w:type="dxa"/>
            <w:vAlign w:val="bottom"/>
            <w:tcBorders>
              <w:top w:val="single" w:sz="8" w:color="auto"/>
            </w:tcBorders>
            <w:gridSpan w:val="2"/>
          </w:tcPr>
          <w:p>
            <w:pPr>
              <w:spacing w:after="0" w:line="195" w:lineRule="exact"/>
              <w:rPr>
                <w:rFonts w:ascii="Arial" w:cs="Arial" w:eastAsia="Arial" w:hAnsi="Arial"/>
                <w:sz w:val="18"/>
                <w:szCs w:val="18"/>
                <w:color w:val="0000EE"/>
              </w:rPr>
            </w:pPr>
            <w:hyperlink w:anchor="page85">
              <w:r>
                <w:rPr>
                  <w:rFonts w:ascii="Arial" w:cs="Arial" w:eastAsia="Arial" w:hAnsi="Arial"/>
                  <w:sz w:val="18"/>
                  <w:szCs w:val="18"/>
                  <w:u w:val="single" w:color="auto"/>
                  <w:color w:val="0000EE"/>
                </w:rPr>
                <w:t>Rule 13a-14(a)/15d-14(a) Certification of Chief Executive Officer</w:t>
              </w:r>
              <w:r>
                <w:rPr>
                  <w:rFonts w:ascii="Arial" w:cs="Arial" w:eastAsia="Arial" w:hAnsi="Arial"/>
                  <w:sz w:val="18"/>
                  <w:szCs w:val="18"/>
                  <w:color w:val="0000EE"/>
                </w:rPr>
                <w:t>.</w:t>
              </w:r>
            </w:hyperlink>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8920" w:type="dxa"/>
            <w:vAlign w:val="bottom"/>
            <w:gridSpan w:val="2"/>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Rule 13a-14(a)/15d-14(a) Certification of Chief Financial Officer.</w:t>
              </w:r>
            </w:hyperlink>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960" w:type="dxa"/>
            <w:vAlign w:val="bottom"/>
          </w:tcPr>
          <w:p>
            <w:pPr>
              <w:spacing w:after="0"/>
              <w:rPr>
                <w:rFonts w:ascii="Arial" w:cs="Arial" w:eastAsia="Arial" w:hAnsi="Arial"/>
                <w:sz w:val="18"/>
                <w:szCs w:val="18"/>
                <w:u w:val="single" w:color="auto"/>
                <w:color w:val="0000EE"/>
                <w:w w:val="89"/>
              </w:rPr>
            </w:pPr>
            <w:hyperlink w:anchor="page87">
              <w:r>
                <w:rPr>
                  <w:rFonts w:ascii="Arial" w:cs="Arial" w:eastAsia="Arial" w:hAnsi="Arial"/>
                  <w:sz w:val="18"/>
                  <w:szCs w:val="18"/>
                  <w:u w:val="single" w:color="auto"/>
                  <w:color w:val="0000EE"/>
                  <w:w w:val="89"/>
                </w:rPr>
                <w:t>Section 1350</w:t>
              </w:r>
            </w:hyperlink>
          </w:p>
        </w:tc>
        <w:tc>
          <w:tcPr>
            <w:tcW w:w="7960" w:type="dxa"/>
            <w:vAlign w:val="bottom"/>
          </w:tcPr>
          <w:p>
            <w:pPr>
              <w:ind w:left="2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Certification of Chief Executive Officer (furnished herewith).</w:t>
              </w:r>
            </w:hyperlink>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0"/>
                <w:szCs w:val="20"/>
                <w:color w:val="auto"/>
              </w:rPr>
            </w:pPr>
          </w:p>
        </w:tc>
        <w:tc>
          <w:tcPr>
            <w:tcW w:w="960" w:type="dxa"/>
            <w:vAlign w:val="bottom"/>
          </w:tcPr>
          <w:p>
            <w:pPr>
              <w:spacing w:after="0"/>
              <w:rPr>
                <w:rFonts w:ascii="Arial" w:cs="Arial" w:eastAsia="Arial" w:hAnsi="Arial"/>
                <w:sz w:val="18"/>
                <w:szCs w:val="18"/>
                <w:u w:val="single" w:color="auto"/>
                <w:color w:val="0000EE"/>
                <w:w w:val="89"/>
              </w:rPr>
            </w:pPr>
            <w:hyperlink w:anchor="page88">
              <w:r>
                <w:rPr>
                  <w:rFonts w:ascii="Arial" w:cs="Arial" w:eastAsia="Arial" w:hAnsi="Arial"/>
                  <w:sz w:val="18"/>
                  <w:szCs w:val="18"/>
                  <w:u w:val="single" w:color="auto"/>
                  <w:color w:val="0000EE"/>
                  <w:w w:val="89"/>
                </w:rPr>
                <w:t>Section 1350</w:t>
              </w:r>
            </w:hyperlink>
          </w:p>
        </w:tc>
        <w:tc>
          <w:tcPr>
            <w:tcW w:w="7960" w:type="dxa"/>
            <w:vAlign w:val="bottom"/>
          </w:tcPr>
          <w:p>
            <w:pPr>
              <w:ind w:left="20"/>
              <w:spacing w:after="0"/>
              <w:rPr>
                <w:rFonts w:ascii="Arial" w:cs="Arial" w:eastAsia="Arial" w:hAnsi="Arial"/>
                <w:sz w:val="18"/>
                <w:szCs w:val="18"/>
                <w:color w:val="0000EE"/>
              </w:rPr>
            </w:pPr>
            <w:hyperlink w:anchor="page88">
              <w:r>
                <w:rPr>
                  <w:rFonts w:ascii="Arial" w:cs="Arial" w:eastAsia="Arial" w:hAnsi="Arial"/>
                  <w:sz w:val="18"/>
                  <w:szCs w:val="18"/>
                  <w:u w:val="single" w:color="auto"/>
                  <w:color w:val="0000EE"/>
                </w:rPr>
                <w:t>Certification of Chief Financial Officer (furnished herewith)</w:t>
              </w:r>
              <w:r>
                <w:rPr>
                  <w:rFonts w:ascii="Arial" w:cs="Arial" w:eastAsia="Arial" w:hAnsi="Arial"/>
                  <w:sz w:val="18"/>
                  <w:szCs w:val="18"/>
                  <w:color w:val="0000EE"/>
                </w:rPr>
                <w:t>.</w:t>
              </w:r>
            </w:hyperlink>
          </w:p>
        </w:tc>
      </w:tr>
    </w:tbl>
    <w:p>
      <w:pPr>
        <w:ind w:left="1000" w:right="320" w:hanging="991"/>
        <w:spacing w:after="0" w:line="251" w:lineRule="auto"/>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following financial information from the Quarterly Report on Form 10-Q of Iovance Biotherapeutics, Inc. for the quarter ended March 31, 2020, formatted in XBRL (eXtensible Business Reporting Language): (1) Condensed Consolidated Balance Sheets as of March 31, 2020 and December 31, 2019; (2) Condensed Consolidated Statements of Operations for the three months ended March 31, 2020 and 2019; (3) Condensed Consolidated Statements of Comprehensive Loss for the three months ended March 31, 2020 and 2019; (4) Condensed Consolidated Statements of Stockholders’ Equity as of March 31, 2020 and December 31, 2019; (5) Condensed Consolidated Statements of Cash Flows for the three months ended March 31, 2020 and 2019; and (6) Notes to Condensed Consolidated Financial Statements.</w:t>
      </w:r>
    </w:p>
    <w:p>
      <w:pPr>
        <w:spacing w:after="0" w:line="211" w:lineRule="exact"/>
        <w:rPr>
          <w:rFonts w:ascii="Arial" w:cs="Arial" w:eastAsia="Arial" w:hAnsi="Arial"/>
          <w:sz w:val="18"/>
          <w:szCs w:val="18"/>
          <w:color w:val="auto"/>
        </w:rPr>
      </w:pPr>
    </w:p>
    <w:p>
      <w:pPr>
        <w:ind w:left="720" w:right="780" w:hanging="702"/>
        <w:spacing w:after="0" w:line="27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Certain portions of the Exhibit have been omitted based upon a request for confidential treatment filed by us with the Commission. The omitted portions of the Exhibit have been separately filed by us with the Commission.</w:t>
      </w: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96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453"/>
        </w:trPr>
        <w:tc>
          <w:tcPr>
            <w:tcW w:w="2900" w:type="dxa"/>
            <w:vAlign w:val="bottom"/>
          </w:tcPr>
          <w:p>
            <w:pPr>
              <w:spacing w:after="0"/>
              <w:rPr>
                <w:sz w:val="20"/>
                <w:szCs w:val="20"/>
                <w:color w:val="auto"/>
              </w:rPr>
            </w:pPr>
            <w:r>
              <w:rPr>
                <w:rFonts w:ascii="Arial" w:cs="Arial" w:eastAsia="Arial" w:hAnsi="Arial"/>
                <w:sz w:val="18"/>
                <w:szCs w:val="18"/>
                <w:color w:val="auto"/>
              </w:rPr>
              <w:t>May 5, 2020</w:t>
            </w:r>
          </w:p>
        </w:tc>
        <w:tc>
          <w:tcPr>
            <w:tcW w:w="2060" w:type="dxa"/>
            <w:vAlign w:val="bottom"/>
          </w:tcPr>
          <w:p>
            <w:pPr>
              <w:spacing w:after="0"/>
              <w:rPr>
                <w:sz w:val="24"/>
                <w:szCs w:val="24"/>
                <w:color w:val="auto"/>
              </w:rPr>
            </w:pPr>
          </w:p>
        </w:tc>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By: /s/ Maria Fardis</w:t>
            </w:r>
          </w:p>
        </w:tc>
        <w:tc>
          <w:tcPr>
            <w:tcW w:w="2720" w:type="dxa"/>
            <w:vAlign w:val="bottom"/>
          </w:tcPr>
          <w:p>
            <w:pPr>
              <w:spacing w:after="0"/>
              <w:rPr>
                <w:sz w:val="24"/>
                <w:szCs w:val="24"/>
                <w:color w:val="auto"/>
              </w:rPr>
            </w:pPr>
          </w:p>
        </w:tc>
      </w:tr>
      <w:tr>
        <w:trPr>
          <w:trHeight w:val="195"/>
        </w:trPr>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2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2900" w:type="dxa"/>
            <w:vAlign w:val="bottom"/>
          </w:tcPr>
          <w:p>
            <w:pPr>
              <w:spacing w:after="0"/>
              <w:rPr>
                <w:sz w:val="20"/>
                <w:szCs w:val="20"/>
                <w:color w:val="auto"/>
              </w:rPr>
            </w:pPr>
            <w:r>
              <w:rPr>
                <w:rFonts w:ascii="Arial" w:cs="Arial" w:eastAsia="Arial" w:hAnsi="Arial"/>
                <w:sz w:val="18"/>
                <w:szCs w:val="18"/>
                <w:color w:val="auto"/>
              </w:rPr>
              <w:t>May 5, 2020</w:t>
            </w:r>
          </w:p>
        </w:tc>
        <w:tc>
          <w:tcPr>
            <w:tcW w:w="2060" w:type="dxa"/>
            <w:vAlign w:val="bottom"/>
          </w:tcPr>
          <w:p>
            <w:pPr>
              <w:spacing w:after="0"/>
              <w:rPr>
                <w:sz w:val="24"/>
                <w:szCs w:val="24"/>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By: /s/ Timothy E. Morris</w:t>
            </w:r>
          </w:p>
        </w:tc>
      </w:tr>
      <w:tr>
        <w:trPr>
          <w:trHeight w:val="195"/>
        </w:trPr>
        <w:tc>
          <w:tcPr>
            <w:tcW w:w="29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2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878"/>
        </w:trPr>
        <w:tc>
          <w:tcPr>
            <w:tcW w:w="2900" w:type="dxa"/>
            <w:vAlign w:val="bottom"/>
          </w:tcPr>
          <w:p>
            <w:pPr>
              <w:spacing w:after="0"/>
              <w:rPr>
                <w:sz w:val="24"/>
                <w:szCs w:val="24"/>
                <w:color w:val="auto"/>
              </w:rPr>
            </w:pPr>
          </w:p>
        </w:tc>
        <w:tc>
          <w:tcPr>
            <w:tcW w:w="2360" w:type="dxa"/>
            <w:vAlign w:val="bottom"/>
            <w:gridSpan w:val="2"/>
          </w:tcPr>
          <w:p>
            <w:pPr>
              <w:jc w:val="right"/>
              <w:ind w:right="110"/>
              <w:spacing w:after="0"/>
              <w:rPr>
                <w:sz w:val="20"/>
                <w:szCs w:val="20"/>
                <w:color w:val="auto"/>
              </w:rPr>
            </w:pPr>
            <w:r>
              <w:rPr>
                <w:rFonts w:ascii="Arial" w:cs="Arial" w:eastAsia="Arial" w:hAnsi="Arial"/>
                <w:sz w:val="18"/>
                <w:szCs w:val="18"/>
                <w:color w:val="auto"/>
              </w:rPr>
              <w:t>84</w:t>
            </w:r>
          </w:p>
        </w:tc>
        <w:tc>
          <w:tcPr>
            <w:tcW w:w="19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0"/>
        </w:trPr>
        <w:tc>
          <w:tcPr>
            <w:tcW w:w="2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69"/>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185" w:lineRule="exact"/>
        <w:rPr>
          <w:sz w:val="20"/>
          <w:szCs w:val="20"/>
          <w:color w:val="auto"/>
        </w:rPr>
      </w:pPr>
    </w:p>
    <w:p>
      <w:pPr>
        <w:ind w:left="689" w:hanging="671"/>
        <w:spacing w:after="0"/>
        <w:tabs>
          <w:tab w:leader="none" w:pos="6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184" w:lineRule="exact"/>
        <w:rPr>
          <w:rFonts w:ascii="Arial" w:cs="Arial" w:eastAsia="Arial" w:hAnsi="Arial"/>
          <w:sz w:val="18"/>
          <w:szCs w:val="18"/>
          <w:color w:val="auto"/>
        </w:rPr>
      </w:pPr>
    </w:p>
    <w:p>
      <w:pPr>
        <w:jc w:val="both"/>
        <w:ind w:left="689" w:hanging="689"/>
        <w:spacing w:after="0" w:line="263" w:lineRule="auto"/>
        <w:tabs>
          <w:tab w:leader="none" w:pos="8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689" w:hanging="671"/>
        <w:spacing w:after="0" w:line="263" w:lineRule="auto"/>
        <w:tabs>
          <w:tab w:leader="none" w:pos="7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89" w:hanging="671"/>
        <w:spacing w:after="0" w:line="263" w:lineRule="auto"/>
        <w:tabs>
          <w:tab w:leader="none" w:pos="784" w:val="left"/>
        </w:tabs>
        <w:numPr>
          <w:ilvl w:val="1"/>
          <w:numId w:val="30"/>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69" w:hanging="665"/>
        <w:spacing w:after="0" w:line="259" w:lineRule="auto"/>
        <w:tabs>
          <w:tab w:leader="none" w:pos="1453"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369" w:hanging="665"/>
        <w:spacing w:after="0" w:line="311" w:lineRule="auto"/>
        <w:tabs>
          <w:tab w:leader="none" w:pos="1417" w:val="left"/>
        </w:tabs>
        <w:numPr>
          <w:ilvl w:val="2"/>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jc w:val="both"/>
        <w:ind w:left="1369" w:hanging="665"/>
        <w:spacing w:after="0" w:line="263" w:lineRule="auto"/>
        <w:tabs>
          <w:tab w:leader="none" w:pos="1573" w:val="left"/>
        </w:tabs>
        <w:numPr>
          <w:ilvl w:val="2"/>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1389" w:hanging="687"/>
        <w:spacing w:after="0" w:line="263" w:lineRule="auto"/>
        <w:tabs>
          <w:tab w:leader="none" w:pos="1386"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89" w:hanging="671"/>
        <w:spacing w:after="0" w:line="308" w:lineRule="auto"/>
        <w:tabs>
          <w:tab w:leader="none" w:pos="705" w:val="left"/>
        </w:tabs>
        <w:numPr>
          <w:ilvl w:val="1"/>
          <w:numId w:val="30"/>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jc w:val="both"/>
        <w:ind w:left="1389" w:hanging="687"/>
        <w:spacing w:after="0" w:line="263" w:lineRule="auto"/>
        <w:tabs>
          <w:tab w:leader="none" w:pos="1613" w:val="left"/>
        </w:tabs>
        <w:numPr>
          <w:ilvl w:val="2"/>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369" w:hanging="665"/>
        <w:spacing w:after="0" w:line="277" w:lineRule="auto"/>
        <w:tabs>
          <w:tab w:leader="none" w:pos="1417" w:val="left"/>
        </w:tabs>
        <w:numPr>
          <w:ilvl w:val="2"/>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May 5, 2020</w:t>
            </w:r>
          </w:p>
        </w:tc>
        <w:tc>
          <w:tcPr>
            <w:tcW w:w="6580" w:type="dxa"/>
            <w:vAlign w:val="bottom"/>
            <w:gridSpan w:val="2"/>
          </w:tcPr>
          <w:p>
            <w:pPr>
              <w:ind w:left="1900"/>
              <w:spacing w:after="0"/>
              <w:rPr>
                <w:sz w:val="20"/>
                <w:szCs w:val="20"/>
                <w:color w:val="auto"/>
              </w:rPr>
            </w:pPr>
            <w:r>
              <w:rPr>
                <w:rFonts w:ascii="Arial" w:cs="Arial" w:eastAsia="Arial" w:hAnsi="Arial"/>
                <w:sz w:val="18"/>
                <w:szCs w:val="18"/>
                <w:color w:val="auto"/>
              </w:rPr>
              <w:t>By: /s/ Maria Fardis</w:t>
            </w:r>
          </w:p>
        </w:tc>
      </w:tr>
      <w:tr>
        <w:trPr>
          <w:trHeight w:val="195"/>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776"/>
        </w:trPr>
        <w:tc>
          <w:tcPr>
            <w:tcW w:w="33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929"/>
          </w:cols>
          <w:pgMar w:left="971" w:top="121" w:right="9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669"/>
        <w:spacing w:after="0"/>
        <w:rPr>
          <w:sz w:val="20"/>
          <w:szCs w:val="20"/>
          <w:color w:val="auto"/>
        </w:rPr>
      </w:pPr>
      <w:r>
        <w:rPr>
          <w:rFonts w:ascii="Arial" w:cs="Arial" w:eastAsia="Arial" w:hAnsi="Arial"/>
          <w:sz w:val="18"/>
          <w:szCs w:val="18"/>
          <w:color w:val="auto"/>
        </w:rPr>
        <w:t>I, Timothy E. Morris, Chief Financial Officer of Iovance Biotherapeutics, Inc., certify that:</w:t>
      </w:r>
    </w:p>
    <w:p>
      <w:pPr>
        <w:spacing w:after="0" w:line="185" w:lineRule="exact"/>
        <w:rPr>
          <w:sz w:val="20"/>
          <w:szCs w:val="20"/>
          <w:color w:val="auto"/>
        </w:rPr>
      </w:pPr>
    </w:p>
    <w:p>
      <w:pPr>
        <w:ind w:left="689" w:hanging="671"/>
        <w:spacing w:after="0"/>
        <w:tabs>
          <w:tab w:leader="none" w:pos="689" w:val="left"/>
        </w:tabs>
        <w:numPr>
          <w:ilvl w:val="1"/>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184" w:lineRule="exact"/>
        <w:rPr>
          <w:rFonts w:ascii="Arial" w:cs="Arial" w:eastAsia="Arial" w:hAnsi="Arial"/>
          <w:sz w:val="18"/>
          <w:szCs w:val="18"/>
          <w:color w:val="auto"/>
        </w:rPr>
      </w:pPr>
    </w:p>
    <w:p>
      <w:pPr>
        <w:jc w:val="both"/>
        <w:ind w:left="689" w:hanging="689"/>
        <w:spacing w:after="0" w:line="263" w:lineRule="auto"/>
        <w:tabs>
          <w:tab w:leader="none" w:pos="8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left="689" w:hanging="671"/>
        <w:spacing w:after="0" w:line="263" w:lineRule="auto"/>
        <w:tabs>
          <w:tab w:leader="none" w:pos="792" w:val="left"/>
        </w:tabs>
        <w:numPr>
          <w:ilvl w:val="1"/>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689" w:hanging="671"/>
        <w:spacing w:after="0" w:line="263" w:lineRule="auto"/>
        <w:tabs>
          <w:tab w:leader="none" w:pos="784" w:val="left"/>
        </w:tabs>
        <w:numPr>
          <w:ilvl w:val="1"/>
          <w:numId w:val="32"/>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1389" w:hanging="687"/>
        <w:spacing w:after="0" w:line="259" w:lineRule="auto"/>
        <w:tabs>
          <w:tab w:leader="none" w:pos="1467"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jc w:val="both"/>
        <w:ind w:left="1389" w:hanging="687"/>
        <w:spacing w:after="0" w:line="311" w:lineRule="auto"/>
        <w:tabs>
          <w:tab w:leader="none" w:pos="1431" w:val="left"/>
        </w:tabs>
        <w:numPr>
          <w:ilvl w:val="2"/>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jc w:val="both"/>
        <w:ind w:left="1389" w:hanging="687"/>
        <w:spacing w:after="0" w:line="263" w:lineRule="auto"/>
        <w:tabs>
          <w:tab w:leader="none" w:pos="1593" w:val="left"/>
        </w:tabs>
        <w:numPr>
          <w:ilvl w:val="2"/>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1389" w:hanging="687"/>
        <w:spacing w:after="0" w:line="263" w:lineRule="auto"/>
        <w:tabs>
          <w:tab w:leader="none" w:pos="1386" w:val="left"/>
        </w:tabs>
        <w:numPr>
          <w:ilvl w:val="2"/>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89" w:hanging="671"/>
        <w:spacing w:after="0" w:line="308" w:lineRule="auto"/>
        <w:tabs>
          <w:tab w:leader="none" w:pos="705" w:val="left"/>
        </w:tabs>
        <w:numPr>
          <w:ilvl w:val="1"/>
          <w:numId w:val="32"/>
        </w:numPr>
        <w:rPr>
          <w:rFonts w:ascii="Arial" w:cs="Arial" w:eastAsia="Arial" w:hAnsi="Arial"/>
          <w:sz w:val="17"/>
          <w:szCs w:val="17"/>
          <w:color w:val="auto"/>
        </w:rPr>
      </w:pPr>
      <w:r>
        <w:rPr>
          <w:rFonts w:ascii="Arial" w:cs="Arial" w:eastAsia="Arial" w:hAnsi="Arial"/>
          <w:sz w:val="17"/>
          <w:szCs w:val="17"/>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jc w:val="both"/>
        <w:ind w:left="1389" w:hanging="687"/>
        <w:spacing w:after="0" w:line="263" w:lineRule="auto"/>
        <w:tabs>
          <w:tab w:leader="none" w:pos="1613" w:val="left"/>
        </w:tabs>
        <w:numPr>
          <w:ilvl w:val="2"/>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369" w:hanging="665"/>
        <w:spacing w:after="0" w:line="277" w:lineRule="auto"/>
        <w:tabs>
          <w:tab w:leader="none" w:pos="1417" w:val="left"/>
        </w:tabs>
        <w:numPr>
          <w:ilvl w:val="2"/>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9"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Dated: May 5, 2020</w:t>
            </w:r>
          </w:p>
        </w:tc>
        <w:tc>
          <w:tcPr>
            <w:tcW w:w="6600" w:type="dxa"/>
            <w:vAlign w:val="bottom"/>
            <w:gridSpan w:val="2"/>
          </w:tcPr>
          <w:p>
            <w:pPr>
              <w:ind w:left="1880"/>
              <w:spacing w:after="0"/>
              <w:rPr>
                <w:sz w:val="20"/>
                <w:szCs w:val="20"/>
                <w:color w:val="auto"/>
              </w:rPr>
            </w:pPr>
            <w:r>
              <w:rPr>
                <w:rFonts w:ascii="Arial" w:cs="Arial" w:eastAsia="Arial" w:hAnsi="Arial"/>
                <w:sz w:val="18"/>
                <w:szCs w:val="18"/>
                <w:color w:val="auto"/>
              </w:rPr>
              <w:t>By: /s/ Timothy E. Morris</w:t>
            </w:r>
          </w:p>
        </w:tc>
      </w:tr>
      <w:tr>
        <w:trPr>
          <w:trHeight w:val="195"/>
        </w:trPr>
        <w:tc>
          <w:tcPr>
            <w:tcW w:w="33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r>
        <w:trPr>
          <w:trHeight w:val="803"/>
        </w:trPr>
        <w:tc>
          <w:tcPr>
            <w:tcW w:w="33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9"/>
          </w:cols>
          <w:pgMar w:left="971" w:top="121" w:right="999" w:bottom="1440" w:gutter="0" w:footer="0" w:header="0"/>
        </w:sectPr>
      </w:pPr>
    </w:p>
    <w:bookmarkStart w:id="86" w:name="page87"/>
    <w:bookmarkEnd w:id="86"/>
    <w:p>
      <w:pPr>
        <w:ind w:left="8980"/>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2020,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46" w:lineRule="exact"/>
        <w:rPr>
          <w:sz w:val="20"/>
          <w:szCs w:val="20"/>
          <w:color w:val="auto"/>
        </w:rPr>
      </w:pPr>
    </w:p>
    <w:p>
      <w:pPr>
        <w:ind w:left="260" w:hanging="251"/>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firstLine="9"/>
        <w:spacing w:after="0" w:line="277" w:lineRule="auto"/>
        <w:tabs>
          <w:tab w:leader="none" w:pos="26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May 5, 2020</w:t>
            </w:r>
          </w:p>
        </w:tc>
        <w:tc>
          <w:tcPr>
            <w:tcW w:w="6580" w:type="dxa"/>
            <w:vAlign w:val="bottom"/>
            <w:gridSpan w:val="2"/>
          </w:tcPr>
          <w:p>
            <w:pPr>
              <w:ind w:left="1900"/>
              <w:spacing w:after="0"/>
              <w:rPr>
                <w:sz w:val="20"/>
                <w:szCs w:val="20"/>
                <w:color w:val="auto"/>
              </w:rPr>
            </w:pPr>
            <w:r>
              <w:rPr>
                <w:rFonts w:ascii="Arial" w:cs="Arial" w:eastAsia="Arial" w:hAnsi="Arial"/>
                <w:sz w:val="18"/>
                <w:szCs w:val="18"/>
                <w:color w:val="auto"/>
              </w:rPr>
              <w:t>By: /s/ Maria Fardis</w:t>
            </w:r>
          </w:p>
        </w:tc>
      </w:tr>
      <w:tr>
        <w:trPr>
          <w:trHeight w:val="195"/>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March 31, 2020, as filed with the Securities and Exchange Commission on the date hereof (the “Report”), Timothy E Morris, Chief Financial Officer of the Company, hereby certifies, pursuant to 18 U.S.C. §1350, as adopted pursuant to §906 of the Sarbanes-Oxley Act of 2002, that:</w:t>
      </w:r>
    </w:p>
    <w:p>
      <w:pPr>
        <w:spacing w:after="0" w:line="146" w:lineRule="exact"/>
        <w:rPr>
          <w:sz w:val="20"/>
          <w:szCs w:val="20"/>
          <w:color w:val="auto"/>
        </w:rPr>
      </w:pPr>
    </w:p>
    <w:p>
      <w:pPr>
        <w:ind w:left="260" w:hanging="251"/>
        <w:spacing w:after="0"/>
        <w:tabs>
          <w:tab w:leader="none" w:pos="2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firstLine="9"/>
        <w:spacing w:after="0" w:line="277" w:lineRule="auto"/>
        <w:tabs>
          <w:tab w:leader="none" w:pos="2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Dated: May 5, 2020</w:t>
            </w:r>
          </w:p>
        </w:tc>
        <w:tc>
          <w:tcPr>
            <w:tcW w:w="6580" w:type="dxa"/>
            <w:vAlign w:val="bottom"/>
            <w:gridSpan w:val="2"/>
          </w:tcPr>
          <w:p>
            <w:pPr>
              <w:ind w:left="1880"/>
              <w:spacing w:after="0"/>
              <w:rPr>
                <w:sz w:val="20"/>
                <w:szCs w:val="20"/>
                <w:color w:val="auto"/>
              </w:rPr>
            </w:pPr>
            <w:r>
              <w:rPr>
                <w:rFonts w:ascii="Arial" w:cs="Arial" w:eastAsia="Arial" w:hAnsi="Arial"/>
                <w:sz w:val="18"/>
                <w:szCs w:val="18"/>
                <w:color w:val="auto"/>
              </w:rPr>
              <w:t>By: /s/ Timothy E. Morris</w:t>
            </w:r>
          </w:p>
        </w:tc>
      </w:tr>
      <w:tr>
        <w:trPr>
          <w:trHeight w:val="195"/>
        </w:trPr>
        <w:tc>
          <w:tcPr>
            <w:tcW w:w="33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E. Morris</w:t>
            </w:r>
          </w:p>
        </w:tc>
      </w:tr>
      <w:tr>
        <w:trPr>
          <w:trHeight w:val="230"/>
        </w:trPr>
        <w:tc>
          <w:tcPr>
            <w:tcW w:w="3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lvl w:ilvl="1">
      <w:lvlJc w:val="left"/>
      <w:lvlText w:val="%2"/>
      <w:numFmt w:val="decimal"/>
      <w:start w:val="10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9">
    <w:nsid w:val="6CEAF087"/>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30">
    <w:nsid w:val="22221A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4516DDE9"/>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49" Type="http://schemas.openxmlformats.org/officeDocument/2006/relationships/hyperlink" Target="http://www.sec.gov/Archives/edgar/data/1425205/000114420419010702/tv513795_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2020-05-05T16:31:37Z</dcterms:created>
  <dcterms:modified xsi:type="dcterms:W3CDTF">2020-05-05T16:31:37Z</dcterms:modified>
</cp:coreProperties>
</file>