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600"/>
        <w:ind w:left="0" w:right="0" w:hanging="0"/>
        <w:rPr/>
      </w:pPr>
      <w:hyperlink w:anchor="TOC">
        <w:bookmarkStart w:id="0" w:name="iova-20230331x10q.htm"/>
        <w:bookmarkStart w:id="1" w:name="ksiova2023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spacing w:before="0" w:after="0"/>
        <w:ind w:left="0" w:right="0" w:hanging="0"/>
        <w:jc w:val="center"/>
        <w:rPr>
          <w:rFonts w:ascii="Times New Roman;Times;serif" w:hAnsi="Times New Roman;Times;serif"/>
          <w:b/>
          <w:sz w:val="2"/>
        </w:rPr>
      </w:pPr>
      <w:r>
        <w:rPr>
          <w:rFonts w:ascii="Times New Roman;Times;serif" w:hAnsi="Times New Roman;Times;serif"/>
          <w:b/>
          <w:sz w:val="2"/>
        </w:rPr>
        <w:t>+-</w:t>
      </w:r>
    </w:p>
    <w:p>
      <w:pPr>
        <w:pStyle w:val="TextBody"/>
        <w:spacing w:before="0" w:after="200"/>
        <w:ind w:left="0" w:right="0" w:hanging="0"/>
        <w:jc w:val="center"/>
        <w:rPr/>
      </w:pPr>
      <w:r>
        <w:rPr/>
        <w:t>​</w:t>
      </w:r>
    </w:p>
    <w:p>
      <w:pPr>
        <w:pStyle w:val="TextBody"/>
        <w:spacing w:before="0" w:after="0"/>
        <w:ind w:left="0" w:right="0" w:hanging="0"/>
        <w:jc w:val="center"/>
        <w:rPr>
          <w:rFonts w:ascii="Times New Roman;Times;serif" w:hAnsi="Times New Roman;Times;serif"/>
          <w:b/>
          <w:sz w:val="20"/>
        </w:rPr>
      </w:pPr>
      <w:bookmarkStart w:id="2" w:name="_c1cabbb4_2577_4732_bb7b_4e6009721fcf"/>
      <w:bookmarkEnd w:id="2"/>
      <w:r>
        <w:rPr>
          <w:rFonts w:ascii="Times New Roman;Times;serif" w:hAnsi="Times New Roman;Times;serif"/>
          <w:b/>
          <w:sz w:val="20"/>
        </w:rPr>
        <w:t xml:space="preserve">UNITED STATES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spacing w:before="0" w:after="20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spacing w:before="0" w:after="0"/>
        <w:ind w:left="0" w:right="0" w:hanging="0"/>
        <w:rPr/>
      </w:pPr>
      <w:r>
        <w:rPr/>
        <w:t>​</w:t>
      </w:r>
    </w:p>
    <w:tbl>
      <w:tblPr>
        <w:tblW w:w="9827" w:type="dxa"/>
        <w:jc w:val="left"/>
        <w:tblInd w:w="0" w:type="dxa"/>
        <w:tblCellMar>
          <w:top w:w="0" w:type="dxa"/>
          <w:left w:w="0" w:type="dxa"/>
          <w:bottom w:w="0" w:type="dxa"/>
          <w:right w:w="0" w:type="dxa"/>
        </w:tblCellMar>
      </w:tblPr>
      <w:tblGrid>
        <w:gridCol w:w="331"/>
        <w:gridCol w:w="9496"/>
      </w:tblGrid>
      <w:tr>
        <w:trPr/>
        <w:tc>
          <w:tcPr>
            <w:tcW w:w="331" w:type="dxa"/>
            <w:tcBorders/>
            <w:shd w:fill="auto" w:val="clear"/>
            <w:vAlign w:val="center"/>
          </w:tcPr>
          <w:p>
            <w:pPr>
              <w:pStyle w:val="TableContents"/>
              <w:spacing w:before="0" w:after="0"/>
              <w:rPr/>
            </w:pPr>
            <w:r>
              <w:rPr/>
              <w:t>☑</w:t>
            </w:r>
          </w:p>
        </w:tc>
        <w:tc>
          <w:tcPr>
            <w:tcW w:w="9496"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QUARTERLY REPORT PURSUANT TO SECTION 13 OR 15(d) OF THE SECURITIES EXCHANGE ACT OF 1934</w:t>
            </w:r>
          </w:p>
        </w:tc>
      </w:tr>
    </w:tbl>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For the quarterly period ended </w:t>
      </w:r>
      <w:r>
        <w:rPr>
          <w:rFonts w:ascii="Times New Roman;Times;serif" w:hAnsi="Times New Roman;Times;serif"/>
          <w:b/>
          <w:sz w:val="20"/>
        </w:rPr>
        <w:t>March 31, 2023</w:t>
      </w:r>
    </w:p>
    <w:p>
      <w:pPr>
        <w:pStyle w:val="TextBody"/>
        <w:spacing w:before="0" w:after="0"/>
        <w:ind w:left="0" w:right="0" w:hanging="0"/>
        <w:rPr/>
      </w:pPr>
      <w:r>
        <w:rPr/>
        <w:t>​</w:t>
      </w:r>
    </w:p>
    <w:tbl>
      <w:tblPr>
        <w:tblW w:w="9797" w:type="dxa"/>
        <w:jc w:val="left"/>
        <w:tblInd w:w="0" w:type="dxa"/>
        <w:tblCellMar>
          <w:top w:w="0" w:type="dxa"/>
          <w:left w:w="0" w:type="dxa"/>
          <w:bottom w:w="0" w:type="dxa"/>
          <w:right w:w="0" w:type="dxa"/>
        </w:tblCellMar>
      </w:tblPr>
      <w:tblGrid>
        <w:gridCol w:w="331"/>
        <w:gridCol w:w="9466"/>
      </w:tblGrid>
      <w:tr>
        <w:trPr/>
        <w:tc>
          <w:tcPr>
            <w:tcW w:w="331" w:type="dxa"/>
            <w:tcBorders/>
            <w:shd w:fill="auto" w:val="clear"/>
            <w:vAlign w:val="center"/>
          </w:tcPr>
          <w:p>
            <w:pPr>
              <w:pStyle w:val="TableContents"/>
              <w:spacing w:before="0" w:after="0"/>
              <w:rPr/>
            </w:pPr>
            <w:r>
              <w:rPr/>
              <w:t>☐</w:t>
            </w:r>
          </w:p>
        </w:tc>
        <w:tc>
          <w:tcPr>
            <w:tcW w:w="9466"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TRANSITION REPORT PURSUANT TO SECTION 13 OR 15(d) OF THE SECURITIES EXCHANGE ACT OF 1934</w:t>
            </w:r>
          </w:p>
        </w:tc>
      </w:tr>
    </w:tbl>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For the transition period from     to    .</w:t>
      </w:r>
    </w:p>
    <w:p>
      <w:pPr>
        <w:pStyle w:val="TextBody"/>
        <w:spacing w:before="0" w:after="200"/>
        <w:ind w:left="0" w:right="0" w:hanging="0"/>
        <w:jc w:val="center"/>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 001-36860</w:t>
      </w:r>
    </w:p>
    <w:p>
      <w:pPr>
        <w:pStyle w:val="TextBody"/>
        <w:spacing w:before="0" w:after="200"/>
        <w:ind w:left="0" w:right="0" w:hanging="0"/>
        <w:jc w:val="center"/>
        <w:rPr/>
      </w:pPr>
      <w:r>
        <w:rPr/>
        <w:t>​</w:t>
      </w:r>
    </w:p>
    <w:p>
      <w:pPr>
        <w:pStyle w:val="TextBody"/>
        <w:spacing w:before="0" w:after="0"/>
        <w:ind w:left="0" w:right="0" w:hanging="0"/>
        <w:jc w:val="center"/>
        <w:rPr>
          <w:rFonts w:ascii="Times New Roman;Times;serif" w:hAnsi="Times New Roman;Times;serif"/>
          <w:b/>
          <w:sz w:val="28"/>
        </w:rPr>
      </w:pPr>
      <w:r>
        <w:rPr>
          <w:rFonts w:ascii="Times New Roman;Times;serif" w:hAnsi="Times New Roman;Times;serif"/>
          <w:b/>
          <w:sz w:val="28"/>
        </w:rPr>
        <w:t>IOVANCE BIOTHERAPEUTICS,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issuer as specified in its charter)</w:t>
      </w:r>
    </w:p>
    <w:p>
      <w:pPr>
        <w:pStyle w:val="TextBody"/>
        <w:spacing w:before="0" w:after="200"/>
        <w:ind w:left="0" w:right="0" w:hanging="0"/>
        <w:jc w:val="center"/>
        <w:rPr/>
      </w:pPr>
      <w:r>
        <w:rPr/>
        <w:t>​</w:t>
      </w:r>
    </w:p>
    <w:p>
      <w:pPr>
        <w:pStyle w:val="Normal"/>
        <w:spacing w:before="0" w:after="0"/>
        <w:rPr>
          <w:sz w:val="4"/>
          <w:szCs w:val="4"/>
        </w:rPr>
      </w:pPr>
      <w:r>
        <w:rPr>
          <w:sz w:val="4"/>
          <w:szCs w:val="4"/>
        </w:rPr>
      </w:r>
      <w:bookmarkStart w:id="3" w:name="Tc_JHsHTckoJE6j-vNy9liNTw_3_1"/>
      <w:bookmarkStart w:id="4" w:name="Tc_QJgH8Q3MREmiqD36tg91Vg_3_0"/>
      <w:bookmarkStart w:id="5" w:name="Tc_Aq-ROqAIhUS28RZmwZ0WQg_2_1"/>
      <w:bookmarkStart w:id="6" w:name="Tc_7HCeVrHFm0u8QLKM00xYRg_2_0"/>
      <w:bookmarkStart w:id="7" w:name="_d882566f_70dc_4132_a905_e8c42962db51"/>
      <w:bookmarkStart w:id="8" w:name="Tc_JHsHTckoJE6j-vNy9liNTw_3_1"/>
      <w:bookmarkStart w:id="9" w:name="Tc_QJgH8Q3MREmiqD36tg91Vg_3_0"/>
      <w:bookmarkStart w:id="10" w:name="Tc_Aq-ROqAIhUS28RZmwZ0WQg_2_1"/>
      <w:bookmarkStart w:id="11" w:name="Tc_7HCeVrHFm0u8QLKM00xYRg_2_0"/>
      <w:bookmarkStart w:id="12" w:name="_d882566f_70dc_4132_a905_e8c42962db51"/>
      <w:bookmarkEnd w:id="8"/>
      <w:bookmarkEnd w:id="9"/>
      <w:bookmarkEnd w:id="10"/>
      <w:bookmarkEnd w:id="11"/>
      <w:bookmarkEnd w:id="12"/>
    </w:p>
    <w:tbl>
      <w:tblPr>
        <w:tblW w:w="4562" w:type="dxa"/>
        <w:jc w:val="left"/>
        <w:tblInd w:w="0" w:type="dxa"/>
        <w:tblCellMar>
          <w:top w:w="0" w:type="dxa"/>
          <w:left w:w="0" w:type="dxa"/>
          <w:bottom w:w="0" w:type="dxa"/>
          <w:right w:w="0" w:type="dxa"/>
        </w:tblCellMar>
      </w:tblPr>
      <w:tblGrid>
        <w:gridCol w:w="2581"/>
        <w:gridCol w:w="1981"/>
      </w:tblGrid>
      <w:tr>
        <w:trPr/>
        <w:tc>
          <w:tcPr>
            <w:tcW w:w="2581" w:type="dxa"/>
            <w:tcBorders/>
            <w:shd w:fill="auto" w:val="clear"/>
            <w:vAlign w:val="center"/>
          </w:tcPr>
          <w:p>
            <w:pPr>
              <w:pStyle w:val="TableContents"/>
              <w:spacing w:before="0" w:after="0"/>
              <w:ind w:left="0" w:right="0" w:hanging="0"/>
              <w:rPr/>
            </w:pPr>
            <w:r>
              <w:rPr/>
              <w:t>​</w:t>
            </w:r>
          </w:p>
        </w:tc>
        <w:tc>
          <w:tcPr>
            <w:tcW w:w="1981" w:type="dxa"/>
            <w:tcBorders/>
            <w:shd w:fill="auto" w:val="clear"/>
            <w:vAlign w:val="center"/>
          </w:tcPr>
          <w:p>
            <w:pPr>
              <w:pStyle w:val="TableContents"/>
              <w:spacing w:before="0" w:after="0"/>
              <w:ind w:left="0" w:right="0" w:hanging="0"/>
              <w:rPr/>
            </w:pPr>
            <w:r>
              <w:rPr/>
              <w:t>​</w:t>
            </w:r>
          </w:p>
        </w:tc>
      </w:tr>
      <w:tr>
        <w:trPr/>
        <w:tc>
          <w:tcPr>
            <w:tcW w:w="2581"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981"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75-3254381</w:t>
            </w:r>
          </w:p>
        </w:tc>
      </w:tr>
      <w:tr>
        <w:trPr/>
        <w:tc>
          <w:tcPr>
            <w:tcW w:w="25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r>
          </w:p>
        </w:tc>
        <w:tc>
          <w:tcPr>
            <w:tcW w:w="19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tc>
      </w:tr>
      <w:tr>
        <w:trPr/>
        <w:tc>
          <w:tcPr>
            <w:tcW w:w="25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incorporation or organization)</w:t>
            </w:r>
          </w:p>
        </w:tc>
        <w:tc>
          <w:tcPr>
            <w:tcW w:w="19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identification number)</w:t>
            </w:r>
          </w:p>
        </w:tc>
      </w:tr>
    </w:tbl>
    <w:p>
      <w:pPr>
        <w:pStyle w:val="TextBody"/>
        <w:spacing w:before="0" w:after="20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b/>
          <w:sz w:val="20"/>
        </w:rPr>
        <w:t>825 Industrial Road, Suite 400, San Carlos, CA</w:t>
      </w:r>
      <w:r>
        <w:rPr>
          <w:rFonts w:ascii="Times New Roman;Times;serif" w:hAnsi="Times New Roman;Times;serif"/>
          <w:sz w:val="20"/>
        </w:rPr>
        <w:t xml:space="preserve"> </w:t>
      </w:r>
      <w:r>
        <w:rPr>
          <w:rFonts w:ascii="Times New Roman;Times;serif" w:hAnsi="Times New Roman;Times;serif"/>
          <w:b/>
          <w:sz w:val="20"/>
        </w:rPr>
        <w:t>94070</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and zip code)</w:t>
      </w:r>
    </w:p>
    <w:p>
      <w:pPr>
        <w:pStyle w:val="TextBody"/>
        <w:spacing w:before="0" w:after="20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(650) 260-7120</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spacing w:before="0" w:after="200"/>
        <w:ind w:left="0" w:right="0" w:hanging="0"/>
        <w:jc w:val="center"/>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0" w:after="20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spacing w:before="0" w:after="20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ind w:left="0" w:right="0" w:hanging="0"/>
        <w:rPr/>
      </w:pPr>
      <w:r>
        <w:rPr/>
        <w:t>​</w:t>
      </w:r>
    </w:p>
    <w:tbl>
      <w:tblPr>
        <w:tblW w:w="4772" w:type="dxa"/>
        <w:jc w:val="left"/>
        <w:tblInd w:w="0" w:type="dxa"/>
        <w:tblCellMar>
          <w:top w:w="0" w:type="dxa"/>
          <w:left w:w="0" w:type="dxa"/>
          <w:bottom w:w="0" w:type="dxa"/>
          <w:right w:w="0" w:type="dxa"/>
        </w:tblCellMar>
      </w:tblPr>
      <w:tblGrid>
        <w:gridCol w:w="2191"/>
        <w:gridCol w:w="2581"/>
      </w:tblGrid>
      <w:tr>
        <w:trPr/>
        <w:tc>
          <w:tcPr>
            <w:tcW w:w="21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Large accelerated filer  ☑</w:t>
            </w:r>
          </w:p>
        </w:tc>
        <w:tc>
          <w:tcPr>
            <w:tcW w:w="25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Accelerated filer ☐</w:t>
            </w:r>
          </w:p>
        </w:tc>
      </w:tr>
      <w:tr>
        <w:trPr/>
        <w:tc>
          <w:tcPr>
            <w:tcW w:w="21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Non-accelerated filer   ☐</w:t>
            </w:r>
          </w:p>
        </w:tc>
        <w:tc>
          <w:tcPr>
            <w:tcW w:w="25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Smaller reporting company ☐</w:t>
            </w:r>
          </w:p>
        </w:tc>
      </w:tr>
      <w:tr>
        <w:trPr/>
        <w:tc>
          <w:tcPr>
            <w:tcW w:w="2191" w:type="dxa"/>
            <w:tcBorders/>
            <w:shd w:fill="auto" w:val="clear"/>
            <w:vAlign w:val="center"/>
          </w:tcPr>
          <w:p>
            <w:pPr>
              <w:pStyle w:val="TableContents"/>
              <w:spacing w:before="0" w:after="0"/>
              <w:ind w:left="0" w:right="0" w:hanging="0"/>
              <w:rPr/>
            </w:pPr>
            <w:r>
              <w:rPr/>
              <w:t> </w:t>
            </w:r>
          </w:p>
        </w:tc>
        <w:tc>
          <w:tcPr>
            <w:tcW w:w="25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Emerging growth company ☐</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20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spacing w:before="0" w:after="200"/>
        <w:ind w:left="0" w:right="0" w:firstLine="720"/>
        <w:rPr/>
      </w:pPr>
      <w:r>
        <w:rPr/>
        <w:t>​</w:t>
      </w:r>
    </w:p>
    <w:p>
      <w:pPr>
        <w:pStyle w:val="TextBody"/>
        <w:spacing w:before="0" w:after="0"/>
        <w:ind w:left="0" w:right="0" w:firstLine="720"/>
        <w:jc w:val="center"/>
        <w:rPr>
          <w:rFonts w:ascii="Times New Roman;Times;serif" w:hAnsi="Times New Roman;Times;serif"/>
          <w:b/>
          <w:sz w:val="20"/>
        </w:rPr>
      </w:pPr>
      <w:r>
        <w:rPr>
          <w:rFonts w:ascii="Times New Roman;Times;serif" w:hAnsi="Times New Roman;Times;serif"/>
          <w:b/>
          <w:sz w:val="20"/>
        </w:rPr>
        <w:t>Securities registered pursuant to Section 12(b) of the Act:</w:t>
      </w:r>
    </w:p>
    <w:p>
      <w:pPr>
        <w:pStyle w:val="TextBody"/>
        <w:spacing w:before="0" w:after="200"/>
        <w:ind w:left="0" w:right="0" w:firstLine="720"/>
        <w:rPr/>
      </w:pPr>
      <w:r>
        <w:rPr/>
        <w:t>​</w:t>
      </w:r>
    </w:p>
    <w:p>
      <w:pPr>
        <w:pStyle w:val="Normal"/>
        <w:spacing w:before="0" w:after="0"/>
        <w:rPr>
          <w:sz w:val="4"/>
          <w:szCs w:val="4"/>
        </w:rPr>
      </w:pPr>
      <w:r>
        <w:rPr>
          <w:sz w:val="4"/>
          <w:szCs w:val="4"/>
        </w:rPr>
      </w:r>
      <w:bookmarkStart w:id="13" w:name="Tc_B-YYmvKxBUirGcE-YwcYzA_1_4"/>
      <w:bookmarkStart w:id="14" w:name="Tc_q3YwjKQvCEeseb4khdk92w_0_4"/>
      <w:bookmarkStart w:id="15" w:name="Tc_LUZa_wOyxUazBwSyvXA67Q_0_2"/>
      <w:bookmarkStart w:id="16" w:name="Tc_ZcFVk0uZTkSH0ABviblMDg_0_0"/>
      <w:bookmarkStart w:id="17" w:name="_08b9b54f_cc70_4f2a_8240_a990b4fa2a68"/>
      <w:bookmarkStart w:id="18" w:name="Tc_B-YYmvKxBUirGcE-YwcYzA_1_4"/>
      <w:bookmarkStart w:id="19" w:name="Tc_q3YwjKQvCEeseb4khdk92w_0_4"/>
      <w:bookmarkStart w:id="20" w:name="Tc_LUZa_wOyxUazBwSyvXA67Q_0_2"/>
      <w:bookmarkStart w:id="21" w:name="Tc_ZcFVk0uZTkSH0ABviblMDg_0_0"/>
      <w:bookmarkStart w:id="22" w:name="_08b9b54f_cc70_4f2a_8240_a990b4fa2a68"/>
      <w:bookmarkEnd w:id="18"/>
      <w:bookmarkEnd w:id="19"/>
      <w:bookmarkEnd w:id="20"/>
      <w:bookmarkEnd w:id="21"/>
      <w:bookmarkEnd w:id="22"/>
    </w:p>
    <w:tbl>
      <w:tblPr>
        <w:tblW w:w="9520" w:type="dxa"/>
        <w:jc w:val="left"/>
        <w:tblInd w:w="0" w:type="dxa"/>
        <w:tblCellMar>
          <w:top w:w="0" w:type="dxa"/>
          <w:left w:w="0" w:type="dxa"/>
          <w:bottom w:w="28" w:type="dxa"/>
          <w:right w:w="0" w:type="dxa"/>
        </w:tblCellMar>
      </w:tblPr>
      <w:tblGrid>
        <w:gridCol w:w="3466"/>
        <w:gridCol w:w="266"/>
        <w:gridCol w:w="1696"/>
        <w:gridCol w:w="266"/>
        <w:gridCol w:w="3826"/>
      </w:tblGrid>
      <w:tr>
        <w:trPr/>
        <w:tc>
          <w:tcPr>
            <w:tcW w:w="3466" w:type="dxa"/>
            <w:tcBorders>
              <w:bottom w:val="single" w:sz="8" w:space="0" w:color="000000"/>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1696" w:type="dxa"/>
            <w:tcBorders>
              <w:bottom w:val="single" w:sz="8" w:space="0" w:color="000000"/>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3826" w:type="dxa"/>
            <w:tcBorders>
              <w:bottom w:val="single" w:sz="8" w:space="0" w:color="000000"/>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46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$0.000041666</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169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IOVA</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382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The Nasdaq Global Market</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At May 2, 2023, the issuer had 224,448,554 shares of common stock, par value $0.000041666 per share, outstanding.</w:t>
      </w:r>
    </w:p>
    <w:p>
      <w:pPr>
        <w:pStyle w:val="TextBody"/>
        <w:spacing w:before="0" w:after="200"/>
        <w:ind w:left="0" w:right="0" w:firstLine="720"/>
        <w:rPr/>
      </w:pPr>
      <w:r>
        <w:rPr/>
        <w:t>​</w:t>
      </w:r>
    </w:p>
    <w:p>
      <w:pPr>
        <w:pStyle w:val="TextBody"/>
        <w:pBdr>
          <w:top w:val="single" w:sz="8" w:space="1" w:color="000000"/>
          <w:bottom w:val="single" w:sz="24" w:space="1" w:color="000000"/>
        </w:pBdr>
        <w:spacing w:before="0" w:after="200"/>
        <w:ind w:left="0" w:right="0" w:firstLine="720"/>
        <w:rPr/>
      </w:pPr>
      <w:r>
        <w:rPr/>
        <w:t>​</w:t>
      </w:r>
    </w:p>
    <w:p>
      <w:pPr>
        <w:pStyle w:val="TextBody"/>
        <w:spacing w:before="0" w:after="200"/>
        <w:ind w:left="0" w:right="0" w:firstLine="720"/>
        <w:rPr/>
      </w:pPr>
      <w:r>
        <w:rPr/>
        <w:t>​</w:t>
      </w:r>
    </w:p>
    <w:p>
      <w:pPr>
        <w:pStyle w:val="TextBody"/>
        <w:spacing w:before="0" w:after="0"/>
        <w:ind w:left="0" w:right="0" w:hanging="0"/>
        <w:rPr/>
      </w:pPr>
      <w:r>
        <w:rPr/>
        <w:t>​</w:t>
      </w:r>
    </w:p>
    <w:p>
      <w:pPr>
        <w:pStyle w:val="TextBody"/>
        <w:spacing w:before="480" w:after="0"/>
        <w:ind w:left="0" w:right="0" w:hanging="0"/>
        <w:jc w:val="center"/>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23" w:name="_e1142b56_31e9_4398_9ac0_fc2758a92489"/>
      <w:bookmarkEnd w:id="23"/>
      <w:r>
        <w:rPr>
          <w:rFonts w:ascii="Times New Roman;Times;serif" w:hAnsi="Times New Roman;Times;serif"/>
          <w:b/>
          <w:sz w:val="20"/>
        </w:rPr>
        <w:t>IOVANCE BIOTHERAPEUTICS,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 Ended March 31, 2023</w:t>
      </w:r>
    </w:p>
    <w:p>
      <w:pPr>
        <w:pStyle w:val="TextBody"/>
        <w:spacing w:before="0" w:after="0"/>
        <w:ind w:left="0" w:right="0" w:hanging="0"/>
        <w:jc w:val="center"/>
        <w:rPr/>
      </w:pPr>
      <w:r>
        <w:rPr/>
        <w:t> </w:t>
      </w:r>
    </w:p>
    <w:p>
      <w:pPr>
        <w:pStyle w:val="TextBody"/>
        <w:spacing w:before="0" w:after="0"/>
        <w:ind w:left="0" w:right="0" w:hanging="0"/>
        <w:jc w:val="center"/>
        <w:rPr>
          <w:rFonts w:ascii="Times New Roman;Times;serif" w:hAnsi="Times New Roman;Times;serif"/>
          <w:b/>
          <w:sz w:val="20"/>
        </w:rPr>
      </w:pPr>
      <w:bookmarkStart w:id="24" w:name="TOC"/>
      <w:bookmarkEnd w:id="24"/>
      <w:r>
        <w:rPr>
          <w:rFonts w:ascii="Times New Roman;Times;serif" w:hAnsi="Times New Roman;Times;serif"/>
          <w:b/>
          <w:sz w:val="20"/>
        </w:rPr>
        <w:t>Table of Contents</w:t>
      </w:r>
    </w:p>
    <w:p>
      <w:pPr>
        <w:pStyle w:val="TextBody"/>
        <w:spacing w:before="0" w:after="0"/>
        <w:ind w:left="0" w:right="0" w:hanging="0"/>
        <w:jc w:val="center"/>
        <w:rPr/>
      </w:pPr>
      <w:r>
        <w:rPr/>
        <w:t> </w:t>
      </w:r>
    </w:p>
    <w:tbl>
      <w:tblPr>
        <w:tblW w:w="8688" w:type="dxa"/>
        <w:jc w:val="left"/>
        <w:tblInd w:w="0" w:type="dxa"/>
        <w:tblCellMar>
          <w:top w:w="0" w:type="dxa"/>
          <w:left w:w="0" w:type="dxa"/>
          <w:bottom w:w="0" w:type="dxa"/>
          <w:right w:w="0" w:type="dxa"/>
        </w:tblCellMar>
      </w:tblPr>
      <w:tblGrid>
        <w:gridCol w:w="811"/>
        <w:gridCol w:w="7366"/>
        <w:gridCol w:w="511"/>
      </w:tblGrid>
      <w:tr>
        <w:trPr/>
        <w:tc>
          <w:tcPr>
            <w:tcW w:w="811" w:type="dxa"/>
            <w:tcBorders/>
            <w:shd w:fill="auto" w:val="clear"/>
            <w:vAlign w:val="center"/>
          </w:tcPr>
          <w:p>
            <w:pPr>
              <w:pStyle w:val="TableContents"/>
              <w:spacing w:before="0" w:after="283"/>
              <w:ind w:left="0" w:right="0" w:hanging="0"/>
              <w:rPr>
                <w:sz w:val="4"/>
                <w:szCs w:val="4"/>
              </w:rPr>
            </w:pPr>
            <w:r>
              <w:rPr>
                <w:sz w:val="4"/>
                <w:szCs w:val="4"/>
              </w:rPr>
            </w:r>
          </w:p>
        </w:tc>
        <w:tc>
          <w:tcPr>
            <w:tcW w:w="7366" w:type="dxa"/>
            <w:tcBorders/>
            <w:shd w:fill="auto" w:val="clear"/>
            <w:vAlign w:val="center"/>
          </w:tcPr>
          <w:p>
            <w:pPr>
              <w:pStyle w:val="TableContents"/>
              <w:spacing w:before="0" w:after="283"/>
              <w:ind w:left="0" w:right="0" w:hanging="0"/>
              <w:rPr>
                <w:sz w:val="4"/>
                <w:szCs w:val="4"/>
              </w:rPr>
            </w:pPr>
            <w:r>
              <w:rPr>
                <w:sz w:val="4"/>
                <w:szCs w:val="4"/>
              </w:rPr>
            </w:r>
          </w:p>
        </w:tc>
        <w:tc>
          <w:tcPr>
            <w:tcW w:w="511" w:type="dxa"/>
            <w:tcBorders/>
            <w:shd w:fill="auto" w:val="clear"/>
            <w:vAlign w:val="center"/>
          </w:tcPr>
          <w:p>
            <w:pPr>
              <w:pStyle w:val="TableContents"/>
              <w:spacing w:before="0" w:after="283"/>
              <w:ind w:left="0" w:right="0" w:hanging="0"/>
              <w:rPr>
                <w:sz w:val="4"/>
                <w:szCs w:val="4"/>
              </w:rPr>
            </w:pPr>
            <w:r>
              <w:rPr>
                <w:sz w:val="4"/>
                <w:szCs w:val="4"/>
              </w:rPr>
            </w:r>
          </w:p>
        </w:tc>
      </w:tr>
      <w:tr>
        <w:trPr/>
        <w:tc>
          <w:tcPr>
            <w:tcW w:w="8177" w:type="dxa"/>
            <w:gridSpan w:val="2"/>
            <w:tcBorders/>
            <w:shd w:fill="auto" w:val="clear"/>
            <w:vAlign w:val="center"/>
          </w:tcPr>
          <w:p>
            <w:pPr>
              <w:pStyle w:val="TableContents"/>
              <w:spacing w:before="0" w:after="0"/>
              <w:ind w:left="0" w:right="0" w:hanging="0"/>
              <w:rPr/>
            </w:pPr>
            <w:r>
              <w:rPr/>
              <w:t>​</w:t>
            </w:r>
          </w:p>
        </w:tc>
        <w:tc>
          <w:tcPr>
            <w:tcW w:w="5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8177" w:type="dxa"/>
            <w:gridSpan w:val="2"/>
            <w:tcBorders/>
            <w:shd w:fill="CCEEFF" w:val="clear"/>
            <w:vAlign w:val="center"/>
          </w:tcPr>
          <w:p>
            <w:pPr>
              <w:pStyle w:val="TableContents"/>
              <w:spacing w:before="0" w:after="0"/>
              <w:ind w:left="0" w:right="0" w:hanging="0"/>
              <w:rPr/>
            </w:pPr>
            <w:hyperlink w:anchor="PARTIFINANCIALINFORMATION_717357">
              <w:r>
                <w:rPr>
                  <w:rStyle w:val="InternetLink"/>
                  <w:rFonts w:ascii="Times New Roman;Times;serif" w:hAnsi="Times New Roman;Times;serif"/>
                  <w:b w:val="false"/>
                  <w:i w:val="false"/>
                  <w:caps w:val="false"/>
                  <w:smallCaps w:val="false"/>
                  <w:sz w:val="20"/>
                </w:rPr>
                <w:t>PART I FINANCIAL INFORMATION</w:t>
              </w:r>
            </w:hyperlink>
          </w:p>
        </w:tc>
        <w:tc>
          <w:tcPr>
            <w:tcW w:w="511" w:type="dxa"/>
            <w:tcBorders/>
            <w:shd w:fill="CCEEFF" w:val="clear"/>
            <w:vAlign w:val="center"/>
          </w:tcPr>
          <w:p>
            <w:pPr>
              <w:pStyle w:val="TableContents"/>
              <w:spacing w:before="0" w:after="0"/>
              <w:ind w:left="0" w:right="0" w:hanging="0"/>
              <w:jc w:val="right"/>
              <w:rPr/>
            </w:pPr>
            <w:r>
              <w:rPr/>
              <w:t>​</w:t>
            </w:r>
          </w:p>
        </w:tc>
      </w:tr>
      <w:tr>
        <w:trPr/>
        <w:tc>
          <w:tcPr>
            <w:tcW w:w="811" w:type="dxa"/>
            <w:tcBorders/>
            <w:shd w:fill="auto" w:val="clear"/>
            <w:vAlign w:val="center"/>
          </w:tcPr>
          <w:p>
            <w:pPr>
              <w:pStyle w:val="TableContents"/>
              <w:spacing w:before="0" w:after="0"/>
              <w:ind w:left="0" w:right="0" w:hanging="0"/>
              <w:rPr/>
            </w:pPr>
            <w:hyperlink w:anchor="Item1CondensedConsolidatedFinancialState">
              <w:r>
                <w:rPr>
                  <w:rStyle w:val="InternetLink"/>
                  <w:rFonts w:ascii="Times New Roman;Times;serif" w:hAnsi="Times New Roman;Times;serif"/>
                  <w:b w:val="false"/>
                  <w:i w:val="false"/>
                  <w:caps w:val="false"/>
                  <w:smallCaps w:val="false"/>
                  <w:sz w:val="20"/>
                </w:rPr>
                <w:t>Item 1.</w:t>
              </w:r>
            </w:hyperlink>
          </w:p>
        </w:tc>
        <w:tc>
          <w:tcPr>
            <w:tcW w:w="7366" w:type="dxa"/>
            <w:tcBorders/>
            <w:shd w:fill="auto" w:val="clear"/>
            <w:vAlign w:val="center"/>
          </w:tcPr>
          <w:p>
            <w:pPr>
              <w:pStyle w:val="TableContents"/>
              <w:spacing w:before="0" w:after="0"/>
              <w:ind w:left="0" w:right="0" w:hanging="0"/>
              <w:rPr/>
            </w:pPr>
            <w:hyperlink w:anchor="Item1CondensedConsolidatedFinancialState">
              <w:r>
                <w:rPr>
                  <w:rStyle w:val="InternetLink"/>
                  <w:rFonts w:ascii="Times New Roman;Times;serif" w:hAnsi="Times New Roman;Times;serif"/>
                  <w:b w:val="false"/>
                  <w:i w:val="false"/>
                  <w:caps w:val="false"/>
                  <w:smallCaps w:val="false"/>
                  <w:sz w:val="20"/>
                </w:rPr>
                <w:t>Condensed Consolidated Financial Statements (Unaudited)</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11" w:type="dxa"/>
            <w:tcBorders/>
            <w:shd w:fill="CCEEFF" w:val="clear"/>
            <w:vAlign w:val="center"/>
          </w:tcPr>
          <w:p>
            <w:pPr>
              <w:pStyle w:val="TableContents"/>
              <w:spacing w:before="0" w:after="0"/>
              <w:ind w:left="0" w:right="0" w:hanging="0"/>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7366" w:type="dxa"/>
            <w:tcBorders/>
            <w:shd w:fill="CCEEFF" w:val="clear"/>
            <w:vAlign w:val="center"/>
          </w:tcPr>
          <w:p>
            <w:pPr>
              <w:pStyle w:val="TableContents"/>
              <w:spacing w:before="0" w:after="0"/>
              <w:ind w:left="0" w:right="0" w:hanging="0"/>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811" w:type="dxa"/>
            <w:tcBorders/>
            <w:shd w:fill="auto" w:val="clear"/>
            <w:vAlign w:val="center"/>
          </w:tcPr>
          <w:p>
            <w:pPr>
              <w:pStyle w:val="TableContents"/>
              <w:spacing w:before="0" w:after="0"/>
              <w:ind w:left="0" w:right="0" w:hanging="0"/>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shd w:fill="auto" w:val="clear"/>
            <w:vAlign w:val="center"/>
          </w:tcPr>
          <w:p>
            <w:pPr>
              <w:pStyle w:val="TableContents"/>
              <w:spacing w:before="0" w:after="0"/>
              <w:ind w:left="0" w:right="0" w:hanging="0"/>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811" w:type="dxa"/>
            <w:tcBorders/>
            <w:shd w:fill="CCEEFF" w:val="clear"/>
            <w:vAlign w:val="center"/>
          </w:tcPr>
          <w:p>
            <w:pPr>
              <w:pStyle w:val="TableContents"/>
              <w:spacing w:before="0" w:after="0"/>
              <w:ind w:left="0" w:right="0" w:hanging="0"/>
              <w:rPr/>
            </w:pPr>
            <w:hyperlink w:anchor="Item4ControlsandProcedures_270789">
              <w:r>
                <w:rPr>
                  <w:rStyle w:val="InternetLink"/>
                  <w:rFonts w:ascii="Times New Roman;Times;serif" w:hAnsi="Times New Roman;Times;serif"/>
                  <w:b w:val="false"/>
                  <w:i w:val="false"/>
                  <w:caps w:val="false"/>
                  <w:smallCaps w:val="false"/>
                  <w:sz w:val="20"/>
                </w:rPr>
                <w:t>Item 4.</w:t>
              </w:r>
            </w:hyperlink>
          </w:p>
        </w:tc>
        <w:tc>
          <w:tcPr>
            <w:tcW w:w="7366" w:type="dxa"/>
            <w:tcBorders/>
            <w:shd w:fill="CCEEFF" w:val="clear"/>
            <w:vAlign w:val="center"/>
          </w:tcPr>
          <w:p>
            <w:pPr>
              <w:pStyle w:val="TableContents"/>
              <w:spacing w:before="0" w:after="0"/>
              <w:ind w:left="0" w:right="0" w:hanging="0"/>
              <w:rPr/>
            </w:pPr>
            <w:hyperlink w:anchor="Item4ControlsandProcedures_270789">
              <w:r>
                <w:rPr>
                  <w:rStyle w:val="InternetLink"/>
                  <w:rFonts w:ascii="Times New Roman;Times;serif" w:hAnsi="Times New Roman;Times;serif"/>
                  <w:b w:val="false"/>
                  <w:i w:val="false"/>
                  <w:caps w:val="false"/>
                  <w:smallCaps w:val="false"/>
                  <w:sz w:val="20"/>
                </w:rPr>
                <w:t>Controls and Procedures</w:t>
              </w:r>
            </w:hyperlink>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8177" w:type="dxa"/>
            <w:gridSpan w:val="2"/>
            <w:tcBorders/>
            <w:shd w:fill="auto" w:val="clear"/>
            <w:vAlign w:val="center"/>
          </w:tcPr>
          <w:p>
            <w:pPr>
              <w:pStyle w:val="TableContents"/>
              <w:spacing w:before="0" w:after="0"/>
              <w:ind w:left="0" w:right="0" w:hanging="0"/>
              <w:rPr/>
            </w:pPr>
            <w:hyperlink w:anchor="PARTIIOTHERINFORMATION_407750">
              <w:r>
                <w:rPr>
                  <w:rStyle w:val="InternetLink"/>
                  <w:rFonts w:ascii="Times New Roman;Times;serif" w:hAnsi="Times New Roman;Times;serif"/>
                  <w:b w:val="false"/>
                  <w:i w:val="false"/>
                  <w:caps w:val="false"/>
                  <w:smallCaps w:val="false"/>
                  <w:sz w:val="20"/>
                </w:rPr>
                <w:t>PART II OTHER INFORMATION</w:t>
              </w:r>
            </w:hyperlink>
          </w:p>
        </w:tc>
        <w:tc>
          <w:tcPr>
            <w:tcW w:w="511" w:type="dxa"/>
            <w:tcBorders/>
            <w:shd w:fill="auto" w:val="clear"/>
            <w:vAlign w:val="center"/>
          </w:tcPr>
          <w:p>
            <w:pPr>
              <w:pStyle w:val="TableContents"/>
              <w:spacing w:before="0" w:after="0"/>
              <w:ind w:left="0" w:right="0" w:hanging="0"/>
              <w:jc w:val="right"/>
              <w:rPr/>
            </w:pPr>
            <w:r>
              <w:rPr/>
              <w:t>​</w:t>
            </w:r>
          </w:p>
        </w:tc>
      </w:tr>
      <w:tr>
        <w:trPr/>
        <w:tc>
          <w:tcPr>
            <w:tcW w:w="811" w:type="dxa"/>
            <w:tcBorders/>
            <w:shd w:fill="CCEEFF" w:val="clear"/>
            <w:vAlign w:val="center"/>
          </w:tcPr>
          <w:p>
            <w:pPr>
              <w:pStyle w:val="TableContents"/>
              <w:spacing w:before="0" w:after="0"/>
              <w:ind w:left="0" w:right="0" w:hanging="0"/>
              <w:rPr/>
            </w:pPr>
            <w:hyperlink w:anchor="Item1LegalProceedings_444925">
              <w:r>
                <w:rPr>
                  <w:rStyle w:val="InternetLink"/>
                  <w:rFonts w:ascii="Times New Roman;Times;serif" w:hAnsi="Times New Roman;Times;serif"/>
                  <w:b w:val="false"/>
                  <w:i w:val="false"/>
                  <w:caps w:val="false"/>
                  <w:smallCaps w:val="false"/>
                  <w:sz w:val="20"/>
                </w:rPr>
                <w:t>Item 1.</w:t>
              </w:r>
            </w:hyperlink>
          </w:p>
        </w:tc>
        <w:tc>
          <w:tcPr>
            <w:tcW w:w="7366" w:type="dxa"/>
            <w:tcBorders/>
            <w:shd w:fill="CCEEFF" w:val="clear"/>
            <w:vAlign w:val="center"/>
          </w:tcPr>
          <w:p>
            <w:pPr>
              <w:pStyle w:val="TableContents"/>
              <w:spacing w:before="0" w:after="0"/>
              <w:ind w:left="0" w:right="0" w:hanging="0"/>
              <w:rPr/>
            </w:pPr>
            <w:hyperlink w:anchor="Item1LegalProceedings_444925">
              <w:r>
                <w:rPr>
                  <w:rStyle w:val="InternetLink"/>
                  <w:rFonts w:ascii="Times New Roman;Times;serif" w:hAnsi="Times New Roman;Times;serif"/>
                  <w:b w:val="false"/>
                  <w:i w:val="false"/>
                  <w:caps w:val="false"/>
                  <w:smallCaps w:val="false"/>
                  <w:sz w:val="20"/>
                </w:rPr>
                <w:t>Legal Proceedings</w:t>
              </w:r>
            </w:hyperlink>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11" w:type="dxa"/>
            <w:tcBorders/>
            <w:shd w:fill="auto" w:val="clear"/>
            <w:vAlign w:val="center"/>
          </w:tcPr>
          <w:p>
            <w:pPr>
              <w:pStyle w:val="TableContents"/>
              <w:spacing w:before="0" w:after="0"/>
              <w:ind w:left="0" w:right="0" w:hanging="0"/>
              <w:rPr/>
            </w:pPr>
            <w:hyperlink w:anchor="Item1ARiskFactors_493740">
              <w:r>
                <w:rPr>
                  <w:rStyle w:val="InternetLink"/>
                  <w:rFonts w:ascii="Times New Roman;Times;serif" w:hAnsi="Times New Roman;Times;serif"/>
                  <w:b w:val="false"/>
                  <w:i w:val="false"/>
                  <w:caps w:val="false"/>
                  <w:smallCaps w:val="false"/>
                  <w:sz w:val="20"/>
                </w:rPr>
                <w:t>Item 1A.</w:t>
              </w:r>
            </w:hyperlink>
          </w:p>
        </w:tc>
        <w:tc>
          <w:tcPr>
            <w:tcW w:w="7366" w:type="dxa"/>
            <w:tcBorders/>
            <w:shd w:fill="auto" w:val="clear"/>
            <w:vAlign w:val="center"/>
          </w:tcPr>
          <w:p>
            <w:pPr>
              <w:pStyle w:val="TableContents"/>
              <w:spacing w:before="0" w:after="0"/>
              <w:ind w:left="0" w:right="0" w:hanging="0"/>
              <w:rPr/>
            </w:pPr>
            <w:hyperlink w:anchor="Item1ARiskFactors_493740">
              <w:r>
                <w:rPr>
                  <w:rStyle w:val="InternetLink"/>
                  <w:rFonts w:ascii="Times New Roman;Times;serif" w:hAnsi="Times New Roman;Times;serif"/>
                  <w:b w:val="false"/>
                  <w:i w:val="false"/>
                  <w:caps w:val="false"/>
                  <w:smallCaps w:val="false"/>
                  <w:sz w:val="20"/>
                </w:rPr>
                <w:t>Risk Factors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11" w:type="dxa"/>
            <w:tcBorders/>
            <w:shd w:fill="CCEEFF" w:val="clear"/>
            <w:vAlign w:val="center"/>
          </w:tcPr>
          <w:p>
            <w:pPr>
              <w:pStyle w:val="TableContents"/>
              <w:spacing w:before="0" w:after="0"/>
              <w:ind w:left="0" w:right="0" w:hanging="0"/>
              <w:rPr/>
            </w:pPr>
            <w:hyperlink w:anchor="Item2UnregisteredSalesofSecuritiesandUse">
              <w:r>
                <w:rPr>
                  <w:rStyle w:val="InternetLink"/>
                  <w:rFonts w:ascii="Times New Roman;Times;serif" w:hAnsi="Times New Roman;Times;serif"/>
                  <w:b w:val="false"/>
                  <w:i w:val="false"/>
                  <w:caps w:val="false"/>
                  <w:smallCaps w:val="false"/>
                  <w:sz w:val="20"/>
                </w:rPr>
                <w:t>Item 2.</w:t>
              </w:r>
            </w:hyperlink>
          </w:p>
        </w:tc>
        <w:tc>
          <w:tcPr>
            <w:tcW w:w="7366" w:type="dxa"/>
            <w:tcBorders/>
            <w:shd w:fill="CCEEFF" w:val="clear"/>
            <w:vAlign w:val="center"/>
          </w:tcPr>
          <w:p>
            <w:pPr>
              <w:pStyle w:val="TableContents"/>
              <w:spacing w:before="0" w:after="0"/>
              <w:ind w:left="0" w:right="0" w:hanging="0"/>
              <w:rPr/>
            </w:pPr>
            <w:hyperlink w:anchor="Item2UnregisteredSalesofSecuritiesandUse">
              <w:r>
                <w:rPr>
                  <w:rStyle w:val="InternetLink"/>
                  <w:rFonts w:ascii="Times New Roman;Times;serif" w:hAnsi="Times New Roman;Times;serif"/>
                  <w:b w:val="false"/>
                  <w:i w:val="false"/>
                  <w:caps w:val="false"/>
                  <w:smallCaps w:val="false"/>
                  <w:sz w:val="20"/>
                </w:rPr>
                <w:t>Unregistered Sales of Securities and Use of Proceeds</w:t>
              </w:r>
            </w:hyperlink>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r>
      <w:tr>
        <w:trPr/>
        <w:tc>
          <w:tcPr>
            <w:tcW w:w="811" w:type="dxa"/>
            <w:tcBorders/>
            <w:shd w:fill="auto" w:val="clear"/>
            <w:vAlign w:val="center"/>
          </w:tcPr>
          <w:p>
            <w:pPr>
              <w:pStyle w:val="TableContents"/>
              <w:spacing w:before="0" w:after="0"/>
              <w:ind w:left="0" w:right="0" w:hanging="0"/>
              <w:rPr/>
            </w:pPr>
            <w:hyperlink w:anchor="Item3DefaultsUponSeniorSecurities_597206">
              <w:r>
                <w:rPr>
                  <w:rStyle w:val="InternetLink"/>
                  <w:rFonts w:ascii="Times New Roman;Times;serif" w:hAnsi="Times New Roman;Times;serif"/>
                  <w:b w:val="false"/>
                  <w:i w:val="false"/>
                  <w:caps w:val="false"/>
                  <w:smallCaps w:val="false"/>
                  <w:sz w:val="20"/>
                </w:rPr>
                <w:t>Item 3.</w:t>
              </w:r>
            </w:hyperlink>
          </w:p>
        </w:tc>
        <w:tc>
          <w:tcPr>
            <w:tcW w:w="7366" w:type="dxa"/>
            <w:tcBorders/>
            <w:shd w:fill="auto" w:val="clear"/>
            <w:vAlign w:val="center"/>
          </w:tcPr>
          <w:p>
            <w:pPr>
              <w:pStyle w:val="TableContents"/>
              <w:spacing w:before="0" w:after="0"/>
              <w:ind w:left="0" w:right="0" w:hanging="0"/>
              <w:rPr/>
            </w:pPr>
            <w:hyperlink w:anchor="Item3DefaultsUponSeniorSecurities_597206">
              <w:r>
                <w:rPr>
                  <w:rStyle w:val="InternetLink"/>
                  <w:rFonts w:ascii="Times New Roman;Times;serif" w:hAnsi="Times New Roman;Times;serif"/>
                  <w:b w:val="false"/>
                  <w:i w:val="false"/>
                  <w:caps w:val="false"/>
                  <w:smallCaps w:val="false"/>
                  <w:sz w:val="20"/>
                </w:rPr>
                <w:t>Defaults Upon Senior Securities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r>
      <w:tr>
        <w:trPr/>
        <w:tc>
          <w:tcPr>
            <w:tcW w:w="811" w:type="dxa"/>
            <w:tcBorders/>
            <w:shd w:fill="CCEEFF" w:val="clear"/>
            <w:vAlign w:val="center"/>
          </w:tcPr>
          <w:p>
            <w:pPr>
              <w:pStyle w:val="TableContents"/>
              <w:spacing w:before="0" w:after="0"/>
              <w:ind w:left="0" w:right="0" w:hanging="0"/>
              <w:rPr/>
            </w:pPr>
            <w:hyperlink w:anchor="Item4MineSafetyDisclosures_35877">
              <w:r>
                <w:rPr>
                  <w:rStyle w:val="InternetLink"/>
                  <w:rFonts w:ascii="Times New Roman;Times;serif" w:hAnsi="Times New Roman;Times;serif"/>
                  <w:b w:val="false"/>
                  <w:i w:val="false"/>
                  <w:caps w:val="false"/>
                  <w:smallCaps w:val="false"/>
                  <w:sz w:val="20"/>
                </w:rPr>
                <w:t>Item 4.</w:t>
              </w:r>
            </w:hyperlink>
          </w:p>
        </w:tc>
        <w:tc>
          <w:tcPr>
            <w:tcW w:w="7366" w:type="dxa"/>
            <w:tcBorders/>
            <w:shd w:fill="CCEEFF" w:val="clear"/>
            <w:vAlign w:val="center"/>
          </w:tcPr>
          <w:p>
            <w:pPr>
              <w:pStyle w:val="TableContents"/>
              <w:spacing w:before="0" w:after="0"/>
              <w:ind w:left="0" w:right="0" w:hanging="0"/>
              <w:rPr/>
            </w:pPr>
            <w:hyperlink w:anchor="Item4MineSafetyDisclosures_35877">
              <w:r>
                <w:rPr>
                  <w:rStyle w:val="InternetLink"/>
                  <w:rFonts w:ascii="Times New Roman;Times;serif" w:hAnsi="Times New Roman;Times;serif"/>
                  <w:b w:val="false"/>
                  <w:i w:val="false"/>
                  <w:caps w:val="false"/>
                  <w:smallCaps w:val="false"/>
                  <w:sz w:val="20"/>
                </w:rPr>
                <w:t>Mine Safety Disclosure</w:t>
              </w:r>
            </w:hyperlink>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811" w:type="dxa"/>
            <w:tcBorders/>
            <w:shd w:fill="auto" w:val="clear"/>
            <w:vAlign w:val="center"/>
          </w:tcPr>
          <w:p>
            <w:pPr>
              <w:pStyle w:val="TableContents"/>
              <w:spacing w:before="0" w:after="0"/>
              <w:ind w:left="0" w:right="0" w:hanging="0"/>
              <w:rPr/>
            </w:pPr>
            <w:hyperlink w:anchor="Item5OtherInformation_291306">
              <w:r>
                <w:rPr>
                  <w:rStyle w:val="InternetLink"/>
                  <w:rFonts w:ascii="Times New Roman;Times;serif" w:hAnsi="Times New Roman;Times;serif"/>
                  <w:b w:val="false"/>
                  <w:i w:val="false"/>
                  <w:caps w:val="false"/>
                  <w:smallCaps w:val="false"/>
                  <w:sz w:val="20"/>
                </w:rPr>
                <w:t>Item 5.</w:t>
              </w:r>
            </w:hyperlink>
          </w:p>
        </w:tc>
        <w:tc>
          <w:tcPr>
            <w:tcW w:w="7366" w:type="dxa"/>
            <w:tcBorders/>
            <w:shd w:fill="auto" w:val="clear"/>
            <w:vAlign w:val="center"/>
          </w:tcPr>
          <w:p>
            <w:pPr>
              <w:pStyle w:val="TableContents"/>
              <w:spacing w:before="0" w:after="0"/>
              <w:ind w:left="0" w:right="0" w:hanging="0"/>
              <w:rPr/>
            </w:pPr>
            <w:hyperlink w:anchor="Item5OtherInformation_291306">
              <w:r>
                <w:rPr>
                  <w:rStyle w:val="InternetLink"/>
                  <w:rFonts w:ascii="Times New Roman;Times;serif" w:hAnsi="Times New Roman;Times;serif"/>
                  <w:b w:val="false"/>
                  <w:i w:val="false"/>
                  <w:caps w:val="false"/>
                  <w:smallCaps w:val="false"/>
                  <w:sz w:val="20"/>
                </w:rPr>
                <w:t>Other Information</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811" w:type="dxa"/>
            <w:tcBorders/>
            <w:shd w:fill="CCEEFF" w:val="clear"/>
            <w:vAlign w:val="center"/>
          </w:tcPr>
          <w:p>
            <w:pPr>
              <w:pStyle w:val="TableContents"/>
              <w:spacing w:before="0" w:after="0"/>
              <w:ind w:left="0" w:right="0" w:hanging="0"/>
              <w:rPr/>
            </w:pPr>
            <w:hyperlink w:anchor="Item6Exhibits_580240">
              <w:r>
                <w:rPr>
                  <w:rStyle w:val="InternetLink"/>
                  <w:rFonts w:ascii="Times New Roman;Times;serif" w:hAnsi="Times New Roman;Times;serif"/>
                  <w:b w:val="false"/>
                  <w:i w:val="false"/>
                  <w:caps w:val="false"/>
                  <w:smallCaps w:val="false"/>
                  <w:sz w:val="20"/>
                </w:rPr>
                <w:t>Item 6.</w:t>
              </w:r>
            </w:hyperlink>
          </w:p>
        </w:tc>
        <w:tc>
          <w:tcPr>
            <w:tcW w:w="7366" w:type="dxa"/>
            <w:tcBorders/>
            <w:shd w:fill="CCEEFF" w:val="clear"/>
            <w:vAlign w:val="center"/>
          </w:tcPr>
          <w:p>
            <w:pPr>
              <w:pStyle w:val="TableContents"/>
              <w:spacing w:before="0" w:after="0"/>
              <w:ind w:left="0" w:right="0" w:hanging="0"/>
              <w:rPr/>
            </w:pPr>
            <w:hyperlink w:anchor="Item6Exhibits_580240">
              <w:r>
                <w:rPr>
                  <w:rStyle w:val="InternetLink"/>
                  <w:rFonts w:ascii="Times New Roman;Times;serif" w:hAnsi="Times New Roman;Times;serif"/>
                  <w:b w:val="false"/>
                  <w:i w:val="false"/>
                  <w:caps w:val="false"/>
                  <w:smallCaps w:val="false"/>
                  <w:sz w:val="20"/>
                </w:rPr>
                <w:t>Exhibits</w:t>
              </w:r>
            </w:hyperlink>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8177" w:type="dxa"/>
            <w:gridSpan w:val="2"/>
            <w:tcBorders/>
            <w:shd w:fill="auto" w:val="clear"/>
            <w:vAlign w:val="center"/>
          </w:tcPr>
          <w:p>
            <w:pPr>
              <w:pStyle w:val="TableContents"/>
              <w:spacing w:before="0" w:after="0"/>
              <w:ind w:left="0" w:right="0" w:hanging="0"/>
              <w:rPr/>
            </w:pPr>
            <w:hyperlink w:anchor="SIGNATURES_241896">
              <w:r>
                <w:rPr>
                  <w:rStyle w:val="InternetLink"/>
                  <w:rFonts w:ascii="Times New Roman;Times;serif" w:hAnsi="Times New Roman;Times;serif"/>
                  <w:b w:val="false"/>
                  <w:i w:val="false"/>
                  <w:caps w:val="false"/>
                  <w:smallCaps w:val="false"/>
                  <w:sz w:val="20"/>
                </w:rPr>
                <w:t>SIGNATURES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Forward-Looking Statements and Market Data</w:t>
      </w:r>
    </w:p>
    <w:p>
      <w:pPr>
        <w:pStyle w:val="TextBody"/>
        <w:spacing w:before="0" w:after="240"/>
        <w:ind w:left="0" w:right="0" w:firstLine="547"/>
        <w:rPr>
          <w:rFonts w:ascii="Times New Roman;Times;serif" w:hAnsi="Times New Roman;Times;serif"/>
          <w:sz w:val="20"/>
        </w:rPr>
      </w:pPr>
      <w:r>
        <w:rPr>
          <w:rFonts w:ascii="Times New Roman;Times;serif" w:hAnsi="Times New Roman;Times;serif"/>
          <w:sz w:val="20"/>
        </w:rPr>
        <w:t>This Quarterly Report on Form 10-Q contains forward-looking statements that are based on management’s beliefs and assumptions and on information currently available to management. All statements other than statements of historical facts contained in this report are forward-looking statements. In some cases, you can identify forward-looking statements by the following words: “may,” “will,” “might,” “could,” “would,” “should,” “expect,” “intend,” “plan,” “anticipate,” “believe,” “estimate,” “predict,” “project,” “aim,” “potential,” “continue,” “ongoing,” “goal,” “forecast,” “guidance,” “outlook,” or the negative of these terms or other similar expressions, although not all forward-looking statements contain these words.</w:t>
      </w:r>
    </w:p>
    <w:p>
      <w:pPr>
        <w:pStyle w:val="TextBody"/>
        <w:spacing w:before="0" w:after="0"/>
        <w:ind w:left="0" w:right="0" w:firstLine="540"/>
        <w:rPr>
          <w:rFonts w:ascii="Times New Roman;Times;serif" w:hAnsi="Times New Roman;Times;serif"/>
          <w:sz w:val="20"/>
        </w:rPr>
      </w:pPr>
      <w:r>
        <w:rPr>
          <w:rFonts w:ascii="Times New Roman;Times;serif" w:hAnsi="Times New Roman;Times;serif"/>
          <w:sz w:val="20"/>
        </w:rPr>
        <w:t>These statements involve risks, uncertainties and other factors that may cause actual results, levels of activity, performance or achievements to be materially different from the information expressed or implied by these forward-looking statements. Although we believe that we have a reasonable basis for each forward-looking statement contained in this report, we caution you that these statements are based on a combination of facts and factors currently known by us and our projections of the future, about which we cannot be certain. Forward-looking statements in this Quarterly Report on Form 10-Q include, but are not limited to, statements about:</w:t>
      </w:r>
    </w:p>
    <w:p>
      <w:pPr>
        <w:pStyle w:val="TextBody"/>
        <w:spacing w:before="0" w:after="0"/>
        <w:ind w:left="0" w:right="0" w:hanging="0"/>
        <w:rPr/>
      </w:pPr>
      <w:r>
        <w:rPr/>
        <w:t>​</w:t>
      </w:r>
    </w:p>
    <w:tbl>
      <w:tblPr>
        <w:tblW w:w="5496" w:type="dxa"/>
        <w:jc w:val="left"/>
        <w:tblInd w:w="0" w:type="dxa"/>
        <w:tblCellMar>
          <w:top w:w="28" w:type="dxa"/>
          <w:left w:w="28" w:type="dxa"/>
          <w:bottom w:w="28" w:type="dxa"/>
          <w:right w:w="28" w:type="dxa"/>
        </w:tblCellMar>
      </w:tblPr>
      <w:tblGrid>
        <w:gridCol w:w="124"/>
        <w:gridCol w:w="256"/>
        <w:gridCol w:w="51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1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cost, enrollment, and timing of our clinical trials;</w:t>
            </w:r>
          </w:p>
        </w:tc>
      </w:tr>
    </w:tbl>
    <w:tbl>
      <w:tblPr>
        <w:tblW w:w="5946" w:type="dxa"/>
        <w:jc w:val="left"/>
        <w:tblInd w:w="0" w:type="dxa"/>
        <w:tblCellMar>
          <w:top w:w="28" w:type="dxa"/>
          <w:left w:w="28" w:type="dxa"/>
          <w:bottom w:w="28" w:type="dxa"/>
          <w:right w:w="28" w:type="dxa"/>
        </w:tblCellMar>
      </w:tblPr>
      <w:tblGrid>
        <w:gridCol w:w="124"/>
        <w:gridCol w:w="256"/>
        <w:gridCol w:w="55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5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cost and timing of our product development activities;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us or our third-party contract manufacturers to continue to manufacture tumor infiltrating lymphocytes, or TIL, in accordance with our selected process;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design, construct and staff our own manufacturing facility on a timely basis and within the estimated expenses;</w:t>
            </w:r>
          </w:p>
        </w:tc>
      </w:tr>
    </w:tbl>
    <w:tbl>
      <w:tblPr>
        <w:tblW w:w="6111" w:type="dxa"/>
        <w:jc w:val="left"/>
        <w:tblInd w:w="0" w:type="dxa"/>
        <w:tblCellMar>
          <w:top w:w="28" w:type="dxa"/>
          <w:left w:w="28" w:type="dxa"/>
          <w:bottom w:w="28" w:type="dxa"/>
          <w:right w:w="28" w:type="dxa"/>
        </w:tblCellMar>
      </w:tblPr>
      <w:tblGrid>
        <w:gridCol w:w="124"/>
        <w:gridCol w:w="256"/>
        <w:gridCol w:w="57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7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competing therapies that are or may become available;</w:t>
            </w:r>
          </w:p>
        </w:tc>
      </w:tr>
    </w:tbl>
    <w:tbl>
      <w:tblPr>
        <w:tblW w:w="7626" w:type="dxa"/>
        <w:jc w:val="left"/>
        <w:tblInd w:w="0" w:type="dxa"/>
        <w:tblCellMar>
          <w:top w:w="28" w:type="dxa"/>
          <w:left w:w="28" w:type="dxa"/>
          <w:bottom w:w="28" w:type="dxa"/>
          <w:right w:w="28" w:type="dxa"/>
        </w:tblCellMar>
      </w:tblPr>
      <w:tblGrid>
        <w:gridCol w:w="124"/>
        <w:gridCol w:w="256"/>
        <w:gridCol w:w="72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2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developments in the United States of America, or U.S., and foreign countries;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and our ability to obtain and maintain U.S. Food and Drug Administration, or the FDA, or other regulatory authority approval of, or other action with respect to, our product candidates;</w:t>
            </w:r>
          </w:p>
        </w:tc>
      </w:tr>
    </w:tbl>
    <w:tbl>
      <w:tblPr>
        <w:tblW w:w="6336" w:type="dxa"/>
        <w:jc w:val="left"/>
        <w:tblInd w:w="0" w:type="dxa"/>
        <w:tblCellMar>
          <w:top w:w="28" w:type="dxa"/>
          <w:left w:w="28" w:type="dxa"/>
          <w:bottom w:w="28" w:type="dxa"/>
          <w:right w:w="28" w:type="dxa"/>
        </w:tblCellMar>
      </w:tblPr>
      <w:tblGrid>
        <w:gridCol w:w="124"/>
        <w:gridCol w:w="256"/>
        <w:gridCol w:w="59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9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key scientific or management personnel;</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accuracy of our estimates regarding expenses, future revenue, capital requirements and needs for additional financing;</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funding for our operations, including funding necessary to complete further development and commercialization of our product candidates;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and willingness of our third-party research institution collaborators to continue research and development activities relating to our product candidates;</w:t>
            </w:r>
          </w:p>
        </w:tc>
      </w:tr>
    </w:tbl>
    <w:tbl>
      <w:tblPr>
        <w:tblW w:w="7071" w:type="dxa"/>
        <w:jc w:val="left"/>
        <w:tblInd w:w="0" w:type="dxa"/>
        <w:tblCellMar>
          <w:top w:w="28" w:type="dxa"/>
          <w:left w:w="28" w:type="dxa"/>
          <w:bottom w:w="28" w:type="dxa"/>
          <w:right w:w="28" w:type="dxa"/>
        </w:tblCellMar>
      </w:tblPr>
      <w:tblGrid>
        <w:gridCol w:w="124"/>
        <w:gridCol w:w="256"/>
        <w:gridCol w:w="66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6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of our other research and development and strategic collaborations;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our ability to obtain and maintain intellectual property protection for our manufacturing methods and product candidates;</w:t>
            </w:r>
          </w:p>
        </w:tc>
      </w:tr>
    </w:tbl>
    <w:tbl>
      <w:tblPr>
        <w:tblW w:w="6486" w:type="dxa"/>
        <w:jc w:val="left"/>
        <w:tblInd w:w="0" w:type="dxa"/>
        <w:tblCellMar>
          <w:top w:w="28" w:type="dxa"/>
          <w:left w:w="28" w:type="dxa"/>
          <w:bottom w:w="28" w:type="dxa"/>
          <w:right w:w="28" w:type="dxa"/>
        </w:tblCellMar>
      </w:tblPr>
      <w:tblGrid>
        <w:gridCol w:w="124"/>
        <w:gridCol w:w="256"/>
        <w:gridCol w:w="61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1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to research, develop and commercialize our product candidates;</w:t>
            </w:r>
          </w:p>
        </w:tc>
      </w:tr>
    </w:tbl>
    <w:tbl>
      <w:tblPr>
        <w:tblW w:w="9426" w:type="dxa"/>
        <w:jc w:val="left"/>
        <w:tblInd w:w="0" w:type="dxa"/>
        <w:tblCellMar>
          <w:top w:w="28" w:type="dxa"/>
          <w:left w:w="28" w:type="dxa"/>
          <w:bottom w:w="28" w:type="dxa"/>
          <w:right w:w="28" w:type="dxa"/>
        </w:tblCellMar>
      </w:tblPr>
      <w:tblGrid>
        <w:gridCol w:w="124"/>
        <w:gridCol w:w="256"/>
        <w:gridCol w:w="90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0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and growth potential of the markets for our product candidates, and our ability to serve those markets;</w:t>
            </w:r>
          </w:p>
        </w:tc>
      </w:tr>
    </w:tbl>
    <w:tbl>
      <w:tblPr>
        <w:tblW w:w="9171" w:type="dxa"/>
        <w:jc w:val="left"/>
        <w:tblInd w:w="0" w:type="dxa"/>
        <w:tblCellMar>
          <w:top w:w="28" w:type="dxa"/>
          <w:left w:w="28" w:type="dxa"/>
          <w:bottom w:w="28" w:type="dxa"/>
          <w:right w:w="28" w:type="dxa"/>
        </w:tblCellMar>
      </w:tblPr>
      <w:tblGrid>
        <w:gridCol w:w="124"/>
        <w:gridCol w:w="256"/>
        <w:gridCol w:w="87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7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contract with third-party suppliers and manufacturers and their ability to perform adequately;</w:t>
            </w:r>
          </w:p>
        </w:tc>
      </w:tr>
    </w:tbl>
    <w:tbl>
      <w:tblPr>
        <w:tblW w:w="5256" w:type="dxa"/>
        <w:jc w:val="left"/>
        <w:tblInd w:w="0" w:type="dxa"/>
        <w:tblCellMar>
          <w:top w:w="28" w:type="dxa"/>
          <w:left w:w="28" w:type="dxa"/>
          <w:bottom w:w="28" w:type="dxa"/>
          <w:right w:w="28" w:type="dxa"/>
        </w:tblCellMar>
      </w:tblPr>
      <w:tblGrid>
        <w:gridCol w:w="124"/>
        <w:gridCol w:w="256"/>
        <w:gridCol w:w="48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8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the trading price of our common stock; and</w:t>
            </w:r>
          </w:p>
        </w:tc>
      </w:tr>
    </w:tbl>
    <w:tbl>
      <w:tblPr>
        <w:tblW w:w="3381" w:type="dxa"/>
        <w:jc w:val="left"/>
        <w:tblInd w:w="0" w:type="dxa"/>
        <w:tblCellMar>
          <w:top w:w="28" w:type="dxa"/>
          <w:left w:w="28" w:type="dxa"/>
          <w:bottom w:w="28" w:type="dxa"/>
          <w:right w:w="28" w:type="dxa"/>
        </w:tblCellMar>
      </w:tblPr>
      <w:tblGrid>
        <w:gridCol w:w="124"/>
        <w:gridCol w:w="256"/>
        <w:gridCol w:w="30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0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use of cash and other resources.</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540"/>
        <w:rPr>
          <w:rFonts w:ascii="Times New Roman;Times;serif" w:hAnsi="Times New Roman;Times;serif"/>
          <w:sz w:val="20"/>
        </w:rPr>
      </w:pPr>
      <w:r>
        <w:rPr>
          <w:rFonts w:ascii="Times New Roman;Times;serif" w:hAnsi="Times New Roman;Times;serif"/>
          <w:sz w:val="20"/>
        </w:rPr>
        <w:t>Actual results may differ from those set forth in this Quarterly Report on Form 10-Q due to the risks and uncertainties inherent in our business, including, without limitation: the FDA may not agree with our interpretation of the results of its clinical trials; later developments with the FDA that may be inconsistent with already completed FDA meetings; the preliminary clinical results, including efficacy and safety results, from ongoing Phase 2 and Phase 3 trials may not be reflected in the final analyses of these trials including new cohorts within these trials; the results obtained in our ongoing clinical trials, such as the studies and trials referred to in this Quarterly Report on Form 10-Q, may not be indicative of results obtained in future clinical trials or supportive of product approval; regulatory authorities may potentially delay the timing of FDA or other regulatory authority approval of, or other action with respect to, our product candidates, specifically, our description of FDA interactions are subject to FDA’s interpretation, as well as FDA’s authority to request new or additional information; we may not be able to obtain or maintain FDA or other regulatory authority approval of its product candidates; our ability to address FDA or other regulatory authority requirements relating to our clinical programs and registrational plans, such requirements including, but not limited to, clinical and safety requirements as well as manufacturing and control requirements; risks related to our accelerated FDA review designations; our ability to obtain and maintain intellectual property rights relating to our product pipeline; and the acceptance by the market of our product candidates and their potential reimbursement by payors, if approved.</w:t>
      </w:r>
    </w:p>
    <w:p>
      <w:pPr>
        <w:pStyle w:val="TextBody"/>
        <w:spacing w:before="0" w:after="0"/>
        <w:ind w:left="0" w:right="0" w:hanging="0"/>
        <w:rPr/>
      </w:pPr>
      <w:r>
        <w:rPr/>
        <w:t>​</w:t>
      </w:r>
    </w:p>
    <w:p>
      <w:pPr>
        <w:pStyle w:val="TextBody"/>
        <w:spacing w:before="0" w:after="0"/>
        <w:ind w:left="0" w:right="0" w:firstLine="540"/>
        <w:rPr>
          <w:rFonts w:ascii="Times New Roman;Times;serif" w:hAnsi="Times New Roman;Times;serif"/>
          <w:sz w:val="20"/>
        </w:rPr>
      </w:pPr>
      <w:r>
        <w:rPr>
          <w:rFonts w:ascii="Times New Roman;Times;serif" w:hAnsi="Times New Roman;Times;serif"/>
          <w:sz w:val="20"/>
        </w:rPr>
        <w:t>We caution you that the risks, uncertainties and other factors referenced above may not contain all the risks, uncertainties and other factors that are important to you. In addition, we cannot guarantee future results, level of activity, performance or achievements. Any forward-looking statement made by us in this Quarterly Report on Form 10-Q speaks only as of the date of this Quarterly Report on Form 10-Q or as of the date on which it is made. Except as required by law, we undertake no obligation to publicly update any forward-looking statements, whether because of new information, future events or otherwise, after the date of this Quarterly Report on Form 10-Q.</w:t>
      </w:r>
    </w:p>
    <w:p>
      <w:pPr>
        <w:pStyle w:val="TextBody"/>
        <w:spacing w:before="0" w:after="0"/>
        <w:ind w:left="0" w:right="0" w:hanging="0"/>
        <w:rPr/>
      </w:pPr>
      <w:r>
        <w:rPr/>
        <w:t>​</w:t>
      </w:r>
    </w:p>
    <w:p>
      <w:pPr>
        <w:pStyle w:val="TextBody"/>
        <w:spacing w:before="0" w:after="0"/>
        <w:ind w:left="0" w:right="0" w:firstLine="540"/>
        <w:rPr>
          <w:rFonts w:ascii="Times New Roman;Times;serif" w:hAnsi="Times New Roman;Times;serif"/>
          <w:sz w:val="20"/>
        </w:rPr>
      </w:pPr>
      <w:r>
        <w:rPr>
          <w:rFonts w:ascii="Times New Roman;Times;serif" w:hAnsi="Times New Roman;Times;serif"/>
          <w:sz w:val="20"/>
        </w:rPr>
        <w:t>Unless the context requires otherwise, in this report the terms “Iovance,” the “Company,” “we,” “us” and “our” refer to Iovance Biotherapeutics, Inc.</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60"/>
        <w:ind w:left="0" w:right="0" w:hanging="0"/>
        <w:jc w:val="center"/>
        <w:rPr>
          <w:rFonts w:ascii="Times New Roman;Times;serif" w:hAnsi="Times New Roman;Times;serif"/>
          <w:b/>
          <w:sz w:val="20"/>
        </w:rPr>
      </w:pPr>
      <w:bookmarkStart w:id="25" w:name="PARTIFINANCIALINFORMATION_717357"/>
      <w:bookmarkStart w:id="26" w:name="_de1ff366_2db3_468c_85e4_e84cf99aed6f"/>
      <w:bookmarkEnd w:id="25"/>
      <w:bookmarkEnd w:id="26"/>
      <w:r>
        <w:rPr>
          <w:rFonts w:ascii="Times New Roman;Times;serif" w:hAnsi="Times New Roman;Times;serif"/>
          <w:b/>
          <w:sz w:val="20"/>
        </w:rPr>
        <w:t>PART I. FINANCIAL INFORMATION</w:t>
      </w:r>
    </w:p>
    <w:p>
      <w:pPr>
        <w:pStyle w:val="Normal"/>
        <w:spacing w:before="0" w:after="0"/>
        <w:rPr>
          <w:sz w:val="4"/>
          <w:szCs w:val="4"/>
        </w:rPr>
      </w:pPr>
      <w:r>
        <w:rPr>
          <w:sz w:val="4"/>
          <w:szCs w:val="4"/>
        </w:rPr>
      </w:r>
      <w:bookmarkStart w:id="27" w:name="Item1CondensedConsolidatedFinancialState"/>
      <w:bookmarkStart w:id="28" w:name="Item1CondensedConsolidatedFinancialState"/>
      <w:bookmarkEnd w:id="28"/>
    </w:p>
    <w:tbl>
      <w:tblPr>
        <w:tblW w:w="5777" w:type="dxa"/>
        <w:jc w:val="left"/>
        <w:tblInd w:w="0" w:type="dxa"/>
        <w:tblCellMar>
          <w:top w:w="0" w:type="dxa"/>
          <w:left w:w="0" w:type="dxa"/>
          <w:bottom w:w="0" w:type="dxa"/>
          <w:right w:w="0" w:type="dxa"/>
        </w:tblCellMar>
      </w:tblPr>
      <w:tblGrid>
        <w:gridCol w:w="706"/>
        <w:gridCol w:w="5071"/>
      </w:tblGrid>
      <w:tr>
        <w:trPr/>
        <w:tc>
          <w:tcPr>
            <w:tcW w:w="706" w:type="dxa"/>
            <w:tcBorders/>
            <w:shd w:fill="auto" w:val="clear"/>
            <w:vAlign w:val="center"/>
          </w:tcPr>
          <w:p>
            <w:pPr>
              <w:pStyle w:val="TableContents"/>
              <w:spacing w:before="0" w:after="0"/>
              <w:rPr>
                <w:rFonts w:ascii="Times New Roman;Times;serif" w:hAnsi="Times New Roman;Times;serif"/>
                <w:b/>
                <w:sz w:val="20"/>
              </w:rPr>
            </w:pPr>
            <w:r>
              <w:rPr>
                <w:rFonts w:ascii="Times New Roman;Times;serif" w:hAnsi="Times New Roman;Times;serif"/>
                <w:b/>
                <w:sz w:val="20"/>
              </w:rPr>
              <w:t>Item 1.</w:t>
            </w:r>
          </w:p>
        </w:tc>
        <w:tc>
          <w:tcPr>
            <w:tcW w:w="5071"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b/>
                <w:sz w:val="20"/>
              </w:rPr>
              <w:t>Condensed Consolidated</w:t>
            </w:r>
            <w:r>
              <w:rPr>
                <w:rFonts w:ascii="Times New Roman;Times;serif" w:hAnsi="Times New Roman;Times;serif"/>
                <w:sz w:val="20"/>
              </w:rPr>
              <w:t xml:space="preserve"> </w:t>
            </w:r>
            <w:r>
              <w:rPr>
                <w:rFonts w:ascii="Times New Roman;Times;serif" w:hAnsi="Times New Roman;Times;serif"/>
                <w:b/>
                <w:sz w:val="20"/>
              </w:rPr>
              <w:t>Financial Statements</w:t>
            </w:r>
            <w:r>
              <w:rPr>
                <w:rFonts w:ascii="Times New Roman;Times;serif" w:hAnsi="Times New Roman;Times;serif"/>
                <w:sz w:val="20"/>
              </w:rPr>
              <w:t xml:space="preserve"> </w:t>
            </w:r>
            <w:r>
              <w:rPr>
                <w:rFonts w:ascii="Times New Roman;Times;serif" w:hAnsi="Times New Roman;Times;serif"/>
                <w:b/>
                <w:sz w:val="20"/>
              </w:rPr>
              <w:t>(Unaudited)</w:t>
            </w:r>
          </w:p>
        </w:tc>
      </w:tr>
    </w:tbl>
    <w:p>
      <w:pPr>
        <w:pStyle w:val="TextBody"/>
        <w:spacing w:before="0" w:after="20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IOVANCE BIOTHERAPEUTICS,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share and per share information)</w:t>
      </w:r>
    </w:p>
    <w:p>
      <w:pPr>
        <w:pStyle w:val="TextBody"/>
        <w:spacing w:before="0" w:after="200"/>
        <w:ind w:left="0" w:right="0" w:hanging="0"/>
        <w:jc w:val="center"/>
        <w:rPr/>
      </w:pPr>
      <w:r>
        <w:rPr/>
        <w:t>​</w:t>
      </w:r>
    </w:p>
    <w:p>
      <w:pPr>
        <w:pStyle w:val="Normal"/>
        <w:spacing w:before="0" w:after="0"/>
        <w:rPr>
          <w:sz w:val="4"/>
          <w:szCs w:val="4"/>
        </w:rPr>
      </w:pPr>
      <w:r>
        <w:rPr>
          <w:sz w:val="4"/>
          <w:szCs w:val="4"/>
        </w:rPr>
      </w:r>
      <w:bookmarkStart w:id="29" w:name="Tc_kq-0RlgXL0Smx1R-SBXFvA_41_5"/>
      <w:bookmarkStart w:id="30" w:name="Tc_qPW2nEraxEqD2ZVdPwUiYg_41_2"/>
      <w:bookmarkStart w:id="31" w:name="Tc_DGTlfY5W4UC4RPouJQhOhA_41_0"/>
      <w:bookmarkStart w:id="32" w:name="Tc_dVlFkbJmpEeUKNGQx1KBMg_40_0"/>
      <w:bookmarkStart w:id="33" w:name="Tc_9FLUv0TW7EaQc1U7WA4-Sw_39_0"/>
      <w:bookmarkStart w:id="34" w:name="Tc_twUnSEY7n0m6KMOE8vLpZQ_38_0"/>
      <w:bookmarkStart w:id="35" w:name="Tc_DY6tR6eDBUWmuwqNPbFF7A_37_0"/>
      <w:bookmarkStart w:id="36" w:name="Tc_Cc0NRcNJQkGIrBBVm6uh2g_36_0"/>
      <w:bookmarkStart w:id="37" w:name="_9aff726d_310e_4a10_bacf_302e863a4ea1_3"/>
      <w:bookmarkStart w:id="38" w:name="_9aff726d_310e_4a10_bacf_302e863a4ea1_2"/>
      <w:bookmarkStart w:id="39" w:name="_9aff726d_310e_4a10_bacf_302e863a4ea1"/>
      <w:bookmarkStart w:id="40" w:name="Tc_NT4OXXcCL0eY58Ntp-Wz4Q_35_0"/>
      <w:bookmarkStart w:id="41" w:name="_032e502d_cfbc_4679_8bab_e085e2515768_3"/>
      <w:bookmarkStart w:id="42" w:name="_032e502d_cfbc_4679_8bab_e085e2515768_2"/>
      <w:bookmarkStart w:id="43" w:name="_032e502d_cfbc_4679_8bab_e085e2515768"/>
      <w:bookmarkStart w:id="44" w:name="Tc_evv6UKVimEeEtvQUjvLp3Q_34_0"/>
      <w:bookmarkStart w:id="45" w:name="Tc_HbjIea9FpEa7IBX_HGfJVQ_33_0"/>
      <w:bookmarkStart w:id="46" w:name="Tc_HJsyRrQjjUKI7T__Wrmz1g_31_0"/>
      <w:bookmarkStart w:id="47" w:name="Tc_mLJ_rvTqTkCWx8WY-MCnNA_29_0"/>
      <w:bookmarkStart w:id="48" w:name="Tc_s-9FXUhUD0CPjlZ_BEi4-Q_28_0"/>
      <w:bookmarkStart w:id="49" w:name="Tc_mkFYpIvIyUWnnRSuuPSnJQ_27_0"/>
      <w:bookmarkStart w:id="50" w:name="Tc_ZTa9i-VWvE6QcSA1UnN8Lg_26_0"/>
      <w:bookmarkStart w:id="51" w:name="Tc_NHgMUDlDqkK6q3gvemU96A_25_0"/>
      <w:bookmarkStart w:id="52" w:name="Tc_BonBOu3RQ0G_n_BY6eT4pA_23_0"/>
      <w:bookmarkStart w:id="53" w:name="Tc_IQVXzYOcOk2tRbUL0-Ce_Q_22_0"/>
      <w:bookmarkStart w:id="54" w:name="Tc_OHHaLdAn60yQwc7YuXTFNA_21_0"/>
      <w:bookmarkStart w:id="55" w:name="Tc_tMoQcorpuUSVRrdBuML-1g_20_5"/>
      <w:bookmarkStart w:id="56" w:name="Tc_zPm_ZUJnlEabPTiw3MBeBw_20_2"/>
      <w:bookmarkStart w:id="57" w:name="Tc_0TyQqDlNJEa18oX9RH6UHA_20_0"/>
      <w:bookmarkStart w:id="58" w:name="Tc_bMPz3gkfvkmYUx4_xSS4PQ_19_0"/>
      <w:bookmarkStart w:id="59" w:name="Tc_Dc5DxpwemEOPYDtp8DPAug_17_0"/>
      <w:bookmarkStart w:id="60" w:name="Tc_Qamu4NuQ0USP7VV6rqGd0g_15_5"/>
      <w:bookmarkStart w:id="61" w:name="Tc_S5NEBsZOAEO4Tmi7D-bIiw_15_2"/>
      <w:bookmarkStart w:id="62" w:name="Tc_5k__lms5SkaVrAmDhVyC3g_15_0"/>
      <w:bookmarkStart w:id="63" w:name="Tc_TLBZFHo6Bkmt9SiPL5hUgA_14_0"/>
      <w:bookmarkStart w:id="64" w:name="Tc_QYdphcSB70ig-qCs1C8HCw_13_0"/>
      <w:bookmarkStart w:id="65" w:name="Tc_b0xENNdoc0aMRqnwA34z8Q_12_0"/>
      <w:bookmarkStart w:id="66" w:name="Tc_qeanzzaKP0m63VJysv0bKg_11_0"/>
      <w:bookmarkStart w:id="67" w:name="Tc_B1weu7krxUKbDNMkpsZq8A_9_0"/>
      <w:bookmarkStart w:id="68" w:name="Tc_kHESmr_zykOEsYmCG2nNAw_8_0"/>
      <w:bookmarkStart w:id="69" w:name="Tc_2hcwG8ynj02UF6ldUZhpZg_7_0"/>
      <w:bookmarkStart w:id="70" w:name="Tc_qgoujZVk9USr-HEldDzcew_6_5"/>
      <w:bookmarkStart w:id="71" w:name="Tc_R89q2E07XUK5Zxq_asnCiw_6_2"/>
      <w:bookmarkStart w:id="72" w:name="Tc_pdme9bpENkaVgUo497SN-g_6_0"/>
      <w:bookmarkStart w:id="73" w:name="Tc_5r7r93o8p0umA8Jq1F0vDw_5_0"/>
      <w:bookmarkStart w:id="74" w:name="Tc_rcepIr4e4UyBcoK6HOIW3w_3_0"/>
      <w:bookmarkStart w:id="75" w:name="Tc_DquHLrdygUqTI1uRA0mVNA_2_5"/>
      <w:bookmarkStart w:id="76" w:name="Tc_ZfWNajAgl02MmVhGPBGpqg_2_2"/>
      <w:bookmarkStart w:id="77" w:name="Tc_zkTMniqGVUCxTMlUTF2YDg_1_5"/>
      <w:bookmarkStart w:id="78" w:name="Tc_CEEkHQvR50Kw92SP9r1hXA_1_2"/>
      <w:bookmarkStart w:id="79" w:name="_29170042_afa2_41d3_9361_9f1458ef445a"/>
      <w:bookmarkStart w:id="80" w:name="Tc_kq-0RlgXL0Smx1R-SBXFvA_41_5"/>
      <w:bookmarkStart w:id="81" w:name="Tc_qPW2nEraxEqD2ZVdPwUiYg_41_2"/>
      <w:bookmarkStart w:id="82" w:name="Tc_DGTlfY5W4UC4RPouJQhOhA_41_0"/>
      <w:bookmarkStart w:id="83" w:name="Tc_dVlFkbJmpEeUKNGQx1KBMg_40_0"/>
      <w:bookmarkStart w:id="84" w:name="Tc_9FLUv0TW7EaQc1U7WA4-Sw_39_0"/>
      <w:bookmarkStart w:id="85" w:name="Tc_twUnSEY7n0m6KMOE8vLpZQ_38_0"/>
      <w:bookmarkStart w:id="86" w:name="Tc_DY6tR6eDBUWmuwqNPbFF7A_37_0"/>
      <w:bookmarkStart w:id="87" w:name="Tc_Cc0NRcNJQkGIrBBVm6uh2g_36_0"/>
      <w:bookmarkStart w:id="88" w:name="_9aff726d_310e_4a10_bacf_302e863a4ea1_3"/>
      <w:bookmarkStart w:id="89" w:name="_9aff726d_310e_4a10_bacf_302e863a4ea1_2"/>
      <w:bookmarkStart w:id="90" w:name="_9aff726d_310e_4a10_bacf_302e863a4ea1"/>
      <w:bookmarkStart w:id="91" w:name="Tc_NT4OXXcCL0eY58Ntp-Wz4Q_35_0"/>
      <w:bookmarkStart w:id="92" w:name="_032e502d_cfbc_4679_8bab_e085e2515768_3"/>
      <w:bookmarkStart w:id="93" w:name="_032e502d_cfbc_4679_8bab_e085e2515768_2"/>
      <w:bookmarkStart w:id="94" w:name="_032e502d_cfbc_4679_8bab_e085e2515768"/>
      <w:bookmarkStart w:id="95" w:name="Tc_evv6UKVimEeEtvQUjvLp3Q_34_0"/>
      <w:bookmarkStart w:id="96" w:name="Tc_HbjIea9FpEa7IBX_HGfJVQ_33_0"/>
      <w:bookmarkStart w:id="97" w:name="Tc_HJsyRrQjjUKI7T__Wrmz1g_31_0"/>
      <w:bookmarkStart w:id="98" w:name="Tc_mLJ_rvTqTkCWx8WY-MCnNA_29_0"/>
      <w:bookmarkStart w:id="99" w:name="Tc_s-9FXUhUD0CPjlZ_BEi4-Q_28_0"/>
      <w:bookmarkStart w:id="100" w:name="Tc_mkFYpIvIyUWnnRSuuPSnJQ_27_0"/>
      <w:bookmarkStart w:id="101" w:name="Tc_ZTa9i-VWvE6QcSA1UnN8Lg_26_0"/>
      <w:bookmarkStart w:id="102" w:name="Tc_NHgMUDlDqkK6q3gvemU96A_25_0"/>
      <w:bookmarkStart w:id="103" w:name="Tc_BonBOu3RQ0G_n_BY6eT4pA_23_0"/>
      <w:bookmarkStart w:id="104" w:name="Tc_IQVXzYOcOk2tRbUL0-Ce_Q_22_0"/>
      <w:bookmarkStart w:id="105" w:name="Tc_OHHaLdAn60yQwc7YuXTFNA_21_0"/>
      <w:bookmarkStart w:id="106" w:name="Tc_tMoQcorpuUSVRrdBuML-1g_20_5"/>
      <w:bookmarkStart w:id="107" w:name="Tc_zPm_ZUJnlEabPTiw3MBeBw_20_2"/>
      <w:bookmarkStart w:id="108" w:name="Tc_0TyQqDlNJEa18oX9RH6UHA_20_0"/>
      <w:bookmarkStart w:id="109" w:name="Tc_bMPz3gkfvkmYUx4_xSS4PQ_19_0"/>
      <w:bookmarkStart w:id="110" w:name="Tc_Dc5DxpwemEOPYDtp8DPAug_17_0"/>
      <w:bookmarkStart w:id="111" w:name="Tc_Qamu4NuQ0USP7VV6rqGd0g_15_5"/>
      <w:bookmarkStart w:id="112" w:name="Tc_S5NEBsZOAEO4Tmi7D-bIiw_15_2"/>
      <w:bookmarkStart w:id="113" w:name="Tc_5k__lms5SkaVrAmDhVyC3g_15_0"/>
      <w:bookmarkStart w:id="114" w:name="Tc_TLBZFHo6Bkmt9SiPL5hUgA_14_0"/>
      <w:bookmarkStart w:id="115" w:name="Tc_QYdphcSB70ig-qCs1C8HCw_13_0"/>
      <w:bookmarkStart w:id="116" w:name="Tc_b0xENNdoc0aMRqnwA34z8Q_12_0"/>
      <w:bookmarkStart w:id="117" w:name="Tc_qeanzzaKP0m63VJysv0bKg_11_0"/>
      <w:bookmarkStart w:id="118" w:name="Tc_B1weu7krxUKbDNMkpsZq8A_9_0"/>
      <w:bookmarkStart w:id="119" w:name="Tc_kHESmr_zykOEsYmCG2nNAw_8_0"/>
      <w:bookmarkStart w:id="120" w:name="Tc_2hcwG8ynj02UF6ldUZhpZg_7_0"/>
      <w:bookmarkStart w:id="121" w:name="Tc_qgoujZVk9USr-HEldDzcew_6_5"/>
      <w:bookmarkStart w:id="122" w:name="Tc_R89q2E07XUK5Zxq_asnCiw_6_2"/>
      <w:bookmarkStart w:id="123" w:name="Tc_pdme9bpENkaVgUo497SN-g_6_0"/>
      <w:bookmarkStart w:id="124" w:name="Tc_5r7r93o8p0umA8Jq1F0vDw_5_0"/>
      <w:bookmarkStart w:id="125" w:name="Tc_rcepIr4e4UyBcoK6HOIW3w_3_0"/>
      <w:bookmarkStart w:id="126" w:name="Tc_DquHLrdygUqTI1uRA0mVNA_2_5"/>
      <w:bookmarkStart w:id="127" w:name="Tc_ZfWNajAgl02MmVhGPBGpqg_2_2"/>
      <w:bookmarkStart w:id="128" w:name="Tc_zkTMniqGVUCxTMlUTF2YDg_1_5"/>
      <w:bookmarkStart w:id="129" w:name="Tc_CEEkHQvR50Kw92SP9r1hXA_1_2"/>
      <w:bookmarkStart w:id="130" w:name="_29170042_afa2_41d3_9361_9f1458ef445a"/>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p>
    <w:tbl>
      <w:tblPr>
        <w:tblW w:w="10205" w:type="dxa"/>
        <w:jc w:val="left"/>
        <w:tblInd w:w="0" w:type="dxa"/>
        <w:tblCellMar>
          <w:top w:w="0" w:type="dxa"/>
          <w:left w:w="0" w:type="dxa"/>
          <w:bottom w:w="0" w:type="dxa"/>
          <w:right w:w="0" w:type="dxa"/>
        </w:tblCellMar>
      </w:tblPr>
      <w:tblGrid>
        <w:gridCol w:w="7262"/>
        <w:gridCol w:w="326"/>
        <w:gridCol w:w="196"/>
        <w:gridCol w:w="913"/>
        <w:gridCol w:w="326"/>
        <w:gridCol w:w="199"/>
        <w:gridCol w:w="983"/>
      </w:tblGrid>
      <w:tr>
        <w:trPr/>
        <w:tc>
          <w:tcPr>
            <w:tcW w:w="726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4611370" cy="175260"/>
                      <wp:effectExtent l="0" t="0" r="0" b="0"/>
                      <wp:wrapNone/>
                      <wp:docPr id="1" name="Frame1"/>
                      <a:graphic xmlns:a="http://schemas.openxmlformats.org/drawingml/2006/main">
                        <a:graphicData uri="http://schemas.microsoft.com/office/word/2010/wordprocessingShape">
                          <wps:wsp>
                            <wps:cNvSpPr txBox="1"/>
                            <wps:spPr>
                              <a:xfrm>
                                <a:off x="0" y="0"/>
                                <a:ext cx="46113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24460" cy="175260"/>
                      <wp:effectExtent l="0" t="0" r="0" b="0"/>
                      <wp:wrapNone/>
                      <wp:docPr id="3" name="Frame3"/>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579755" cy="175260"/>
                      <wp:effectExtent l="0" t="0" r="0" b="0"/>
                      <wp:wrapNone/>
                      <wp:docPr id="4" name="Frame4"/>
                      <a:graphic xmlns:a="http://schemas.openxmlformats.org/drawingml/2006/main">
                        <a:graphicData uri="http://schemas.microsoft.com/office/word/2010/wordprocessingShape">
                          <wps:wsp>
                            <wps:cNvSpPr txBox="1"/>
                            <wps:spPr>
                              <a:xfrm>
                                <a:off x="0" y="0"/>
                                <a:ext cx="5797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26365" cy="175260"/>
                      <wp:effectExtent l="0" t="0" r="0" b="0"/>
                      <wp:wrapNone/>
                      <wp:docPr id="6" name="Frame6"/>
                      <a:graphic xmlns:a="http://schemas.openxmlformats.org/drawingml/2006/main">
                        <a:graphicData uri="http://schemas.microsoft.com/office/word/2010/wordprocessingShape">
                          <wps:wsp>
                            <wps:cNvSpPr txBox="1"/>
                            <wps:spPr>
                              <a:xfrm>
                                <a:off x="0" y="0"/>
                                <a:ext cx="1263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8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24205" cy="175260"/>
                      <wp:effectExtent l="0" t="0" r="0" b="0"/>
                      <wp:wrapNone/>
                      <wp:docPr id="7" name="Frame7"/>
                      <a:graphic xmlns:a="http://schemas.openxmlformats.org/drawingml/2006/main">
                        <a:graphicData uri="http://schemas.microsoft.com/office/word/2010/wordprocessingShape">
                          <wps:wsp>
                            <wps:cNvSpPr txBox="1"/>
                            <wps:spPr>
                              <a:xfrm>
                                <a:off x="0" y="0"/>
                                <a:ext cx="6242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726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109"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31, </w:t>
            </w:r>
          </w:p>
        </w:tc>
        <w:tc>
          <w:tcPr>
            <w:tcW w:w="326" w:type="dxa"/>
            <w:tcBorders/>
            <w:shd w:fill="auto" w:val="clear"/>
            <w:vAlign w:val="center"/>
          </w:tcPr>
          <w:p>
            <w:pPr>
              <w:pStyle w:val="TableContents"/>
              <w:spacing w:before="0" w:after="1"/>
              <w:ind w:left="0" w:right="0" w:hanging="0"/>
              <w:rPr/>
            </w:pPr>
            <w:r>
              <w:rPr/>
              <w:t>​</w:t>
            </w:r>
          </w:p>
        </w:tc>
        <w:tc>
          <w:tcPr>
            <w:tcW w:w="118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31, </w:t>
            </w:r>
          </w:p>
        </w:tc>
      </w:tr>
      <w:tr>
        <w:trPr/>
        <w:tc>
          <w:tcPr>
            <w:tcW w:w="726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109"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shd w:fill="auto" w:val="clear"/>
            <w:vAlign w:val="center"/>
          </w:tcPr>
          <w:p>
            <w:pPr>
              <w:pStyle w:val="TableContents"/>
              <w:spacing w:before="0" w:after="1"/>
              <w:ind w:left="0" w:right="0" w:hanging="0"/>
              <w:rPr/>
            </w:pPr>
            <w:r>
              <w:rPr/>
              <w:t>    </w:t>
            </w:r>
          </w:p>
        </w:tc>
        <w:tc>
          <w:tcPr>
            <w:tcW w:w="118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8"/>
              </w:rPr>
            </w:pPr>
            <w:r>
              <w:rPr>
                <w:rFonts w:ascii="Times New Roman;Times;serif" w:hAnsi="Times New Roman;Times;serif"/>
                <w:b/>
                <w:sz w:val="18"/>
              </w:rPr>
              <w:t>2022</w:t>
            </w:r>
          </w:p>
        </w:tc>
      </w:tr>
      <w:tr>
        <w:trPr/>
        <w:tc>
          <w:tcPr>
            <w:tcW w:w="7262" w:type="dxa"/>
            <w:tcBorders/>
            <w:shd w:fill="CCEEFF" w:val="clear"/>
            <w:vAlign w:val="center"/>
          </w:tcPr>
          <w:p>
            <w:pPr>
              <w:pStyle w:val="TableContents"/>
              <w:spacing w:before="0" w:after="1"/>
              <w:ind w:left="0" w:right="0" w:hanging="0"/>
              <w:rPr>
                <w:rFonts w:ascii="Times New Roman;Times;serif" w:hAnsi="Times New Roman;Times;serif"/>
                <w:b/>
                <w:sz w:val="18"/>
              </w:rPr>
            </w:pPr>
            <w:r>
              <w:rPr>
                <w:rFonts w:ascii="Times New Roman;Times;serif" w:hAnsi="Times New Roman;Times;serif"/>
                <w:b/>
                <w:sz w:val="18"/>
              </w:rPr>
              <w:t>ASSETS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913"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99" w:type="dxa"/>
            <w:tcBorders/>
            <w:shd w:fill="CCEEFF" w:val="clear"/>
            <w:vAlign w:val="center"/>
          </w:tcPr>
          <w:p>
            <w:pPr>
              <w:pStyle w:val="TableContents"/>
              <w:spacing w:before="0" w:after="1"/>
              <w:ind w:left="0" w:right="0" w:hanging="0"/>
              <w:rPr/>
            </w:pPr>
            <w:r>
              <w:rPr/>
              <w:t>​</w:t>
            </w:r>
          </w:p>
        </w:tc>
        <w:tc>
          <w:tcPr>
            <w:tcW w:w="983" w:type="dxa"/>
            <w:tcBorders/>
            <w:shd w:fill="CCEEFF" w:val="clear"/>
            <w:vAlign w:val="center"/>
          </w:tcPr>
          <w:p>
            <w:pPr>
              <w:pStyle w:val="TableContents"/>
              <w:spacing w:before="0" w:after="1"/>
              <w:ind w:left="0" w:right="0" w:hanging="0"/>
              <w:jc w:val="right"/>
              <w:rPr/>
            </w:pPr>
            <w:r>
              <w:rPr/>
              <w:t>  </w:t>
            </w:r>
          </w:p>
        </w:tc>
      </w:tr>
      <w:tr>
        <w:trPr/>
        <w:tc>
          <w:tcPr>
            <w:tcW w:w="726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913"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199" w:type="dxa"/>
            <w:tcBorders/>
            <w:shd w:fill="auto" w:val="clear"/>
            <w:vAlign w:val="center"/>
          </w:tcPr>
          <w:p>
            <w:pPr>
              <w:pStyle w:val="TableContents"/>
              <w:spacing w:before="0" w:after="1"/>
              <w:ind w:left="0" w:right="0" w:hanging="0"/>
              <w:rPr/>
            </w:pPr>
            <w:r>
              <w:rPr/>
              <w:t>​</w:t>
            </w:r>
          </w:p>
        </w:tc>
        <w:tc>
          <w:tcPr>
            <w:tcW w:w="983" w:type="dxa"/>
            <w:tcBorders/>
            <w:shd w:fill="auto" w:val="clear"/>
            <w:vAlign w:val="center"/>
          </w:tcPr>
          <w:p>
            <w:pPr>
              <w:pStyle w:val="TableContents"/>
              <w:spacing w:before="0" w:after="1"/>
              <w:ind w:left="0" w:right="0" w:hanging="0"/>
              <w:jc w:val="right"/>
              <w:rPr/>
            </w:pPr>
            <w:r>
              <w:rPr/>
              <w:t>  </w:t>
            </w:r>
          </w:p>
        </w:tc>
      </w:tr>
      <w:tr>
        <w:trPr/>
        <w:tc>
          <w:tcPr>
            <w:tcW w:w="7262" w:type="dxa"/>
            <w:tcBorders/>
            <w:shd w:fill="CCEEFF" w:val="clear"/>
            <w:vAlign w:val="center"/>
          </w:tcPr>
          <w:p>
            <w:pPr>
              <w:pStyle w:val="TableContents"/>
              <w:spacing w:before="0" w:after="1"/>
              <w:ind w:left="0" w:right="0" w:hanging="0"/>
              <w:rPr>
                <w:rFonts w:ascii="Times New Roman;Times;serif" w:hAnsi="Times New Roman;Times;serif"/>
                <w:b/>
                <w:sz w:val="18"/>
              </w:rPr>
            </w:pPr>
            <w:r>
              <w:rPr>
                <w:rFonts w:ascii="Times New Roman;Times;serif" w:hAnsi="Times New Roman;Times;serif"/>
                <w:b/>
                <w:sz w:val="18"/>
              </w:rPr>
              <w:t>Current Assets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913" w:type="dxa"/>
            <w:tcBorders/>
            <w:shd w:fill="CCEEFF" w:val="clear"/>
            <w:vAlign w:val="center"/>
          </w:tcPr>
          <w:p>
            <w:pPr>
              <w:pStyle w:val="TableContents"/>
              <w:spacing w:before="0" w:after="1"/>
              <w:ind w:left="0" w:right="0" w:hanging="0"/>
              <w:jc w:val="right"/>
              <w:rPr>
                <w:color w:val="FF0000"/>
              </w:rPr>
            </w:pPr>
            <w:r>
              <w:rPr>
                <w:color w:val="FF0000"/>
              </w:rPr>
              <w:t>  </w:t>
            </w:r>
          </w:p>
        </w:tc>
        <w:tc>
          <w:tcPr>
            <w:tcW w:w="326" w:type="dxa"/>
            <w:tcBorders/>
            <w:shd w:fill="CCEEFF" w:val="clear"/>
            <w:vAlign w:val="center"/>
          </w:tcPr>
          <w:p>
            <w:pPr>
              <w:pStyle w:val="TableContents"/>
              <w:spacing w:before="0" w:after="1"/>
              <w:ind w:left="0" w:right="0" w:hanging="0"/>
              <w:rPr/>
            </w:pPr>
            <w:r>
              <w:rPr/>
              <w:t> </w:t>
            </w:r>
          </w:p>
        </w:tc>
        <w:tc>
          <w:tcPr>
            <w:tcW w:w="199" w:type="dxa"/>
            <w:tcBorders/>
            <w:shd w:fill="CCEEFF" w:val="clear"/>
            <w:vAlign w:val="center"/>
          </w:tcPr>
          <w:p>
            <w:pPr>
              <w:pStyle w:val="TableContents"/>
              <w:spacing w:before="0" w:after="1"/>
              <w:ind w:left="0" w:right="0" w:hanging="0"/>
              <w:rPr/>
            </w:pPr>
            <w:r>
              <w:rPr/>
              <w:t>​</w:t>
            </w:r>
          </w:p>
        </w:tc>
        <w:tc>
          <w:tcPr>
            <w:tcW w:w="983" w:type="dxa"/>
            <w:tcBorders/>
            <w:shd w:fill="CCEEFF" w:val="clear"/>
            <w:vAlign w:val="center"/>
          </w:tcPr>
          <w:p>
            <w:pPr>
              <w:pStyle w:val="TableContents"/>
              <w:spacing w:before="0" w:after="1"/>
              <w:ind w:left="0" w:right="0" w:hanging="0"/>
              <w:jc w:val="right"/>
              <w:rPr/>
            </w:pPr>
            <w:r>
              <w:rPr/>
              <w:t>  </w:t>
            </w:r>
          </w:p>
        </w:tc>
      </w:tr>
      <w:tr>
        <w:trPr/>
        <w:tc>
          <w:tcPr>
            <w:tcW w:w="7262"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Cash and cash equivalents</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913"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543,484</w:t>
            </w:r>
          </w:p>
        </w:tc>
        <w:tc>
          <w:tcPr>
            <w:tcW w:w="326" w:type="dxa"/>
            <w:tcBorders/>
            <w:shd w:fill="auto" w:val="clear"/>
            <w:vAlign w:val="center"/>
          </w:tcPr>
          <w:p>
            <w:pPr>
              <w:pStyle w:val="TableContents"/>
              <w:spacing w:before="0" w:after="1"/>
              <w:ind w:left="0" w:right="0" w:hanging="0"/>
              <w:rPr/>
            </w:pPr>
            <w:r>
              <w:rPr/>
              <w:t>​</w:t>
            </w:r>
          </w:p>
        </w:tc>
        <w:tc>
          <w:tcPr>
            <w:tcW w:w="199"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983"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231,731</w:t>
            </w:r>
          </w:p>
        </w:tc>
      </w:tr>
      <w:tr>
        <w:trPr/>
        <w:tc>
          <w:tcPr>
            <w:tcW w:w="7262"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Short-term investments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913"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82,808</w:t>
            </w:r>
          </w:p>
        </w:tc>
        <w:tc>
          <w:tcPr>
            <w:tcW w:w="326" w:type="dxa"/>
            <w:tcBorders/>
            <w:shd w:fill="CCEEFF" w:val="clear"/>
            <w:vAlign w:val="center"/>
          </w:tcPr>
          <w:p>
            <w:pPr>
              <w:pStyle w:val="TableContents"/>
              <w:spacing w:before="0" w:after="1"/>
              <w:ind w:left="0" w:right="0" w:hanging="0"/>
              <w:rPr/>
            </w:pPr>
            <w:r>
              <w:rPr/>
              <w:t>​</w:t>
            </w:r>
          </w:p>
        </w:tc>
        <w:tc>
          <w:tcPr>
            <w:tcW w:w="199" w:type="dxa"/>
            <w:tcBorders/>
            <w:shd w:fill="CCEEFF" w:val="clear"/>
            <w:vAlign w:val="center"/>
          </w:tcPr>
          <w:p>
            <w:pPr>
              <w:pStyle w:val="TableContents"/>
              <w:spacing w:before="0" w:after="1"/>
              <w:ind w:left="0" w:right="0" w:hanging="0"/>
              <w:rPr/>
            </w:pPr>
            <w:r>
              <w:rPr/>
              <w:t> </w:t>
            </w:r>
          </w:p>
        </w:tc>
        <w:tc>
          <w:tcPr>
            <w:tcW w:w="983"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240,114</w:t>
            </w:r>
          </w:p>
        </w:tc>
      </w:tr>
      <w:tr>
        <w:trPr/>
        <w:tc>
          <w:tcPr>
            <w:tcW w:w="7262"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Prepaid expenses and other assets</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1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11,489</w:t>
            </w:r>
          </w:p>
        </w:tc>
        <w:tc>
          <w:tcPr>
            <w:tcW w:w="326" w:type="dxa"/>
            <w:tcBorders/>
            <w:shd w:fill="auto" w:val="clear"/>
            <w:vAlign w:val="center"/>
          </w:tcPr>
          <w:p>
            <w:pPr>
              <w:pStyle w:val="TableContents"/>
              <w:spacing w:before="0" w:after="1"/>
              <w:ind w:left="0" w:right="0" w:hanging="0"/>
              <w:rPr/>
            </w:pPr>
            <w:r>
              <w:rPr/>
              <w:t>​</w:t>
            </w:r>
          </w:p>
        </w:tc>
        <w:tc>
          <w:tcPr>
            <w:tcW w:w="199"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8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7,271</w:t>
            </w:r>
          </w:p>
        </w:tc>
      </w:tr>
      <w:tr>
        <w:trPr/>
        <w:tc>
          <w:tcPr>
            <w:tcW w:w="7262" w:type="dxa"/>
            <w:tcBorders/>
            <w:shd w:fill="CCEEFF" w:val="clear"/>
            <w:vAlign w:val="center"/>
          </w:tcPr>
          <w:p>
            <w:pPr>
              <w:pStyle w:val="TableContents"/>
              <w:spacing w:before="0" w:after="1"/>
              <w:ind w:left="0" w:right="0" w:hanging="0"/>
              <w:rPr>
                <w:rFonts w:ascii="Times New Roman;Times;serif" w:hAnsi="Times New Roman;Times;serif"/>
                <w:b/>
                <w:sz w:val="18"/>
              </w:rPr>
            </w:pPr>
            <w:r>
              <w:rPr>
                <w:rFonts w:ascii="Times New Roman;Times;serif" w:hAnsi="Times New Roman;Times;serif"/>
                <w:b/>
                <w:sz w:val="18"/>
              </w:rPr>
              <w:t>Total Current Assets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913"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637,781</w:t>
            </w:r>
          </w:p>
        </w:tc>
        <w:tc>
          <w:tcPr>
            <w:tcW w:w="326" w:type="dxa"/>
            <w:tcBorders/>
            <w:shd w:fill="CCEEFF" w:val="clear"/>
            <w:vAlign w:val="center"/>
          </w:tcPr>
          <w:p>
            <w:pPr>
              <w:pStyle w:val="TableContents"/>
              <w:spacing w:before="0" w:after="1"/>
              <w:ind w:left="0" w:right="0" w:hanging="0"/>
              <w:rPr/>
            </w:pPr>
            <w:r>
              <w:rPr/>
              <w:t>​</w:t>
            </w:r>
          </w:p>
        </w:tc>
        <w:tc>
          <w:tcPr>
            <w:tcW w:w="199" w:type="dxa"/>
            <w:tcBorders/>
            <w:shd w:fill="CCEEFF" w:val="clear"/>
            <w:vAlign w:val="center"/>
          </w:tcPr>
          <w:p>
            <w:pPr>
              <w:pStyle w:val="TableContents"/>
              <w:spacing w:before="0" w:after="1"/>
              <w:ind w:left="0" w:right="0" w:hanging="0"/>
              <w:rPr/>
            </w:pPr>
            <w:r>
              <w:rPr/>
              <w:t> </w:t>
            </w:r>
          </w:p>
        </w:tc>
        <w:tc>
          <w:tcPr>
            <w:tcW w:w="983"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479,116</w:t>
            </w:r>
          </w:p>
        </w:tc>
      </w:tr>
      <w:tr>
        <w:trPr/>
        <w:tc>
          <w:tcPr>
            <w:tcW w:w="726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913" w:type="dxa"/>
            <w:tcBorders/>
            <w:shd w:fill="auto" w:val="clear"/>
            <w:vAlign w:val="center"/>
          </w:tcPr>
          <w:p>
            <w:pPr>
              <w:pStyle w:val="TableContents"/>
              <w:spacing w:before="0" w:after="1"/>
              <w:ind w:left="0" w:right="0" w:hanging="0"/>
              <w:jc w:val="right"/>
              <w:rPr>
                <w:color w:val="FF0000"/>
              </w:rPr>
            </w:pPr>
            <w:r>
              <w:rPr>
                <w:color w:val="FF0000"/>
              </w:rPr>
              <w:t>  </w:t>
            </w:r>
          </w:p>
        </w:tc>
        <w:tc>
          <w:tcPr>
            <w:tcW w:w="326" w:type="dxa"/>
            <w:tcBorders/>
            <w:shd w:fill="auto" w:val="clear"/>
            <w:vAlign w:val="center"/>
          </w:tcPr>
          <w:p>
            <w:pPr>
              <w:pStyle w:val="TableContents"/>
              <w:spacing w:before="0" w:after="1"/>
              <w:ind w:left="0" w:right="0" w:hanging="0"/>
              <w:rPr/>
            </w:pPr>
            <w:r>
              <w:rPr/>
              <w:t>​</w:t>
            </w:r>
          </w:p>
        </w:tc>
        <w:tc>
          <w:tcPr>
            <w:tcW w:w="199" w:type="dxa"/>
            <w:tcBorders/>
            <w:shd w:fill="auto" w:val="clear"/>
            <w:vAlign w:val="center"/>
          </w:tcPr>
          <w:p>
            <w:pPr>
              <w:pStyle w:val="TableContents"/>
              <w:spacing w:before="0" w:after="1"/>
              <w:ind w:left="0" w:right="0" w:hanging="0"/>
              <w:rPr/>
            </w:pPr>
            <w:r>
              <w:rPr/>
              <w:t> </w:t>
            </w:r>
          </w:p>
        </w:tc>
        <w:tc>
          <w:tcPr>
            <w:tcW w:w="983" w:type="dxa"/>
            <w:tcBorders/>
            <w:shd w:fill="auto" w:val="clear"/>
            <w:vAlign w:val="center"/>
          </w:tcPr>
          <w:p>
            <w:pPr>
              <w:pStyle w:val="TableContents"/>
              <w:spacing w:before="0" w:after="1"/>
              <w:ind w:left="0" w:right="0" w:hanging="0"/>
              <w:jc w:val="right"/>
              <w:rPr/>
            </w:pPr>
            <w:r>
              <w:rPr/>
              <w:t>  </w:t>
            </w:r>
          </w:p>
        </w:tc>
      </w:tr>
      <w:tr>
        <w:trPr/>
        <w:tc>
          <w:tcPr>
            <w:tcW w:w="7262"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Property and equipment, net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913"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109,923</w:t>
            </w:r>
          </w:p>
        </w:tc>
        <w:tc>
          <w:tcPr>
            <w:tcW w:w="326" w:type="dxa"/>
            <w:tcBorders/>
            <w:shd w:fill="CCEEFF" w:val="clear"/>
            <w:vAlign w:val="center"/>
          </w:tcPr>
          <w:p>
            <w:pPr>
              <w:pStyle w:val="TableContents"/>
              <w:spacing w:before="0" w:after="1"/>
              <w:ind w:left="0" w:right="0" w:hanging="0"/>
              <w:rPr/>
            </w:pPr>
            <w:r>
              <w:rPr/>
              <w:t>​</w:t>
            </w:r>
          </w:p>
        </w:tc>
        <w:tc>
          <w:tcPr>
            <w:tcW w:w="199" w:type="dxa"/>
            <w:tcBorders/>
            <w:shd w:fill="CCEEFF" w:val="clear"/>
            <w:vAlign w:val="center"/>
          </w:tcPr>
          <w:p>
            <w:pPr>
              <w:pStyle w:val="TableContents"/>
              <w:spacing w:before="0" w:after="1"/>
              <w:ind w:left="0" w:right="0" w:hanging="0"/>
              <w:rPr/>
            </w:pPr>
            <w:r>
              <w:rPr/>
              <w:t>​</w:t>
            </w:r>
          </w:p>
        </w:tc>
        <w:tc>
          <w:tcPr>
            <w:tcW w:w="983"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105,232</w:t>
            </w:r>
          </w:p>
        </w:tc>
      </w:tr>
      <w:tr>
        <w:trPr/>
        <w:tc>
          <w:tcPr>
            <w:tcW w:w="7262"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Operating lease right-of-use assets</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913"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70,431</w:t>
            </w:r>
          </w:p>
        </w:tc>
        <w:tc>
          <w:tcPr>
            <w:tcW w:w="326" w:type="dxa"/>
            <w:tcBorders/>
            <w:shd w:fill="auto" w:val="clear"/>
            <w:vAlign w:val="center"/>
          </w:tcPr>
          <w:p>
            <w:pPr>
              <w:pStyle w:val="TableContents"/>
              <w:spacing w:before="0" w:after="1"/>
              <w:ind w:left="0" w:right="0" w:hanging="0"/>
              <w:rPr/>
            </w:pPr>
            <w:r>
              <w:rPr/>
              <w:t>​</w:t>
            </w:r>
          </w:p>
        </w:tc>
        <w:tc>
          <w:tcPr>
            <w:tcW w:w="199" w:type="dxa"/>
            <w:tcBorders/>
            <w:shd w:fill="auto" w:val="clear"/>
            <w:vAlign w:val="center"/>
          </w:tcPr>
          <w:p>
            <w:pPr>
              <w:pStyle w:val="TableContents"/>
              <w:spacing w:before="0" w:after="1"/>
              <w:ind w:left="0" w:right="0" w:hanging="0"/>
              <w:rPr/>
            </w:pPr>
            <w:r>
              <w:rPr/>
              <w:t>​</w:t>
            </w:r>
          </w:p>
        </w:tc>
        <w:tc>
          <w:tcPr>
            <w:tcW w:w="983"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73,015</w:t>
            </w:r>
          </w:p>
        </w:tc>
      </w:tr>
      <w:tr>
        <w:trPr/>
        <w:tc>
          <w:tcPr>
            <w:tcW w:w="7262"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Restricted cash</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913"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6,430</w:t>
            </w:r>
          </w:p>
        </w:tc>
        <w:tc>
          <w:tcPr>
            <w:tcW w:w="326" w:type="dxa"/>
            <w:tcBorders/>
            <w:shd w:fill="CCEEFF" w:val="clear"/>
            <w:vAlign w:val="center"/>
          </w:tcPr>
          <w:p>
            <w:pPr>
              <w:pStyle w:val="TableContents"/>
              <w:spacing w:before="0" w:after="1"/>
              <w:ind w:left="0" w:right="0" w:hanging="0"/>
              <w:rPr/>
            </w:pPr>
            <w:r>
              <w:rPr/>
              <w:t>​</w:t>
            </w:r>
          </w:p>
        </w:tc>
        <w:tc>
          <w:tcPr>
            <w:tcW w:w="199" w:type="dxa"/>
            <w:tcBorders/>
            <w:shd w:fill="CCEEFF" w:val="clear"/>
            <w:vAlign w:val="center"/>
          </w:tcPr>
          <w:p>
            <w:pPr>
              <w:pStyle w:val="TableContents"/>
              <w:spacing w:before="0" w:after="1"/>
              <w:ind w:left="0" w:right="0" w:hanging="0"/>
              <w:rPr/>
            </w:pPr>
            <w:r>
              <w:rPr/>
              <w:t>​</w:t>
            </w:r>
          </w:p>
        </w:tc>
        <w:tc>
          <w:tcPr>
            <w:tcW w:w="983"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6,430</w:t>
            </w:r>
          </w:p>
        </w:tc>
      </w:tr>
      <w:tr>
        <w:trPr/>
        <w:tc>
          <w:tcPr>
            <w:tcW w:w="7262"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Long-term assets</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1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202</w:t>
            </w:r>
          </w:p>
        </w:tc>
        <w:tc>
          <w:tcPr>
            <w:tcW w:w="326" w:type="dxa"/>
            <w:tcBorders/>
            <w:shd w:fill="auto" w:val="clear"/>
            <w:vAlign w:val="center"/>
          </w:tcPr>
          <w:p>
            <w:pPr>
              <w:pStyle w:val="TableContents"/>
              <w:spacing w:before="0" w:after="1"/>
              <w:ind w:left="0" w:right="0" w:hanging="0"/>
              <w:rPr/>
            </w:pPr>
            <w:r>
              <w:rPr/>
              <w:t>​</w:t>
            </w:r>
          </w:p>
        </w:tc>
        <w:tc>
          <w:tcPr>
            <w:tcW w:w="199"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8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189</w:t>
            </w:r>
          </w:p>
        </w:tc>
      </w:tr>
      <w:tr>
        <w:trPr/>
        <w:tc>
          <w:tcPr>
            <w:tcW w:w="7262" w:type="dxa"/>
            <w:tcBorders/>
            <w:shd w:fill="CCEEFF" w:val="clear"/>
            <w:vAlign w:val="center"/>
          </w:tcPr>
          <w:p>
            <w:pPr>
              <w:pStyle w:val="TableContents"/>
              <w:spacing w:before="0" w:after="1"/>
              <w:ind w:left="0" w:right="0" w:hanging="0"/>
              <w:rPr>
                <w:rFonts w:ascii="Times New Roman;Times;serif" w:hAnsi="Times New Roman;Times;serif"/>
                <w:b/>
                <w:sz w:val="18"/>
              </w:rPr>
            </w:pPr>
            <w:r>
              <w:rPr>
                <w:rFonts w:ascii="Times New Roman;Times;serif" w:hAnsi="Times New Roman;Times;serif"/>
                <w:b/>
                <w:sz w:val="18"/>
              </w:rPr>
              <w:t>Total Assets</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913"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824,767</w:t>
            </w:r>
          </w:p>
        </w:tc>
        <w:tc>
          <w:tcPr>
            <w:tcW w:w="326" w:type="dxa"/>
            <w:tcBorders/>
            <w:shd w:fill="CCEEFF" w:val="clear"/>
            <w:vAlign w:val="center"/>
          </w:tcPr>
          <w:p>
            <w:pPr>
              <w:pStyle w:val="TableContents"/>
              <w:spacing w:before="0" w:after="1"/>
              <w:ind w:left="0" w:right="0" w:hanging="0"/>
              <w:rPr/>
            </w:pPr>
            <w:r>
              <w:rPr/>
              <w:t>​</w:t>
            </w:r>
          </w:p>
        </w:tc>
        <w:tc>
          <w:tcPr>
            <w:tcW w:w="199"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983"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663,982</w:t>
            </w:r>
          </w:p>
        </w:tc>
      </w:tr>
      <w:tr>
        <w:trPr/>
        <w:tc>
          <w:tcPr>
            <w:tcW w:w="726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913" w:type="dxa"/>
            <w:tcBorders/>
            <w:shd w:fill="auto" w:val="clear"/>
            <w:vAlign w:val="center"/>
          </w:tcPr>
          <w:p>
            <w:pPr>
              <w:pStyle w:val="TableContents"/>
              <w:spacing w:before="0" w:after="1"/>
              <w:ind w:left="0" w:right="0" w:hanging="0"/>
              <w:jc w:val="right"/>
              <w:rPr>
                <w:color w:val="FF0000"/>
              </w:rPr>
            </w:pPr>
            <w:r>
              <w:rPr>
                <w:color w:val="FF0000"/>
              </w:rPr>
              <w:t>  </w:t>
            </w:r>
          </w:p>
        </w:tc>
        <w:tc>
          <w:tcPr>
            <w:tcW w:w="326" w:type="dxa"/>
            <w:tcBorders/>
            <w:shd w:fill="auto" w:val="clear"/>
            <w:vAlign w:val="center"/>
          </w:tcPr>
          <w:p>
            <w:pPr>
              <w:pStyle w:val="TableContents"/>
              <w:spacing w:before="0" w:after="1"/>
              <w:ind w:left="0" w:right="0" w:hanging="0"/>
              <w:rPr/>
            </w:pPr>
            <w:r>
              <w:rPr/>
              <w:t>​</w:t>
            </w:r>
          </w:p>
        </w:tc>
        <w:tc>
          <w:tcPr>
            <w:tcW w:w="199" w:type="dxa"/>
            <w:tcBorders/>
            <w:shd w:fill="auto" w:val="clear"/>
            <w:vAlign w:val="center"/>
          </w:tcPr>
          <w:p>
            <w:pPr>
              <w:pStyle w:val="TableContents"/>
              <w:spacing w:before="0" w:after="1"/>
              <w:ind w:left="0" w:right="0" w:hanging="0"/>
              <w:rPr/>
            </w:pPr>
            <w:r>
              <w:rPr/>
              <w:t> </w:t>
            </w:r>
          </w:p>
        </w:tc>
        <w:tc>
          <w:tcPr>
            <w:tcW w:w="983" w:type="dxa"/>
            <w:tcBorders/>
            <w:shd w:fill="auto" w:val="clear"/>
            <w:vAlign w:val="center"/>
          </w:tcPr>
          <w:p>
            <w:pPr>
              <w:pStyle w:val="TableContents"/>
              <w:spacing w:before="0" w:after="1"/>
              <w:ind w:left="0" w:right="0" w:hanging="0"/>
              <w:jc w:val="right"/>
              <w:rPr/>
            </w:pPr>
            <w:r>
              <w:rPr/>
              <w:t>  </w:t>
            </w:r>
          </w:p>
        </w:tc>
      </w:tr>
      <w:tr>
        <w:trPr/>
        <w:tc>
          <w:tcPr>
            <w:tcW w:w="7262" w:type="dxa"/>
            <w:tcBorders/>
            <w:shd w:fill="CCEEFF" w:val="clear"/>
            <w:vAlign w:val="center"/>
          </w:tcPr>
          <w:p>
            <w:pPr>
              <w:pStyle w:val="TableContents"/>
              <w:spacing w:before="0" w:after="1"/>
              <w:ind w:left="0" w:right="0" w:hanging="0"/>
              <w:rPr>
                <w:rFonts w:ascii="Times New Roman;Times;serif" w:hAnsi="Times New Roman;Times;serif"/>
                <w:b/>
                <w:sz w:val="18"/>
              </w:rPr>
            </w:pPr>
            <w:r>
              <w:rPr>
                <w:rFonts w:ascii="Times New Roman;Times;serif" w:hAnsi="Times New Roman;Times;serif"/>
                <w:b/>
                <w:sz w:val="18"/>
              </w:rPr>
              <w:t>LIABILITIES AND STOCKHOLDERS’ EQUITY</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913" w:type="dxa"/>
            <w:tcBorders/>
            <w:shd w:fill="CCEEFF" w:val="clear"/>
            <w:vAlign w:val="center"/>
          </w:tcPr>
          <w:p>
            <w:pPr>
              <w:pStyle w:val="TableContents"/>
              <w:spacing w:before="0" w:after="1"/>
              <w:ind w:left="0" w:right="0" w:hanging="0"/>
              <w:jc w:val="right"/>
              <w:rPr>
                <w:color w:val="FF0000"/>
              </w:rPr>
            </w:pPr>
            <w:r>
              <w:rPr>
                <w:color w:val="FF0000"/>
              </w:rPr>
              <w:t>  </w:t>
            </w:r>
          </w:p>
        </w:tc>
        <w:tc>
          <w:tcPr>
            <w:tcW w:w="326" w:type="dxa"/>
            <w:tcBorders/>
            <w:shd w:fill="CCEEFF" w:val="clear"/>
            <w:vAlign w:val="center"/>
          </w:tcPr>
          <w:p>
            <w:pPr>
              <w:pStyle w:val="TableContents"/>
              <w:spacing w:before="0" w:after="1"/>
              <w:ind w:left="0" w:right="0" w:hanging="0"/>
              <w:rPr/>
            </w:pPr>
            <w:r>
              <w:rPr/>
              <w:t>​</w:t>
            </w:r>
          </w:p>
        </w:tc>
        <w:tc>
          <w:tcPr>
            <w:tcW w:w="199" w:type="dxa"/>
            <w:tcBorders/>
            <w:shd w:fill="CCEEFF" w:val="clear"/>
            <w:vAlign w:val="center"/>
          </w:tcPr>
          <w:p>
            <w:pPr>
              <w:pStyle w:val="TableContents"/>
              <w:spacing w:before="0" w:after="1"/>
              <w:ind w:left="0" w:right="0" w:hanging="0"/>
              <w:rPr/>
            </w:pPr>
            <w:r>
              <w:rPr/>
              <w:t> </w:t>
            </w:r>
          </w:p>
        </w:tc>
        <w:tc>
          <w:tcPr>
            <w:tcW w:w="983" w:type="dxa"/>
            <w:tcBorders/>
            <w:shd w:fill="CCEEFF" w:val="clear"/>
            <w:vAlign w:val="center"/>
          </w:tcPr>
          <w:p>
            <w:pPr>
              <w:pStyle w:val="TableContents"/>
              <w:spacing w:before="0" w:after="1"/>
              <w:ind w:left="0" w:right="0" w:hanging="0"/>
              <w:jc w:val="right"/>
              <w:rPr/>
            </w:pPr>
            <w:r>
              <w:rPr/>
              <w:t>  </w:t>
            </w:r>
          </w:p>
        </w:tc>
      </w:tr>
      <w:tr>
        <w:trPr/>
        <w:tc>
          <w:tcPr>
            <w:tcW w:w="726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913" w:type="dxa"/>
            <w:tcBorders/>
            <w:shd w:fill="auto" w:val="clear"/>
            <w:vAlign w:val="center"/>
          </w:tcPr>
          <w:p>
            <w:pPr>
              <w:pStyle w:val="TableContents"/>
              <w:spacing w:before="0" w:after="1"/>
              <w:ind w:left="0" w:right="0" w:hanging="0"/>
              <w:jc w:val="right"/>
              <w:rPr>
                <w:color w:val="FF0000"/>
              </w:rPr>
            </w:pPr>
            <w:r>
              <w:rPr>
                <w:color w:val="FF0000"/>
              </w:rPr>
              <w:t>  </w:t>
            </w:r>
          </w:p>
        </w:tc>
        <w:tc>
          <w:tcPr>
            <w:tcW w:w="326" w:type="dxa"/>
            <w:tcBorders/>
            <w:shd w:fill="auto" w:val="clear"/>
            <w:vAlign w:val="center"/>
          </w:tcPr>
          <w:p>
            <w:pPr>
              <w:pStyle w:val="TableContents"/>
              <w:spacing w:before="0" w:after="1"/>
              <w:ind w:left="0" w:right="0" w:hanging="0"/>
              <w:rPr/>
            </w:pPr>
            <w:r>
              <w:rPr/>
              <w:t>​</w:t>
            </w:r>
          </w:p>
        </w:tc>
        <w:tc>
          <w:tcPr>
            <w:tcW w:w="199" w:type="dxa"/>
            <w:tcBorders/>
            <w:shd w:fill="auto" w:val="clear"/>
            <w:vAlign w:val="center"/>
          </w:tcPr>
          <w:p>
            <w:pPr>
              <w:pStyle w:val="TableContents"/>
              <w:spacing w:before="0" w:after="1"/>
              <w:ind w:left="0" w:right="0" w:hanging="0"/>
              <w:rPr/>
            </w:pPr>
            <w:r>
              <w:rPr/>
              <w:t> </w:t>
            </w:r>
          </w:p>
        </w:tc>
        <w:tc>
          <w:tcPr>
            <w:tcW w:w="983" w:type="dxa"/>
            <w:tcBorders/>
            <w:shd w:fill="auto" w:val="clear"/>
            <w:vAlign w:val="center"/>
          </w:tcPr>
          <w:p>
            <w:pPr>
              <w:pStyle w:val="TableContents"/>
              <w:spacing w:before="0" w:after="1"/>
              <w:ind w:left="0" w:right="0" w:hanging="0"/>
              <w:jc w:val="right"/>
              <w:rPr/>
            </w:pPr>
            <w:r>
              <w:rPr/>
              <w:t>  </w:t>
            </w:r>
          </w:p>
        </w:tc>
      </w:tr>
      <w:tr>
        <w:trPr/>
        <w:tc>
          <w:tcPr>
            <w:tcW w:w="7262" w:type="dxa"/>
            <w:tcBorders/>
            <w:shd w:fill="CCEEFF" w:val="clear"/>
            <w:vAlign w:val="center"/>
          </w:tcPr>
          <w:p>
            <w:pPr>
              <w:pStyle w:val="TableContents"/>
              <w:spacing w:before="0" w:after="1"/>
              <w:ind w:left="0" w:right="0" w:hanging="0"/>
              <w:rPr>
                <w:rFonts w:ascii="Times New Roman;Times;serif" w:hAnsi="Times New Roman;Times;serif"/>
                <w:b/>
                <w:sz w:val="18"/>
              </w:rPr>
            </w:pPr>
            <w:r>
              <w:rPr>
                <w:rFonts w:ascii="Times New Roman;Times;serif" w:hAnsi="Times New Roman;Times;serif"/>
                <w:b/>
                <w:sz w:val="18"/>
              </w:rPr>
              <w:t>Current Liabilities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913" w:type="dxa"/>
            <w:tcBorders/>
            <w:shd w:fill="CCEEFF" w:val="clear"/>
            <w:vAlign w:val="center"/>
          </w:tcPr>
          <w:p>
            <w:pPr>
              <w:pStyle w:val="TableContents"/>
              <w:spacing w:before="0" w:after="1"/>
              <w:ind w:left="0" w:right="0" w:hanging="0"/>
              <w:jc w:val="right"/>
              <w:rPr>
                <w:color w:val="FF0000"/>
              </w:rPr>
            </w:pPr>
            <w:r>
              <w:rPr>
                <w:color w:val="FF0000"/>
              </w:rPr>
              <w:t>  </w:t>
            </w:r>
          </w:p>
        </w:tc>
        <w:tc>
          <w:tcPr>
            <w:tcW w:w="326" w:type="dxa"/>
            <w:tcBorders/>
            <w:shd w:fill="CCEEFF" w:val="clear"/>
            <w:vAlign w:val="center"/>
          </w:tcPr>
          <w:p>
            <w:pPr>
              <w:pStyle w:val="TableContents"/>
              <w:spacing w:before="0" w:after="1"/>
              <w:ind w:left="0" w:right="0" w:hanging="0"/>
              <w:rPr/>
            </w:pPr>
            <w:r>
              <w:rPr/>
              <w:t>​</w:t>
            </w:r>
          </w:p>
        </w:tc>
        <w:tc>
          <w:tcPr>
            <w:tcW w:w="199" w:type="dxa"/>
            <w:tcBorders/>
            <w:shd w:fill="CCEEFF" w:val="clear"/>
            <w:vAlign w:val="center"/>
          </w:tcPr>
          <w:p>
            <w:pPr>
              <w:pStyle w:val="TableContents"/>
              <w:spacing w:before="0" w:after="1"/>
              <w:ind w:left="0" w:right="0" w:hanging="0"/>
              <w:rPr/>
            </w:pPr>
            <w:r>
              <w:rPr/>
              <w:t> </w:t>
            </w:r>
          </w:p>
        </w:tc>
        <w:tc>
          <w:tcPr>
            <w:tcW w:w="983" w:type="dxa"/>
            <w:tcBorders/>
            <w:shd w:fill="CCEEFF" w:val="clear"/>
            <w:vAlign w:val="center"/>
          </w:tcPr>
          <w:p>
            <w:pPr>
              <w:pStyle w:val="TableContents"/>
              <w:spacing w:before="0" w:after="1"/>
              <w:ind w:left="0" w:right="0" w:hanging="0"/>
              <w:jc w:val="right"/>
              <w:rPr/>
            </w:pPr>
            <w:r>
              <w:rPr/>
              <w:t>  </w:t>
            </w:r>
          </w:p>
        </w:tc>
      </w:tr>
      <w:tr>
        <w:trPr/>
        <w:tc>
          <w:tcPr>
            <w:tcW w:w="7262"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Accounts payable</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913"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31,572</w:t>
            </w:r>
          </w:p>
        </w:tc>
        <w:tc>
          <w:tcPr>
            <w:tcW w:w="326" w:type="dxa"/>
            <w:tcBorders/>
            <w:shd w:fill="auto" w:val="clear"/>
            <w:vAlign w:val="center"/>
          </w:tcPr>
          <w:p>
            <w:pPr>
              <w:pStyle w:val="TableContents"/>
              <w:spacing w:before="0" w:after="1"/>
              <w:ind w:left="0" w:right="0" w:hanging="0"/>
              <w:rPr/>
            </w:pPr>
            <w:r>
              <w:rPr/>
              <w:t>​</w:t>
            </w:r>
          </w:p>
        </w:tc>
        <w:tc>
          <w:tcPr>
            <w:tcW w:w="199"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983"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26,603</w:t>
            </w:r>
          </w:p>
        </w:tc>
      </w:tr>
      <w:tr>
        <w:trPr/>
        <w:tc>
          <w:tcPr>
            <w:tcW w:w="7262"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Accrued expenses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913"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43,088</w:t>
            </w:r>
          </w:p>
        </w:tc>
        <w:tc>
          <w:tcPr>
            <w:tcW w:w="326" w:type="dxa"/>
            <w:tcBorders/>
            <w:shd w:fill="CCEEFF" w:val="clear"/>
            <w:vAlign w:val="center"/>
          </w:tcPr>
          <w:p>
            <w:pPr>
              <w:pStyle w:val="TableContents"/>
              <w:spacing w:before="0" w:after="1"/>
              <w:ind w:left="0" w:right="0" w:hanging="0"/>
              <w:rPr/>
            </w:pPr>
            <w:r>
              <w:rPr/>
              <w:t>​</w:t>
            </w:r>
          </w:p>
        </w:tc>
        <w:tc>
          <w:tcPr>
            <w:tcW w:w="199" w:type="dxa"/>
            <w:tcBorders/>
            <w:shd w:fill="CCEEFF" w:val="clear"/>
            <w:vAlign w:val="center"/>
          </w:tcPr>
          <w:p>
            <w:pPr>
              <w:pStyle w:val="TableContents"/>
              <w:spacing w:before="0" w:after="1"/>
              <w:ind w:left="0" w:right="0" w:hanging="0"/>
              <w:rPr/>
            </w:pPr>
            <w:r>
              <w:rPr/>
              <w:t> </w:t>
            </w:r>
          </w:p>
        </w:tc>
        <w:tc>
          <w:tcPr>
            <w:tcW w:w="983"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52,295</w:t>
            </w:r>
          </w:p>
        </w:tc>
      </w:tr>
      <w:tr>
        <w:trPr/>
        <w:tc>
          <w:tcPr>
            <w:tcW w:w="7262"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Operating lease liabilities</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1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12,614</w:t>
            </w:r>
          </w:p>
        </w:tc>
        <w:tc>
          <w:tcPr>
            <w:tcW w:w="326" w:type="dxa"/>
            <w:tcBorders/>
            <w:shd w:fill="auto" w:val="clear"/>
            <w:vAlign w:val="center"/>
          </w:tcPr>
          <w:p>
            <w:pPr>
              <w:pStyle w:val="TableContents"/>
              <w:spacing w:before="0" w:after="1"/>
              <w:ind w:left="0" w:right="0" w:hanging="0"/>
              <w:rPr/>
            </w:pPr>
            <w:r>
              <w:rPr/>
              <w:t>​</w:t>
            </w:r>
          </w:p>
        </w:tc>
        <w:tc>
          <w:tcPr>
            <w:tcW w:w="199"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8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12,587</w:t>
            </w:r>
          </w:p>
        </w:tc>
      </w:tr>
      <w:tr>
        <w:trPr/>
        <w:tc>
          <w:tcPr>
            <w:tcW w:w="7262" w:type="dxa"/>
            <w:tcBorders/>
            <w:shd w:fill="CCEEFF" w:val="clear"/>
            <w:vAlign w:val="center"/>
          </w:tcPr>
          <w:p>
            <w:pPr>
              <w:pStyle w:val="TableContents"/>
              <w:spacing w:before="0" w:after="1"/>
              <w:ind w:left="0" w:right="0" w:hanging="0"/>
              <w:rPr>
                <w:rFonts w:ascii="Times New Roman;Times;serif" w:hAnsi="Times New Roman;Times;serif"/>
                <w:b/>
                <w:sz w:val="18"/>
              </w:rPr>
            </w:pPr>
            <w:r>
              <w:rPr>
                <w:rFonts w:ascii="Times New Roman;Times;serif" w:hAnsi="Times New Roman;Times;serif"/>
                <w:b/>
                <w:sz w:val="18"/>
              </w:rPr>
              <w:t>Total Current Liabilities</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1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87,274</w:t>
            </w:r>
          </w:p>
        </w:tc>
        <w:tc>
          <w:tcPr>
            <w:tcW w:w="326" w:type="dxa"/>
            <w:tcBorders/>
            <w:shd w:fill="CCEEFF" w:val="clear"/>
            <w:vAlign w:val="center"/>
          </w:tcPr>
          <w:p>
            <w:pPr>
              <w:pStyle w:val="TableContents"/>
              <w:spacing w:before="0" w:after="1"/>
              <w:ind w:left="0" w:right="0" w:hanging="0"/>
              <w:rPr/>
            </w:pPr>
            <w:r>
              <w:rPr/>
              <w:t>​</w:t>
            </w:r>
          </w:p>
        </w:tc>
        <w:tc>
          <w:tcPr>
            <w:tcW w:w="199"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8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91,485</w:t>
            </w:r>
          </w:p>
        </w:tc>
      </w:tr>
      <w:tr>
        <w:trPr/>
        <w:tc>
          <w:tcPr>
            <w:tcW w:w="726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913" w:type="dxa"/>
            <w:tcBorders/>
            <w:shd w:fill="auto" w:val="clear"/>
            <w:vAlign w:val="center"/>
          </w:tcPr>
          <w:p>
            <w:pPr>
              <w:pStyle w:val="TableContents"/>
              <w:spacing w:before="0" w:after="1"/>
              <w:ind w:left="0" w:right="0" w:hanging="0"/>
              <w:jc w:val="right"/>
              <w:rPr>
                <w:color w:val="FF0000"/>
              </w:rPr>
            </w:pPr>
            <w:r>
              <w:rPr>
                <w:color w:val="FF0000"/>
              </w:rPr>
              <w:t>  </w:t>
            </w:r>
          </w:p>
        </w:tc>
        <w:tc>
          <w:tcPr>
            <w:tcW w:w="326" w:type="dxa"/>
            <w:tcBorders/>
            <w:shd w:fill="auto" w:val="clear"/>
            <w:vAlign w:val="center"/>
          </w:tcPr>
          <w:p>
            <w:pPr>
              <w:pStyle w:val="TableContents"/>
              <w:spacing w:before="0" w:after="1"/>
              <w:ind w:left="0" w:right="0" w:hanging="0"/>
              <w:rPr/>
            </w:pPr>
            <w:r>
              <w:rPr/>
              <w:t>​</w:t>
            </w:r>
          </w:p>
        </w:tc>
        <w:tc>
          <w:tcPr>
            <w:tcW w:w="199" w:type="dxa"/>
            <w:tcBorders/>
            <w:shd w:fill="auto" w:val="clear"/>
            <w:vAlign w:val="center"/>
          </w:tcPr>
          <w:p>
            <w:pPr>
              <w:pStyle w:val="TableContents"/>
              <w:spacing w:before="0" w:after="1"/>
              <w:ind w:left="0" w:right="0" w:hanging="0"/>
              <w:rPr/>
            </w:pPr>
            <w:r>
              <w:rPr/>
              <w:t> </w:t>
            </w:r>
          </w:p>
        </w:tc>
        <w:tc>
          <w:tcPr>
            <w:tcW w:w="983" w:type="dxa"/>
            <w:tcBorders/>
            <w:shd w:fill="auto" w:val="clear"/>
            <w:vAlign w:val="center"/>
          </w:tcPr>
          <w:p>
            <w:pPr>
              <w:pStyle w:val="TableContents"/>
              <w:spacing w:before="0" w:after="1"/>
              <w:ind w:left="0" w:right="0" w:hanging="0"/>
              <w:jc w:val="right"/>
              <w:rPr/>
            </w:pPr>
            <w:r>
              <w:rPr/>
              <w:t>  </w:t>
            </w:r>
          </w:p>
        </w:tc>
      </w:tr>
      <w:tr>
        <w:trPr/>
        <w:tc>
          <w:tcPr>
            <w:tcW w:w="7262" w:type="dxa"/>
            <w:tcBorders/>
            <w:shd w:fill="CCEEFF" w:val="clear"/>
            <w:vAlign w:val="center"/>
          </w:tcPr>
          <w:p>
            <w:pPr>
              <w:pStyle w:val="TableContents"/>
              <w:spacing w:before="0" w:after="1"/>
              <w:ind w:left="0" w:right="0" w:hanging="0"/>
              <w:rPr>
                <w:rFonts w:ascii="Times New Roman;Times;serif" w:hAnsi="Times New Roman;Times;serif"/>
                <w:b/>
                <w:sz w:val="18"/>
              </w:rPr>
            </w:pPr>
            <w:r>
              <w:rPr>
                <w:rFonts w:ascii="Times New Roman;Times;serif" w:hAnsi="Times New Roman;Times;serif"/>
                <w:b/>
                <w:sz w:val="18"/>
              </w:rPr>
              <w:t>Non-Current Liabilities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913" w:type="dxa"/>
            <w:tcBorders/>
            <w:shd w:fill="CCEEFF" w:val="clear"/>
            <w:vAlign w:val="center"/>
          </w:tcPr>
          <w:p>
            <w:pPr>
              <w:pStyle w:val="TableContents"/>
              <w:spacing w:before="0" w:after="1"/>
              <w:ind w:left="0" w:right="0" w:hanging="0"/>
              <w:jc w:val="right"/>
              <w:rPr>
                <w:color w:val="FF0000"/>
              </w:rPr>
            </w:pPr>
            <w:r>
              <w:rPr>
                <w:color w:val="FF0000"/>
              </w:rPr>
              <w:t>  </w:t>
            </w:r>
          </w:p>
        </w:tc>
        <w:tc>
          <w:tcPr>
            <w:tcW w:w="326" w:type="dxa"/>
            <w:tcBorders/>
            <w:shd w:fill="CCEEFF" w:val="clear"/>
            <w:vAlign w:val="center"/>
          </w:tcPr>
          <w:p>
            <w:pPr>
              <w:pStyle w:val="TableContents"/>
              <w:spacing w:before="0" w:after="1"/>
              <w:ind w:left="0" w:right="0" w:hanging="0"/>
              <w:rPr/>
            </w:pPr>
            <w:r>
              <w:rPr/>
              <w:t>​</w:t>
            </w:r>
          </w:p>
        </w:tc>
        <w:tc>
          <w:tcPr>
            <w:tcW w:w="199" w:type="dxa"/>
            <w:tcBorders/>
            <w:shd w:fill="CCEEFF" w:val="clear"/>
            <w:vAlign w:val="center"/>
          </w:tcPr>
          <w:p>
            <w:pPr>
              <w:pStyle w:val="TableContents"/>
              <w:spacing w:before="0" w:after="1"/>
              <w:ind w:left="0" w:right="0" w:hanging="0"/>
              <w:rPr/>
            </w:pPr>
            <w:r>
              <w:rPr/>
              <w:t> </w:t>
            </w:r>
          </w:p>
        </w:tc>
        <w:tc>
          <w:tcPr>
            <w:tcW w:w="983" w:type="dxa"/>
            <w:tcBorders/>
            <w:shd w:fill="CCEEFF" w:val="clear"/>
            <w:vAlign w:val="center"/>
          </w:tcPr>
          <w:p>
            <w:pPr>
              <w:pStyle w:val="TableContents"/>
              <w:spacing w:before="0" w:after="1"/>
              <w:ind w:left="0" w:right="0" w:hanging="0"/>
              <w:jc w:val="right"/>
              <w:rPr/>
            </w:pPr>
            <w:r>
              <w:rPr/>
              <w:t>  </w:t>
            </w:r>
          </w:p>
        </w:tc>
      </w:tr>
      <w:tr>
        <w:trPr/>
        <w:tc>
          <w:tcPr>
            <w:tcW w:w="7262"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Operating lease liabilities – non-current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913"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69,612</w:t>
            </w:r>
          </w:p>
        </w:tc>
        <w:tc>
          <w:tcPr>
            <w:tcW w:w="326" w:type="dxa"/>
            <w:tcBorders/>
            <w:shd w:fill="auto" w:val="clear"/>
            <w:vAlign w:val="center"/>
          </w:tcPr>
          <w:p>
            <w:pPr>
              <w:pStyle w:val="TableContents"/>
              <w:spacing w:before="0" w:after="1"/>
              <w:ind w:left="0" w:right="0" w:hanging="0"/>
              <w:rPr/>
            </w:pPr>
            <w:r>
              <w:rPr/>
              <w:t>​</w:t>
            </w:r>
          </w:p>
        </w:tc>
        <w:tc>
          <w:tcPr>
            <w:tcW w:w="199" w:type="dxa"/>
            <w:tcBorders/>
            <w:shd w:fill="auto" w:val="clear"/>
            <w:vAlign w:val="center"/>
          </w:tcPr>
          <w:p>
            <w:pPr>
              <w:pStyle w:val="TableContents"/>
              <w:spacing w:before="0" w:after="1"/>
              <w:ind w:left="0" w:right="0" w:hanging="0"/>
              <w:rPr/>
            </w:pPr>
            <w:r>
              <w:rPr/>
              <w:t> </w:t>
            </w:r>
          </w:p>
        </w:tc>
        <w:tc>
          <w:tcPr>
            <w:tcW w:w="983"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71,859</w:t>
            </w:r>
          </w:p>
        </w:tc>
      </w:tr>
      <w:tr>
        <w:trPr/>
        <w:tc>
          <w:tcPr>
            <w:tcW w:w="7262"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Long-term note payable</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91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326" w:type="dxa"/>
            <w:tcBorders/>
            <w:shd w:fill="CCEEFF" w:val="clear"/>
            <w:vAlign w:val="center"/>
          </w:tcPr>
          <w:p>
            <w:pPr>
              <w:pStyle w:val="TableContents"/>
              <w:spacing w:before="0" w:after="1"/>
              <w:ind w:left="0" w:right="0" w:hanging="0"/>
              <w:rPr/>
            </w:pPr>
            <w:r>
              <w:rPr/>
              <w:t>​</w:t>
            </w:r>
          </w:p>
        </w:tc>
        <w:tc>
          <w:tcPr>
            <w:tcW w:w="199"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98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1,000</w:t>
            </w:r>
          </w:p>
        </w:tc>
      </w:tr>
      <w:tr>
        <w:trPr/>
        <w:tc>
          <w:tcPr>
            <w:tcW w:w="7262" w:type="dxa"/>
            <w:tcBorders/>
            <w:shd w:fill="auto" w:val="clear"/>
            <w:vAlign w:val="center"/>
          </w:tcPr>
          <w:p>
            <w:pPr>
              <w:pStyle w:val="TableContents"/>
              <w:spacing w:before="0" w:after="1"/>
              <w:ind w:left="0" w:right="0" w:hanging="0"/>
              <w:rPr>
                <w:rFonts w:ascii="Times New Roman;Times;serif" w:hAnsi="Times New Roman;Times;serif"/>
                <w:b/>
                <w:sz w:val="18"/>
              </w:rPr>
            </w:pPr>
            <w:r>
              <w:rPr>
                <w:rFonts w:ascii="Times New Roman;Times;serif" w:hAnsi="Times New Roman;Times;serif"/>
                <w:b/>
                <w:sz w:val="18"/>
              </w:rPr>
              <w:t>Total Non-Current Liabilities</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1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70,612</w:t>
            </w:r>
          </w:p>
        </w:tc>
        <w:tc>
          <w:tcPr>
            <w:tcW w:w="326" w:type="dxa"/>
            <w:tcBorders/>
            <w:shd w:fill="auto" w:val="clear"/>
            <w:vAlign w:val="center"/>
          </w:tcPr>
          <w:p>
            <w:pPr>
              <w:pStyle w:val="TableContents"/>
              <w:spacing w:before="0" w:after="1"/>
              <w:ind w:left="0" w:right="0" w:hanging="0"/>
              <w:rPr/>
            </w:pPr>
            <w:r>
              <w:rPr/>
              <w:t>​</w:t>
            </w:r>
          </w:p>
        </w:tc>
        <w:tc>
          <w:tcPr>
            <w:tcW w:w="199"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8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72,859</w:t>
            </w:r>
          </w:p>
        </w:tc>
      </w:tr>
      <w:tr>
        <w:trPr/>
        <w:tc>
          <w:tcPr>
            <w:tcW w:w="7262" w:type="dxa"/>
            <w:tcBorders/>
            <w:shd w:fill="CCEEFF" w:val="clear"/>
            <w:vAlign w:val="center"/>
          </w:tcPr>
          <w:p>
            <w:pPr>
              <w:pStyle w:val="TableContents"/>
              <w:spacing w:before="0" w:after="1"/>
              <w:ind w:left="0" w:right="0" w:hanging="0"/>
              <w:rPr>
                <w:rFonts w:ascii="Times New Roman;Times;serif" w:hAnsi="Times New Roman;Times;serif"/>
                <w:b/>
                <w:sz w:val="18"/>
              </w:rPr>
            </w:pPr>
            <w:r>
              <w:rPr>
                <w:rFonts w:ascii="Times New Roman;Times;serif" w:hAnsi="Times New Roman;Times;serif"/>
                <w:b/>
                <w:sz w:val="18"/>
              </w:rPr>
              <w:t>Total Liabilities</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1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157,886</w:t>
            </w:r>
          </w:p>
        </w:tc>
        <w:tc>
          <w:tcPr>
            <w:tcW w:w="326" w:type="dxa"/>
            <w:tcBorders/>
            <w:shd w:fill="CCEEFF" w:val="clear"/>
            <w:vAlign w:val="center"/>
          </w:tcPr>
          <w:p>
            <w:pPr>
              <w:pStyle w:val="TableContents"/>
              <w:spacing w:before="0" w:after="1"/>
              <w:ind w:left="0" w:right="0" w:hanging="0"/>
              <w:rPr/>
            </w:pPr>
            <w:r>
              <w:rPr/>
              <w:t>​</w:t>
            </w:r>
          </w:p>
        </w:tc>
        <w:tc>
          <w:tcPr>
            <w:tcW w:w="199"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8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164,344</w:t>
            </w:r>
          </w:p>
        </w:tc>
      </w:tr>
      <w:tr>
        <w:trPr/>
        <w:tc>
          <w:tcPr>
            <w:tcW w:w="726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913" w:type="dxa"/>
            <w:tcBorders/>
            <w:shd w:fill="auto" w:val="clear"/>
            <w:vAlign w:val="center"/>
          </w:tcPr>
          <w:p>
            <w:pPr>
              <w:pStyle w:val="TableContents"/>
              <w:spacing w:before="0" w:after="1"/>
              <w:ind w:left="0" w:right="0" w:hanging="0"/>
              <w:jc w:val="right"/>
              <w:rPr>
                <w:color w:val="FF0000"/>
              </w:rPr>
            </w:pPr>
            <w:r>
              <w:rPr>
                <w:color w:val="FF0000"/>
              </w:rPr>
              <w:t>  </w:t>
            </w:r>
          </w:p>
        </w:tc>
        <w:tc>
          <w:tcPr>
            <w:tcW w:w="326" w:type="dxa"/>
            <w:tcBorders/>
            <w:shd w:fill="auto" w:val="clear"/>
            <w:vAlign w:val="center"/>
          </w:tcPr>
          <w:p>
            <w:pPr>
              <w:pStyle w:val="TableContents"/>
              <w:spacing w:before="0" w:after="1"/>
              <w:ind w:left="0" w:right="0" w:hanging="0"/>
              <w:rPr/>
            </w:pPr>
            <w:r>
              <w:rPr/>
              <w:t>​</w:t>
            </w:r>
          </w:p>
        </w:tc>
        <w:tc>
          <w:tcPr>
            <w:tcW w:w="199" w:type="dxa"/>
            <w:tcBorders/>
            <w:shd w:fill="auto" w:val="clear"/>
            <w:vAlign w:val="center"/>
          </w:tcPr>
          <w:p>
            <w:pPr>
              <w:pStyle w:val="TableContents"/>
              <w:spacing w:before="0" w:after="1"/>
              <w:ind w:left="0" w:right="0" w:hanging="0"/>
              <w:rPr/>
            </w:pPr>
            <w:r>
              <w:rPr/>
              <w:t> </w:t>
            </w:r>
          </w:p>
        </w:tc>
        <w:tc>
          <w:tcPr>
            <w:tcW w:w="983" w:type="dxa"/>
            <w:tcBorders/>
            <w:shd w:fill="auto" w:val="clear"/>
            <w:vAlign w:val="center"/>
          </w:tcPr>
          <w:p>
            <w:pPr>
              <w:pStyle w:val="TableContents"/>
              <w:spacing w:before="0" w:after="1"/>
              <w:ind w:left="0" w:right="0" w:hanging="0"/>
              <w:jc w:val="right"/>
              <w:rPr/>
            </w:pPr>
            <w:r>
              <w:rPr/>
              <w:t>  </w:t>
            </w:r>
          </w:p>
        </w:tc>
      </w:tr>
      <w:tr>
        <w:trPr/>
        <w:tc>
          <w:tcPr>
            <w:tcW w:w="7262" w:type="dxa"/>
            <w:tcBorders/>
            <w:shd w:fill="CCEEFF" w:val="clear"/>
            <w:vAlign w:val="center"/>
          </w:tcPr>
          <w:p>
            <w:pPr>
              <w:pStyle w:val="TableContents"/>
              <w:spacing w:before="0" w:after="1"/>
              <w:ind w:left="0" w:right="0" w:hanging="0"/>
              <w:rPr>
                <w:rFonts w:ascii="Times New Roman;Times;serif" w:hAnsi="Times New Roman;Times;serif"/>
                <w:b/>
                <w:sz w:val="18"/>
              </w:rPr>
            </w:pPr>
            <w:r>
              <w:rPr>
                <w:rFonts w:ascii="Times New Roman;Times;serif" w:hAnsi="Times New Roman;Times;serif"/>
                <w:b/>
                <w:sz w:val="18"/>
              </w:rPr>
              <w:t xml:space="preserve">Commitments and contingencies </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913" w:type="dxa"/>
            <w:tcBorders/>
            <w:shd w:fill="CCEEFF" w:val="clear"/>
            <w:vAlign w:val="center"/>
          </w:tcPr>
          <w:p>
            <w:pPr>
              <w:pStyle w:val="TableContents"/>
              <w:spacing w:before="0" w:after="1"/>
              <w:ind w:left="0" w:right="0" w:hanging="0"/>
              <w:jc w:val="right"/>
              <w:rPr>
                <w:color w:val="FF0000"/>
              </w:rPr>
            </w:pPr>
            <w:r>
              <w:rPr>
                <w:color w:val="FF0000"/>
              </w:rPr>
              <w:t>  </w:t>
            </w:r>
          </w:p>
        </w:tc>
        <w:tc>
          <w:tcPr>
            <w:tcW w:w="326" w:type="dxa"/>
            <w:tcBorders/>
            <w:shd w:fill="CCEEFF" w:val="clear"/>
            <w:vAlign w:val="center"/>
          </w:tcPr>
          <w:p>
            <w:pPr>
              <w:pStyle w:val="TableContents"/>
              <w:spacing w:before="0" w:after="1"/>
              <w:ind w:left="0" w:right="0" w:hanging="0"/>
              <w:rPr/>
            </w:pPr>
            <w:r>
              <w:rPr/>
              <w:t>​</w:t>
            </w:r>
          </w:p>
        </w:tc>
        <w:tc>
          <w:tcPr>
            <w:tcW w:w="199" w:type="dxa"/>
            <w:tcBorders/>
            <w:shd w:fill="CCEEFF" w:val="clear"/>
            <w:vAlign w:val="center"/>
          </w:tcPr>
          <w:p>
            <w:pPr>
              <w:pStyle w:val="TableContents"/>
              <w:spacing w:before="0" w:after="1"/>
              <w:ind w:left="0" w:right="0" w:hanging="0"/>
              <w:rPr/>
            </w:pPr>
            <w:r>
              <w:rPr/>
              <w:t> </w:t>
            </w:r>
          </w:p>
        </w:tc>
        <w:tc>
          <w:tcPr>
            <w:tcW w:w="983" w:type="dxa"/>
            <w:tcBorders/>
            <w:shd w:fill="CCEEFF" w:val="clear"/>
            <w:vAlign w:val="center"/>
          </w:tcPr>
          <w:p>
            <w:pPr>
              <w:pStyle w:val="TableContents"/>
              <w:spacing w:before="0" w:after="1"/>
              <w:ind w:left="0" w:right="0" w:hanging="0"/>
              <w:jc w:val="right"/>
              <w:rPr/>
            </w:pPr>
            <w:r>
              <w:rPr/>
              <w:t>  </w:t>
            </w:r>
          </w:p>
        </w:tc>
      </w:tr>
      <w:tr>
        <w:trPr/>
        <w:tc>
          <w:tcPr>
            <w:tcW w:w="726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913" w:type="dxa"/>
            <w:tcBorders/>
            <w:shd w:fill="auto" w:val="clear"/>
            <w:vAlign w:val="center"/>
          </w:tcPr>
          <w:p>
            <w:pPr>
              <w:pStyle w:val="TableContents"/>
              <w:spacing w:before="0" w:after="1"/>
              <w:ind w:left="0" w:right="0" w:hanging="0"/>
              <w:jc w:val="right"/>
              <w:rPr>
                <w:color w:val="FF0000"/>
              </w:rPr>
            </w:pPr>
            <w:r>
              <w:rPr>
                <w:color w:val="FF0000"/>
              </w:rPr>
              <w:t>  </w:t>
            </w:r>
          </w:p>
        </w:tc>
        <w:tc>
          <w:tcPr>
            <w:tcW w:w="326" w:type="dxa"/>
            <w:tcBorders/>
            <w:shd w:fill="auto" w:val="clear"/>
            <w:vAlign w:val="center"/>
          </w:tcPr>
          <w:p>
            <w:pPr>
              <w:pStyle w:val="TableContents"/>
              <w:spacing w:before="0" w:after="1"/>
              <w:ind w:left="0" w:right="0" w:hanging="0"/>
              <w:rPr/>
            </w:pPr>
            <w:r>
              <w:rPr/>
              <w:t>​</w:t>
            </w:r>
          </w:p>
        </w:tc>
        <w:tc>
          <w:tcPr>
            <w:tcW w:w="199" w:type="dxa"/>
            <w:tcBorders/>
            <w:shd w:fill="auto" w:val="clear"/>
            <w:vAlign w:val="center"/>
          </w:tcPr>
          <w:p>
            <w:pPr>
              <w:pStyle w:val="TableContents"/>
              <w:spacing w:before="0" w:after="1"/>
              <w:ind w:left="0" w:right="0" w:hanging="0"/>
              <w:rPr/>
            </w:pPr>
            <w:r>
              <w:rPr/>
              <w:t> </w:t>
            </w:r>
          </w:p>
        </w:tc>
        <w:tc>
          <w:tcPr>
            <w:tcW w:w="983" w:type="dxa"/>
            <w:tcBorders/>
            <w:shd w:fill="auto" w:val="clear"/>
            <w:vAlign w:val="center"/>
          </w:tcPr>
          <w:p>
            <w:pPr>
              <w:pStyle w:val="TableContents"/>
              <w:spacing w:before="0" w:after="1"/>
              <w:ind w:left="0" w:right="0" w:hanging="0"/>
              <w:jc w:val="right"/>
              <w:rPr/>
            </w:pPr>
            <w:r>
              <w:rPr/>
              <w:t>  </w:t>
            </w:r>
          </w:p>
        </w:tc>
      </w:tr>
      <w:tr>
        <w:trPr/>
        <w:tc>
          <w:tcPr>
            <w:tcW w:w="7262" w:type="dxa"/>
            <w:tcBorders/>
            <w:shd w:fill="CCEEFF" w:val="clear"/>
            <w:vAlign w:val="center"/>
          </w:tcPr>
          <w:p>
            <w:pPr>
              <w:pStyle w:val="TableContents"/>
              <w:spacing w:before="0" w:after="1"/>
              <w:ind w:left="0" w:right="0" w:hanging="0"/>
              <w:rPr>
                <w:rFonts w:ascii="Times New Roman;Times;serif" w:hAnsi="Times New Roman;Times;serif"/>
                <w:b/>
                <w:sz w:val="18"/>
              </w:rPr>
            </w:pPr>
            <w:r>
              <w:rPr>
                <w:rFonts w:ascii="Times New Roman;Times;serif" w:hAnsi="Times New Roman;Times;serif"/>
                <w:b/>
                <w:sz w:val="18"/>
              </w:rPr>
              <w:t>Stockholders’ Equity</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913" w:type="dxa"/>
            <w:tcBorders/>
            <w:shd w:fill="CCEEFF" w:val="clear"/>
            <w:vAlign w:val="center"/>
          </w:tcPr>
          <w:p>
            <w:pPr>
              <w:pStyle w:val="TableContents"/>
              <w:spacing w:before="0" w:after="1"/>
              <w:ind w:left="0" w:right="0" w:hanging="0"/>
              <w:jc w:val="right"/>
              <w:rPr>
                <w:color w:val="FF0000"/>
              </w:rPr>
            </w:pPr>
            <w:r>
              <w:rPr>
                <w:color w:val="FF0000"/>
              </w:rPr>
              <w:t>  </w:t>
            </w:r>
          </w:p>
        </w:tc>
        <w:tc>
          <w:tcPr>
            <w:tcW w:w="326" w:type="dxa"/>
            <w:tcBorders/>
            <w:shd w:fill="CCEEFF" w:val="clear"/>
            <w:vAlign w:val="center"/>
          </w:tcPr>
          <w:p>
            <w:pPr>
              <w:pStyle w:val="TableContents"/>
              <w:spacing w:before="0" w:after="1"/>
              <w:ind w:left="0" w:right="0" w:hanging="0"/>
              <w:rPr/>
            </w:pPr>
            <w:r>
              <w:rPr/>
              <w:t>​</w:t>
            </w:r>
          </w:p>
        </w:tc>
        <w:tc>
          <w:tcPr>
            <w:tcW w:w="199" w:type="dxa"/>
            <w:tcBorders/>
            <w:shd w:fill="CCEEFF" w:val="clear"/>
            <w:vAlign w:val="center"/>
          </w:tcPr>
          <w:p>
            <w:pPr>
              <w:pStyle w:val="TableContents"/>
              <w:spacing w:before="0" w:after="1"/>
              <w:ind w:left="0" w:right="0" w:hanging="0"/>
              <w:rPr/>
            </w:pPr>
            <w:r>
              <w:rPr/>
              <w:t> </w:t>
            </w:r>
          </w:p>
        </w:tc>
        <w:tc>
          <w:tcPr>
            <w:tcW w:w="983" w:type="dxa"/>
            <w:tcBorders/>
            <w:shd w:fill="CCEEFF" w:val="clear"/>
            <w:vAlign w:val="center"/>
          </w:tcPr>
          <w:p>
            <w:pPr>
              <w:pStyle w:val="TableContents"/>
              <w:spacing w:before="0" w:after="1"/>
              <w:ind w:left="0" w:right="0" w:hanging="0"/>
              <w:jc w:val="right"/>
              <w:rPr/>
            </w:pPr>
            <w:r>
              <w:rPr/>
              <w:t>  </w:t>
            </w:r>
          </w:p>
        </w:tc>
      </w:tr>
      <w:tr>
        <w:trPr/>
        <w:tc>
          <w:tcPr>
            <w:tcW w:w="7262"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 xml:space="preserve">Series A Convertible Preferred stock, $0.001 par value; 17,000 shares designated, 194 shares issued and outstanding as of March 31, 2023 and December 31, 2022 </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913"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9" w:type="dxa"/>
            <w:tcBorders/>
            <w:shd w:fill="auto" w:val="clear"/>
            <w:vAlign w:val="center"/>
          </w:tcPr>
          <w:p>
            <w:pPr>
              <w:pStyle w:val="TableContents"/>
              <w:spacing w:before="0" w:after="1"/>
              <w:ind w:left="0" w:right="0" w:hanging="0"/>
              <w:rPr/>
            </w:pPr>
            <w:r>
              <w:rPr/>
              <w:t> </w:t>
            </w:r>
          </w:p>
        </w:tc>
        <w:tc>
          <w:tcPr>
            <w:tcW w:w="983" w:type="dxa"/>
            <w:tcBorders/>
            <w:shd w:fill="auto" w:val="clear"/>
            <w:vAlign w:val="center"/>
          </w:tcPr>
          <w:p>
            <w:pPr>
              <w:pStyle w:val="TableContents"/>
              <w:spacing w:before="0" w:after="1"/>
              <w:ind w:left="0" w:right="0" w:hanging="0"/>
              <w:jc w:val="right"/>
              <w:rPr/>
            </w:pPr>
            <w:r>
              <w:rPr/>
              <w:t>—</w:t>
            </w:r>
          </w:p>
        </w:tc>
      </w:tr>
      <w:tr>
        <w:trPr/>
        <w:tc>
          <w:tcPr>
            <w:tcW w:w="7262"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Series B Convertible Preferred stock, $0.001 par value; 11,500,000 shares designated, 2,842,158 shares issued and outstanding as of March 31, 2023 and December 31, 2022</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913"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w:t>
            </w:r>
          </w:p>
        </w:tc>
        <w:tc>
          <w:tcPr>
            <w:tcW w:w="326" w:type="dxa"/>
            <w:tcBorders/>
            <w:shd w:fill="CCEEFF" w:val="clear"/>
            <w:vAlign w:val="center"/>
          </w:tcPr>
          <w:p>
            <w:pPr>
              <w:pStyle w:val="TableContents"/>
              <w:spacing w:before="0" w:after="1"/>
              <w:ind w:left="0" w:right="0" w:hanging="0"/>
              <w:rPr/>
            </w:pPr>
            <w:r>
              <w:rPr/>
              <w:t>​</w:t>
            </w:r>
          </w:p>
        </w:tc>
        <w:tc>
          <w:tcPr>
            <w:tcW w:w="199" w:type="dxa"/>
            <w:tcBorders/>
            <w:shd w:fill="CCEEFF" w:val="clear"/>
            <w:vAlign w:val="center"/>
          </w:tcPr>
          <w:p>
            <w:pPr>
              <w:pStyle w:val="TableContents"/>
              <w:spacing w:before="0" w:after="1"/>
              <w:ind w:left="0" w:right="0" w:hanging="0"/>
              <w:rPr/>
            </w:pPr>
            <w:r>
              <w:rPr/>
              <w:t> </w:t>
            </w:r>
          </w:p>
        </w:tc>
        <w:tc>
          <w:tcPr>
            <w:tcW w:w="983"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w:t>
            </w:r>
          </w:p>
        </w:tc>
      </w:tr>
      <w:tr>
        <w:trPr/>
        <w:tc>
          <w:tcPr>
            <w:tcW w:w="726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18"/>
              </w:rPr>
              <w:t>Common stock, $0.000041666</w:t>
            </w:r>
            <w:r>
              <w:rPr>
                <w:rFonts w:ascii="Times New Roman;Times;serif" w:hAnsi="Times New Roman;Times;serif"/>
                <w:sz w:val="20"/>
              </w:rPr>
              <w:t xml:space="preserve"> </w:t>
            </w:r>
            <w:r>
              <w:rPr>
                <w:rFonts w:ascii="Times New Roman;Times;serif" w:hAnsi="Times New Roman;Times;serif"/>
                <w:sz w:val="18"/>
              </w:rPr>
              <w:t>par value; 300,000,000</w:t>
            </w:r>
            <w:r>
              <w:rPr>
                <w:rFonts w:ascii="Times New Roman;Times;serif" w:hAnsi="Times New Roman;Times;serif"/>
                <w:sz w:val="20"/>
              </w:rPr>
              <w:t xml:space="preserve"> </w:t>
            </w:r>
            <w:r>
              <w:rPr>
                <w:rFonts w:ascii="Times New Roman;Times;serif" w:hAnsi="Times New Roman;Times;serif"/>
                <w:sz w:val="18"/>
              </w:rPr>
              <w:t>shares authorized, 224,358,979</w:t>
            </w:r>
            <w:r>
              <w:rPr>
                <w:rFonts w:ascii="Times New Roman;Times;serif" w:hAnsi="Times New Roman;Times;serif"/>
                <w:sz w:val="20"/>
              </w:rPr>
              <w:t xml:space="preserve"> </w:t>
            </w:r>
            <w:r>
              <w:rPr>
                <w:rFonts w:ascii="Times New Roman;Times;serif" w:hAnsi="Times New Roman;Times;serif"/>
                <w:sz w:val="18"/>
              </w:rPr>
              <w:t>and 187,812,072</w:t>
            </w:r>
            <w:r>
              <w:rPr>
                <w:rFonts w:ascii="Times New Roman;Times;serif" w:hAnsi="Times New Roman;Times;serif"/>
                <w:sz w:val="20"/>
              </w:rPr>
              <w:t xml:space="preserve"> </w:t>
            </w:r>
            <w:r>
              <w:rPr>
                <w:rFonts w:ascii="Times New Roman;Times;serif" w:hAnsi="Times New Roman;Times;serif"/>
                <w:sz w:val="18"/>
              </w:rPr>
              <w:t xml:space="preserve">shares </w:t>
            </w:r>
            <w:r>
              <w:rPr>
                <w:rFonts w:ascii="Times New Roman;Times;serif" w:hAnsi="Times New Roman;Times;serif"/>
                <w:b w:val="false"/>
                <w:i w:val="false"/>
                <w:caps w:val="false"/>
                <w:smallCaps w:val="false"/>
                <w:sz w:val="18"/>
              </w:rPr>
              <w:t>issued</w:t>
            </w:r>
            <w:r>
              <w:rPr>
                <w:rFonts w:ascii="Times New Roman;Times;serif" w:hAnsi="Times New Roman;Times;serif"/>
                <w:sz w:val="20"/>
              </w:rPr>
              <w:t xml:space="preserve"> </w:t>
            </w:r>
            <w:r>
              <w:rPr>
                <w:rFonts w:ascii="Times New Roman;Times;serif" w:hAnsi="Times New Roman;Times;serif"/>
                <w:sz w:val="18"/>
              </w:rPr>
              <w:t xml:space="preserve">and </w:t>
            </w:r>
            <w:r>
              <w:rPr>
                <w:rFonts w:ascii="Times New Roman;Times;serif" w:hAnsi="Times New Roman;Times;serif"/>
                <w:b w:val="false"/>
                <w:i w:val="false"/>
                <w:caps w:val="false"/>
                <w:smallCaps w:val="false"/>
                <w:sz w:val="18"/>
              </w:rPr>
              <w:t>outstanding</w:t>
            </w:r>
            <w:r>
              <w:rPr>
                <w:rFonts w:ascii="Times New Roman;Times;serif" w:hAnsi="Times New Roman;Times;serif"/>
                <w:sz w:val="20"/>
              </w:rPr>
              <w:t xml:space="preserve"> </w:t>
            </w:r>
            <w:r>
              <w:rPr>
                <w:rFonts w:ascii="Times New Roman;Times;serif" w:hAnsi="Times New Roman;Times;serif"/>
                <w:sz w:val="18"/>
              </w:rPr>
              <w:t>as of March 31, 2023 and December 31, 2022, respectively</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913"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9</w:t>
            </w:r>
          </w:p>
        </w:tc>
        <w:tc>
          <w:tcPr>
            <w:tcW w:w="326" w:type="dxa"/>
            <w:tcBorders/>
            <w:shd w:fill="auto" w:val="clear"/>
            <w:vAlign w:val="center"/>
          </w:tcPr>
          <w:p>
            <w:pPr>
              <w:pStyle w:val="TableContents"/>
              <w:spacing w:before="0" w:after="1"/>
              <w:ind w:left="0" w:right="0" w:hanging="0"/>
              <w:rPr/>
            </w:pPr>
            <w:r>
              <w:rPr/>
              <w:t>​</w:t>
            </w:r>
          </w:p>
        </w:tc>
        <w:tc>
          <w:tcPr>
            <w:tcW w:w="199" w:type="dxa"/>
            <w:tcBorders/>
            <w:shd w:fill="auto" w:val="clear"/>
            <w:vAlign w:val="center"/>
          </w:tcPr>
          <w:p>
            <w:pPr>
              <w:pStyle w:val="TableContents"/>
              <w:spacing w:before="0" w:after="1"/>
              <w:ind w:left="0" w:right="0" w:hanging="0"/>
              <w:rPr/>
            </w:pPr>
            <w:r>
              <w:rPr/>
              <w:t> </w:t>
            </w:r>
          </w:p>
        </w:tc>
        <w:tc>
          <w:tcPr>
            <w:tcW w:w="983"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8</w:t>
            </w:r>
          </w:p>
        </w:tc>
      </w:tr>
      <w:tr>
        <w:trPr/>
        <w:tc>
          <w:tcPr>
            <w:tcW w:w="7262"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Accumulated other comprehensive loss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913"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(126)</w:t>
            </w:r>
          </w:p>
        </w:tc>
        <w:tc>
          <w:tcPr>
            <w:tcW w:w="326" w:type="dxa"/>
            <w:tcBorders/>
            <w:shd w:fill="CCEEFF" w:val="clear"/>
            <w:vAlign w:val="center"/>
          </w:tcPr>
          <w:p>
            <w:pPr>
              <w:pStyle w:val="TableContents"/>
              <w:spacing w:before="0" w:after="1"/>
              <w:ind w:left="0" w:right="0" w:hanging="0"/>
              <w:rPr/>
            </w:pPr>
            <w:r>
              <w:rPr/>
              <w:t>​</w:t>
            </w:r>
          </w:p>
        </w:tc>
        <w:tc>
          <w:tcPr>
            <w:tcW w:w="199" w:type="dxa"/>
            <w:tcBorders/>
            <w:shd w:fill="CCEEFF" w:val="clear"/>
            <w:vAlign w:val="center"/>
          </w:tcPr>
          <w:p>
            <w:pPr>
              <w:pStyle w:val="TableContents"/>
              <w:spacing w:before="0" w:after="1"/>
              <w:ind w:left="0" w:right="0" w:hanging="0"/>
              <w:rPr/>
            </w:pPr>
            <w:r>
              <w:rPr/>
              <w:t> </w:t>
            </w:r>
          </w:p>
        </w:tc>
        <w:tc>
          <w:tcPr>
            <w:tcW w:w="983"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(902)</w:t>
            </w:r>
          </w:p>
        </w:tc>
      </w:tr>
      <w:tr>
        <w:trPr/>
        <w:tc>
          <w:tcPr>
            <w:tcW w:w="7262"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Additional paid-in capital</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913"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2,342,703</w:t>
            </w:r>
          </w:p>
        </w:tc>
        <w:tc>
          <w:tcPr>
            <w:tcW w:w="326" w:type="dxa"/>
            <w:tcBorders/>
            <w:shd w:fill="auto" w:val="clear"/>
            <w:vAlign w:val="center"/>
          </w:tcPr>
          <w:p>
            <w:pPr>
              <w:pStyle w:val="TableContents"/>
              <w:spacing w:before="0" w:after="1"/>
              <w:ind w:left="0" w:right="0" w:hanging="0"/>
              <w:rPr/>
            </w:pPr>
            <w:r>
              <w:rPr/>
              <w:t>​</w:t>
            </w:r>
          </w:p>
        </w:tc>
        <w:tc>
          <w:tcPr>
            <w:tcW w:w="199" w:type="dxa"/>
            <w:tcBorders/>
            <w:shd w:fill="auto" w:val="clear"/>
            <w:vAlign w:val="center"/>
          </w:tcPr>
          <w:p>
            <w:pPr>
              <w:pStyle w:val="TableContents"/>
              <w:spacing w:before="0" w:after="1"/>
              <w:ind w:left="0" w:right="0" w:hanging="0"/>
              <w:rPr/>
            </w:pPr>
            <w:r>
              <w:rPr/>
              <w:t> </w:t>
            </w:r>
          </w:p>
        </w:tc>
        <w:tc>
          <w:tcPr>
            <w:tcW w:w="983"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2,068,867</w:t>
            </w:r>
          </w:p>
        </w:tc>
      </w:tr>
      <w:tr>
        <w:trPr/>
        <w:tc>
          <w:tcPr>
            <w:tcW w:w="7262"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Accumulated deficit</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1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(1,675,708)</w:t>
            </w:r>
          </w:p>
        </w:tc>
        <w:tc>
          <w:tcPr>
            <w:tcW w:w="326" w:type="dxa"/>
            <w:tcBorders/>
            <w:shd w:fill="CCEEFF" w:val="clear"/>
            <w:vAlign w:val="center"/>
          </w:tcPr>
          <w:p>
            <w:pPr>
              <w:pStyle w:val="TableContents"/>
              <w:spacing w:before="0" w:after="1"/>
              <w:ind w:left="0" w:right="0" w:hanging="0"/>
              <w:rPr/>
            </w:pPr>
            <w:r>
              <w:rPr/>
              <w:t>​</w:t>
            </w:r>
          </w:p>
        </w:tc>
        <w:tc>
          <w:tcPr>
            <w:tcW w:w="199"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8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(1,568,338)</w:t>
            </w:r>
          </w:p>
        </w:tc>
      </w:tr>
      <w:tr>
        <w:trPr/>
        <w:tc>
          <w:tcPr>
            <w:tcW w:w="7262" w:type="dxa"/>
            <w:tcBorders/>
            <w:shd w:fill="auto" w:val="clear"/>
            <w:vAlign w:val="center"/>
          </w:tcPr>
          <w:p>
            <w:pPr>
              <w:pStyle w:val="TableContents"/>
              <w:spacing w:before="0" w:after="1"/>
              <w:ind w:left="0" w:right="0" w:hanging="0"/>
              <w:rPr>
                <w:rFonts w:ascii="Times New Roman;Times;serif" w:hAnsi="Times New Roman;Times;serif"/>
                <w:b/>
                <w:sz w:val="18"/>
              </w:rPr>
            </w:pPr>
            <w:r>
              <w:rPr>
                <w:rFonts w:ascii="Times New Roman;Times;serif" w:hAnsi="Times New Roman;Times;serif"/>
                <w:b/>
                <w:sz w:val="18"/>
              </w:rPr>
              <w:t>Total Stockholders’ Equity</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1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666,881</w:t>
            </w:r>
          </w:p>
        </w:tc>
        <w:tc>
          <w:tcPr>
            <w:tcW w:w="326" w:type="dxa"/>
            <w:tcBorders/>
            <w:shd w:fill="auto" w:val="clear"/>
            <w:vAlign w:val="center"/>
          </w:tcPr>
          <w:p>
            <w:pPr>
              <w:pStyle w:val="TableContents"/>
              <w:spacing w:before="0" w:after="1"/>
              <w:ind w:left="0" w:right="0" w:hanging="0"/>
              <w:rPr/>
            </w:pPr>
            <w:r>
              <w:rPr/>
              <w:t>​</w:t>
            </w:r>
          </w:p>
        </w:tc>
        <w:tc>
          <w:tcPr>
            <w:tcW w:w="199"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8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499,638</w:t>
            </w:r>
          </w:p>
        </w:tc>
      </w:tr>
      <w:tr>
        <w:trPr/>
        <w:tc>
          <w:tcPr>
            <w:tcW w:w="7262" w:type="dxa"/>
            <w:tcBorders/>
            <w:shd w:fill="CCEEFF" w:val="clear"/>
            <w:vAlign w:val="center"/>
          </w:tcPr>
          <w:p>
            <w:pPr>
              <w:pStyle w:val="TableContents"/>
              <w:spacing w:before="0" w:after="1"/>
              <w:ind w:left="0" w:right="0" w:hanging="0"/>
              <w:rPr>
                <w:rFonts w:ascii="Times New Roman;Times;serif" w:hAnsi="Times New Roman;Times;serif"/>
                <w:b/>
                <w:sz w:val="18"/>
              </w:rPr>
            </w:pPr>
            <w:r>
              <w:rPr>
                <w:rFonts w:ascii="Times New Roman;Times;serif" w:hAnsi="Times New Roman;Times;serif"/>
                <w:b/>
                <w:sz w:val="18"/>
              </w:rPr>
              <w:t>Total Liabilities and Stockholders’ Equity</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913"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824,767</w:t>
            </w:r>
          </w:p>
        </w:tc>
        <w:tc>
          <w:tcPr>
            <w:tcW w:w="326" w:type="dxa"/>
            <w:tcBorders/>
            <w:shd w:fill="CCEEFF" w:val="clear"/>
            <w:vAlign w:val="center"/>
          </w:tcPr>
          <w:p>
            <w:pPr>
              <w:pStyle w:val="TableContents"/>
              <w:spacing w:before="0" w:after="1"/>
              <w:ind w:left="0" w:right="0" w:hanging="0"/>
              <w:rPr/>
            </w:pPr>
            <w:r>
              <w:rPr/>
              <w:t>​</w:t>
            </w:r>
          </w:p>
        </w:tc>
        <w:tc>
          <w:tcPr>
            <w:tcW w:w="199"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983"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18"/>
              </w:rPr>
            </w:pPr>
            <w:r>
              <w:rPr>
                <w:rFonts w:ascii="Times New Roman;Times;serif" w:hAnsi="Times New Roman;Times;serif"/>
                <w:sz w:val="18"/>
              </w:rPr>
              <w:t>663,982</w:t>
            </w:r>
          </w:p>
        </w:tc>
      </w:tr>
    </w:tbl>
    <w:p>
      <w:pPr>
        <w:pStyle w:val="TextBody"/>
        <w:spacing w:before="0" w:after="200"/>
        <w:ind w:left="0" w:right="0" w:hanging="0"/>
        <w:rPr/>
      </w:pPr>
      <w:r>
        <w:rPr/>
        <w:t>​</w:t>
      </w:r>
    </w:p>
    <w:p>
      <w:pPr>
        <w:pStyle w:val="TextBody"/>
        <w:spacing w:before="0" w:after="200"/>
        <w:ind w:left="0" w:right="0" w:firstLine="547"/>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131" w:name="_d5ce5560_e981_407b_aaba_682395d2725d"/>
      <w:bookmarkEnd w:id="131"/>
      <w:r>
        <w:rPr>
          <w:rFonts w:ascii="Times New Roman;Times;serif" w:hAnsi="Times New Roman;Times;serif"/>
          <w:b/>
          <w:sz w:val="20"/>
        </w:rPr>
        <w:t>IOVANCE BIOTHERAPEUTICS,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Operations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per share information)</w:t>
      </w:r>
    </w:p>
    <w:p>
      <w:pPr>
        <w:pStyle w:val="TextBody"/>
        <w:spacing w:before="0" w:after="200"/>
        <w:ind w:left="0" w:right="0" w:hanging="0"/>
        <w:jc w:val="center"/>
        <w:rPr/>
      </w:pPr>
      <w:r>
        <w:rPr/>
        <w:t>​</w:t>
      </w:r>
    </w:p>
    <w:p>
      <w:pPr>
        <w:pStyle w:val="Normal"/>
        <w:spacing w:before="0" w:after="0"/>
        <w:rPr>
          <w:sz w:val="4"/>
          <w:szCs w:val="4"/>
        </w:rPr>
      </w:pPr>
      <w:r>
        <w:rPr>
          <w:sz w:val="4"/>
          <w:szCs w:val="4"/>
        </w:rPr>
      </w:r>
      <w:bookmarkStart w:id="132" w:name="Tc_V-1dsDmIcE6EoFVtZKwtCQ_14_0"/>
      <w:bookmarkStart w:id="133" w:name="Tc_SLPPpU8z7EWn79JM2tBkeA_13_0"/>
      <w:bookmarkStart w:id="134" w:name="Tc_3uxLxhX-yUuxbECiPMGb_g_12_5"/>
      <w:bookmarkStart w:id="135" w:name="Tc_T80rfhx47Em18AvcwlNX8g_12_2"/>
      <w:bookmarkStart w:id="136" w:name="Tc_brK0nkYktEKDs_rVRS3wZA_12_0"/>
      <w:bookmarkStart w:id="137" w:name="Tc_rrB4Ji4E706YevmB1wbXkg_11_0"/>
      <w:bookmarkStart w:id="138" w:name="Tc_jCn00Zqpl0S5v6joCcn_Ww_10_0"/>
      <w:bookmarkStart w:id="139" w:name="Tc_E7QFmiaG-UCYgwjdsXiiUQ_9_0"/>
      <w:bookmarkStart w:id="140" w:name="Tc_mehfhDVsNEC4rti1PhY21A_7_0"/>
      <w:bookmarkStart w:id="141" w:name="Tc_01cL3AMQo0WF9R9WmEgyvw_6_0"/>
      <w:bookmarkStart w:id="142" w:name="Tc_TLaTbxbtCUKKsouFVLbllw_5_5"/>
      <w:bookmarkStart w:id="143" w:name="Tc_nSW-7EFsKUC1n6SZxE27iw_5_2"/>
      <w:bookmarkStart w:id="144" w:name="Tc_QiX4vT_xr0ipBN-7gOYkMw_5_0"/>
      <w:bookmarkStart w:id="145" w:name="Tc_GPHl1GCIW0GAinDSN_zHfA_4_0"/>
      <w:bookmarkStart w:id="146" w:name="Tc_2G8SpYjwWku5uBTFUEH0xw_3_5"/>
      <w:bookmarkStart w:id="147" w:name="Tc_R3UhUChMjUW_iV0vwFLbrQ_3_2"/>
      <w:bookmarkStart w:id="148" w:name="Tc_3BiAFDGIOk2qCmonzFlFEw_2_2"/>
      <w:bookmarkStart w:id="149" w:name="Tc_MyXMedpFM0qddkfkwzo4Fw_1_2"/>
      <w:bookmarkStart w:id="150" w:name="_d4781a8d_9dfc_4fe7_bba2_bf327f2315d5"/>
      <w:bookmarkStart w:id="151" w:name="Tc_V-1dsDmIcE6EoFVtZKwtCQ_14_0"/>
      <w:bookmarkStart w:id="152" w:name="Tc_SLPPpU8z7EWn79JM2tBkeA_13_0"/>
      <w:bookmarkStart w:id="153" w:name="Tc_3uxLxhX-yUuxbECiPMGb_g_12_5"/>
      <w:bookmarkStart w:id="154" w:name="Tc_T80rfhx47Em18AvcwlNX8g_12_2"/>
      <w:bookmarkStart w:id="155" w:name="Tc_brK0nkYktEKDs_rVRS3wZA_12_0"/>
      <w:bookmarkStart w:id="156" w:name="Tc_rrB4Ji4E706YevmB1wbXkg_11_0"/>
      <w:bookmarkStart w:id="157" w:name="Tc_jCn00Zqpl0S5v6joCcn_Ww_10_0"/>
      <w:bookmarkStart w:id="158" w:name="Tc_E7QFmiaG-UCYgwjdsXiiUQ_9_0"/>
      <w:bookmarkStart w:id="159" w:name="Tc_mehfhDVsNEC4rti1PhY21A_7_0"/>
      <w:bookmarkStart w:id="160" w:name="Tc_01cL3AMQo0WF9R9WmEgyvw_6_0"/>
      <w:bookmarkStart w:id="161" w:name="Tc_TLaTbxbtCUKKsouFVLbllw_5_5"/>
      <w:bookmarkStart w:id="162" w:name="Tc_nSW-7EFsKUC1n6SZxE27iw_5_2"/>
      <w:bookmarkStart w:id="163" w:name="Tc_QiX4vT_xr0ipBN-7gOYkMw_5_0"/>
      <w:bookmarkStart w:id="164" w:name="Tc_GPHl1GCIW0GAinDSN_zHfA_4_0"/>
      <w:bookmarkStart w:id="165" w:name="Tc_2G8SpYjwWku5uBTFUEH0xw_3_5"/>
      <w:bookmarkStart w:id="166" w:name="Tc_R3UhUChMjUW_iV0vwFLbrQ_3_2"/>
      <w:bookmarkStart w:id="167" w:name="Tc_3BiAFDGIOk2qCmonzFlFEw_2_2"/>
      <w:bookmarkStart w:id="168" w:name="Tc_MyXMedpFM0qddkfkwzo4Fw_1_2"/>
      <w:bookmarkStart w:id="169" w:name="_d4781a8d_9dfc_4fe7_bba2_bf327f2315d5"/>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p>
    <w:tbl>
      <w:tblPr>
        <w:tblW w:w="9167" w:type="dxa"/>
        <w:jc w:val="left"/>
        <w:tblInd w:w="0" w:type="dxa"/>
        <w:tblCellMar>
          <w:top w:w="0" w:type="dxa"/>
          <w:left w:w="0" w:type="dxa"/>
          <w:bottom w:w="0" w:type="dxa"/>
          <w:right w:w="0" w:type="dxa"/>
        </w:tblCellMar>
      </w:tblPr>
      <w:tblGrid>
        <w:gridCol w:w="6511"/>
        <w:gridCol w:w="109"/>
        <w:gridCol w:w="211"/>
        <w:gridCol w:w="901"/>
        <w:gridCol w:w="326"/>
        <w:gridCol w:w="211"/>
        <w:gridCol w:w="898"/>
      </w:tblGrid>
      <w:tr>
        <w:trPr/>
        <w:tc>
          <w:tcPr>
            <w:tcW w:w="6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4134485" cy="175260"/>
                      <wp:effectExtent l="0" t="0" r="0" b="0"/>
                      <wp:wrapNone/>
                      <wp:docPr id="8" name="Frame8"/>
                      <a:graphic xmlns:a="http://schemas.openxmlformats.org/drawingml/2006/main">
                        <a:graphicData uri="http://schemas.microsoft.com/office/word/2010/wordprocessingShape">
                          <wps:wsp>
                            <wps:cNvSpPr txBox="1"/>
                            <wps:spPr>
                              <a:xfrm>
                                <a:off x="0" y="0"/>
                                <a:ext cx="4134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9215" cy="175260"/>
                      <wp:effectExtent l="0" t="0" r="0" b="0"/>
                      <wp:wrapNone/>
                      <wp:docPr id="9" name="Frame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0" name="Frame1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72135" cy="175260"/>
                      <wp:effectExtent l="0" t="0" r="0" b="0"/>
                      <wp:wrapNone/>
                      <wp:docPr id="11" name="Frame11"/>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70230" cy="175260"/>
                      <wp:effectExtent l="0" t="0" r="0" b="0"/>
                      <wp:wrapNone/>
                      <wp:docPr id="14" name="Frame14"/>
                      <a:graphic xmlns:a="http://schemas.openxmlformats.org/drawingml/2006/main">
                        <a:graphicData uri="http://schemas.microsoft.com/office/word/2010/wordprocessingShape">
                          <wps:wsp>
                            <wps:cNvSpPr txBox="1"/>
                            <wps:spPr>
                              <a:xfrm>
                                <a:off x="0" y="0"/>
                                <a:ext cx="5702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651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547"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651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547"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651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11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1"/>
              <w:ind w:left="0" w:right="0" w:hanging="0"/>
              <w:rPr/>
            </w:pPr>
            <w:r>
              <w:rPr/>
              <w:t>    </w:t>
            </w:r>
          </w:p>
        </w:tc>
        <w:tc>
          <w:tcPr>
            <w:tcW w:w="1109"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51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Costs and expenses</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98" w:type="dxa"/>
            <w:tcBorders/>
            <w:shd w:fill="CCEEFF" w:val="clear"/>
            <w:vAlign w:val="center"/>
          </w:tcPr>
          <w:p>
            <w:pPr>
              <w:pStyle w:val="TableContents"/>
              <w:spacing w:before="0" w:after="1"/>
              <w:ind w:left="0" w:right="0" w:hanging="0"/>
              <w:jc w:val="right"/>
              <w:rPr/>
            </w:pPr>
            <w:r>
              <w:rPr/>
              <w:t>​</w:t>
            </w:r>
          </w:p>
        </w:tc>
      </w:tr>
      <w:tr>
        <w:trPr/>
        <w:tc>
          <w:tcPr>
            <w:tcW w:w="65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Research and development </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82,734</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9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68,300</w:t>
            </w:r>
          </w:p>
        </w:tc>
      </w:tr>
      <w:tr>
        <w:trPr/>
        <w:tc>
          <w:tcPr>
            <w:tcW w:w="65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General and administrative </w:t>
            </w:r>
          </w:p>
        </w:tc>
        <w:tc>
          <w:tcPr>
            <w:tcW w:w="109"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28,122</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9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23,413</w:t>
            </w:r>
          </w:p>
        </w:tc>
      </w:tr>
      <w:tr>
        <w:trPr/>
        <w:tc>
          <w:tcPr>
            <w:tcW w:w="65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costs and expenses</w:t>
            </w:r>
          </w:p>
        </w:tc>
        <w:tc>
          <w:tcPr>
            <w:tcW w:w="109"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110,856</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9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91,713</w:t>
            </w:r>
          </w:p>
        </w:tc>
      </w:tr>
      <w:tr>
        <w:trPr/>
        <w:tc>
          <w:tcPr>
            <w:tcW w:w="6511"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color w:val="FF0000"/>
              </w:rPr>
            </w:pPr>
            <w:r>
              <w:rPr>
                <w:color w:val="FF0000"/>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98" w:type="dxa"/>
            <w:tcBorders/>
            <w:shd w:fill="CCEEFF" w:val="clear"/>
            <w:vAlign w:val="center"/>
          </w:tcPr>
          <w:p>
            <w:pPr>
              <w:pStyle w:val="TableContents"/>
              <w:spacing w:before="0" w:after="1"/>
              <w:ind w:left="0" w:right="0" w:hanging="0"/>
              <w:jc w:val="right"/>
              <w:rPr/>
            </w:pPr>
            <w:r>
              <w:rPr/>
              <w:t>​</w:t>
            </w:r>
          </w:p>
        </w:tc>
      </w:tr>
      <w:tr>
        <w:trPr/>
        <w:tc>
          <w:tcPr>
            <w:tcW w:w="651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Loss from operations</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(110,856)</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9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(91,713)</w:t>
            </w:r>
          </w:p>
        </w:tc>
      </w:tr>
      <w:tr>
        <w:trPr/>
        <w:tc>
          <w:tcPr>
            <w:tcW w:w="651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Other income</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color w:val="FF0000"/>
              </w:rPr>
            </w:pPr>
            <w:r>
              <w:rPr>
                <w:color w:val="FF0000"/>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98" w:type="dxa"/>
            <w:tcBorders/>
            <w:shd w:fill="CCEEFF" w:val="clear"/>
            <w:vAlign w:val="center"/>
          </w:tcPr>
          <w:p>
            <w:pPr>
              <w:pStyle w:val="TableContents"/>
              <w:spacing w:before="0" w:after="1"/>
              <w:ind w:left="0" w:right="0" w:hanging="0"/>
              <w:jc w:val="right"/>
              <w:rPr/>
            </w:pPr>
            <w:r>
              <w:rPr/>
              <w:t>​</w:t>
            </w:r>
          </w:p>
        </w:tc>
      </w:tr>
      <w:tr>
        <w:trPr/>
        <w:tc>
          <w:tcPr>
            <w:tcW w:w="65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Interest income, net</w:t>
            </w:r>
          </w:p>
        </w:tc>
        <w:tc>
          <w:tcPr>
            <w:tcW w:w="109"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3,486</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9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106</w:t>
            </w:r>
          </w:p>
        </w:tc>
      </w:tr>
      <w:tr>
        <w:trPr/>
        <w:tc>
          <w:tcPr>
            <w:tcW w:w="651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Net Loss</w:t>
            </w:r>
          </w:p>
        </w:tc>
        <w:tc>
          <w:tcPr>
            <w:tcW w:w="109"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(107,370)</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(91,607)</w:t>
            </w:r>
          </w:p>
        </w:tc>
      </w:tr>
      <w:tr>
        <w:trPr/>
        <w:tc>
          <w:tcPr>
            <w:tcW w:w="651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Net Loss Per Share of Common Stock, Basic and Diluted</w:t>
            </w:r>
          </w:p>
        </w:tc>
        <w:tc>
          <w:tcPr>
            <w:tcW w:w="109"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(0.50)</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8"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(0.58)</w:t>
            </w:r>
          </w:p>
        </w:tc>
      </w:tr>
      <w:tr>
        <w:trPr/>
        <w:tc>
          <w:tcPr>
            <w:tcW w:w="651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Weighted Average Shares of Common Stock Outstanding, Basic and Diluted</w:t>
            </w:r>
          </w:p>
        </w:tc>
        <w:tc>
          <w:tcPr>
            <w:tcW w:w="109"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pPr>
            <w:r>
              <w:rPr/>
              <w:t> </w:t>
            </w:r>
          </w:p>
        </w:tc>
        <w:tc>
          <w:tcPr>
            <w:tcW w:w="90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213,694</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pPr>
            <w:r>
              <w:rPr/>
              <w:t> </w:t>
            </w:r>
          </w:p>
        </w:tc>
        <w:tc>
          <w:tcPr>
            <w:tcW w:w="898" w:type="dxa"/>
            <w:tcBorders>
              <w:bottom w:val="double" w:sz="6" w:space="0" w:color="000000"/>
            </w:tcBorders>
            <w:shd w:fill="CCEEFF" w:val="clear"/>
            <w:tcMar>
              <w:bottom w:w="28" w:type="dxa"/>
            </w:tcMar>
            <w:vAlign w:val="center"/>
          </w:tcPr>
          <w:p>
            <w:pPr>
              <w:pStyle w:val="TableContents"/>
              <w:spacing w:before="0" w:after="1"/>
              <w:ind w:left="0" w:right="72" w:hanging="0"/>
              <w:jc w:val="right"/>
              <w:rPr>
                <w:rFonts w:ascii="Times New Roman;Times;serif" w:hAnsi="Times New Roman;Times;serif"/>
                <w:sz w:val="20"/>
              </w:rPr>
            </w:pPr>
            <w:r>
              <w:rPr>
                <w:rFonts w:ascii="Times New Roman;Times;serif" w:hAnsi="Times New Roman;Times;serif"/>
                <w:sz w:val="20"/>
              </w:rPr>
              <w:t>157,113</w:t>
            </w:r>
          </w:p>
        </w:tc>
      </w:tr>
    </w:tbl>
    <w:p>
      <w:pPr>
        <w:pStyle w:val="TextBody"/>
        <w:spacing w:before="0" w:after="200"/>
        <w:ind w:left="0" w:right="0" w:hanging="0"/>
        <w:rPr/>
      </w:pPr>
      <w:r>
        <w:rPr/>
        <w:t>​</w:t>
      </w:r>
    </w:p>
    <w:p>
      <w:pPr>
        <w:pStyle w:val="TextBody"/>
        <w:spacing w:before="0" w:after="200"/>
        <w:ind w:left="0" w:right="0" w:firstLine="547"/>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170" w:name="_111d4952_fc6d_4441_a9c0_9819beded6c8"/>
      <w:bookmarkEnd w:id="170"/>
      <w:r>
        <w:rPr>
          <w:rFonts w:ascii="Times New Roman;Times;serif" w:hAnsi="Times New Roman;Times;serif"/>
          <w:b/>
          <w:sz w:val="20"/>
        </w:rPr>
        <w:t>IOVANCE BIOTHERAPEUTICS,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Comprehensive Loss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spacing w:before="0" w:after="200"/>
        <w:ind w:left="0" w:right="0" w:hanging="0"/>
        <w:jc w:val="center"/>
        <w:rPr/>
      </w:pPr>
      <w:r>
        <w:rPr/>
        <w:t>​</w:t>
      </w:r>
    </w:p>
    <w:p>
      <w:pPr>
        <w:pStyle w:val="Normal"/>
        <w:spacing w:before="0" w:after="0"/>
        <w:rPr>
          <w:sz w:val="4"/>
          <w:szCs w:val="4"/>
        </w:rPr>
      </w:pPr>
      <w:r>
        <w:rPr>
          <w:sz w:val="4"/>
          <w:szCs w:val="4"/>
        </w:rPr>
      </w:r>
      <w:bookmarkStart w:id="171" w:name="Tc__kpIMiBKGEqnSyFvfADL0Q_7_5"/>
      <w:bookmarkStart w:id="172" w:name="Tc_hxz_I8XLC0CR-EGul7FDvw_7_2"/>
      <w:bookmarkStart w:id="173" w:name="Tc_XeZt9TLFAEaOU0Smxm8JMQ_7_0"/>
      <w:bookmarkStart w:id="174" w:name="Tc_sQwtlUJn20CUgxVqmIDs8w_6_0"/>
      <w:bookmarkStart w:id="175" w:name="Tc_AioRwqoS_E2jqZYUwPj3Og_5_0"/>
      <w:bookmarkStart w:id="176" w:name="Tc_cJxnWOQSIkSVGbnHsL7vKA_4_5"/>
      <w:bookmarkStart w:id="177" w:name="Tc_50fz1qp4hkmrUz_GXGC3Hw_4_2"/>
      <w:bookmarkStart w:id="178" w:name="Tc_NiXTX-SVCU6wMm1BQPwSTg_4_0"/>
      <w:bookmarkStart w:id="179" w:name="Tc_PsxCQjBvwE2dEogxwukZig_3_5"/>
      <w:bookmarkStart w:id="180" w:name="Tc_8oDgTpFmIk-ZUMLB_95UCg_3_2"/>
      <w:bookmarkStart w:id="181" w:name="Tc_Ch0xt-295U2z85nvMXLiTQ_2_2"/>
      <w:bookmarkStart w:id="182" w:name="Tc_PkNf2SVbUUKyL710p1g1aw_1_2"/>
      <w:bookmarkStart w:id="183" w:name="_37566bda_f13a_4695_981c_30558b3ab3d2"/>
      <w:bookmarkStart w:id="184" w:name="Tc__kpIMiBKGEqnSyFvfADL0Q_7_5"/>
      <w:bookmarkStart w:id="185" w:name="Tc_hxz_I8XLC0CR-EGul7FDvw_7_2"/>
      <w:bookmarkStart w:id="186" w:name="Tc_XeZt9TLFAEaOU0Smxm8JMQ_7_0"/>
      <w:bookmarkStart w:id="187" w:name="Tc_sQwtlUJn20CUgxVqmIDs8w_6_0"/>
      <w:bookmarkStart w:id="188" w:name="Tc_AioRwqoS_E2jqZYUwPj3Og_5_0"/>
      <w:bookmarkStart w:id="189" w:name="Tc_cJxnWOQSIkSVGbnHsL7vKA_4_5"/>
      <w:bookmarkStart w:id="190" w:name="Tc_50fz1qp4hkmrUz_GXGC3Hw_4_2"/>
      <w:bookmarkStart w:id="191" w:name="Tc_NiXTX-SVCU6wMm1BQPwSTg_4_0"/>
      <w:bookmarkStart w:id="192" w:name="Tc_PsxCQjBvwE2dEogxwukZig_3_5"/>
      <w:bookmarkStart w:id="193" w:name="Tc_8oDgTpFmIk-ZUMLB_95UCg_3_2"/>
      <w:bookmarkStart w:id="194" w:name="Tc_Ch0xt-295U2z85nvMXLiTQ_2_2"/>
      <w:bookmarkStart w:id="195" w:name="Tc_PkNf2SVbUUKyL710p1g1aw_1_2"/>
      <w:bookmarkStart w:id="196" w:name="_37566bda_f13a_4695_981c_30558b3ab3d2"/>
      <w:bookmarkEnd w:id="184"/>
      <w:bookmarkEnd w:id="185"/>
      <w:bookmarkEnd w:id="186"/>
      <w:bookmarkEnd w:id="187"/>
      <w:bookmarkEnd w:id="188"/>
      <w:bookmarkEnd w:id="189"/>
      <w:bookmarkEnd w:id="190"/>
      <w:bookmarkEnd w:id="191"/>
      <w:bookmarkEnd w:id="192"/>
      <w:bookmarkEnd w:id="193"/>
      <w:bookmarkEnd w:id="194"/>
      <w:bookmarkEnd w:id="195"/>
      <w:bookmarkEnd w:id="196"/>
    </w:p>
    <w:tbl>
      <w:tblPr>
        <w:tblW w:w="5780" w:type="dxa"/>
        <w:jc w:val="left"/>
        <w:tblInd w:w="0" w:type="dxa"/>
        <w:tblCellMar>
          <w:top w:w="0" w:type="dxa"/>
          <w:left w:w="0" w:type="dxa"/>
          <w:bottom w:w="0" w:type="dxa"/>
          <w:right w:w="0" w:type="dxa"/>
        </w:tblCellMar>
      </w:tblPr>
      <w:tblGrid>
        <w:gridCol w:w="3181"/>
        <w:gridCol w:w="109"/>
        <w:gridCol w:w="211"/>
        <w:gridCol w:w="901"/>
        <w:gridCol w:w="326"/>
        <w:gridCol w:w="211"/>
        <w:gridCol w:w="841"/>
      </w:tblGrid>
      <w:tr>
        <w:trPr/>
        <w:tc>
          <w:tcPr>
            <w:tcW w:w="3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19935" cy="175260"/>
                      <wp:effectExtent l="0" t="0" r="0" b="0"/>
                      <wp:wrapNone/>
                      <wp:docPr id="15" name="Frame15"/>
                      <a:graphic xmlns:a="http://schemas.openxmlformats.org/drawingml/2006/main">
                        <a:graphicData uri="http://schemas.microsoft.com/office/word/2010/wordprocessingShape">
                          <wps:wsp>
                            <wps:cNvSpPr txBox="1"/>
                            <wps:spPr>
                              <a:xfrm>
                                <a:off x="0" y="0"/>
                                <a:ext cx="2019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9215" cy="175260"/>
                      <wp:effectExtent l="0" t="0" r="0" b="0"/>
                      <wp:wrapNone/>
                      <wp:docPr id="16" name="Frame1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572135" cy="175260"/>
                      <wp:effectExtent l="0" t="0" r="0" b="0"/>
                      <wp:wrapNone/>
                      <wp:docPr id="18" name="Frame18"/>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534035" cy="175260"/>
                      <wp:effectExtent l="0" t="0" r="0" b="0"/>
                      <wp:wrapNone/>
                      <wp:docPr id="21" name="Frame21"/>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18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490"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318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49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318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11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1"/>
              <w:ind w:left="0" w:right="0" w:hanging="0"/>
              <w:rPr/>
            </w:pPr>
            <w:r>
              <w:rPr/>
              <w:t>    </w:t>
            </w:r>
          </w:p>
        </w:tc>
        <w:tc>
          <w:tcPr>
            <w:tcW w:w="105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18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Net Loss</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(107,370)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(91,607)</w:t>
            </w:r>
          </w:p>
        </w:tc>
      </w:tr>
      <w:tr>
        <w:trPr/>
        <w:tc>
          <w:tcPr>
            <w:tcW w:w="31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comprehensive loss:</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color w:val="FF0000"/>
              </w:rPr>
            </w:pPr>
            <w:r>
              <w:rPr>
                <w:color w:val="FF0000"/>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41" w:type="dxa"/>
            <w:tcBorders/>
            <w:shd w:fill="auto" w:val="clear"/>
            <w:vAlign w:val="center"/>
          </w:tcPr>
          <w:p>
            <w:pPr>
              <w:pStyle w:val="TableContents"/>
              <w:spacing w:before="0" w:after="1"/>
              <w:ind w:left="0" w:right="0" w:hanging="0"/>
              <w:jc w:val="right"/>
              <w:rPr/>
            </w:pPr>
            <w:r>
              <w:rPr/>
              <w:t>​</w:t>
            </w:r>
          </w:p>
        </w:tc>
      </w:tr>
      <w:tr>
        <w:trPr/>
        <w:tc>
          <w:tcPr>
            <w:tcW w:w="31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Unrealized gain/(loss) on investments</w:t>
            </w:r>
          </w:p>
        </w:tc>
        <w:tc>
          <w:tcPr>
            <w:tcW w:w="109"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776</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(1,742)</w:t>
            </w:r>
          </w:p>
        </w:tc>
      </w:tr>
      <w:tr>
        <w:trPr/>
        <w:tc>
          <w:tcPr>
            <w:tcW w:w="318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Comprehensive Loss</w:t>
            </w:r>
          </w:p>
        </w:tc>
        <w:tc>
          <w:tcPr>
            <w:tcW w:w="109"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(106,594)</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(93,349)</w:t>
            </w:r>
          </w:p>
        </w:tc>
      </w:tr>
    </w:tbl>
    <w:p>
      <w:pPr>
        <w:pStyle w:val="TextBody"/>
        <w:spacing w:before="0" w:after="200"/>
        <w:ind w:left="0" w:right="0" w:hanging="0"/>
        <w:rPr/>
      </w:pPr>
      <w:r>
        <w:rPr/>
        <w:t>​</w:t>
      </w:r>
    </w:p>
    <w:p>
      <w:pPr>
        <w:pStyle w:val="TextBody"/>
        <w:spacing w:before="0" w:after="200"/>
        <w:ind w:left="0" w:right="0" w:firstLine="547"/>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lineRule="atLeast" w:line="141" w:before="0" w:after="200"/>
        <w:ind w:left="0" w:right="0" w:firstLine="547"/>
        <w:jc w:val="center"/>
        <w:rPr/>
      </w:pPr>
      <w:bookmarkStart w:id="197" w:name="_d5567e8c_6bc5_4532_a478_fbea1d3d2d64"/>
      <w:bookmarkEnd w:id="197"/>
      <w:r>
        <w:rPr/>
        <w:t>​</w:t>
      </w:r>
    </w:p>
    <w:p>
      <w:pPr>
        <w:pStyle w:val="TextBody"/>
        <w:spacing w:before="0" w:after="0"/>
        <w:ind w:left="0" w:right="0" w:firstLine="547"/>
        <w:jc w:val="center"/>
        <w:rPr>
          <w:rFonts w:ascii="Times New Roman;Times;serif" w:hAnsi="Times New Roman;Times;serif"/>
          <w:b/>
          <w:sz w:val="20"/>
        </w:rPr>
      </w:pPr>
      <w:r>
        <w:rPr>
          <w:rFonts w:ascii="Times New Roman;Times;serif" w:hAnsi="Times New Roman;Times;serif"/>
          <w:b/>
          <w:sz w:val="20"/>
        </w:rPr>
        <w:t>IOVANCE BIOTHERAPEUTICS,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Stockholders’ Equity</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Three Months Ended March 31, 2023 and 2022</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share information)</w:t>
      </w:r>
    </w:p>
    <w:p>
      <w:pPr>
        <w:pStyle w:val="TextBody"/>
        <w:spacing w:before="0" w:after="200"/>
        <w:ind w:left="0" w:right="0" w:hanging="0"/>
        <w:jc w:val="center"/>
        <w:rPr/>
      </w:pPr>
      <w:r>
        <w:rPr/>
        <w:t>​</w:t>
      </w:r>
    </w:p>
    <w:p>
      <w:pPr>
        <w:pStyle w:val="Normal"/>
        <w:spacing w:before="0" w:after="0"/>
        <w:rPr>
          <w:sz w:val="4"/>
          <w:szCs w:val="4"/>
        </w:rPr>
      </w:pPr>
      <w:r>
        <w:rPr>
          <w:sz w:val="4"/>
          <w:szCs w:val="4"/>
        </w:rPr>
      </w:r>
      <w:bookmarkStart w:id="198" w:name="Tc_-xpEOYGUlkeE1NdpfxmQ4g_19_26"/>
      <w:bookmarkStart w:id="199" w:name="Tc_lCJEWxhR5UurUoWxi9FrTw_19_23"/>
      <w:bookmarkStart w:id="200" w:name="Tc_1fe1ZyisD0CSZnMgaUdwBA_19_20"/>
      <w:bookmarkStart w:id="201" w:name="Tc_xnaSMM68HEO29uM1ui_BaA_19_17"/>
      <w:bookmarkStart w:id="202" w:name="Tc_nX3EbJYHiUibexNnjb6lOw_19_14"/>
      <w:bookmarkStart w:id="203" w:name="Tc_LSif4--itEWOx-zbWbpo4A_19_9"/>
      <w:bookmarkStart w:id="204" w:name="Tc_PTUWehQ8akitTOOx9QmWNA_19_5"/>
      <w:bookmarkStart w:id="205" w:name="Tc_1Xehuf0IdESTPwYPhtriDg_19_4"/>
      <w:bookmarkStart w:id="206" w:name="Tc_udlUNx7YckiA-evg5-aboQ_19_0"/>
      <w:bookmarkStart w:id="207" w:name="Tc_lvmFDUUiE0Gw_--dnQk0KA_18_21"/>
      <w:bookmarkStart w:id="208" w:name="Tc_W9eXsF1crESnPt1eoVgIrw_18_18"/>
      <w:bookmarkStart w:id="209" w:name="Tc_PR0dq9ht-k-SEPAmvep6SQ_18_15"/>
      <w:bookmarkStart w:id="210" w:name="Tc_YsSADXOBk02eIfh8FM1XyQ_18_12"/>
      <w:bookmarkStart w:id="211" w:name="Tc_WZ3eZHStW0-KWwalL_GPLg_18_10"/>
      <w:bookmarkStart w:id="212" w:name="Tc_QK75E3PU-USpctBmJu4TFA_18_7"/>
      <w:bookmarkStart w:id="213" w:name="Tc_RgCeBMCEwkS9J5Oo962F9g_18_5"/>
      <w:bookmarkStart w:id="214" w:name="Tc_Cw3JUpr7gE-tdM6Jq_7VdQ_18_2"/>
      <w:bookmarkStart w:id="215" w:name="Tc_sQP1K9Y0EU-Y1sr2dNfHrQ_18_0"/>
      <w:bookmarkStart w:id="216" w:name="Tc_AfrjBg9yskm4RM3tp2DJcA_17_24"/>
      <w:bookmarkStart w:id="217" w:name="Tc_16WJLiaPk0eBxfNrbFSZrQ_17_18"/>
      <w:bookmarkStart w:id="218" w:name="Tc_TKwxNbUxfUWQGh8xrgYAHw_17_15"/>
      <w:bookmarkStart w:id="219" w:name="Tc_1rp3pTx7wkuXHYFcvn78Jw_17_12"/>
      <w:bookmarkStart w:id="220" w:name="Tc_GbgFRp9bLk-74LEmzNtgzg_17_10"/>
      <w:bookmarkStart w:id="221" w:name="Tc_fZYpRC_IBkqguod-lXZ_sA_17_7"/>
      <w:bookmarkStart w:id="222" w:name="Tc_rlEYyb-obEqi0-K2BbP2fg_17_5"/>
      <w:bookmarkStart w:id="223" w:name="Tc_fTHNQt90KkeWZiIBo5dJbA_17_2"/>
      <w:bookmarkStart w:id="224" w:name="Tc_3JJMA0vNsky18MTRnnG_Ng_17_0"/>
      <w:bookmarkStart w:id="225" w:name="Tc_9-N29nXKa02hEf55QRbW1A_16_24"/>
      <w:bookmarkStart w:id="226" w:name="Tc_1VM-Mnriw0KGn6VKDR0buw_16_21"/>
      <w:bookmarkStart w:id="227" w:name="Tc_fyufHyYG90-wnMu_8rXMnQ_16_15"/>
      <w:bookmarkStart w:id="228" w:name="Tc_jiflVeA51USE1DFngBnsIQ_16_10"/>
      <w:bookmarkStart w:id="229" w:name="Tc_yC31Rvkr70udvwxS6BNH4Q_16_7"/>
      <w:bookmarkStart w:id="230" w:name="Tc_Lq-tDp04ZEiz5d0qKXk2JQ_16_5"/>
      <w:bookmarkStart w:id="231" w:name="Tc_8LmUVbkAKEOCrr1fRpUnXg_16_2"/>
      <w:bookmarkStart w:id="232" w:name="Tc_nINRhSxQcky90_gYKlXLrw_16_0"/>
      <w:bookmarkStart w:id="233" w:name="Tc_TGL4dH1jOkKM5WHs6PqQjw_15_24"/>
      <w:bookmarkStart w:id="234" w:name="Tc_ZV6qZ_9hBUOEoF8IrfMi2w_15_21"/>
      <w:bookmarkStart w:id="235" w:name="Tc_yP_zDkkrh0--9oKFs5OwxA_15_15"/>
      <w:bookmarkStart w:id="236" w:name="Tc_0_11pUj_e0CyBNjPXQby1w_15_12"/>
      <w:bookmarkStart w:id="237" w:name="Tc_PszmmWtb4Ui5Csj7G_VjXA_15_10"/>
      <w:bookmarkStart w:id="238" w:name="Tc_NXcMpZ4-tkmuYCBANHY4Zw_15_7"/>
      <w:bookmarkStart w:id="239" w:name="Tc_XzGq0VhKc0mBOSSAUA7YYQ_15_5"/>
      <w:bookmarkStart w:id="240" w:name="Tc_BV9AsHpjGUycLSFt_Emgxw_15_2"/>
      <w:bookmarkStart w:id="241" w:name="Tc_ENcdFmN3dkK35-Xs-i6h3A_15_0"/>
      <w:bookmarkStart w:id="242" w:name="Tc_KjL6Yidq3Uqtc-PjlhiY_Q_14_26"/>
      <w:bookmarkStart w:id="243" w:name="Tc_KBvRJ9aoV0WaX5BvYZtBzQ_14_23"/>
      <w:bookmarkStart w:id="244" w:name="Tc_hoQfsEl1XECNRLE7UqH3MQ_14_20"/>
      <w:bookmarkStart w:id="245" w:name="Tc_WX0F5UFomk6Kl6CGHhfxrg_14_17"/>
      <w:bookmarkStart w:id="246" w:name="Tc_xIR9Y5KY00Wcf3XfS4yC2g_14_14"/>
      <w:bookmarkStart w:id="247" w:name="Tc_0DESmC6xpkWeG0v8zFwrrg_14_9"/>
      <w:bookmarkStart w:id="248" w:name="Tc_61OlrUvt0kGE0YFduJkw5Q_14_5"/>
      <w:bookmarkStart w:id="249" w:name="Tc_Izj8oc0ubE2qb6db725LTQ_14_4"/>
      <w:bookmarkStart w:id="250" w:name="Tc_bZwozfJEBk6rXwzySTHYBw_14_0"/>
      <w:bookmarkStart w:id="251" w:name="Tc_noGUJabQDkC9zZCYHyoXrw_12_26"/>
      <w:bookmarkStart w:id="252" w:name="Tc_zpcdfcuVgUOCvosjmHEuKQ_12_23"/>
      <w:bookmarkStart w:id="253" w:name="Tc_UbCcWNaYpUG3mrPq3arxOQ_12_20"/>
      <w:bookmarkStart w:id="254" w:name="Tc_73_V7Cspf0SzCGEZBG96Yg_12_17"/>
      <w:bookmarkStart w:id="255" w:name="Tc_sjX3ZUzkSUmawRfWlov91Q_12_14"/>
      <w:bookmarkStart w:id="256" w:name="Tc_ffZvLkOc40SPbBWDI_Z4ZQ_12_9"/>
      <w:bookmarkStart w:id="257" w:name="Tc_3g6WXQEf2E6PdsVNDoRWew_12_5"/>
      <w:bookmarkStart w:id="258" w:name="Tc_i158hO1xfUqz3wIZvr4KuA_12_4"/>
      <w:bookmarkStart w:id="259" w:name="Tc_-tbhu4HDHkOwJMAdCk_3SA_12_0"/>
      <w:bookmarkStart w:id="260" w:name="Tc_nSN-YfY7HUyg674Kq_leOA_11_21"/>
      <w:bookmarkStart w:id="261" w:name="Tc_mGFL8i3bxEirxsnJxUHLDw_11_18"/>
      <w:bookmarkStart w:id="262" w:name="Tc_HukzjmK5C02LVi3Ofa93ZQ_11_15"/>
      <w:bookmarkStart w:id="263" w:name="Tc_PTCIbGWFF0WMQnlE1zRfKw_11_12"/>
      <w:bookmarkStart w:id="264" w:name="Tc_-5MxRuTw30uxMCCeZZEnkg_11_10"/>
      <w:bookmarkStart w:id="265" w:name="Tc_hrOx_PKCuEeGvrLVYnTJGg_11_7"/>
      <w:bookmarkStart w:id="266" w:name="Tc_JtQPuvGFzUqebpnSyv_7Yw_11_5"/>
      <w:bookmarkStart w:id="267" w:name="Tc_yoILq80tSk-BEJxRaWrYYA_11_2"/>
      <w:bookmarkStart w:id="268" w:name="Tc_Mj2i6z8X70aum24gN1MQgg_11_0"/>
      <w:bookmarkStart w:id="269" w:name="Tc_2qr9BeG_XUyM_VvSSpe0mg_10_24"/>
      <w:bookmarkStart w:id="270" w:name="Tc_9CeBTulJrk2xtuC7aVmbgg_10_21"/>
      <w:bookmarkStart w:id="271" w:name="Tc_Ydd988paXUO99OrFXVTokw_10_10"/>
      <w:bookmarkStart w:id="272" w:name="Tc_hwKJVB7uLEyvUKhDFhgiVA_10_7"/>
      <w:bookmarkStart w:id="273" w:name="Tc_5N9lebDVYUKWttke_2sEvw_10_5"/>
      <w:bookmarkStart w:id="274" w:name="Tc_gHWIcvXF4kCNm_5XPinG_w_10_2"/>
      <w:bookmarkStart w:id="275" w:name="Tc_8rqw_y3_B0uo_QwZ3yqd7g_10_0"/>
      <w:bookmarkStart w:id="276" w:name="Tc_fnsotFeM30Cyhh-QUV8aXw_9_24"/>
      <w:bookmarkStart w:id="277" w:name="Tc_eOJGVzEwU0-SMIBNfZnGXg_9_18"/>
      <w:bookmarkStart w:id="278" w:name="Tc_0ZixZKHMnkq1R3dgrzkCkQ_9_15"/>
      <w:bookmarkStart w:id="279" w:name="Tc_P69ucmd-hUiiXdEQrPuHgA_9_12"/>
      <w:bookmarkStart w:id="280" w:name="Tc_GeIV2P7xlUOLh6Jzo8703w_9_10"/>
      <w:bookmarkStart w:id="281" w:name="Tc_xwaZFQwZ7kOdhr7a4B_6ow_9_7"/>
      <w:bookmarkStart w:id="282" w:name="Tc_ntjDKniWrU6yXNc6wEUP2w_9_5"/>
      <w:bookmarkStart w:id="283" w:name="Tc_CGcPToE2SkSiRGre22lhNA_9_2"/>
      <w:bookmarkStart w:id="284" w:name="Tc_0M_ZZ7uSU0qXCEtHQMrZrQ_9_0"/>
      <w:bookmarkStart w:id="285" w:name="Tc_Q9fAhjh7qEurh58gbwswYw_8_24"/>
      <w:bookmarkStart w:id="286" w:name="Tc_HrCPgICfi0y6qehr8aYIVw_8_21"/>
      <w:bookmarkStart w:id="287" w:name="Tc_Pd9M6IyCDUenIjRAzVU9tQ_8_15"/>
      <w:bookmarkStart w:id="288" w:name="Tc_zRSA9gUxNky-wDfpE4v2sw_8_10"/>
      <w:bookmarkStart w:id="289" w:name="Tc_XPA7D7qt806MHBhwKLT00g_8_7"/>
      <w:bookmarkStart w:id="290" w:name="Tc_KNbiwU7ua0-o4JKmnzabdw_8_5"/>
      <w:bookmarkStart w:id="291" w:name="Tc_5Ehl_-CY9kmS13A67EF4NQ_8_2"/>
      <w:bookmarkStart w:id="292" w:name="Tc_D4taaUQiqUyrzlBN_FHDZA_8_0"/>
      <w:bookmarkStart w:id="293" w:name="Tc_FsLZ4LGrdkeWvb1nqT_PMA_7_27"/>
      <w:bookmarkStart w:id="294" w:name="Tc_AYVTT0nXHEGqLSU6S6uZYg_7_24"/>
      <w:bookmarkStart w:id="295" w:name="Tc_9PiE_-Y7VEmxxXkE21enCQ_7_21"/>
      <w:bookmarkStart w:id="296" w:name="Tc_1yZ2AJRkqUif_QQPyjigdA_7_18"/>
      <w:bookmarkStart w:id="297" w:name="Tc_t7YrzBpC3UGAjVDWmq6cuQ_7_15"/>
      <w:bookmarkStart w:id="298" w:name="Tc_piHR_Ffas026doT6Eo4lsQ_7_10"/>
      <w:bookmarkStart w:id="299" w:name="Tc_hiun9A20G0OykjwheHEInw_7_7"/>
      <w:bookmarkStart w:id="300" w:name="Tc_HK7PH6K_vUOvs7_kB2YRIA_7_5"/>
      <w:bookmarkStart w:id="301" w:name="Tc_0RL9UScdBEmAhRf9OmnRrw_7_2"/>
      <w:bookmarkStart w:id="302" w:name="Tc_vchSKnDJXESHL0dJt2KaIQ_7_0"/>
      <w:bookmarkStart w:id="303" w:name="Tc_m5UHmhE14EOZv2ukuY2f9w_6_24"/>
      <w:bookmarkStart w:id="304" w:name="Tc_ru2h1PQGzkOA5UNLOUWChg_6_21"/>
      <w:bookmarkStart w:id="305" w:name="Tc_r-favuYYrUWHVe5S5NqRpw_6_15"/>
      <w:bookmarkStart w:id="306" w:name="Tc_CSEcSIffOEWjQFzliiNZZA_6_12"/>
      <w:bookmarkStart w:id="307" w:name="Tc_LlcZjRucYUK6xLe7grLCfA_6_10"/>
      <w:bookmarkStart w:id="308" w:name="Tc__L5sI1hqn0a2cJO2NnbwAQ_6_7"/>
      <w:bookmarkStart w:id="309" w:name="Tc_oCzZgjK_BUynJ5-10Az2rA_6_5"/>
      <w:bookmarkStart w:id="310" w:name="Tc_Z9rmsei75E-Mw6uXMLaoLw_6_2"/>
      <w:bookmarkStart w:id="311" w:name="Tc_5ypozy3bm0e39jPh1Ekv4w_6_0"/>
      <w:bookmarkStart w:id="312" w:name="Tc_X8uWbCrsvUmauYKzV7pVLw_5_26"/>
      <w:bookmarkStart w:id="313" w:name="Tc_bFkarIDeek-yCVSkALxW7A_5_23"/>
      <w:bookmarkStart w:id="314" w:name="Tc_e2to75X-RkiXsWSaa4YSkA_5_20"/>
      <w:bookmarkStart w:id="315" w:name="Tc_3h-9enJQwUeP5reFkkRZxg_5_17"/>
      <w:bookmarkStart w:id="316" w:name="Tc_x0LJrA8_EEiLEtv7qrSbGA_5_14"/>
      <w:bookmarkStart w:id="317" w:name="Tc_uMqs0lOhhEqpiL24Ze-dmQ_5_9"/>
      <w:bookmarkStart w:id="318" w:name="Tc_Z_w6ticzS0SscNWm_EVk9g_5_5"/>
      <w:bookmarkStart w:id="319" w:name="Tc_QWnYXS5CVEavSFV6RiLeVg_5_4"/>
      <w:bookmarkStart w:id="320" w:name="Tc_ZWoJoZswWk6QVzf6hDzpbA_5_0"/>
      <w:bookmarkStart w:id="321" w:name="Tc_KtretdwAqkeVH5pIqb6SKA_4_26"/>
      <w:bookmarkStart w:id="322" w:name="Tc_gOKwZpzpokuaXojAs6ge1w_4_23"/>
      <w:bookmarkStart w:id="323" w:name="Tc_bszzXoAfzU256A706bq6cA_4_20"/>
      <w:bookmarkStart w:id="324" w:name="Tc_juZKQlc0DEaC5aUp3t-JOg_4_17"/>
      <w:bookmarkStart w:id="325" w:name="Tc_8JQ3zPp1w0yAPA7HUoIxgQ_4_14"/>
      <w:bookmarkStart w:id="326" w:name="Tc_y2pcDLiCw0W2XCIxxAIelA_4_12"/>
      <w:bookmarkStart w:id="327" w:name="Tc_F34w1MXis02qBBSOdjdx1Q_4_9"/>
      <w:bookmarkStart w:id="328" w:name="Tc_pd0aBCeZNUmXa_RRky4S6g_4_7"/>
      <w:bookmarkStart w:id="329" w:name="Tc_m9lM046vX0irkm6DBDMfZA_4_4"/>
      <w:bookmarkStart w:id="330" w:name="Tc_954TKPxHJEy-EcLafIiK5g_4_2"/>
      <w:bookmarkStart w:id="331" w:name="Tc_oS7lhPpUnEmUOVuDH8ai7A_3_26"/>
      <w:bookmarkStart w:id="332" w:name="Tc_-M5ThVXS906cxsgNZfywvA_3_23"/>
      <w:bookmarkStart w:id="333" w:name="Tc_IKPf76XLwku2gbcEO5SXpg_3_20"/>
      <w:bookmarkStart w:id="334" w:name="Tc_9WcLw5nyPEC3KU6v0FInyw_3_17"/>
      <w:bookmarkStart w:id="335" w:name="Tc_ZxLFvAgpwkCa_datlTgSZw_3_12"/>
      <w:bookmarkStart w:id="336" w:name="Tc_0RCaZkUAfUueidyuUWHy0g_3_7"/>
      <w:bookmarkStart w:id="337" w:name="Tc_fO9SYO_-G0qNh2JvZknHAw_3_2"/>
      <w:bookmarkStart w:id="338" w:name="Tc_GVVqIhd3m0OiWcJpSdy4uQ_2_26"/>
      <w:bookmarkStart w:id="339" w:name="Tc_X7kOD8LVEEuoFMlF8VqZwA_2_20"/>
      <w:bookmarkStart w:id="340" w:name="Tc_lpERxVORpUSZS3gmsTbyng_2_17"/>
      <w:bookmarkStart w:id="341" w:name="Tc_96D0h77M-0SBzTQN5brPNw_2_7"/>
      <w:bookmarkStart w:id="342" w:name="Tc_XoQMZdju9E-CDj8-lXIkFA_2_2"/>
      <w:bookmarkStart w:id="343" w:name="Tc_XaK6S2rQPUKPkcq50DDu-A_1_7"/>
      <w:bookmarkStart w:id="344" w:name="Tc_YTD-F9i7xEST97P3cNe4Aw_1_2"/>
      <w:bookmarkStart w:id="345" w:name="_e77d1edd_8e44_4f5b_83c5_454be86c35c8"/>
      <w:bookmarkStart w:id="346" w:name="Tc_-xpEOYGUlkeE1NdpfxmQ4g_19_26"/>
      <w:bookmarkStart w:id="347" w:name="Tc_lCJEWxhR5UurUoWxi9FrTw_19_23"/>
      <w:bookmarkStart w:id="348" w:name="Tc_1fe1ZyisD0CSZnMgaUdwBA_19_20"/>
      <w:bookmarkStart w:id="349" w:name="Tc_xnaSMM68HEO29uM1ui_BaA_19_17"/>
      <w:bookmarkStart w:id="350" w:name="Tc_nX3EbJYHiUibexNnjb6lOw_19_14"/>
      <w:bookmarkStart w:id="351" w:name="Tc_LSif4--itEWOx-zbWbpo4A_19_9"/>
      <w:bookmarkStart w:id="352" w:name="Tc_PTUWehQ8akitTOOx9QmWNA_19_5"/>
      <w:bookmarkStart w:id="353" w:name="Tc_1Xehuf0IdESTPwYPhtriDg_19_4"/>
      <w:bookmarkStart w:id="354" w:name="Tc_udlUNx7YckiA-evg5-aboQ_19_0"/>
      <w:bookmarkStart w:id="355" w:name="Tc_lvmFDUUiE0Gw_--dnQk0KA_18_21"/>
      <w:bookmarkStart w:id="356" w:name="Tc_W9eXsF1crESnPt1eoVgIrw_18_18"/>
      <w:bookmarkStart w:id="357" w:name="Tc_PR0dq9ht-k-SEPAmvep6SQ_18_15"/>
      <w:bookmarkStart w:id="358" w:name="Tc_YsSADXOBk02eIfh8FM1XyQ_18_12"/>
      <w:bookmarkStart w:id="359" w:name="Tc_WZ3eZHStW0-KWwalL_GPLg_18_10"/>
      <w:bookmarkStart w:id="360" w:name="Tc_QK75E3PU-USpctBmJu4TFA_18_7"/>
      <w:bookmarkStart w:id="361" w:name="Tc_RgCeBMCEwkS9J5Oo962F9g_18_5"/>
      <w:bookmarkStart w:id="362" w:name="Tc_Cw3JUpr7gE-tdM6Jq_7VdQ_18_2"/>
      <w:bookmarkStart w:id="363" w:name="Tc_sQP1K9Y0EU-Y1sr2dNfHrQ_18_0"/>
      <w:bookmarkStart w:id="364" w:name="Tc_AfrjBg9yskm4RM3tp2DJcA_17_24"/>
      <w:bookmarkStart w:id="365" w:name="Tc_16WJLiaPk0eBxfNrbFSZrQ_17_18"/>
      <w:bookmarkStart w:id="366" w:name="Tc_TKwxNbUxfUWQGh8xrgYAHw_17_15"/>
      <w:bookmarkStart w:id="367" w:name="Tc_1rp3pTx7wkuXHYFcvn78Jw_17_12"/>
      <w:bookmarkStart w:id="368" w:name="Tc_GbgFRp9bLk-74LEmzNtgzg_17_10"/>
      <w:bookmarkStart w:id="369" w:name="Tc_fZYpRC_IBkqguod-lXZ_sA_17_7"/>
      <w:bookmarkStart w:id="370" w:name="Tc_rlEYyb-obEqi0-K2BbP2fg_17_5"/>
      <w:bookmarkStart w:id="371" w:name="Tc_fTHNQt90KkeWZiIBo5dJbA_17_2"/>
      <w:bookmarkStart w:id="372" w:name="Tc_3JJMA0vNsky18MTRnnG_Ng_17_0"/>
      <w:bookmarkStart w:id="373" w:name="Tc_9-N29nXKa02hEf55QRbW1A_16_24"/>
      <w:bookmarkStart w:id="374" w:name="Tc_1VM-Mnriw0KGn6VKDR0buw_16_21"/>
      <w:bookmarkStart w:id="375" w:name="Tc_fyufHyYG90-wnMu_8rXMnQ_16_15"/>
      <w:bookmarkStart w:id="376" w:name="Tc_jiflVeA51USE1DFngBnsIQ_16_10"/>
      <w:bookmarkStart w:id="377" w:name="Tc_yC31Rvkr70udvwxS6BNH4Q_16_7"/>
      <w:bookmarkStart w:id="378" w:name="Tc_Lq-tDp04ZEiz5d0qKXk2JQ_16_5"/>
      <w:bookmarkStart w:id="379" w:name="Tc_8LmUVbkAKEOCrr1fRpUnXg_16_2"/>
      <w:bookmarkStart w:id="380" w:name="Tc_nINRhSxQcky90_gYKlXLrw_16_0"/>
      <w:bookmarkStart w:id="381" w:name="Tc_TGL4dH1jOkKM5WHs6PqQjw_15_24"/>
      <w:bookmarkStart w:id="382" w:name="Tc_ZV6qZ_9hBUOEoF8IrfMi2w_15_21"/>
      <w:bookmarkStart w:id="383" w:name="Tc_yP_zDkkrh0--9oKFs5OwxA_15_15"/>
      <w:bookmarkStart w:id="384" w:name="Tc_0_11pUj_e0CyBNjPXQby1w_15_12"/>
      <w:bookmarkStart w:id="385" w:name="Tc_PszmmWtb4Ui5Csj7G_VjXA_15_10"/>
      <w:bookmarkStart w:id="386" w:name="Tc_NXcMpZ4-tkmuYCBANHY4Zw_15_7"/>
      <w:bookmarkStart w:id="387" w:name="Tc_XzGq0VhKc0mBOSSAUA7YYQ_15_5"/>
      <w:bookmarkStart w:id="388" w:name="Tc_BV9AsHpjGUycLSFt_Emgxw_15_2"/>
      <w:bookmarkStart w:id="389" w:name="Tc_ENcdFmN3dkK35-Xs-i6h3A_15_0"/>
      <w:bookmarkStart w:id="390" w:name="Tc_KjL6Yidq3Uqtc-PjlhiY_Q_14_26"/>
      <w:bookmarkStart w:id="391" w:name="Tc_KBvRJ9aoV0WaX5BvYZtBzQ_14_23"/>
      <w:bookmarkStart w:id="392" w:name="Tc_hoQfsEl1XECNRLE7UqH3MQ_14_20"/>
      <w:bookmarkStart w:id="393" w:name="Tc_WX0F5UFomk6Kl6CGHhfxrg_14_17"/>
      <w:bookmarkStart w:id="394" w:name="Tc_xIR9Y5KY00Wcf3XfS4yC2g_14_14"/>
      <w:bookmarkStart w:id="395" w:name="Tc_0DESmC6xpkWeG0v8zFwrrg_14_9"/>
      <w:bookmarkStart w:id="396" w:name="Tc_61OlrUvt0kGE0YFduJkw5Q_14_5"/>
      <w:bookmarkStart w:id="397" w:name="Tc_Izj8oc0ubE2qb6db725LTQ_14_4"/>
      <w:bookmarkStart w:id="398" w:name="Tc_bZwozfJEBk6rXwzySTHYBw_14_0"/>
      <w:bookmarkStart w:id="399" w:name="Tc_noGUJabQDkC9zZCYHyoXrw_12_26"/>
      <w:bookmarkStart w:id="400" w:name="Tc_zpcdfcuVgUOCvosjmHEuKQ_12_23"/>
      <w:bookmarkStart w:id="401" w:name="Tc_UbCcWNaYpUG3mrPq3arxOQ_12_20"/>
      <w:bookmarkStart w:id="402" w:name="Tc_73_V7Cspf0SzCGEZBG96Yg_12_17"/>
      <w:bookmarkStart w:id="403" w:name="Tc_sjX3ZUzkSUmawRfWlov91Q_12_14"/>
      <w:bookmarkStart w:id="404" w:name="Tc_ffZvLkOc40SPbBWDI_Z4ZQ_12_9"/>
      <w:bookmarkStart w:id="405" w:name="Tc_3g6WXQEf2E6PdsVNDoRWew_12_5"/>
      <w:bookmarkStart w:id="406" w:name="Tc_i158hO1xfUqz3wIZvr4KuA_12_4"/>
      <w:bookmarkStart w:id="407" w:name="Tc_-tbhu4HDHkOwJMAdCk_3SA_12_0"/>
      <w:bookmarkStart w:id="408" w:name="Tc_nSN-YfY7HUyg674Kq_leOA_11_21"/>
      <w:bookmarkStart w:id="409" w:name="Tc_mGFL8i3bxEirxsnJxUHLDw_11_18"/>
      <w:bookmarkStart w:id="410" w:name="Tc_HukzjmK5C02LVi3Ofa93ZQ_11_15"/>
      <w:bookmarkStart w:id="411" w:name="Tc_PTCIbGWFF0WMQnlE1zRfKw_11_12"/>
      <w:bookmarkStart w:id="412" w:name="Tc_-5MxRuTw30uxMCCeZZEnkg_11_10"/>
      <w:bookmarkStart w:id="413" w:name="Tc_hrOx_PKCuEeGvrLVYnTJGg_11_7"/>
      <w:bookmarkStart w:id="414" w:name="Tc_JtQPuvGFzUqebpnSyv_7Yw_11_5"/>
      <w:bookmarkStart w:id="415" w:name="Tc_yoILq80tSk-BEJxRaWrYYA_11_2"/>
      <w:bookmarkStart w:id="416" w:name="Tc_Mj2i6z8X70aum24gN1MQgg_11_0"/>
      <w:bookmarkStart w:id="417" w:name="Tc_2qr9BeG_XUyM_VvSSpe0mg_10_24"/>
      <w:bookmarkStart w:id="418" w:name="Tc_9CeBTulJrk2xtuC7aVmbgg_10_21"/>
      <w:bookmarkStart w:id="419" w:name="Tc_Ydd988paXUO99OrFXVTokw_10_10"/>
      <w:bookmarkStart w:id="420" w:name="Tc_hwKJVB7uLEyvUKhDFhgiVA_10_7"/>
      <w:bookmarkStart w:id="421" w:name="Tc_5N9lebDVYUKWttke_2sEvw_10_5"/>
      <w:bookmarkStart w:id="422" w:name="Tc_gHWIcvXF4kCNm_5XPinG_w_10_2"/>
      <w:bookmarkStart w:id="423" w:name="Tc_8rqw_y3_B0uo_QwZ3yqd7g_10_0"/>
      <w:bookmarkStart w:id="424" w:name="Tc_fnsotFeM30Cyhh-QUV8aXw_9_24"/>
      <w:bookmarkStart w:id="425" w:name="Tc_eOJGVzEwU0-SMIBNfZnGXg_9_18"/>
      <w:bookmarkStart w:id="426" w:name="Tc_0ZixZKHMnkq1R3dgrzkCkQ_9_15"/>
      <w:bookmarkStart w:id="427" w:name="Tc_P69ucmd-hUiiXdEQrPuHgA_9_12"/>
      <w:bookmarkStart w:id="428" w:name="Tc_GeIV2P7xlUOLh6Jzo8703w_9_10"/>
      <w:bookmarkStart w:id="429" w:name="Tc_xwaZFQwZ7kOdhr7a4B_6ow_9_7"/>
      <w:bookmarkStart w:id="430" w:name="Tc_ntjDKniWrU6yXNc6wEUP2w_9_5"/>
      <w:bookmarkStart w:id="431" w:name="Tc_CGcPToE2SkSiRGre22lhNA_9_2"/>
      <w:bookmarkStart w:id="432" w:name="Tc_0M_ZZ7uSU0qXCEtHQMrZrQ_9_0"/>
      <w:bookmarkStart w:id="433" w:name="Tc_Q9fAhjh7qEurh58gbwswYw_8_24"/>
      <w:bookmarkStart w:id="434" w:name="Tc_HrCPgICfi0y6qehr8aYIVw_8_21"/>
      <w:bookmarkStart w:id="435" w:name="Tc_Pd9M6IyCDUenIjRAzVU9tQ_8_15"/>
      <w:bookmarkStart w:id="436" w:name="Tc_zRSA9gUxNky-wDfpE4v2sw_8_10"/>
      <w:bookmarkStart w:id="437" w:name="Tc_XPA7D7qt806MHBhwKLT00g_8_7"/>
      <w:bookmarkStart w:id="438" w:name="Tc_KNbiwU7ua0-o4JKmnzabdw_8_5"/>
      <w:bookmarkStart w:id="439" w:name="Tc_5Ehl_-CY9kmS13A67EF4NQ_8_2"/>
      <w:bookmarkStart w:id="440" w:name="Tc_D4taaUQiqUyrzlBN_FHDZA_8_0"/>
      <w:bookmarkStart w:id="441" w:name="Tc_FsLZ4LGrdkeWvb1nqT_PMA_7_27"/>
      <w:bookmarkStart w:id="442" w:name="Tc_AYVTT0nXHEGqLSU6S6uZYg_7_24"/>
      <w:bookmarkStart w:id="443" w:name="Tc_9PiE_-Y7VEmxxXkE21enCQ_7_21"/>
      <w:bookmarkStart w:id="444" w:name="Tc_1yZ2AJRkqUif_QQPyjigdA_7_18"/>
      <w:bookmarkStart w:id="445" w:name="Tc_t7YrzBpC3UGAjVDWmq6cuQ_7_15"/>
      <w:bookmarkStart w:id="446" w:name="Tc_piHR_Ffas026doT6Eo4lsQ_7_10"/>
      <w:bookmarkStart w:id="447" w:name="Tc_hiun9A20G0OykjwheHEInw_7_7"/>
      <w:bookmarkStart w:id="448" w:name="Tc_HK7PH6K_vUOvs7_kB2YRIA_7_5"/>
      <w:bookmarkStart w:id="449" w:name="Tc_0RL9UScdBEmAhRf9OmnRrw_7_2"/>
      <w:bookmarkStart w:id="450" w:name="Tc_vchSKnDJXESHL0dJt2KaIQ_7_0"/>
      <w:bookmarkStart w:id="451" w:name="Tc_m5UHmhE14EOZv2ukuY2f9w_6_24"/>
      <w:bookmarkStart w:id="452" w:name="Tc_ru2h1PQGzkOA5UNLOUWChg_6_21"/>
      <w:bookmarkStart w:id="453" w:name="Tc_r-favuYYrUWHVe5S5NqRpw_6_15"/>
      <w:bookmarkStart w:id="454" w:name="Tc_CSEcSIffOEWjQFzliiNZZA_6_12"/>
      <w:bookmarkStart w:id="455" w:name="Tc_LlcZjRucYUK6xLe7grLCfA_6_10"/>
      <w:bookmarkStart w:id="456" w:name="Tc__L5sI1hqn0a2cJO2NnbwAQ_6_7"/>
      <w:bookmarkStart w:id="457" w:name="Tc_oCzZgjK_BUynJ5-10Az2rA_6_5"/>
      <w:bookmarkStart w:id="458" w:name="Tc_Z9rmsei75E-Mw6uXMLaoLw_6_2"/>
      <w:bookmarkStart w:id="459" w:name="Tc_5ypozy3bm0e39jPh1Ekv4w_6_0"/>
      <w:bookmarkStart w:id="460" w:name="Tc_X8uWbCrsvUmauYKzV7pVLw_5_26"/>
      <w:bookmarkStart w:id="461" w:name="Tc_bFkarIDeek-yCVSkALxW7A_5_23"/>
      <w:bookmarkStart w:id="462" w:name="Tc_e2to75X-RkiXsWSaa4YSkA_5_20"/>
      <w:bookmarkStart w:id="463" w:name="Tc_3h-9enJQwUeP5reFkkRZxg_5_17"/>
      <w:bookmarkStart w:id="464" w:name="Tc_x0LJrA8_EEiLEtv7qrSbGA_5_14"/>
      <w:bookmarkStart w:id="465" w:name="Tc_uMqs0lOhhEqpiL24Ze-dmQ_5_9"/>
      <w:bookmarkStart w:id="466" w:name="Tc_Z_w6ticzS0SscNWm_EVk9g_5_5"/>
      <w:bookmarkStart w:id="467" w:name="Tc_QWnYXS5CVEavSFV6RiLeVg_5_4"/>
      <w:bookmarkStart w:id="468" w:name="Tc_ZWoJoZswWk6QVzf6hDzpbA_5_0"/>
      <w:bookmarkStart w:id="469" w:name="Tc_KtretdwAqkeVH5pIqb6SKA_4_26"/>
      <w:bookmarkStart w:id="470" w:name="Tc_gOKwZpzpokuaXojAs6ge1w_4_23"/>
      <w:bookmarkStart w:id="471" w:name="Tc_bszzXoAfzU256A706bq6cA_4_20"/>
      <w:bookmarkStart w:id="472" w:name="Tc_juZKQlc0DEaC5aUp3t-JOg_4_17"/>
      <w:bookmarkStart w:id="473" w:name="Tc_8JQ3zPp1w0yAPA7HUoIxgQ_4_14"/>
      <w:bookmarkStart w:id="474" w:name="Tc_y2pcDLiCw0W2XCIxxAIelA_4_12"/>
      <w:bookmarkStart w:id="475" w:name="Tc_F34w1MXis02qBBSOdjdx1Q_4_9"/>
      <w:bookmarkStart w:id="476" w:name="Tc_pd0aBCeZNUmXa_RRky4S6g_4_7"/>
      <w:bookmarkStart w:id="477" w:name="Tc_m9lM046vX0irkm6DBDMfZA_4_4"/>
      <w:bookmarkStart w:id="478" w:name="Tc_954TKPxHJEy-EcLafIiK5g_4_2"/>
      <w:bookmarkStart w:id="479" w:name="Tc_oS7lhPpUnEmUOVuDH8ai7A_3_26"/>
      <w:bookmarkStart w:id="480" w:name="Tc_-M5ThVXS906cxsgNZfywvA_3_23"/>
      <w:bookmarkStart w:id="481" w:name="Tc_IKPf76XLwku2gbcEO5SXpg_3_20"/>
      <w:bookmarkStart w:id="482" w:name="Tc_9WcLw5nyPEC3KU6v0FInyw_3_17"/>
      <w:bookmarkStart w:id="483" w:name="Tc_ZxLFvAgpwkCa_datlTgSZw_3_12"/>
      <w:bookmarkStart w:id="484" w:name="Tc_0RCaZkUAfUueidyuUWHy0g_3_7"/>
      <w:bookmarkStart w:id="485" w:name="Tc_fO9SYO_-G0qNh2JvZknHAw_3_2"/>
      <w:bookmarkStart w:id="486" w:name="Tc_GVVqIhd3m0OiWcJpSdy4uQ_2_26"/>
      <w:bookmarkStart w:id="487" w:name="Tc_X7kOD8LVEEuoFMlF8VqZwA_2_20"/>
      <w:bookmarkStart w:id="488" w:name="Tc_lpERxVORpUSZS3gmsTbyng_2_17"/>
      <w:bookmarkStart w:id="489" w:name="Tc_96D0h77M-0SBzTQN5brPNw_2_7"/>
      <w:bookmarkStart w:id="490" w:name="Tc_XoQMZdju9E-CDj8-lXIkFA_2_2"/>
      <w:bookmarkStart w:id="491" w:name="Tc_XaK6S2rQPUKPkcq50DDu-A_1_7"/>
      <w:bookmarkStart w:id="492" w:name="Tc_YTD-F9i7xEST97P3cNe4Aw_1_2"/>
      <w:bookmarkStart w:id="493" w:name="_e77d1edd_8e44_4f5b_83c5_454be86c35c8"/>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p>
    <w:tbl>
      <w:tblPr>
        <w:tblW w:w="14658" w:type="dxa"/>
        <w:jc w:val="left"/>
        <w:tblInd w:w="0" w:type="dxa"/>
        <w:tblCellMar>
          <w:top w:w="0" w:type="dxa"/>
          <w:left w:w="0" w:type="dxa"/>
          <w:bottom w:w="0" w:type="dxa"/>
          <w:right w:w="0" w:type="dxa"/>
        </w:tblCellMar>
      </w:tblPr>
      <w:tblGrid>
        <w:gridCol w:w="2236"/>
        <w:gridCol w:w="326"/>
        <w:gridCol w:w="586"/>
        <w:gridCol w:w="326"/>
        <w:gridCol w:w="249"/>
        <w:gridCol w:w="442"/>
        <w:gridCol w:w="326"/>
        <w:gridCol w:w="826"/>
        <w:gridCol w:w="326"/>
        <w:gridCol w:w="249"/>
        <w:gridCol w:w="442"/>
        <w:gridCol w:w="326"/>
        <w:gridCol w:w="1006"/>
        <w:gridCol w:w="326"/>
        <w:gridCol w:w="249"/>
        <w:gridCol w:w="442"/>
        <w:gridCol w:w="326"/>
        <w:gridCol w:w="196"/>
        <w:gridCol w:w="826"/>
        <w:gridCol w:w="326"/>
        <w:gridCol w:w="379"/>
        <w:gridCol w:w="1107"/>
        <w:gridCol w:w="326"/>
        <w:gridCol w:w="196"/>
        <w:gridCol w:w="886"/>
        <w:gridCol w:w="326"/>
        <w:gridCol w:w="213"/>
        <w:gridCol w:w="868"/>
      </w:tblGrid>
      <w:tr>
        <w:trPr/>
        <w:tc>
          <w:tcPr>
            <w:tcW w:w="22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5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9" w:type="dxa"/>
            <w:tcBorders/>
            <w:shd w:fill="auto" w:val="clear"/>
            <w:vAlign w:val="center"/>
          </w:tcPr>
          <w:p>
            <w:pPr>
              <w:pStyle w:val="TableContents"/>
              <w:spacing w:before="0" w:after="1"/>
              <w:ind w:left="0" w:right="0" w:hanging="0"/>
              <w:rPr/>
            </w:pPr>
            <w:r>
              <w:rPr/>
              <w:t>​</w:t>
            </w:r>
          </w:p>
        </w:tc>
        <w:tc>
          <w:tcPr>
            <w:tcW w:w="44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9" w:type="dxa"/>
            <w:tcBorders/>
            <w:shd w:fill="auto" w:val="clear"/>
            <w:vAlign w:val="center"/>
          </w:tcPr>
          <w:p>
            <w:pPr>
              <w:pStyle w:val="TableContents"/>
              <w:spacing w:before="0" w:after="1"/>
              <w:ind w:left="0" w:right="0" w:hanging="0"/>
              <w:rPr/>
            </w:pPr>
            <w:r>
              <w:rPr/>
              <w:t>​</w:t>
            </w:r>
          </w:p>
        </w:tc>
        <w:tc>
          <w:tcPr>
            <w:tcW w:w="44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9" w:type="dxa"/>
            <w:tcBorders/>
            <w:shd w:fill="auto" w:val="clear"/>
            <w:vAlign w:val="center"/>
          </w:tcPr>
          <w:p>
            <w:pPr>
              <w:pStyle w:val="TableContents"/>
              <w:spacing w:before="0" w:after="1"/>
              <w:ind w:left="0" w:right="0" w:hanging="0"/>
              <w:rPr/>
            </w:pPr>
            <w:r>
              <w:rPr/>
              <w:t>​</w:t>
            </w:r>
          </w:p>
        </w:tc>
        <w:tc>
          <w:tcPr>
            <w:tcW w:w="44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79" w:type="dxa"/>
            <w:tcBorders/>
            <w:shd w:fill="auto" w:val="clear"/>
            <w:vAlign w:val="center"/>
          </w:tcPr>
          <w:p>
            <w:pPr>
              <w:pStyle w:val="TableContents"/>
              <w:spacing w:before="0" w:after="1"/>
              <w:ind w:left="0" w:right="0" w:hanging="0"/>
              <w:rPr/>
            </w:pPr>
            <w:r>
              <w:rPr/>
              <w:t>​</w:t>
            </w:r>
          </w:p>
        </w:tc>
        <w:tc>
          <w:tcPr>
            <w:tcW w:w="110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3" w:type="dxa"/>
            <w:tcBorders/>
            <w:shd w:fill="auto" w:val="clear"/>
            <w:vAlign w:val="center"/>
          </w:tcPr>
          <w:p>
            <w:pPr>
              <w:pStyle w:val="TableContents"/>
              <w:spacing w:before="0" w:after="1"/>
              <w:ind w:left="0" w:right="0" w:hanging="0"/>
              <w:rPr/>
            </w:pPr>
            <w:r>
              <w:rPr/>
              <w:t>​</w:t>
            </w:r>
          </w:p>
        </w:tc>
        <w:tc>
          <w:tcPr>
            <w:tcW w:w="868" w:type="dxa"/>
            <w:tcBorders/>
            <w:shd w:fill="auto" w:val="clear"/>
            <w:vAlign w:val="center"/>
          </w:tcPr>
          <w:p>
            <w:pPr>
              <w:pStyle w:val="TableContents"/>
              <w:spacing w:before="0" w:after="1"/>
              <w:ind w:left="0" w:right="0" w:hanging="0"/>
              <w:rPr/>
            </w:pPr>
            <w:r>
              <w:rPr/>
              <w:t>​</w:t>
            </w:r>
          </w:p>
        </w:tc>
      </w:tr>
      <w:tr>
        <w:trPr/>
        <w:tc>
          <w:tcPr>
            <w:tcW w:w="22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603" w:type="dxa"/>
            <w:gridSpan w:val="4"/>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Series A </w:t>
            </w:r>
          </w:p>
        </w:tc>
        <w:tc>
          <w:tcPr>
            <w:tcW w:w="326" w:type="dxa"/>
            <w:tcBorders/>
            <w:shd w:fill="auto" w:val="clear"/>
            <w:vAlign w:val="center"/>
          </w:tcPr>
          <w:p>
            <w:pPr>
              <w:pStyle w:val="TableContents"/>
              <w:spacing w:before="0" w:after="1"/>
              <w:ind w:left="0" w:right="0" w:hanging="0"/>
              <w:jc w:val="center"/>
              <w:rPr/>
            </w:pPr>
            <w:r>
              <w:rPr/>
              <w:t>​</w:t>
            </w:r>
          </w:p>
        </w:tc>
        <w:tc>
          <w:tcPr>
            <w:tcW w:w="1843" w:type="dxa"/>
            <w:gridSpan w:val="4"/>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Series B</w:t>
            </w:r>
          </w:p>
        </w:tc>
        <w:tc>
          <w:tcPr>
            <w:tcW w:w="326" w:type="dxa"/>
            <w:tcBorders/>
            <w:shd w:fill="auto" w:val="clear"/>
            <w:vAlign w:val="center"/>
          </w:tcPr>
          <w:p>
            <w:pPr>
              <w:pStyle w:val="TableContents"/>
              <w:spacing w:before="0" w:after="1"/>
              <w:ind w:left="0" w:right="0" w:hanging="0"/>
              <w:jc w:val="center"/>
              <w:rPr/>
            </w:pPr>
            <w:r>
              <w:rPr/>
              <w:t>​</w:t>
            </w:r>
          </w:p>
        </w:tc>
        <w:tc>
          <w:tcPr>
            <w:tcW w:w="100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49" w:type="dxa"/>
            <w:tcBorders/>
            <w:shd w:fill="auto" w:val="clear"/>
            <w:vAlign w:val="center"/>
          </w:tcPr>
          <w:p>
            <w:pPr>
              <w:pStyle w:val="TableContents"/>
              <w:spacing w:before="0" w:after="1"/>
              <w:ind w:left="0" w:right="0" w:hanging="0"/>
              <w:jc w:val="center"/>
              <w:rPr/>
            </w:pPr>
            <w:r>
              <w:rPr/>
              <w:t>​</w:t>
            </w:r>
          </w:p>
        </w:tc>
        <w:tc>
          <w:tcPr>
            <w:tcW w:w="442"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96" w:type="dxa"/>
            <w:tcBorders/>
            <w:shd w:fill="auto" w:val="clear"/>
            <w:vAlign w:val="center"/>
          </w:tcPr>
          <w:p>
            <w:pPr>
              <w:pStyle w:val="TableContents"/>
              <w:spacing w:before="0" w:after="1"/>
              <w:ind w:left="0" w:right="0" w:hanging="0"/>
              <w:jc w:val="center"/>
              <w:rPr/>
            </w:pPr>
            <w:r>
              <w:rPr/>
              <w:t>​</w:t>
            </w:r>
          </w:p>
        </w:tc>
        <w:tc>
          <w:tcPr>
            <w:tcW w:w="8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379" w:type="dxa"/>
            <w:tcBorders/>
            <w:shd w:fill="auto" w:val="clear"/>
            <w:vAlign w:val="center"/>
          </w:tcPr>
          <w:p>
            <w:pPr>
              <w:pStyle w:val="TableContents"/>
              <w:spacing w:before="0" w:after="1"/>
              <w:ind w:left="0" w:right="0" w:hanging="0"/>
              <w:jc w:val="center"/>
              <w:rPr/>
            </w:pPr>
            <w:r>
              <w:rPr/>
              <w:t>​</w:t>
            </w:r>
          </w:p>
        </w:tc>
        <w:tc>
          <w:tcPr>
            <w:tcW w:w="1107"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96" w:type="dxa"/>
            <w:tcBorders/>
            <w:shd w:fill="auto" w:val="clear"/>
            <w:vAlign w:val="center"/>
          </w:tcPr>
          <w:p>
            <w:pPr>
              <w:pStyle w:val="TableContents"/>
              <w:spacing w:before="0" w:after="1"/>
              <w:ind w:left="0" w:right="0" w:hanging="0"/>
              <w:jc w:val="center"/>
              <w:rPr/>
            </w:pPr>
            <w:r>
              <w:rPr/>
              <w:t>​</w:t>
            </w:r>
          </w:p>
        </w:tc>
        <w:tc>
          <w:tcPr>
            <w:tcW w:w="88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13" w:type="dxa"/>
            <w:tcBorders/>
            <w:shd w:fill="auto" w:val="clear"/>
            <w:vAlign w:val="center"/>
          </w:tcPr>
          <w:p>
            <w:pPr>
              <w:pStyle w:val="TableContents"/>
              <w:spacing w:before="0" w:after="1"/>
              <w:ind w:left="0" w:right="0" w:hanging="0"/>
              <w:jc w:val="center"/>
              <w:rPr/>
            </w:pPr>
            <w:r>
              <w:rPr/>
              <w:t>​</w:t>
            </w:r>
          </w:p>
        </w:tc>
        <w:tc>
          <w:tcPr>
            <w:tcW w:w="868" w:type="dxa"/>
            <w:tcBorders/>
            <w:shd w:fill="auto" w:val="clear"/>
            <w:vAlign w:val="center"/>
          </w:tcPr>
          <w:p>
            <w:pPr>
              <w:pStyle w:val="TableContents"/>
              <w:spacing w:before="0" w:after="1"/>
              <w:ind w:left="0" w:right="0" w:hanging="0"/>
              <w:jc w:val="center"/>
              <w:rPr/>
            </w:pPr>
            <w:r>
              <w:rPr/>
              <w:t>​</w:t>
            </w:r>
          </w:p>
        </w:tc>
      </w:tr>
      <w:tr>
        <w:trPr/>
        <w:tc>
          <w:tcPr>
            <w:tcW w:w="22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603" w:type="dxa"/>
            <w:gridSpan w:val="4"/>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Convertible</w:t>
            </w:r>
          </w:p>
        </w:tc>
        <w:tc>
          <w:tcPr>
            <w:tcW w:w="326" w:type="dxa"/>
            <w:tcBorders/>
            <w:shd w:fill="auto" w:val="clear"/>
            <w:vAlign w:val="center"/>
          </w:tcPr>
          <w:p>
            <w:pPr>
              <w:pStyle w:val="TableContents"/>
              <w:spacing w:before="0" w:after="1"/>
              <w:ind w:left="0" w:right="0" w:hanging="0"/>
              <w:jc w:val="center"/>
              <w:rPr/>
            </w:pPr>
            <w:r>
              <w:rPr/>
              <w:t>​</w:t>
            </w:r>
          </w:p>
        </w:tc>
        <w:tc>
          <w:tcPr>
            <w:tcW w:w="1843" w:type="dxa"/>
            <w:gridSpan w:val="4"/>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Convertible</w:t>
            </w:r>
          </w:p>
        </w:tc>
        <w:tc>
          <w:tcPr>
            <w:tcW w:w="326" w:type="dxa"/>
            <w:tcBorders/>
            <w:shd w:fill="auto" w:val="clear"/>
            <w:vAlign w:val="center"/>
          </w:tcPr>
          <w:p>
            <w:pPr>
              <w:pStyle w:val="TableContents"/>
              <w:spacing w:before="0" w:after="1"/>
              <w:ind w:left="0" w:right="0" w:hanging="0"/>
              <w:jc w:val="center"/>
              <w:rPr/>
            </w:pPr>
            <w:r>
              <w:rPr/>
              <w:t>​</w:t>
            </w:r>
          </w:p>
        </w:tc>
        <w:tc>
          <w:tcPr>
            <w:tcW w:w="100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49" w:type="dxa"/>
            <w:tcBorders/>
            <w:shd w:fill="auto" w:val="clear"/>
            <w:vAlign w:val="center"/>
          </w:tcPr>
          <w:p>
            <w:pPr>
              <w:pStyle w:val="TableContents"/>
              <w:spacing w:before="0" w:after="1"/>
              <w:ind w:left="0" w:right="0" w:hanging="0"/>
              <w:jc w:val="center"/>
              <w:rPr/>
            </w:pPr>
            <w:r>
              <w:rPr/>
              <w:t>​</w:t>
            </w:r>
          </w:p>
        </w:tc>
        <w:tc>
          <w:tcPr>
            <w:tcW w:w="442"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2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shd w:fill="auto" w:val="clear"/>
            <w:vAlign w:val="center"/>
          </w:tcPr>
          <w:p>
            <w:pPr>
              <w:pStyle w:val="TableContents"/>
              <w:spacing w:before="0" w:after="1"/>
              <w:ind w:left="0" w:right="0" w:hanging="0"/>
              <w:jc w:val="center"/>
              <w:rPr/>
            </w:pPr>
            <w:r>
              <w:rPr/>
              <w:t>​</w:t>
            </w:r>
          </w:p>
        </w:tc>
        <w:tc>
          <w:tcPr>
            <w:tcW w:w="148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other</w:t>
            </w:r>
          </w:p>
        </w:tc>
        <w:tc>
          <w:tcPr>
            <w:tcW w:w="326" w:type="dxa"/>
            <w:tcBorders/>
            <w:shd w:fill="auto" w:val="clear"/>
            <w:vAlign w:val="center"/>
          </w:tcPr>
          <w:p>
            <w:pPr>
              <w:pStyle w:val="TableContents"/>
              <w:spacing w:before="0" w:after="1"/>
              <w:ind w:left="0" w:right="0" w:hanging="0"/>
              <w:jc w:val="center"/>
              <w:rPr/>
            </w:pPr>
            <w:r>
              <w:rPr/>
              <w:t>​</w:t>
            </w:r>
          </w:p>
        </w:tc>
        <w:tc>
          <w:tcPr>
            <w:tcW w:w="196" w:type="dxa"/>
            <w:tcBorders/>
            <w:shd w:fill="auto" w:val="clear"/>
            <w:vAlign w:val="center"/>
          </w:tcPr>
          <w:p>
            <w:pPr>
              <w:pStyle w:val="TableContents"/>
              <w:spacing w:before="0" w:after="1"/>
              <w:ind w:left="0" w:right="0" w:hanging="0"/>
              <w:jc w:val="center"/>
              <w:rPr/>
            </w:pPr>
            <w:r>
              <w:rPr/>
              <w:t>​</w:t>
            </w:r>
          </w:p>
        </w:tc>
        <w:tc>
          <w:tcPr>
            <w:tcW w:w="88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8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2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603"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Preferred Sock</w:t>
            </w:r>
          </w:p>
        </w:tc>
        <w:tc>
          <w:tcPr>
            <w:tcW w:w="326" w:type="dxa"/>
            <w:tcBorders/>
            <w:shd w:fill="auto" w:val="clear"/>
            <w:vAlign w:val="center"/>
          </w:tcPr>
          <w:p>
            <w:pPr>
              <w:pStyle w:val="TableContents"/>
              <w:spacing w:before="0" w:after="1"/>
              <w:ind w:left="0" w:right="0" w:hanging="0"/>
              <w:jc w:val="center"/>
              <w:rPr/>
            </w:pPr>
            <w:r>
              <w:rPr/>
              <w:t>​</w:t>
            </w:r>
          </w:p>
        </w:tc>
        <w:tc>
          <w:tcPr>
            <w:tcW w:w="1843"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Preferred Stock</w:t>
            </w:r>
          </w:p>
        </w:tc>
        <w:tc>
          <w:tcPr>
            <w:tcW w:w="326" w:type="dxa"/>
            <w:tcBorders/>
            <w:shd w:fill="auto" w:val="clear"/>
            <w:vAlign w:val="center"/>
          </w:tcPr>
          <w:p>
            <w:pPr>
              <w:pStyle w:val="TableContents"/>
              <w:spacing w:before="0" w:after="1"/>
              <w:ind w:left="0" w:right="0" w:hanging="0"/>
              <w:jc w:val="center"/>
              <w:rPr/>
            </w:pPr>
            <w:r>
              <w:rPr/>
              <w:t>​</w:t>
            </w:r>
          </w:p>
        </w:tc>
        <w:tc>
          <w:tcPr>
            <w:tcW w:w="2023"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shd w:fill="auto" w:val="clear"/>
            <w:vAlign w:val="center"/>
          </w:tcPr>
          <w:p>
            <w:pPr>
              <w:pStyle w:val="TableContents"/>
              <w:spacing w:before="0" w:after="1"/>
              <w:ind w:left="0" w:right="0" w:hanging="0"/>
              <w:jc w:val="center"/>
              <w:rPr/>
            </w:pPr>
            <w:r>
              <w:rPr/>
              <w:t>​</w:t>
            </w:r>
          </w:p>
        </w:tc>
        <w:tc>
          <w:tcPr>
            <w:tcW w:w="102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shd w:fill="auto" w:val="clear"/>
            <w:vAlign w:val="center"/>
          </w:tcPr>
          <w:p>
            <w:pPr>
              <w:pStyle w:val="TableContents"/>
              <w:spacing w:before="0" w:after="1"/>
              <w:ind w:left="0" w:right="0" w:hanging="0"/>
              <w:jc w:val="center"/>
              <w:rPr/>
            </w:pPr>
            <w:r>
              <w:rPr/>
              <w:t>​</w:t>
            </w:r>
          </w:p>
        </w:tc>
        <w:tc>
          <w:tcPr>
            <w:tcW w:w="148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shd w:fill="auto" w:val="clear"/>
            <w:vAlign w:val="center"/>
          </w:tcPr>
          <w:p>
            <w:pPr>
              <w:pStyle w:val="TableContents"/>
              <w:spacing w:before="0" w:after="1"/>
              <w:ind w:left="0" w:right="0" w:hanging="0"/>
              <w:jc w:val="center"/>
              <w:rPr/>
            </w:pPr>
            <w:r>
              <w:rPr/>
              <w:t>​</w:t>
            </w:r>
          </w:p>
        </w:tc>
        <w:tc>
          <w:tcPr>
            <w:tcW w:w="108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shd w:fill="auto" w:val="clear"/>
            <w:vAlign w:val="center"/>
          </w:tcPr>
          <w:p>
            <w:pPr>
              <w:pStyle w:val="TableContents"/>
              <w:spacing w:before="0" w:after="1"/>
              <w:ind w:left="0" w:right="0" w:hanging="0"/>
              <w:jc w:val="center"/>
              <w:rPr/>
            </w:pPr>
            <w:r>
              <w:rPr/>
              <w:t>​</w:t>
            </w:r>
          </w:p>
        </w:tc>
        <w:tc>
          <w:tcPr>
            <w:tcW w:w="108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2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5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1"/>
              <w:ind w:left="0" w:right="0" w:hanging="0"/>
              <w:jc w:val="center"/>
              <w:rPr/>
            </w:pPr>
            <w:r>
              <w:rPr/>
              <w:t>    </w:t>
            </w:r>
          </w:p>
        </w:tc>
        <w:tc>
          <w:tcPr>
            <w:tcW w:w="69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1"/>
              <w:ind w:left="0" w:right="0" w:hanging="0"/>
              <w:jc w:val="center"/>
              <w:rPr/>
            </w:pPr>
            <w:r>
              <w:rPr/>
              <w:t>    </w:t>
            </w:r>
          </w:p>
        </w:tc>
        <w:tc>
          <w:tcPr>
            <w:tcW w:w="82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1"/>
              <w:ind w:left="0" w:right="0" w:hanging="0"/>
              <w:jc w:val="center"/>
              <w:rPr/>
            </w:pPr>
            <w:r>
              <w:rPr/>
              <w:t>    </w:t>
            </w:r>
          </w:p>
        </w:tc>
        <w:tc>
          <w:tcPr>
            <w:tcW w:w="69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1"/>
              <w:ind w:left="0" w:right="0" w:hanging="0"/>
              <w:jc w:val="center"/>
              <w:rPr/>
            </w:pPr>
            <w:r>
              <w:rPr/>
              <w:t>    </w:t>
            </w:r>
          </w:p>
        </w:tc>
        <w:tc>
          <w:tcPr>
            <w:tcW w:w="100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1"/>
              <w:ind w:left="0" w:right="0" w:hanging="0"/>
              <w:jc w:val="center"/>
              <w:rPr/>
            </w:pPr>
            <w:r>
              <w:rPr/>
              <w:t>    </w:t>
            </w:r>
          </w:p>
        </w:tc>
        <w:tc>
          <w:tcPr>
            <w:tcW w:w="69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1"/>
              <w:ind w:left="0" w:right="0" w:hanging="0"/>
              <w:jc w:val="center"/>
              <w:rPr/>
            </w:pPr>
            <w:r>
              <w:rPr/>
              <w:t>    </w:t>
            </w:r>
          </w:p>
        </w:tc>
        <w:tc>
          <w:tcPr>
            <w:tcW w:w="102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shd w:fill="auto" w:val="clear"/>
            <w:vAlign w:val="center"/>
          </w:tcPr>
          <w:p>
            <w:pPr>
              <w:pStyle w:val="TableContents"/>
              <w:spacing w:before="0" w:after="1"/>
              <w:ind w:left="0" w:right="0" w:hanging="0"/>
              <w:jc w:val="center"/>
              <w:rPr/>
            </w:pPr>
            <w:r>
              <w:rPr/>
              <w:t>    </w:t>
            </w:r>
          </w:p>
        </w:tc>
        <w:tc>
          <w:tcPr>
            <w:tcW w:w="148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26" w:type="dxa"/>
            <w:tcBorders/>
            <w:shd w:fill="auto" w:val="clear"/>
            <w:vAlign w:val="center"/>
          </w:tcPr>
          <w:p>
            <w:pPr>
              <w:pStyle w:val="TableContents"/>
              <w:spacing w:before="0" w:after="1"/>
              <w:ind w:left="0" w:right="0" w:hanging="0"/>
              <w:jc w:val="center"/>
              <w:rPr/>
            </w:pPr>
            <w:r>
              <w:rPr/>
              <w:t>    </w:t>
            </w:r>
          </w:p>
        </w:tc>
        <w:tc>
          <w:tcPr>
            <w:tcW w:w="108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shd w:fill="auto" w:val="clear"/>
            <w:vAlign w:val="center"/>
          </w:tcPr>
          <w:p>
            <w:pPr>
              <w:pStyle w:val="TableContents"/>
              <w:spacing w:before="0" w:after="1"/>
              <w:ind w:left="0" w:right="0" w:hanging="0"/>
              <w:jc w:val="center"/>
              <w:rPr/>
            </w:pPr>
            <w:r>
              <w:rPr/>
              <w:t>    </w:t>
            </w:r>
          </w:p>
        </w:tc>
        <w:tc>
          <w:tcPr>
            <w:tcW w:w="108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236"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Balance - December 31, 2022</w:t>
            </w:r>
          </w:p>
        </w:tc>
        <w:tc>
          <w:tcPr>
            <w:tcW w:w="326" w:type="dxa"/>
            <w:tcBorders/>
            <w:shd w:fill="CCEEFF" w:val="clear"/>
            <w:vAlign w:val="center"/>
          </w:tcPr>
          <w:p>
            <w:pPr>
              <w:pStyle w:val="TableContents"/>
              <w:spacing w:before="0" w:after="1"/>
              <w:ind w:left="0" w:right="0" w:hanging="0"/>
              <w:rPr/>
            </w:pPr>
            <w:r>
              <w:rPr/>
              <w:t> </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194</w:t>
            </w:r>
          </w:p>
        </w:tc>
        <w:tc>
          <w:tcPr>
            <w:tcW w:w="326" w:type="dxa"/>
            <w:tcBorders/>
            <w:shd w:fill="CCEEFF" w:val="clear"/>
            <w:vAlign w:val="center"/>
          </w:tcPr>
          <w:p>
            <w:pPr>
              <w:pStyle w:val="TableContents"/>
              <w:spacing w:before="0" w:after="1"/>
              <w:ind w:left="0" w:right="0" w:hanging="0"/>
              <w:jc w:val="right"/>
              <w:rPr/>
            </w:pPr>
            <w:r>
              <w:rPr/>
              <w:t>​</w:t>
            </w:r>
          </w:p>
        </w:tc>
        <w:tc>
          <w:tcPr>
            <w:tcW w:w="249" w:type="dxa"/>
            <w:tcBorders/>
            <w:shd w:fill="CCEEFF"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 </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2,842,158</w:t>
            </w:r>
          </w:p>
        </w:tc>
        <w:tc>
          <w:tcPr>
            <w:tcW w:w="326" w:type="dxa"/>
            <w:tcBorders/>
            <w:shd w:fill="CCEEFF" w:val="clear"/>
            <w:vAlign w:val="center"/>
          </w:tcPr>
          <w:p>
            <w:pPr>
              <w:pStyle w:val="TableContents"/>
              <w:spacing w:before="0" w:after="1"/>
              <w:ind w:left="0" w:right="0" w:hanging="0"/>
              <w:jc w:val="right"/>
              <w:rPr/>
            </w:pPr>
            <w:r>
              <w:rPr/>
              <w:t>​</w:t>
            </w:r>
          </w:p>
        </w:tc>
        <w:tc>
          <w:tcPr>
            <w:tcW w:w="249" w:type="dxa"/>
            <w:tcBorders/>
            <w:shd w:fill="CCEEFF"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c>
          <w:tcPr>
            <w:tcW w:w="326" w:type="dxa"/>
            <w:tcBorders/>
            <w:shd w:fill="CCEEFF" w:val="clear"/>
            <w:vAlign w:val="center"/>
          </w:tcPr>
          <w:p>
            <w:pPr>
              <w:pStyle w:val="TableContents"/>
              <w:spacing w:before="0" w:after="1"/>
              <w:ind w:left="0" w:right="0" w:hanging="0"/>
              <w:jc w:val="right"/>
              <w:rPr/>
            </w:pPr>
            <w:r>
              <w:rPr/>
              <w:t> </w:t>
            </w:r>
          </w:p>
        </w:tc>
        <w:tc>
          <w:tcPr>
            <w:tcW w:w="100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187,812,072</w:t>
            </w:r>
          </w:p>
        </w:tc>
        <w:tc>
          <w:tcPr>
            <w:tcW w:w="326" w:type="dxa"/>
            <w:tcBorders/>
            <w:shd w:fill="CCEEFF" w:val="clear"/>
            <w:vAlign w:val="center"/>
          </w:tcPr>
          <w:p>
            <w:pPr>
              <w:pStyle w:val="TableContents"/>
              <w:spacing w:before="0" w:after="1"/>
              <w:ind w:left="0" w:right="0" w:hanging="0"/>
              <w:jc w:val="right"/>
              <w:rPr/>
            </w:pPr>
            <w:r>
              <w:rPr/>
              <w:t>​</w:t>
            </w:r>
          </w:p>
        </w:tc>
        <w:tc>
          <w:tcPr>
            <w:tcW w:w="249" w:type="dxa"/>
            <w:tcBorders/>
            <w:shd w:fill="CCEEFF"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w:t>
            </w:r>
          </w:p>
        </w:tc>
        <w:tc>
          <w:tcPr>
            <w:tcW w:w="326" w:type="dxa"/>
            <w:tcBorders/>
            <w:shd w:fill="CCEEFF" w:val="clear"/>
            <w:vAlign w:val="center"/>
          </w:tcPr>
          <w:p>
            <w:pPr>
              <w:pStyle w:val="TableContents"/>
              <w:spacing w:before="0" w:after="1"/>
              <w:ind w:left="0" w:right="0" w:hanging="0"/>
              <w:jc w:val="right"/>
              <w:rPr/>
            </w:pPr>
            <w:r>
              <w:rPr/>
              <w:t>​</w:t>
            </w:r>
          </w:p>
        </w:tc>
        <w:tc>
          <w:tcPr>
            <w:tcW w:w="196" w:type="dxa"/>
            <w:tcBorders/>
            <w:shd w:fill="CCEEFF"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2,068,867</w:t>
            </w:r>
          </w:p>
        </w:tc>
        <w:tc>
          <w:tcPr>
            <w:tcW w:w="326" w:type="dxa"/>
            <w:tcBorders/>
            <w:shd w:fill="CCEEFF" w:val="clear"/>
            <w:vAlign w:val="center"/>
          </w:tcPr>
          <w:p>
            <w:pPr>
              <w:pStyle w:val="TableContents"/>
              <w:spacing w:before="0" w:after="1"/>
              <w:ind w:left="0" w:right="0" w:hanging="0"/>
              <w:jc w:val="right"/>
              <w:rPr/>
            </w:pPr>
            <w:r>
              <w:rPr/>
              <w:t>​</w:t>
            </w:r>
          </w:p>
        </w:tc>
        <w:tc>
          <w:tcPr>
            <w:tcW w:w="379" w:type="dxa"/>
            <w:tcBorders/>
            <w:shd w:fill="CCEEFF"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110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(902)</w:t>
            </w:r>
          </w:p>
        </w:tc>
        <w:tc>
          <w:tcPr>
            <w:tcW w:w="326" w:type="dxa"/>
            <w:tcBorders/>
            <w:shd w:fill="CCEEFF" w:val="clear"/>
            <w:vAlign w:val="center"/>
          </w:tcPr>
          <w:p>
            <w:pPr>
              <w:pStyle w:val="TableContents"/>
              <w:spacing w:before="0" w:after="1"/>
              <w:ind w:left="0" w:right="0" w:hanging="0"/>
              <w:jc w:val="right"/>
              <w:rPr/>
            </w:pPr>
            <w:r>
              <w:rPr/>
              <w:t>​</w:t>
            </w:r>
          </w:p>
        </w:tc>
        <w:tc>
          <w:tcPr>
            <w:tcW w:w="196" w:type="dxa"/>
            <w:tcBorders/>
            <w:shd w:fill="CCEEFF"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(1,568,338)</w:t>
            </w:r>
          </w:p>
        </w:tc>
        <w:tc>
          <w:tcPr>
            <w:tcW w:w="326" w:type="dxa"/>
            <w:tcBorders/>
            <w:shd w:fill="CCEEFF" w:val="clear"/>
            <w:vAlign w:val="center"/>
          </w:tcPr>
          <w:p>
            <w:pPr>
              <w:pStyle w:val="TableContents"/>
              <w:spacing w:before="0" w:after="1"/>
              <w:ind w:left="0" w:right="0" w:hanging="0"/>
              <w:jc w:val="right"/>
              <w:rPr/>
            </w:pPr>
            <w:r>
              <w:rPr/>
              <w:t>​</w:t>
            </w:r>
          </w:p>
        </w:tc>
        <w:tc>
          <w:tcPr>
            <w:tcW w:w="213" w:type="dxa"/>
            <w:tcBorders/>
            <w:shd w:fill="CCEEFF"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86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499,638</w:t>
            </w:r>
          </w:p>
        </w:tc>
      </w:tr>
      <w:tr>
        <w:trPr/>
        <w:tc>
          <w:tcPr>
            <w:tcW w:w="223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Stock-based compensation expense</w:t>
            </w:r>
          </w:p>
        </w:tc>
        <w:tc>
          <w:tcPr>
            <w:tcW w:w="326" w:type="dxa"/>
            <w:tcBorders/>
            <w:shd w:fill="auto" w:val="clear"/>
            <w:vAlign w:val="center"/>
          </w:tcPr>
          <w:p>
            <w:pPr>
              <w:pStyle w:val="TableContents"/>
              <w:spacing w:before="0" w:after="1"/>
              <w:ind w:left="0" w:right="0" w:hanging="0"/>
              <w:rPr/>
            </w:pPr>
            <w:r>
              <w:rPr/>
              <w:t>​</w:t>
            </w:r>
          </w:p>
        </w:tc>
        <w:tc>
          <w:tcPr>
            <w:tcW w:w="58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49" w:type="dxa"/>
            <w:tcBorders/>
            <w:shd w:fill="auto" w:val="clear"/>
            <w:vAlign w:val="center"/>
          </w:tcPr>
          <w:p>
            <w:pPr>
              <w:pStyle w:val="TableContents"/>
              <w:spacing w:before="0" w:after="1"/>
              <w:ind w:left="0" w:right="0" w:hanging="0"/>
              <w:jc w:val="center"/>
              <w:rPr/>
            </w:pPr>
            <w:r>
              <w:rPr/>
              <w:t>​</w:t>
            </w:r>
          </w:p>
        </w:tc>
        <w:tc>
          <w:tcPr>
            <w:tcW w:w="44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249" w:type="dxa"/>
            <w:tcBorders/>
            <w:shd w:fill="auto" w:val="clear"/>
            <w:vAlign w:val="center"/>
          </w:tcPr>
          <w:p>
            <w:pPr>
              <w:pStyle w:val="TableContents"/>
              <w:spacing w:before="0" w:after="1"/>
              <w:ind w:left="0" w:right="0" w:hanging="0"/>
              <w:jc w:val="center"/>
              <w:rPr/>
            </w:pPr>
            <w:r>
              <w:rPr/>
              <w:t>​</w:t>
            </w:r>
          </w:p>
        </w:tc>
        <w:tc>
          <w:tcPr>
            <w:tcW w:w="44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100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49" w:type="dxa"/>
            <w:tcBorders/>
            <w:shd w:fill="auto" w:val="clear"/>
            <w:vAlign w:val="center"/>
          </w:tcPr>
          <w:p>
            <w:pPr>
              <w:pStyle w:val="TableContents"/>
              <w:spacing w:before="0" w:after="1"/>
              <w:ind w:left="0" w:right="0" w:hanging="0"/>
              <w:jc w:val="center"/>
              <w:rPr/>
            </w:pPr>
            <w:r>
              <w:rPr/>
              <w:t>​</w:t>
            </w:r>
          </w:p>
        </w:tc>
        <w:tc>
          <w:tcPr>
            <w:tcW w:w="44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196" w:type="dxa"/>
            <w:tcBorders/>
            <w:shd w:fill="auto" w:val="clear"/>
            <w:vAlign w:val="center"/>
          </w:tcPr>
          <w:p>
            <w:pPr>
              <w:pStyle w:val="TableContents"/>
              <w:spacing w:before="0" w:after="1"/>
              <w:ind w:left="0" w:right="0" w:hanging="0"/>
              <w:jc w:val="center"/>
              <w:rPr>
                <w:color w:val="FF0000"/>
              </w:rPr>
            </w:pPr>
            <w:r>
              <w:rPr>
                <w:color w:val="FF0000"/>
              </w:rPr>
              <w:t> </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15,665</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379" w:type="dxa"/>
            <w:tcBorders/>
            <w:shd w:fill="auto" w:val="clear"/>
            <w:vAlign w:val="center"/>
          </w:tcPr>
          <w:p>
            <w:pPr>
              <w:pStyle w:val="TableContents"/>
              <w:spacing w:before="0" w:after="1"/>
              <w:ind w:left="0" w:right="0" w:hanging="0"/>
              <w:jc w:val="center"/>
              <w:rPr>
                <w:color w:val="FF0000"/>
              </w:rPr>
            </w:pPr>
            <w:r>
              <w:rPr>
                <w:color w:val="FF0000"/>
              </w:rPr>
              <w:t>​</w:t>
            </w:r>
          </w:p>
        </w:tc>
        <w:tc>
          <w:tcPr>
            <w:tcW w:w="1107"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196" w:type="dxa"/>
            <w:tcBorders/>
            <w:shd w:fill="auto" w:val="clear"/>
            <w:vAlign w:val="center"/>
          </w:tcPr>
          <w:p>
            <w:pPr>
              <w:pStyle w:val="TableContents"/>
              <w:spacing w:before="0" w:after="1"/>
              <w:ind w:left="0" w:right="0" w:hanging="0"/>
              <w:jc w:val="center"/>
              <w:rPr/>
            </w:pPr>
            <w:r>
              <w:rPr/>
              <w:t>​</w:t>
            </w:r>
          </w:p>
        </w:tc>
        <w:tc>
          <w:tcPr>
            <w:tcW w:w="88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3" w:type="dxa"/>
            <w:tcBorders/>
            <w:shd w:fill="auto" w:val="clear"/>
            <w:vAlign w:val="center"/>
          </w:tcPr>
          <w:p>
            <w:pPr>
              <w:pStyle w:val="TableContents"/>
              <w:spacing w:before="0" w:after="1"/>
              <w:ind w:left="0" w:right="0" w:hanging="0"/>
              <w:jc w:val="center"/>
              <w:rPr>
                <w:color w:val="FF0000"/>
              </w:rPr>
            </w:pPr>
            <w:r>
              <w:rPr>
                <w:color w:val="FF0000"/>
              </w:rPr>
              <w:t> </w:t>
            </w:r>
          </w:p>
        </w:tc>
        <w:tc>
          <w:tcPr>
            <w:tcW w:w="86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15,665</w:t>
            </w:r>
          </w:p>
        </w:tc>
      </w:tr>
      <w:tr>
        <w:trPr/>
        <w:tc>
          <w:tcPr>
            <w:tcW w:w="223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Vesting of restricted shares issued for services</w:t>
            </w:r>
          </w:p>
        </w:tc>
        <w:tc>
          <w:tcPr>
            <w:tcW w:w="326" w:type="dxa"/>
            <w:tcBorders/>
            <w:shd w:fill="CCEEFF" w:val="clear"/>
            <w:vAlign w:val="center"/>
          </w:tcPr>
          <w:p>
            <w:pPr>
              <w:pStyle w:val="TableContents"/>
              <w:spacing w:before="0" w:after="1"/>
              <w:ind w:left="0" w:right="0" w:hanging="0"/>
              <w:rPr/>
            </w:pPr>
            <w:r>
              <w:rPr/>
              <w:t>​</w:t>
            </w:r>
          </w:p>
        </w:tc>
        <w:tc>
          <w:tcPr>
            <w:tcW w:w="58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49" w:type="dxa"/>
            <w:tcBorders/>
            <w:shd w:fill="CCEEFF" w:val="clear"/>
            <w:vAlign w:val="center"/>
          </w:tcPr>
          <w:p>
            <w:pPr>
              <w:pStyle w:val="TableContents"/>
              <w:spacing w:before="0" w:after="1"/>
              <w:ind w:left="0" w:right="0" w:hanging="0"/>
              <w:jc w:val="center"/>
              <w:rPr/>
            </w:pPr>
            <w:r>
              <w:rPr/>
              <w:t>​</w:t>
            </w:r>
          </w:p>
        </w:tc>
        <w:tc>
          <w:tcPr>
            <w:tcW w:w="44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249" w:type="dxa"/>
            <w:tcBorders/>
            <w:shd w:fill="CCEEFF" w:val="clear"/>
            <w:vAlign w:val="center"/>
          </w:tcPr>
          <w:p>
            <w:pPr>
              <w:pStyle w:val="TableContents"/>
              <w:spacing w:before="0" w:after="1"/>
              <w:ind w:left="0" w:right="0" w:hanging="0"/>
              <w:jc w:val="center"/>
              <w:rPr/>
            </w:pPr>
            <w:r>
              <w:rPr/>
              <w:t>​</w:t>
            </w:r>
          </w:p>
        </w:tc>
        <w:tc>
          <w:tcPr>
            <w:tcW w:w="44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color w:val="FF0000"/>
              </w:rPr>
            </w:pPr>
            <w:r>
              <w:rPr>
                <w:color w:val="FF0000"/>
              </w:rPr>
              <w:t> </w:t>
            </w:r>
          </w:p>
        </w:tc>
        <w:tc>
          <w:tcPr>
            <w:tcW w:w="100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770,257</w:t>
            </w:r>
          </w:p>
        </w:tc>
        <w:tc>
          <w:tcPr>
            <w:tcW w:w="326" w:type="dxa"/>
            <w:tcBorders/>
            <w:shd w:fill="CCEEFF" w:val="clear"/>
            <w:vAlign w:val="center"/>
          </w:tcPr>
          <w:p>
            <w:pPr>
              <w:pStyle w:val="TableContents"/>
              <w:spacing w:before="0" w:after="1"/>
              <w:ind w:left="0" w:right="0" w:hanging="0"/>
              <w:rPr/>
            </w:pPr>
            <w:r>
              <w:rPr/>
              <w:t>​</w:t>
            </w:r>
          </w:p>
        </w:tc>
        <w:tc>
          <w:tcPr>
            <w:tcW w:w="249" w:type="dxa"/>
            <w:tcBorders/>
            <w:shd w:fill="CCEEFF" w:val="clear"/>
            <w:vAlign w:val="center"/>
          </w:tcPr>
          <w:p>
            <w:pPr>
              <w:pStyle w:val="TableContents"/>
              <w:spacing w:before="0" w:after="1"/>
              <w:ind w:left="0" w:right="0" w:hanging="0"/>
              <w:jc w:val="center"/>
              <w:rPr/>
            </w:pPr>
            <w:r>
              <w:rPr/>
              <w:t> </w:t>
            </w:r>
          </w:p>
        </w:tc>
        <w:tc>
          <w:tcPr>
            <w:tcW w:w="44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196" w:type="dxa"/>
            <w:tcBorders/>
            <w:shd w:fill="CCEEFF" w:val="clear"/>
            <w:vAlign w:val="center"/>
          </w:tcPr>
          <w:p>
            <w:pPr>
              <w:pStyle w:val="TableContents"/>
              <w:spacing w:before="0" w:after="1"/>
              <w:ind w:left="0" w:right="0" w:hanging="0"/>
              <w:jc w:val="center"/>
              <w:rPr>
                <w:color w:val="FF0000"/>
              </w:rPr>
            </w:pPr>
            <w:r>
              <w:rPr>
                <w:color w:val="FF0000"/>
              </w:rPr>
              <w:t> </w:t>
            </w:r>
          </w:p>
        </w:tc>
        <w:tc>
          <w:tcPr>
            <w:tcW w:w="8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379" w:type="dxa"/>
            <w:tcBorders/>
            <w:shd w:fill="CCEEFF" w:val="clear"/>
            <w:vAlign w:val="center"/>
          </w:tcPr>
          <w:p>
            <w:pPr>
              <w:pStyle w:val="TableContents"/>
              <w:spacing w:before="0" w:after="1"/>
              <w:ind w:left="0" w:right="0" w:hanging="0"/>
              <w:jc w:val="center"/>
              <w:rPr>
                <w:color w:val="FF0000"/>
              </w:rPr>
            </w:pPr>
            <w:r>
              <w:rPr>
                <w:color w:val="FF0000"/>
              </w:rPr>
              <w:t>​</w:t>
            </w:r>
          </w:p>
        </w:tc>
        <w:tc>
          <w:tcPr>
            <w:tcW w:w="1107"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196" w:type="dxa"/>
            <w:tcBorders/>
            <w:shd w:fill="CCEEFF" w:val="clear"/>
            <w:vAlign w:val="center"/>
          </w:tcPr>
          <w:p>
            <w:pPr>
              <w:pStyle w:val="TableContents"/>
              <w:spacing w:before="0" w:after="1"/>
              <w:ind w:left="0" w:right="0" w:hanging="0"/>
              <w:jc w:val="center"/>
              <w:rPr/>
            </w:pPr>
            <w:r>
              <w:rPr/>
              <w:t>​</w:t>
            </w:r>
          </w:p>
        </w:tc>
        <w:tc>
          <w:tcPr>
            <w:tcW w:w="88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3" w:type="dxa"/>
            <w:tcBorders/>
            <w:shd w:fill="CCEEFF" w:val="clear"/>
            <w:vAlign w:val="center"/>
          </w:tcPr>
          <w:p>
            <w:pPr>
              <w:pStyle w:val="TableContents"/>
              <w:spacing w:before="0" w:after="1"/>
              <w:ind w:left="0" w:right="0" w:hanging="0"/>
              <w:jc w:val="center"/>
              <w:rPr>
                <w:color w:val="FF0000"/>
              </w:rPr>
            </w:pPr>
            <w:r>
              <w:rPr>
                <w:color w:val="FF0000"/>
              </w:rPr>
              <w:t> </w:t>
            </w:r>
          </w:p>
        </w:tc>
        <w:tc>
          <w:tcPr>
            <w:tcW w:w="868" w:type="dxa"/>
            <w:tcBorders/>
            <w:shd w:fill="CCEEFF" w:val="clear"/>
            <w:vAlign w:val="center"/>
          </w:tcPr>
          <w:p>
            <w:pPr>
              <w:pStyle w:val="TableContents"/>
              <w:spacing w:before="0" w:after="1"/>
              <w:ind w:left="0" w:right="0" w:hanging="0"/>
              <w:jc w:val="right"/>
              <w:rPr/>
            </w:pPr>
            <w:r>
              <w:rPr/>
              <w:t>—</w:t>
            </w:r>
          </w:p>
        </w:tc>
      </w:tr>
      <w:tr>
        <w:trPr/>
        <w:tc>
          <w:tcPr>
            <w:tcW w:w="223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Tax payments related to shares retired for vested restricted stock units</w:t>
            </w:r>
          </w:p>
        </w:tc>
        <w:tc>
          <w:tcPr>
            <w:tcW w:w="326" w:type="dxa"/>
            <w:tcBorders/>
            <w:shd w:fill="auto" w:val="clear"/>
            <w:vAlign w:val="center"/>
          </w:tcPr>
          <w:p>
            <w:pPr>
              <w:pStyle w:val="TableContents"/>
              <w:spacing w:before="0" w:after="1"/>
              <w:ind w:left="0" w:right="0" w:hanging="0"/>
              <w:rPr/>
            </w:pPr>
            <w:r>
              <w:rPr/>
              <w:t>​</w:t>
            </w:r>
          </w:p>
        </w:tc>
        <w:tc>
          <w:tcPr>
            <w:tcW w:w="58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49" w:type="dxa"/>
            <w:tcBorders/>
            <w:shd w:fill="auto" w:val="clear"/>
            <w:vAlign w:val="center"/>
          </w:tcPr>
          <w:p>
            <w:pPr>
              <w:pStyle w:val="TableContents"/>
              <w:spacing w:before="0" w:after="1"/>
              <w:ind w:left="0" w:right="0" w:hanging="0"/>
              <w:jc w:val="center"/>
              <w:rPr/>
            </w:pPr>
            <w:r>
              <w:rPr/>
              <w:t>​</w:t>
            </w:r>
          </w:p>
        </w:tc>
        <w:tc>
          <w:tcPr>
            <w:tcW w:w="44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249" w:type="dxa"/>
            <w:tcBorders/>
            <w:shd w:fill="auto" w:val="clear"/>
            <w:vAlign w:val="center"/>
          </w:tcPr>
          <w:p>
            <w:pPr>
              <w:pStyle w:val="TableContents"/>
              <w:spacing w:before="0" w:after="1"/>
              <w:ind w:left="0" w:right="0" w:hanging="0"/>
              <w:jc w:val="center"/>
              <w:rPr/>
            </w:pPr>
            <w:r>
              <w:rPr/>
              <w:t>​</w:t>
            </w:r>
          </w:p>
        </w:tc>
        <w:tc>
          <w:tcPr>
            <w:tcW w:w="44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100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(303,576)</w:t>
            </w:r>
          </w:p>
        </w:tc>
        <w:tc>
          <w:tcPr>
            <w:tcW w:w="326" w:type="dxa"/>
            <w:tcBorders/>
            <w:shd w:fill="auto" w:val="clear"/>
            <w:vAlign w:val="center"/>
          </w:tcPr>
          <w:p>
            <w:pPr>
              <w:pStyle w:val="TableContents"/>
              <w:spacing w:before="0" w:after="1"/>
              <w:ind w:left="0" w:right="0" w:hanging="0"/>
              <w:rPr/>
            </w:pPr>
            <w:r>
              <w:rPr/>
              <w:t>​</w:t>
            </w:r>
          </w:p>
        </w:tc>
        <w:tc>
          <w:tcPr>
            <w:tcW w:w="249" w:type="dxa"/>
            <w:tcBorders/>
            <w:shd w:fill="auto" w:val="clear"/>
            <w:vAlign w:val="center"/>
          </w:tcPr>
          <w:p>
            <w:pPr>
              <w:pStyle w:val="TableContents"/>
              <w:spacing w:before="0" w:after="1"/>
              <w:ind w:left="0" w:right="0" w:hanging="0"/>
              <w:jc w:val="center"/>
              <w:rPr/>
            </w:pPr>
            <w:r>
              <w:rPr/>
              <w:t>​</w:t>
            </w:r>
          </w:p>
        </w:tc>
        <w:tc>
          <w:tcPr>
            <w:tcW w:w="44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196" w:type="dxa"/>
            <w:tcBorders/>
            <w:shd w:fill="auto" w:val="clear"/>
            <w:vAlign w:val="center"/>
          </w:tcPr>
          <w:p>
            <w:pPr>
              <w:pStyle w:val="TableContents"/>
              <w:spacing w:before="0" w:after="1"/>
              <w:ind w:left="0" w:right="0" w:hanging="0"/>
              <w:jc w:val="center"/>
              <w:rPr>
                <w:color w:val="FF0000"/>
              </w:rPr>
            </w:pPr>
            <w:r>
              <w:rPr>
                <w:color w:val="FF0000"/>
              </w:rPr>
              <w:t> </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(1,929)</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379" w:type="dxa"/>
            <w:tcBorders/>
            <w:shd w:fill="auto" w:val="clear"/>
            <w:vAlign w:val="center"/>
          </w:tcPr>
          <w:p>
            <w:pPr>
              <w:pStyle w:val="TableContents"/>
              <w:spacing w:before="0" w:after="1"/>
              <w:ind w:left="0" w:right="0" w:hanging="0"/>
              <w:jc w:val="center"/>
              <w:rPr>
                <w:color w:val="FF0000"/>
              </w:rPr>
            </w:pPr>
            <w:r>
              <w:rPr>
                <w:color w:val="FF0000"/>
              </w:rPr>
              <w:t>​</w:t>
            </w:r>
          </w:p>
        </w:tc>
        <w:tc>
          <w:tcPr>
            <w:tcW w:w="1107"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196" w:type="dxa"/>
            <w:tcBorders/>
            <w:shd w:fill="auto" w:val="clear"/>
            <w:vAlign w:val="center"/>
          </w:tcPr>
          <w:p>
            <w:pPr>
              <w:pStyle w:val="TableContents"/>
              <w:spacing w:before="0" w:after="1"/>
              <w:ind w:left="0" w:right="0" w:hanging="0"/>
              <w:jc w:val="center"/>
              <w:rPr/>
            </w:pPr>
            <w:r>
              <w:rPr/>
              <w:t>​</w:t>
            </w:r>
          </w:p>
        </w:tc>
        <w:tc>
          <w:tcPr>
            <w:tcW w:w="88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3" w:type="dxa"/>
            <w:tcBorders/>
            <w:shd w:fill="auto" w:val="clear"/>
            <w:vAlign w:val="center"/>
          </w:tcPr>
          <w:p>
            <w:pPr>
              <w:pStyle w:val="TableContents"/>
              <w:spacing w:before="0" w:after="1"/>
              <w:ind w:left="0" w:right="0" w:hanging="0"/>
              <w:jc w:val="center"/>
              <w:rPr>
                <w:color w:val="FF0000"/>
              </w:rPr>
            </w:pPr>
            <w:r>
              <w:rPr>
                <w:color w:val="FF0000"/>
              </w:rPr>
              <w:t> </w:t>
            </w:r>
          </w:p>
        </w:tc>
        <w:tc>
          <w:tcPr>
            <w:tcW w:w="86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(1,929)</w:t>
            </w:r>
          </w:p>
        </w:tc>
      </w:tr>
      <w:tr>
        <w:trPr/>
        <w:tc>
          <w:tcPr>
            <w:tcW w:w="223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Unrealized gain on investments</w:t>
            </w:r>
          </w:p>
        </w:tc>
        <w:tc>
          <w:tcPr>
            <w:tcW w:w="326" w:type="dxa"/>
            <w:tcBorders/>
            <w:shd w:fill="CCEEFF" w:val="clear"/>
            <w:vAlign w:val="center"/>
          </w:tcPr>
          <w:p>
            <w:pPr>
              <w:pStyle w:val="TableContents"/>
              <w:spacing w:before="0" w:after="1"/>
              <w:ind w:left="0" w:right="0" w:hanging="0"/>
              <w:rPr/>
            </w:pPr>
            <w:r>
              <w:rPr/>
              <w:t>​</w:t>
            </w:r>
          </w:p>
        </w:tc>
        <w:tc>
          <w:tcPr>
            <w:tcW w:w="58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49" w:type="dxa"/>
            <w:tcBorders/>
            <w:shd w:fill="CCEEFF" w:val="clear"/>
            <w:vAlign w:val="center"/>
          </w:tcPr>
          <w:p>
            <w:pPr>
              <w:pStyle w:val="TableContents"/>
              <w:spacing w:before="0" w:after="1"/>
              <w:ind w:left="0" w:right="0" w:hanging="0"/>
              <w:jc w:val="center"/>
              <w:rPr/>
            </w:pPr>
            <w:r>
              <w:rPr/>
              <w:t>​</w:t>
            </w:r>
          </w:p>
        </w:tc>
        <w:tc>
          <w:tcPr>
            <w:tcW w:w="44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249" w:type="dxa"/>
            <w:tcBorders/>
            <w:shd w:fill="CCEEFF" w:val="clear"/>
            <w:vAlign w:val="center"/>
          </w:tcPr>
          <w:p>
            <w:pPr>
              <w:pStyle w:val="TableContents"/>
              <w:spacing w:before="0" w:after="1"/>
              <w:ind w:left="0" w:right="0" w:hanging="0"/>
              <w:jc w:val="center"/>
              <w:rPr/>
            </w:pPr>
            <w:r>
              <w:rPr/>
              <w:t>​</w:t>
            </w:r>
          </w:p>
        </w:tc>
        <w:tc>
          <w:tcPr>
            <w:tcW w:w="44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100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49" w:type="dxa"/>
            <w:tcBorders/>
            <w:shd w:fill="CCEEFF" w:val="clear"/>
            <w:vAlign w:val="center"/>
          </w:tcPr>
          <w:p>
            <w:pPr>
              <w:pStyle w:val="TableContents"/>
              <w:spacing w:before="0" w:after="1"/>
              <w:ind w:left="0" w:right="0" w:hanging="0"/>
              <w:jc w:val="center"/>
              <w:rPr/>
            </w:pPr>
            <w:r>
              <w:rPr/>
              <w:t>​</w:t>
            </w:r>
          </w:p>
        </w:tc>
        <w:tc>
          <w:tcPr>
            <w:tcW w:w="44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196" w:type="dxa"/>
            <w:tcBorders/>
            <w:shd w:fill="CCEEFF" w:val="clear"/>
            <w:vAlign w:val="center"/>
          </w:tcPr>
          <w:p>
            <w:pPr>
              <w:pStyle w:val="TableContents"/>
              <w:spacing w:before="0" w:after="1"/>
              <w:ind w:left="0" w:right="0" w:hanging="0"/>
              <w:jc w:val="center"/>
              <w:rPr>
                <w:color w:val="FF0000"/>
              </w:rPr>
            </w:pPr>
            <w:r>
              <w:rPr>
                <w:color w:val="FF0000"/>
              </w:rPr>
              <w:t>​</w:t>
            </w:r>
          </w:p>
        </w:tc>
        <w:tc>
          <w:tcPr>
            <w:tcW w:w="8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379" w:type="dxa"/>
            <w:tcBorders/>
            <w:shd w:fill="CCEEFF" w:val="clear"/>
            <w:vAlign w:val="center"/>
          </w:tcPr>
          <w:p>
            <w:pPr>
              <w:pStyle w:val="TableContents"/>
              <w:spacing w:before="0" w:after="1"/>
              <w:ind w:left="0" w:right="0" w:hanging="0"/>
              <w:jc w:val="center"/>
              <w:rPr>
                <w:color w:val="FF0000"/>
              </w:rPr>
            </w:pPr>
            <w:r>
              <w:rPr>
                <w:color w:val="FF0000"/>
              </w:rPr>
              <w:t> </w:t>
            </w:r>
          </w:p>
        </w:tc>
        <w:tc>
          <w:tcPr>
            <w:tcW w:w="110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776</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196" w:type="dxa"/>
            <w:tcBorders/>
            <w:shd w:fill="CCEEFF" w:val="clear"/>
            <w:vAlign w:val="center"/>
          </w:tcPr>
          <w:p>
            <w:pPr>
              <w:pStyle w:val="TableContents"/>
              <w:spacing w:before="0" w:after="1"/>
              <w:ind w:left="0" w:right="0" w:hanging="0"/>
              <w:jc w:val="center"/>
              <w:rPr/>
            </w:pPr>
            <w:r>
              <w:rPr/>
              <w:t>​</w:t>
            </w:r>
          </w:p>
        </w:tc>
        <w:tc>
          <w:tcPr>
            <w:tcW w:w="88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3" w:type="dxa"/>
            <w:tcBorders/>
            <w:shd w:fill="CCEEFF" w:val="clear"/>
            <w:vAlign w:val="center"/>
          </w:tcPr>
          <w:p>
            <w:pPr>
              <w:pStyle w:val="TableContents"/>
              <w:spacing w:before="0" w:after="1"/>
              <w:ind w:left="0" w:right="0" w:hanging="0"/>
              <w:jc w:val="center"/>
              <w:rPr>
                <w:color w:val="FF0000"/>
              </w:rPr>
            </w:pPr>
            <w:r>
              <w:rPr>
                <w:color w:val="FF0000"/>
              </w:rPr>
              <w:t> </w:t>
            </w:r>
          </w:p>
        </w:tc>
        <w:tc>
          <w:tcPr>
            <w:tcW w:w="86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776</w:t>
            </w:r>
          </w:p>
        </w:tc>
      </w:tr>
      <w:tr>
        <w:trPr/>
        <w:tc>
          <w:tcPr>
            <w:tcW w:w="223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Common stock sold in public offering, net of offering costs</w:t>
            </w:r>
          </w:p>
        </w:tc>
        <w:tc>
          <w:tcPr>
            <w:tcW w:w="326" w:type="dxa"/>
            <w:tcBorders/>
            <w:shd w:fill="auto" w:val="clear"/>
            <w:vAlign w:val="center"/>
          </w:tcPr>
          <w:p>
            <w:pPr>
              <w:pStyle w:val="TableContents"/>
              <w:spacing w:before="0" w:after="1"/>
              <w:ind w:left="0" w:right="0" w:hanging="0"/>
              <w:rPr/>
            </w:pPr>
            <w:r>
              <w:rPr/>
              <w:t>​</w:t>
            </w:r>
          </w:p>
        </w:tc>
        <w:tc>
          <w:tcPr>
            <w:tcW w:w="58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49" w:type="dxa"/>
            <w:tcBorders/>
            <w:shd w:fill="auto" w:val="clear"/>
            <w:vAlign w:val="center"/>
          </w:tcPr>
          <w:p>
            <w:pPr>
              <w:pStyle w:val="TableContents"/>
              <w:spacing w:before="0" w:after="1"/>
              <w:ind w:left="0" w:right="0" w:hanging="0"/>
              <w:jc w:val="center"/>
              <w:rPr/>
            </w:pPr>
            <w:r>
              <w:rPr/>
              <w:t>​</w:t>
            </w:r>
          </w:p>
        </w:tc>
        <w:tc>
          <w:tcPr>
            <w:tcW w:w="44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249" w:type="dxa"/>
            <w:tcBorders/>
            <w:shd w:fill="auto" w:val="clear"/>
            <w:vAlign w:val="center"/>
          </w:tcPr>
          <w:p>
            <w:pPr>
              <w:pStyle w:val="TableContents"/>
              <w:spacing w:before="0" w:after="1"/>
              <w:ind w:left="0" w:right="0" w:hanging="0"/>
              <w:jc w:val="center"/>
              <w:rPr/>
            </w:pPr>
            <w:r>
              <w:rPr/>
              <w:t>​</w:t>
            </w:r>
          </w:p>
        </w:tc>
        <w:tc>
          <w:tcPr>
            <w:tcW w:w="44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100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36,080,226</w:t>
            </w:r>
          </w:p>
        </w:tc>
        <w:tc>
          <w:tcPr>
            <w:tcW w:w="326" w:type="dxa"/>
            <w:tcBorders/>
            <w:shd w:fill="auto" w:val="clear"/>
            <w:vAlign w:val="center"/>
          </w:tcPr>
          <w:p>
            <w:pPr>
              <w:pStyle w:val="TableContents"/>
              <w:spacing w:before="0" w:after="1"/>
              <w:ind w:left="0" w:right="0" w:hanging="0"/>
              <w:rPr/>
            </w:pPr>
            <w:r>
              <w:rPr/>
              <w:t>​</w:t>
            </w:r>
          </w:p>
        </w:tc>
        <w:tc>
          <w:tcPr>
            <w:tcW w:w="249" w:type="dxa"/>
            <w:tcBorders/>
            <w:shd w:fill="auto" w:val="clear"/>
            <w:vAlign w:val="center"/>
          </w:tcPr>
          <w:p>
            <w:pPr>
              <w:pStyle w:val="TableContents"/>
              <w:spacing w:before="0" w:after="1"/>
              <w:ind w:left="0" w:right="0" w:hanging="0"/>
              <w:jc w:val="center"/>
              <w:rPr/>
            </w:pPr>
            <w:r>
              <w:rPr/>
              <w:t>​</w:t>
            </w:r>
          </w:p>
        </w:tc>
        <w:tc>
          <w:tcPr>
            <w:tcW w:w="44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196" w:type="dxa"/>
            <w:tcBorders/>
            <w:shd w:fill="auto" w:val="clear"/>
            <w:vAlign w:val="center"/>
          </w:tcPr>
          <w:p>
            <w:pPr>
              <w:pStyle w:val="TableContents"/>
              <w:spacing w:before="0" w:after="1"/>
              <w:ind w:left="0" w:right="0" w:hanging="0"/>
              <w:jc w:val="center"/>
              <w:rPr>
                <w:color w:val="FF0000"/>
              </w:rPr>
            </w:pPr>
            <w:r>
              <w:rPr>
                <w:color w:val="FF0000"/>
              </w:rPr>
              <w:t>​</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260,100</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379" w:type="dxa"/>
            <w:tcBorders/>
            <w:shd w:fill="auto" w:val="clear"/>
            <w:vAlign w:val="center"/>
          </w:tcPr>
          <w:p>
            <w:pPr>
              <w:pStyle w:val="TableContents"/>
              <w:spacing w:before="0" w:after="1"/>
              <w:ind w:left="0" w:right="0" w:hanging="0"/>
              <w:jc w:val="center"/>
              <w:rPr>
                <w:color w:val="FF0000"/>
              </w:rPr>
            </w:pPr>
            <w:r>
              <w:rPr>
                <w:color w:val="FF0000"/>
              </w:rPr>
              <w:t>​</w:t>
            </w:r>
          </w:p>
        </w:tc>
        <w:tc>
          <w:tcPr>
            <w:tcW w:w="1107"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196" w:type="dxa"/>
            <w:tcBorders/>
            <w:shd w:fill="auto" w:val="clear"/>
            <w:vAlign w:val="center"/>
          </w:tcPr>
          <w:p>
            <w:pPr>
              <w:pStyle w:val="TableContents"/>
              <w:spacing w:before="0" w:after="1"/>
              <w:ind w:left="0" w:right="0" w:hanging="0"/>
              <w:jc w:val="center"/>
              <w:rPr/>
            </w:pPr>
            <w:r>
              <w:rPr/>
              <w:t>​</w:t>
            </w:r>
          </w:p>
        </w:tc>
        <w:tc>
          <w:tcPr>
            <w:tcW w:w="88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3" w:type="dxa"/>
            <w:tcBorders/>
            <w:shd w:fill="auto" w:val="clear"/>
            <w:vAlign w:val="center"/>
          </w:tcPr>
          <w:p>
            <w:pPr>
              <w:pStyle w:val="TableContents"/>
              <w:spacing w:before="0" w:after="1"/>
              <w:ind w:left="0" w:right="0" w:hanging="0"/>
              <w:jc w:val="center"/>
              <w:rPr>
                <w:color w:val="FF0000"/>
              </w:rPr>
            </w:pPr>
            <w:r>
              <w:rPr>
                <w:color w:val="FF0000"/>
              </w:rPr>
              <w:t>​</w:t>
            </w:r>
          </w:p>
        </w:tc>
        <w:tc>
          <w:tcPr>
            <w:tcW w:w="86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260,101</w:t>
            </w:r>
          </w:p>
        </w:tc>
      </w:tr>
      <w:tr>
        <w:trPr/>
        <w:tc>
          <w:tcPr>
            <w:tcW w:w="223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Net loss</w:t>
            </w:r>
          </w:p>
        </w:tc>
        <w:tc>
          <w:tcPr>
            <w:tcW w:w="326" w:type="dxa"/>
            <w:tcBorders/>
            <w:shd w:fill="CCEEFF" w:val="clear"/>
            <w:vAlign w:val="center"/>
          </w:tcPr>
          <w:p>
            <w:pPr>
              <w:pStyle w:val="TableContents"/>
              <w:spacing w:before="0" w:after="1"/>
              <w:ind w:left="0" w:right="0" w:hanging="0"/>
              <w:rPr/>
            </w:pPr>
            <w:r>
              <w:rPr/>
              <w:t>​</w:t>
            </w:r>
          </w:p>
        </w:tc>
        <w:tc>
          <w:tcPr>
            <w:tcW w:w="58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49" w:type="dxa"/>
            <w:tcBorders>
              <w:bottom w:val="single" w:sz="2" w:space="0" w:color="000000"/>
            </w:tcBorders>
            <w:shd w:fill="CCEEFF" w:val="clear"/>
            <w:tcMar>
              <w:bottom w:w="28" w:type="dxa"/>
            </w:tcMar>
            <w:vAlign w:val="center"/>
          </w:tcPr>
          <w:p>
            <w:pPr>
              <w:pStyle w:val="TableContents"/>
              <w:spacing w:before="0" w:after="1"/>
              <w:ind w:left="0" w:right="0" w:hanging="0"/>
              <w:jc w:val="center"/>
              <w:rPr/>
            </w:pPr>
            <w:r>
              <w:rPr/>
              <w:t>​</w:t>
            </w:r>
          </w:p>
        </w:tc>
        <w:tc>
          <w:tcPr>
            <w:tcW w:w="442"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2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249" w:type="dxa"/>
            <w:tcBorders/>
            <w:shd w:fill="CCEEFF" w:val="clear"/>
            <w:vAlign w:val="center"/>
          </w:tcPr>
          <w:p>
            <w:pPr>
              <w:pStyle w:val="TableContents"/>
              <w:spacing w:before="0" w:after="1"/>
              <w:ind w:left="0" w:right="0" w:hanging="0"/>
              <w:jc w:val="center"/>
              <w:rPr/>
            </w:pPr>
            <w:r>
              <w:rPr/>
              <w:t>​</w:t>
            </w:r>
          </w:p>
        </w:tc>
        <w:tc>
          <w:tcPr>
            <w:tcW w:w="442"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100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49" w:type="dxa"/>
            <w:tcBorders>
              <w:bottom w:val="single" w:sz="2" w:space="0" w:color="000000"/>
            </w:tcBorders>
            <w:shd w:fill="CCEEFF" w:val="clear"/>
            <w:tcMar>
              <w:bottom w:w="28" w:type="dxa"/>
            </w:tcMar>
            <w:vAlign w:val="center"/>
          </w:tcPr>
          <w:p>
            <w:pPr>
              <w:pStyle w:val="TableContents"/>
              <w:spacing w:before="0" w:after="1"/>
              <w:ind w:left="0" w:right="0" w:hanging="0"/>
              <w:jc w:val="center"/>
              <w:rPr/>
            </w:pPr>
            <w:r>
              <w:rPr/>
              <w:t>​</w:t>
            </w:r>
          </w:p>
        </w:tc>
        <w:tc>
          <w:tcPr>
            <w:tcW w:w="442"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jc w:val="center"/>
              <w:rPr>
                <w:color w:val="FF0000"/>
              </w:rPr>
            </w:pPr>
            <w:r>
              <w:rPr>
                <w:color w:val="FF0000"/>
              </w:rPr>
              <w:t>​</w:t>
            </w:r>
          </w:p>
        </w:tc>
        <w:tc>
          <w:tcPr>
            <w:tcW w:w="82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379" w:type="dxa"/>
            <w:tcBorders>
              <w:bottom w:val="single" w:sz="2" w:space="0" w:color="000000"/>
            </w:tcBorders>
            <w:shd w:fill="CCEEFF" w:val="clear"/>
            <w:tcMar>
              <w:bottom w:w="28" w:type="dxa"/>
            </w:tcMar>
            <w:vAlign w:val="center"/>
          </w:tcPr>
          <w:p>
            <w:pPr>
              <w:pStyle w:val="TableContents"/>
              <w:spacing w:before="0" w:after="1"/>
              <w:ind w:left="0" w:right="0" w:hanging="0"/>
              <w:jc w:val="center"/>
              <w:rPr>
                <w:color w:val="FF0000"/>
              </w:rPr>
            </w:pPr>
            <w:r>
              <w:rPr>
                <w:color w:val="FF0000"/>
              </w:rPr>
              <w:t>​</w:t>
            </w:r>
          </w:p>
        </w:tc>
        <w:tc>
          <w:tcPr>
            <w:tcW w:w="1107"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jc w:val="center"/>
              <w:rPr/>
            </w:pPr>
            <w:r>
              <w:rPr/>
              <w:t> </w:t>
            </w:r>
          </w:p>
        </w:tc>
        <w:tc>
          <w:tcPr>
            <w:tcW w:w="8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(107,370)</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3" w:type="dxa"/>
            <w:tcBorders>
              <w:bottom w:val="single" w:sz="2" w:space="0" w:color="000000"/>
            </w:tcBorders>
            <w:shd w:fill="CCEEFF" w:val="clear"/>
            <w:tcMar>
              <w:bottom w:w="28" w:type="dxa"/>
            </w:tcMar>
            <w:vAlign w:val="center"/>
          </w:tcPr>
          <w:p>
            <w:pPr>
              <w:pStyle w:val="TableContents"/>
              <w:spacing w:before="0" w:after="1"/>
              <w:ind w:left="0" w:right="0" w:hanging="0"/>
              <w:jc w:val="center"/>
              <w:rPr>
                <w:color w:val="FF0000"/>
              </w:rPr>
            </w:pPr>
            <w:r>
              <w:rPr>
                <w:color w:val="FF0000"/>
              </w:rPr>
              <w:t> </w:t>
            </w:r>
          </w:p>
        </w:tc>
        <w:tc>
          <w:tcPr>
            <w:tcW w:w="86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(107,370)</w:t>
            </w:r>
          </w:p>
        </w:tc>
      </w:tr>
      <w:tr>
        <w:trPr/>
        <w:tc>
          <w:tcPr>
            <w:tcW w:w="2236"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Balance - March 31, 2023</w:t>
            </w:r>
          </w:p>
        </w:tc>
        <w:tc>
          <w:tcPr>
            <w:tcW w:w="326" w:type="dxa"/>
            <w:tcBorders/>
            <w:shd w:fill="auto" w:val="clear"/>
            <w:vAlign w:val="center"/>
          </w:tcPr>
          <w:p>
            <w:pPr>
              <w:pStyle w:val="TableContents"/>
              <w:spacing w:before="0" w:after="1"/>
              <w:ind w:left="0" w:right="0" w:hanging="0"/>
              <w:rPr/>
            </w:pPr>
            <w:r>
              <w:rPr/>
              <w:t> </w:t>
            </w:r>
          </w:p>
        </w:tc>
        <w:tc>
          <w:tcPr>
            <w:tcW w:w="58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194</w:t>
            </w:r>
          </w:p>
        </w:tc>
        <w:tc>
          <w:tcPr>
            <w:tcW w:w="326" w:type="dxa"/>
            <w:tcBorders/>
            <w:shd w:fill="auto" w:val="clear"/>
            <w:vAlign w:val="center"/>
          </w:tcPr>
          <w:p>
            <w:pPr>
              <w:pStyle w:val="TableContents"/>
              <w:spacing w:before="0" w:after="1"/>
              <w:ind w:left="0" w:right="0" w:hanging="0"/>
              <w:rPr/>
            </w:pPr>
            <w:r>
              <w:rPr/>
              <w:t>​</w:t>
            </w:r>
          </w:p>
        </w:tc>
        <w:tc>
          <w:tcPr>
            <w:tcW w:w="249" w:type="dxa"/>
            <w:tcBorders>
              <w:bottom w:val="double" w:sz="6"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2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2,842,158</w:t>
            </w:r>
          </w:p>
        </w:tc>
        <w:tc>
          <w:tcPr>
            <w:tcW w:w="326" w:type="dxa"/>
            <w:tcBorders/>
            <w:shd w:fill="auto" w:val="clear"/>
            <w:vAlign w:val="center"/>
          </w:tcPr>
          <w:p>
            <w:pPr>
              <w:pStyle w:val="TableContents"/>
              <w:spacing w:before="0" w:after="1"/>
              <w:ind w:left="0" w:right="0" w:hanging="0"/>
              <w:rPr/>
            </w:pPr>
            <w:r>
              <w:rPr/>
              <w:t>​</w:t>
            </w:r>
          </w:p>
        </w:tc>
        <w:tc>
          <w:tcPr>
            <w:tcW w:w="249" w:type="dxa"/>
            <w:tcBorders>
              <w:bottom w:val="double" w:sz="6"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c>
          <w:tcPr>
            <w:tcW w:w="326" w:type="dxa"/>
            <w:tcBorders/>
            <w:shd w:fill="auto" w:val="clear"/>
            <w:vAlign w:val="center"/>
          </w:tcPr>
          <w:p>
            <w:pPr>
              <w:pStyle w:val="TableContents"/>
              <w:spacing w:before="0" w:after="1"/>
              <w:ind w:left="0" w:right="0" w:hanging="0"/>
              <w:rPr>
                <w:color w:val="FF0000"/>
              </w:rPr>
            </w:pPr>
            <w:r>
              <w:rPr>
                <w:color w:val="FF0000"/>
              </w:rPr>
              <w:t> </w:t>
            </w:r>
          </w:p>
        </w:tc>
        <w:tc>
          <w:tcPr>
            <w:tcW w:w="100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224,358,979</w:t>
            </w:r>
          </w:p>
        </w:tc>
        <w:tc>
          <w:tcPr>
            <w:tcW w:w="326" w:type="dxa"/>
            <w:tcBorders/>
            <w:shd w:fill="auto" w:val="clear"/>
            <w:vAlign w:val="center"/>
          </w:tcPr>
          <w:p>
            <w:pPr>
              <w:pStyle w:val="TableContents"/>
              <w:spacing w:before="0" w:after="1"/>
              <w:ind w:left="0" w:right="0" w:hanging="0"/>
              <w:rPr/>
            </w:pPr>
            <w:r>
              <w:rPr/>
              <w:t>​</w:t>
            </w:r>
          </w:p>
        </w:tc>
        <w:tc>
          <w:tcPr>
            <w:tcW w:w="249" w:type="dxa"/>
            <w:tcBorders>
              <w:bottom w:val="double" w:sz="6"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2,342,703</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379" w:type="dxa"/>
            <w:tcBorders>
              <w:bottom w:val="double" w:sz="6"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1107"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(126)</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88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(1,675,708)</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3" w:type="dxa"/>
            <w:tcBorders>
              <w:bottom w:val="double" w:sz="6"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868"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666,881</w:t>
            </w:r>
          </w:p>
        </w:tc>
      </w:tr>
      <w:tr>
        <w:trPr/>
        <w:tc>
          <w:tcPr>
            <w:tcW w:w="223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58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49" w:type="dxa"/>
            <w:tcBorders/>
            <w:shd w:fill="CCEEFF" w:val="clear"/>
            <w:vAlign w:val="center"/>
          </w:tcPr>
          <w:p>
            <w:pPr>
              <w:pStyle w:val="TableContents"/>
              <w:spacing w:before="0" w:after="1"/>
              <w:ind w:left="0" w:right="0" w:hanging="0"/>
              <w:jc w:val="center"/>
              <w:rPr/>
            </w:pPr>
            <w:r>
              <w:rPr/>
              <w:t>​</w:t>
            </w:r>
          </w:p>
        </w:tc>
        <w:tc>
          <w:tcPr>
            <w:tcW w:w="442"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8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49" w:type="dxa"/>
            <w:tcBorders/>
            <w:shd w:fill="CCEEFF" w:val="clear"/>
            <w:vAlign w:val="center"/>
          </w:tcPr>
          <w:p>
            <w:pPr>
              <w:pStyle w:val="TableContents"/>
              <w:spacing w:before="0" w:after="1"/>
              <w:ind w:left="0" w:right="0" w:hanging="0"/>
              <w:jc w:val="center"/>
              <w:rPr/>
            </w:pPr>
            <w:r>
              <w:rPr/>
              <w:t>​</w:t>
            </w:r>
          </w:p>
        </w:tc>
        <w:tc>
          <w:tcPr>
            <w:tcW w:w="442"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00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49" w:type="dxa"/>
            <w:tcBorders/>
            <w:shd w:fill="CCEEFF" w:val="clear"/>
            <w:vAlign w:val="center"/>
          </w:tcPr>
          <w:p>
            <w:pPr>
              <w:pStyle w:val="TableContents"/>
              <w:spacing w:before="0" w:after="1"/>
              <w:ind w:left="0" w:right="0" w:hanging="0"/>
              <w:jc w:val="center"/>
              <w:rPr/>
            </w:pPr>
            <w:r>
              <w:rPr/>
              <w:t>​</w:t>
            </w:r>
          </w:p>
        </w:tc>
        <w:tc>
          <w:tcPr>
            <w:tcW w:w="442"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jc w:val="center"/>
              <w:rPr/>
            </w:pPr>
            <w:r>
              <w:rPr/>
              <w:t>​</w:t>
            </w:r>
          </w:p>
        </w:tc>
        <w:tc>
          <w:tcPr>
            <w:tcW w:w="8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379" w:type="dxa"/>
            <w:tcBorders/>
            <w:shd w:fill="CCEEFF" w:val="clear"/>
            <w:vAlign w:val="center"/>
          </w:tcPr>
          <w:p>
            <w:pPr>
              <w:pStyle w:val="TableContents"/>
              <w:spacing w:before="0" w:after="1"/>
              <w:ind w:left="0" w:right="0" w:hanging="0"/>
              <w:jc w:val="center"/>
              <w:rPr/>
            </w:pPr>
            <w:r>
              <w:rPr/>
              <w:t>​</w:t>
            </w:r>
          </w:p>
        </w:tc>
        <w:tc>
          <w:tcPr>
            <w:tcW w:w="1107"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jc w:val="center"/>
              <w:rPr/>
            </w:pPr>
            <w:r>
              <w:rPr/>
              <w:t>​</w:t>
            </w:r>
          </w:p>
        </w:tc>
        <w:tc>
          <w:tcPr>
            <w:tcW w:w="88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3" w:type="dxa"/>
            <w:tcBorders/>
            <w:shd w:fill="CCEEFF" w:val="clear"/>
            <w:vAlign w:val="center"/>
          </w:tcPr>
          <w:p>
            <w:pPr>
              <w:pStyle w:val="TableContents"/>
              <w:spacing w:before="0" w:after="1"/>
              <w:ind w:left="0" w:right="0" w:hanging="0"/>
              <w:jc w:val="center"/>
              <w:rPr/>
            </w:pPr>
            <w:r>
              <w:rPr/>
              <w:t>​</w:t>
            </w:r>
          </w:p>
        </w:tc>
        <w:tc>
          <w:tcPr>
            <w:tcW w:w="868" w:type="dxa"/>
            <w:tcBorders/>
            <w:shd w:fill="CCEEFF" w:val="clear"/>
            <w:vAlign w:val="center"/>
          </w:tcPr>
          <w:p>
            <w:pPr>
              <w:pStyle w:val="TableContents"/>
              <w:spacing w:before="0" w:after="1"/>
              <w:ind w:left="0" w:right="0" w:hanging="0"/>
              <w:rPr/>
            </w:pPr>
            <w:r>
              <w:rPr/>
              <w:t>​</w:t>
            </w:r>
          </w:p>
        </w:tc>
      </w:tr>
      <w:tr>
        <w:trPr/>
        <w:tc>
          <w:tcPr>
            <w:tcW w:w="2236"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Balance - December 31, 2021</w:t>
            </w:r>
          </w:p>
        </w:tc>
        <w:tc>
          <w:tcPr>
            <w:tcW w:w="326" w:type="dxa"/>
            <w:tcBorders/>
            <w:shd w:fill="auto" w:val="clear"/>
            <w:vAlign w:val="center"/>
          </w:tcPr>
          <w:p>
            <w:pPr>
              <w:pStyle w:val="TableContents"/>
              <w:spacing w:before="0" w:after="1"/>
              <w:ind w:left="0" w:right="0" w:hanging="0"/>
              <w:rPr/>
            </w:pPr>
            <w:r>
              <w:rPr/>
              <w:t> </w:t>
            </w:r>
          </w:p>
        </w:tc>
        <w:tc>
          <w:tcPr>
            <w:tcW w:w="58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194</w:t>
            </w:r>
          </w:p>
        </w:tc>
        <w:tc>
          <w:tcPr>
            <w:tcW w:w="326" w:type="dxa"/>
            <w:tcBorders/>
            <w:shd w:fill="auto" w:val="clear"/>
            <w:vAlign w:val="center"/>
          </w:tcPr>
          <w:p>
            <w:pPr>
              <w:pStyle w:val="TableContents"/>
              <w:spacing w:before="0" w:after="1"/>
              <w:ind w:left="0" w:right="0" w:hanging="0"/>
              <w:rPr/>
            </w:pPr>
            <w:r>
              <w:rPr/>
              <w:t>​</w:t>
            </w:r>
          </w:p>
        </w:tc>
        <w:tc>
          <w:tcPr>
            <w:tcW w:w="249"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44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2,842,158</w:t>
            </w:r>
          </w:p>
        </w:tc>
        <w:tc>
          <w:tcPr>
            <w:tcW w:w="326" w:type="dxa"/>
            <w:tcBorders/>
            <w:shd w:fill="auto" w:val="clear"/>
            <w:vAlign w:val="center"/>
          </w:tcPr>
          <w:p>
            <w:pPr>
              <w:pStyle w:val="TableContents"/>
              <w:spacing w:before="0" w:after="1"/>
              <w:ind w:left="0" w:right="0" w:hanging="0"/>
              <w:rPr/>
            </w:pPr>
            <w:r>
              <w:rPr/>
              <w:t>​</w:t>
            </w:r>
          </w:p>
        </w:tc>
        <w:tc>
          <w:tcPr>
            <w:tcW w:w="249"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44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c>
          <w:tcPr>
            <w:tcW w:w="326" w:type="dxa"/>
            <w:tcBorders/>
            <w:shd w:fill="auto" w:val="clear"/>
            <w:vAlign w:val="center"/>
          </w:tcPr>
          <w:p>
            <w:pPr>
              <w:pStyle w:val="TableContents"/>
              <w:spacing w:before="0" w:after="1"/>
              <w:ind w:left="0" w:right="0" w:hanging="0"/>
              <w:rPr/>
            </w:pPr>
            <w:r>
              <w:rPr/>
              <w:t> </w:t>
            </w:r>
          </w:p>
        </w:tc>
        <w:tc>
          <w:tcPr>
            <w:tcW w:w="100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157,004,742</w:t>
            </w:r>
          </w:p>
        </w:tc>
        <w:tc>
          <w:tcPr>
            <w:tcW w:w="326" w:type="dxa"/>
            <w:tcBorders/>
            <w:shd w:fill="auto" w:val="clear"/>
            <w:vAlign w:val="center"/>
          </w:tcPr>
          <w:p>
            <w:pPr>
              <w:pStyle w:val="TableContents"/>
              <w:spacing w:before="0" w:after="1"/>
              <w:ind w:left="0" w:right="0" w:hanging="0"/>
              <w:rPr/>
            </w:pPr>
            <w:r>
              <w:rPr/>
              <w:t>​</w:t>
            </w:r>
          </w:p>
        </w:tc>
        <w:tc>
          <w:tcPr>
            <w:tcW w:w="249"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44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1,794,695</w:t>
            </w:r>
          </w:p>
        </w:tc>
        <w:tc>
          <w:tcPr>
            <w:tcW w:w="326" w:type="dxa"/>
            <w:tcBorders/>
            <w:shd w:fill="auto" w:val="clear"/>
            <w:vAlign w:val="center"/>
          </w:tcPr>
          <w:p>
            <w:pPr>
              <w:pStyle w:val="TableContents"/>
              <w:spacing w:before="0" w:after="1"/>
              <w:ind w:left="0" w:right="0" w:hanging="0"/>
              <w:rPr/>
            </w:pPr>
            <w:r>
              <w:rPr/>
              <w:t>​</w:t>
            </w:r>
          </w:p>
        </w:tc>
        <w:tc>
          <w:tcPr>
            <w:tcW w:w="379"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110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(601)</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(1,172,445)</w:t>
            </w:r>
          </w:p>
        </w:tc>
        <w:tc>
          <w:tcPr>
            <w:tcW w:w="326" w:type="dxa"/>
            <w:tcBorders/>
            <w:shd w:fill="auto" w:val="clear"/>
            <w:vAlign w:val="center"/>
          </w:tcPr>
          <w:p>
            <w:pPr>
              <w:pStyle w:val="TableContents"/>
              <w:spacing w:before="0" w:after="1"/>
              <w:ind w:left="0" w:right="0" w:hanging="0"/>
              <w:rPr/>
            </w:pPr>
            <w:r>
              <w:rPr/>
              <w:t>​</w:t>
            </w:r>
          </w:p>
        </w:tc>
        <w:tc>
          <w:tcPr>
            <w:tcW w:w="213"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86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621,659</w:t>
            </w:r>
          </w:p>
        </w:tc>
      </w:tr>
      <w:tr>
        <w:trPr/>
        <w:tc>
          <w:tcPr>
            <w:tcW w:w="223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Stock-based compensation expense</w:t>
            </w:r>
          </w:p>
        </w:tc>
        <w:tc>
          <w:tcPr>
            <w:tcW w:w="326" w:type="dxa"/>
            <w:tcBorders/>
            <w:shd w:fill="CCEEFF" w:val="clear"/>
            <w:vAlign w:val="center"/>
          </w:tcPr>
          <w:p>
            <w:pPr>
              <w:pStyle w:val="TableContents"/>
              <w:spacing w:before="0" w:after="1"/>
              <w:ind w:left="0" w:right="0" w:hanging="0"/>
              <w:rPr/>
            </w:pPr>
            <w:r>
              <w:rPr/>
              <w:t>​</w:t>
            </w:r>
          </w:p>
        </w:tc>
        <w:tc>
          <w:tcPr>
            <w:tcW w:w="58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49" w:type="dxa"/>
            <w:tcBorders/>
            <w:shd w:fill="CCEEFF" w:val="clear"/>
            <w:vAlign w:val="center"/>
          </w:tcPr>
          <w:p>
            <w:pPr>
              <w:pStyle w:val="TableContents"/>
              <w:spacing w:before="0" w:after="1"/>
              <w:ind w:left="0" w:right="0" w:hanging="0"/>
              <w:jc w:val="center"/>
              <w:rPr/>
            </w:pPr>
            <w:r>
              <w:rPr/>
              <w:t>​</w:t>
            </w:r>
          </w:p>
        </w:tc>
        <w:tc>
          <w:tcPr>
            <w:tcW w:w="44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49" w:type="dxa"/>
            <w:tcBorders/>
            <w:shd w:fill="CCEEFF" w:val="clear"/>
            <w:vAlign w:val="center"/>
          </w:tcPr>
          <w:p>
            <w:pPr>
              <w:pStyle w:val="TableContents"/>
              <w:spacing w:before="0" w:after="1"/>
              <w:ind w:left="0" w:right="0" w:hanging="0"/>
              <w:jc w:val="center"/>
              <w:rPr/>
            </w:pPr>
            <w:r>
              <w:rPr/>
              <w:t>​</w:t>
            </w:r>
          </w:p>
        </w:tc>
        <w:tc>
          <w:tcPr>
            <w:tcW w:w="44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00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49" w:type="dxa"/>
            <w:tcBorders/>
            <w:shd w:fill="CCEEFF" w:val="clear"/>
            <w:vAlign w:val="center"/>
          </w:tcPr>
          <w:p>
            <w:pPr>
              <w:pStyle w:val="TableContents"/>
              <w:spacing w:before="0" w:after="1"/>
              <w:ind w:left="0" w:right="0" w:hanging="0"/>
              <w:jc w:val="center"/>
              <w:rPr/>
            </w:pPr>
            <w:r>
              <w:rPr/>
              <w:t>​</w:t>
            </w:r>
          </w:p>
        </w:tc>
        <w:tc>
          <w:tcPr>
            <w:tcW w:w="44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jc w:val="center"/>
              <w:rPr/>
            </w:pPr>
            <w:r>
              <w:rPr/>
              <w:t>​</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22,265</w:t>
            </w:r>
          </w:p>
        </w:tc>
        <w:tc>
          <w:tcPr>
            <w:tcW w:w="326" w:type="dxa"/>
            <w:tcBorders/>
            <w:shd w:fill="CCEEFF" w:val="clear"/>
            <w:vAlign w:val="center"/>
          </w:tcPr>
          <w:p>
            <w:pPr>
              <w:pStyle w:val="TableContents"/>
              <w:spacing w:before="0" w:after="1"/>
              <w:ind w:left="0" w:right="0" w:hanging="0"/>
              <w:rPr/>
            </w:pPr>
            <w:r>
              <w:rPr/>
              <w:t>​</w:t>
            </w:r>
          </w:p>
        </w:tc>
        <w:tc>
          <w:tcPr>
            <w:tcW w:w="379" w:type="dxa"/>
            <w:tcBorders/>
            <w:shd w:fill="CCEEFF" w:val="clear"/>
            <w:vAlign w:val="center"/>
          </w:tcPr>
          <w:p>
            <w:pPr>
              <w:pStyle w:val="TableContents"/>
              <w:spacing w:before="0" w:after="1"/>
              <w:ind w:left="0" w:right="0" w:hanging="0"/>
              <w:jc w:val="center"/>
              <w:rPr/>
            </w:pPr>
            <w:r>
              <w:rPr/>
              <w:t>​</w:t>
            </w:r>
          </w:p>
        </w:tc>
        <w:tc>
          <w:tcPr>
            <w:tcW w:w="1107"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jc w:val="center"/>
              <w:rPr/>
            </w:pPr>
            <w:r>
              <w:rPr/>
              <w:t>​</w:t>
            </w:r>
          </w:p>
        </w:tc>
        <w:tc>
          <w:tcPr>
            <w:tcW w:w="88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3" w:type="dxa"/>
            <w:tcBorders/>
            <w:shd w:fill="CCEEFF" w:val="clear"/>
            <w:vAlign w:val="center"/>
          </w:tcPr>
          <w:p>
            <w:pPr>
              <w:pStyle w:val="TableContents"/>
              <w:spacing w:before="0" w:after="1"/>
              <w:ind w:left="0" w:right="0" w:hanging="0"/>
              <w:jc w:val="center"/>
              <w:rPr/>
            </w:pPr>
            <w:r>
              <w:rPr/>
              <w:t> </w:t>
            </w:r>
          </w:p>
        </w:tc>
        <w:tc>
          <w:tcPr>
            <w:tcW w:w="86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22,265</w:t>
            </w:r>
          </w:p>
        </w:tc>
      </w:tr>
      <w:tr>
        <w:trPr/>
        <w:tc>
          <w:tcPr>
            <w:tcW w:w="223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Common stock issued upon exercise of stock options</w:t>
            </w:r>
          </w:p>
        </w:tc>
        <w:tc>
          <w:tcPr>
            <w:tcW w:w="326" w:type="dxa"/>
            <w:tcBorders/>
            <w:shd w:fill="auto" w:val="clear"/>
            <w:vAlign w:val="center"/>
          </w:tcPr>
          <w:p>
            <w:pPr>
              <w:pStyle w:val="TableContents"/>
              <w:spacing w:before="0" w:after="1"/>
              <w:ind w:left="0" w:right="0" w:hanging="0"/>
              <w:rPr/>
            </w:pPr>
            <w:r>
              <w:rPr/>
              <w:t>​</w:t>
            </w:r>
          </w:p>
        </w:tc>
        <w:tc>
          <w:tcPr>
            <w:tcW w:w="58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49" w:type="dxa"/>
            <w:tcBorders/>
            <w:shd w:fill="auto" w:val="clear"/>
            <w:vAlign w:val="center"/>
          </w:tcPr>
          <w:p>
            <w:pPr>
              <w:pStyle w:val="TableContents"/>
              <w:spacing w:before="0" w:after="1"/>
              <w:ind w:left="0" w:right="0" w:hanging="0"/>
              <w:jc w:val="center"/>
              <w:rPr/>
            </w:pPr>
            <w:r>
              <w:rPr/>
              <w:t>​</w:t>
            </w:r>
          </w:p>
        </w:tc>
        <w:tc>
          <w:tcPr>
            <w:tcW w:w="44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49" w:type="dxa"/>
            <w:tcBorders/>
            <w:shd w:fill="auto" w:val="clear"/>
            <w:vAlign w:val="center"/>
          </w:tcPr>
          <w:p>
            <w:pPr>
              <w:pStyle w:val="TableContents"/>
              <w:spacing w:before="0" w:after="1"/>
              <w:ind w:left="0" w:right="0" w:hanging="0"/>
              <w:jc w:val="center"/>
              <w:rPr/>
            </w:pPr>
            <w:r>
              <w:rPr/>
              <w:t>​</w:t>
            </w:r>
          </w:p>
        </w:tc>
        <w:tc>
          <w:tcPr>
            <w:tcW w:w="44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00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163,579</w:t>
            </w:r>
          </w:p>
        </w:tc>
        <w:tc>
          <w:tcPr>
            <w:tcW w:w="326" w:type="dxa"/>
            <w:tcBorders/>
            <w:shd w:fill="auto" w:val="clear"/>
            <w:vAlign w:val="center"/>
          </w:tcPr>
          <w:p>
            <w:pPr>
              <w:pStyle w:val="TableContents"/>
              <w:spacing w:before="0" w:after="1"/>
              <w:ind w:left="0" w:right="0" w:hanging="0"/>
              <w:rPr/>
            </w:pPr>
            <w:r>
              <w:rPr/>
              <w:t>​</w:t>
            </w:r>
          </w:p>
        </w:tc>
        <w:tc>
          <w:tcPr>
            <w:tcW w:w="249" w:type="dxa"/>
            <w:tcBorders/>
            <w:shd w:fill="auto" w:val="clear"/>
            <w:vAlign w:val="center"/>
          </w:tcPr>
          <w:p>
            <w:pPr>
              <w:pStyle w:val="TableContents"/>
              <w:spacing w:before="0" w:after="1"/>
              <w:ind w:left="0" w:right="0" w:hanging="0"/>
              <w:jc w:val="center"/>
              <w:rPr/>
            </w:pPr>
            <w:r>
              <w:rPr/>
              <w:t>​</w:t>
            </w:r>
          </w:p>
        </w:tc>
        <w:tc>
          <w:tcPr>
            <w:tcW w:w="44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jc w:val="center"/>
              <w:rPr/>
            </w:pPr>
            <w:r>
              <w:rPr/>
              <w:t>​</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1,417</w:t>
            </w:r>
          </w:p>
        </w:tc>
        <w:tc>
          <w:tcPr>
            <w:tcW w:w="326" w:type="dxa"/>
            <w:tcBorders/>
            <w:shd w:fill="auto" w:val="clear"/>
            <w:vAlign w:val="center"/>
          </w:tcPr>
          <w:p>
            <w:pPr>
              <w:pStyle w:val="TableContents"/>
              <w:spacing w:before="0" w:after="1"/>
              <w:ind w:left="0" w:right="0" w:hanging="0"/>
              <w:rPr/>
            </w:pPr>
            <w:r>
              <w:rPr/>
              <w:t>​</w:t>
            </w:r>
          </w:p>
        </w:tc>
        <w:tc>
          <w:tcPr>
            <w:tcW w:w="379" w:type="dxa"/>
            <w:tcBorders/>
            <w:shd w:fill="auto" w:val="clear"/>
            <w:vAlign w:val="center"/>
          </w:tcPr>
          <w:p>
            <w:pPr>
              <w:pStyle w:val="TableContents"/>
              <w:spacing w:before="0" w:after="1"/>
              <w:ind w:left="0" w:right="0" w:hanging="0"/>
              <w:jc w:val="center"/>
              <w:rPr/>
            </w:pPr>
            <w:r>
              <w:rPr/>
              <w:t>​</w:t>
            </w:r>
          </w:p>
        </w:tc>
        <w:tc>
          <w:tcPr>
            <w:tcW w:w="1107"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jc w:val="center"/>
              <w:rPr/>
            </w:pPr>
            <w:r>
              <w:rPr/>
              <w:t>​</w:t>
            </w:r>
          </w:p>
        </w:tc>
        <w:tc>
          <w:tcPr>
            <w:tcW w:w="88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3" w:type="dxa"/>
            <w:tcBorders/>
            <w:shd w:fill="auto" w:val="clear"/>
            <w:vAlign w:val="center"/>
          </w:tcPr>
          <w:p>
            <w:pPr>
              <w:pStyle w:val="TableContents"/>
              <w:spacing w:before="0" w:after="1"/>
              <w:ind w:left="0" w:right="0" w:hanging="0"/>
              <w:jc w:val="center"/>
              <w:rPr/>
            </w:pPr>
            <w:r>
              <w:rPr/>
              <w:t> </w:t>
            </w:r>
          </w:p>
        </w:tc>
        <w:tc>
          <w:tcPr>
            <w:tcW w:w="86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1,417</w:t>
            </w:r>
          </w:p>
        </w:tc>
      </w:tr>
      <w:tr>
        <w:trPr/>
        <w:tc>
          <w:tcPr>
            <w:tcW w:w="223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Unrealized loss on short-term investments</w:t>
            </w:r>
          </w:p>
        </w:tc>
        <w:tc>
          <w:tcPr>
            <w:tcW w:w="326" w:type="dxa"/>
            <w:tcBorders/>
            <w:shd w:fill="CCEEFF" w:val="clear"/>
            <w:vAlign w:val="center"/>
          </w:tcPr>
          <w:p>
            <w:pPr>
              <w:pStyle w:val="TableContents"/>
              <w:spacing w:before="0" w:after="1"/>
              <w:ind w:left="0" w:right="0" w:hanging="0"/>
              <w:rPr/>
            </w:pPr>
            <w:r>
              <w:rPr/>
              <w:t>​</w:t>
            </w:r>
          </w:p>
        </w:tc>
        <w:tc>
          <w:tcPr>
            <w:tcW w:w="58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49" w:type="dxa"/>
            <w:tcBorders/>
            <w:shd w:fill="CCEEFF" w:val="clear"/>
            <w:vAlign w:val="center"/>
          </w:tcPr>
          <w:p>
            <w:pPr>
              <w:pStyle w:val="TableContents"/>
              <w:spacing w:before="0" w:after="1"/>
              <w:ind w:left="0" w:right="0" w:hanging="0"/>
              <w:jc w:val="center"/>
              <w:rPr/>
            </w:pPr>
            <w:r>
              <w:rPr/>
              <w:t>​</w:t>
            </w:r>
          </w:p>
        </w:tc>
        <w:tc>
          <w:tcPr>
            <w:tcW w:w="44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49" w:type="dxa"/>
            <w:tcBorders/>
            <w:shd w:fill="CCEEFF" w:val="clear"/>
            <w:vAlign w:val="center"/>
          </w:tcPr>
          <w:p>
            <w:pPr>
              <w:pStyle w:val="TableContents"/>
              <w:spacing w:before="0" w:after="1"/>
              <w:ind w:left="0" w:right="0" w:hanging="0"/>
              <w:jc w:val="center"/>
              <w:rPr/>
            </w:pPr>
            <w:r>
              <w:rPr/>
              <w:t>​</w:t>
            </w:r>
          </w:p>
        </w:tc>
        <w:tc>
          <w:tcPr>
            <w:tcW w:w="44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00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49" w:type="dxa"/>
            <w:tcBorders/>
            <w:shd w:fill="CCEEFF" w:val="clear"/>
            <w:vAlign w:val="center"/>
          </w:tcPr>
          <w:p>
            <w:pPr>
              <w:pStyle w:val="TableContents"/>
              <w:spacing w:before="0" w:after="1"/>
              <w:ind w:left="0" w:right="0" w:hanging="0"/>
              <w:jc w:val="center"/>
              <w:rPr/>
            </w:pPr>
            <w:r>
              <w:rPr/>
              <w:t>​</w:t>
            </w:r>
          </w:p>
        </w:tc>
        <w:tc>
          <w:tcPr>
            <w:tcW w:w="44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jc w:val="center"/>
              <w:rPr/>
            </w:pPr>
            <w:r>
              <w:rPr/>
              <w:t>​</w:t>
            </w:r>
          </w:p>
        </w:tc>
        <w:tc>
          <w:tcPr>
            <w:tcW w:w="8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79" w:type="dxa"/>
            <w:tcBorders/>
            <w:shd w:fill="CCEEFF" w:val="clear"/>
            <w:vAlign w:val="center"/>
          </w:tcPr>
          <w:p>
            <w:pPr>
              <w:pStyle w:val="TableContents"/>
              <w:spacing w:before="0" w:after="1"/>
              <w:ind w:left="0" w:right="0" w:hanging="0"/>
              <w:jc w:val="center"/>
              <w:rPr/>
            </w:pPr>
            <w:r>
              <w:rPr/>
              <w:t>​</w:t>
            </w:r>
          </w:p>
        </w:tc>
        <w:tc>
          <w:tcPr>
            <w:tcW w:w="110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(1,742)</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jc w:val="center"/>
              <w:rPr/>
            </w:pPr>
            <w:r>
              <w:rPr/>
              <w:t>​</w:t>
            </w:r>
          </w:p>
        </w:tc>
        <w:tc>
          <w:tcPr>
            <w:tcW w:w="88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3" w:type="dxa"/>
            <w:tcBorders/>
            <w:shd w:fill="CCEEFF" w:val="clear"/>
            <w:vAlign w:val="center"/>
          </w:tcPr>
          <w:p>
            <w:pPr>
              <w:pStyle w:val="TableContents"/>
              <w:spacing w:before="0" w:after="1"/>
              <w:ind w:left="0" w:right="0" w:hanging="0"/>
              <w:jc w:val="center"/>
              <w:rPr/>
            </w:pPr>
            <w:r>
              <w:rPr/>
              <w:t> </w:t>
            </w:r>
          </w:p>
        </w:tc>
        <w:tc>
          <w:tcPr>
            <w:tcW w:w="86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(1,742)</w:t>
            </w:r>
          </w:p>
        </w:tc>
      </w:tr>
      <w:tr>
        <w:trPr/>
        <w:tc>
          <w:tcPr>
            <w:tcW w:w="223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Net loss</w:t>
            </w:r>
          </w:p>
        </w:tc>
        <w:tc>
          <w:tcPr>
            <w:tcW w:w="326" w:type="dxa"/>
            <w:tcBorders/>
            <w:shd w:fill="auto" w:val="clear"/>
            <w:vAlign w:val="center"/>
          </w:tcPr>
          <w:p>
            <w:pPr>
              <w:pStyle w:val="TableContents"/>
              <w:spacing w:before="0" w:after="1"/>
              <w:ind w:left="0" w:right="0" w:hanging="0"/>
              <w:rPr/>
            </w:pPr>
            <w:r>
              <w:rPr/>
              <w:t>​</w:t>
            </w:r>
          </w:p>
        </w:tc>
        <w:tc>
          <w:tcPr>
            <w:tcW w:w="58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49"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w:t>
            </w:r>
          </w:p>
        </w:tc>
        <w:tc>
          <w:tcPr>
            <w:tcW w:w="442"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2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49"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w:t>
            </w:r>
          </w:p>
        </w:tc>
        <w:tc>
          <w:tcPr>
            <w:tcW w:w="442"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00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49"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w:t>
            </w:r>
          </w:p>
        </w:tc>
        <w:tc>
          <w:tcPr>
            <w:tcW w:w="442"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w:t>
            </w:r>
          </w:p>
        </w:tc>
        <w:tc>
          <w:tcPr>
            <w:tcW w:w="82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79"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w:t>
            </w:r>
          </w:p>
        </w:tc>
        <w:tc>
          <w:tcPr>
            <w:tcW w:w="1107"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(91,607)</w:t>
            </w:r>
          </w:p>
        </w:tc>
        <w:tc>
          <w:tcPr>
            <w:tcW w:w="326" w:type="dxa"/>
            <w:tcBorders/>
            <w:shd w:fill="auto" w:val="clear"/>
            <w:vAlign w:val="center"/>
          </w:tcPr>
          <w:p>
            <w:pPr>
              <w:pStyle w:val="TableContents"/>
              <w:spacing w:before="0" w:after="1"/>
              <w:ind w:left="0" w:right="0" w:hanging="0"/>
              <w:rPr/>
            </w:pPr>
            <w:r>
              <w:rPr/>
              <w:t>​</w:t>
            </w:r>
          </w:p>
        </w:tc>
        <w:tc>
          <w:tcPr>
            <w:tcW w:w="213"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p>
        </w:tc>
        <w:tc>
          <w:tcPr>
            <w:tcW w:w="86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(91,607)</w:t>
            </w:r>
          </w:p>
        </w:tc>
      </w:tr>
      <w:tr>
        <w:trPr/>
        <w:tc>
          <w:tcPr>
            <w:tcW w:w="2236"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Balance - March 31, 2022</w:t>
            </w:r>
          </w:p>
        </w:tc>
        <w:tc>
          <w:tcPr>
            <w:tcW w:w="326" w:type="dxa"/>
            <w:tcBorders/>
            <w:shd w:fill="CCEEFF" w:val="clear"/>
            <w:vAlign w:val="center"/>
          </w:tcPr>
          <w:p>
            <w:pPr>
              <w:pStyle w:val="TableContents"/>
              <w:spacing w:before="0" w:after="1"/>
              <w:ind w:left="0" w:right="0" w:hanging="0"/>
              <w:rPr/>
            </w:pPr>
            <w:r>
              <w:rPr/>
              <w:t> </w:t>
            </w:r>
          </w:p>
        </w:tc>
        <w:tc>
          <w:tcPr>
            <w:tcW w:w="58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194</w:t>
            </w:r>
          </w:p>
        </w:tc>
        <w:tc>
          <w:tcPr>
            <w:tcW w:w="326" w:type="dxa"/>
            <w:tcBorders/>
            <w:shd w:fill="CCEEFF" w:val="clear"/>
            <w:vAlign w:val="center"/>
          </w:tcPr>
          <w:p>
            <w:pPr>
              <w:pStyle w:val="TableContents"/>
              <w:spacing w:before="0" w:after="1"/>
              <w:ind w:left="0" w:right="0" w:hanging="0"/>
              <w:rPr/>
            </w:pPr>
            <w:r>
              <w:rPr/>
              <w:t>​</w:t>
            </w:r>
          </w:p>
        </w:tc>
        <w:tc>
          <w:tcPr>
            <w:tcW w:w="249" w:type="dxa"/>
            <w:tcBorders>
              <w:bottom w:val="double" w:sz="6" w:space="0" w:color="000000"/>
            </w:tcBorders>
            <w:shd w:fill="CCEEFF"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82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2,842,158</w:t>
            </w:r>
          </w:p>
        </w:tc>
        <w:tc>
          <w:tcPr>
            <w:tcW w:w="326" w:type="dxa"/>
            <w:tcBorders/>
            <w:shd w:fill="CCEEFF" w:val="clear"/>
            <w:vAlign w:val="center"/>
          </w:tcPr>
          <w:p>
            <w:pPr>
              <w:pStyle w:val="TableContents"/>
              <w:spacing w:before="0" w:after="1"/>
              <w:ind w:left="0" w:right="0" w:hanging="0"/>
              <w:rPr/>
            </w:pPr>
            <w:r>
              <w:rPr/>
              <w:t>​</w:t>
            </w:r>
          </w:p>
        </w:tc>
        <w:tc>
          <w:tcPr>
            <w:tcW w:w="249" w:type="dxa"/>
            <w:tcBorders>
              <w:bottom w:val="double" w:sz="6" w:space="0" w:color="000000"/>
            </w:tcBorders>
            <w:shd w:fill="CCEEFF"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c>
          <w:tcPr>
            <w:tcW w:w="326" w:type="dxa"/>
            <w:tcBorders/>
            <w:shd w:fill="CCEEFF" w:val="clear"/>
            <w:vAlign w:val="center"/>
          </w:tcPr>
          <w:p>
            <w:pPr>
              <w:pStyle w:val="TableContents"/>
              <w:spacing w:before="0" w:after="1"/>
              <w:ind w:left="0" w:right="0" w:hanging="0"/>
              <w:rPr/>
            </w:pPr>
            <w:r>
              <w:rPr/>
              <w:t> </w:t>
            </w:r>
          </w:p>
        </w:tc>
        <w:tc>
          <w:tcPr>
            <w:tcW w:w="100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157,168,321</w:t>
            </w:r>
          </w:p>
        </w:tc>
        <w:tc>
          <w:tcPr>
            <w:tcW w:w="326" w:type="dxa"/>
            <w:tcBorders/>
            <w:shd w:fill="CCEEFF" w:val="clear"/>
            <w:vAlign w:val="center"/>
          </w:tcPr>
          <w:p>
            <w:pPr>
              <w:pStyle w:val="TableContents"/>
              <w:spacing w:before="0" w:after="1"/>
              <w:ind w:left="0" w:right="0" w:hanging="0"/>
              <w:rPr/>
            </w:pPr>
            <w:r>
              <w:rPr/>
              <w:t>​</w:t>
            </w:r>
          </w:p>
        </w:tc>
        <w:tc>
          <w:tcPr>
            <w:tcW w:w="249" w:type="dxa"/>
            <w:tcBorders>
              <w:bottom w:val="double" w:sz="6" w:space="0" w:color="000000"/>
            </w:tcBorders>
            <w:shd w:fill="CCEEFF"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1,818,377</w:t>
            </w:r>
          </w:p>
        </w:tc>
        <w:tc>
          <w:tcPr>
            <w:tcW w:w="326" w:type="dxa"/>
            <w:tcBorders/>
            <w:shd w:fill="CCEEFF" w:val="clear"/>
            <w:vAlign w:val="center"/>
          </w:tcPr>
          <w:p>
            <w:pPr>
              <w:pStyle w:val="TableContents"/>
              <w:spacing w:before="0" w:after="1"/>
              <w:ind w:left="0" w:right="0" w:hanging="0"/>
              <w:rPr/>
            </w:pPr>
            <w:r>
              <w:rPr/>
              <w:t>​</w:t>
            </w:r>
          </w:p>
        </w:tc>
        <w:tc>
          <w:tcPr>
            <w:tcW w:w="379" w:type="dxa"/>
            <w:tcBorders>
              <w:bottom w:val="double" w:sz="6" w:space="0" w:color="000000"/>
            </w:tcBorders>
            <w:shd w:fill="CCEEFF"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1107"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(2,343)</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88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(1,264,052)</w:t>
            </w:r>
          </w:p>
        </w:tc>
        <w:tc>
          <w:tcPr>
            <w:tcW w:w="326" w:type="dxa"/>
            <w:tcBorders/>
            <w:shd w:fill="CCEEFF" w:val="clear"/>
            <w:vAlign w:val="center"/>
          </w:tcPr>
          <w:p>
            <w:pPr>
              <w:pStyle w:val="TableContents"/>
              <w:spacing w:before="0" w:after="1"/>
              <w:ind w:left="0" w:right="0" w:hanging="0"/>
              <w:rPr/>
            </w:pPr>
            <w:r>
              <w:rPr/>
              <w:t>​</w:t>
            </w:r>
          </w:p>
        </w:tc>
        <w:tc>
          <w:tcPr>
            <w:tcW w:w="213" w:type="dxa"/>
            <w:tcBorders>
              <w:bottom w:val="double" w:sz="6" w:space="0" w:color="000000"/>
            </w:tcBorders>
            <w:shd w:fill="CCEEFF"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868" w:type="dxa"/>
            <w:tcBorders>
              <w:bottom w:val="double" w:sz="6" w:space="0" w:color="000000"/>
            </w:tcBorders>
            <w:shd w:fill="CCEEFF" w:val="clear"/>
            <w:tcMar>
              <w:bottom w:w="28" w:type="dxa"/>
            </w:tcMar>
            <w:vAlign w:val="center"/>
          </w:tcPr>
          <w:p>
            <w:pPr>
              <w:pStyle w:val="TableContents"/>
              <w:spacing w:before="0" w:after="1"/>
              <w:ind w:left="0" w:right="48" w:hanging="0"/>
              <w:jc w:val="right"/>
              <w:rPr>
                <w:rFonts w:ascii="Times New Roman;Times;serif" w:hAnsi="Times New Roman;Times;serif"/>
                <w:sz w:val="16"/>
              </w:rPr>
            </w:pPr>
            <w:r>
              <w:rPr>
                <w:rFonts w:ascii="Times New Roman;Times;serif" w:hAnsi="Times New Roman;Times;serif"/>
                <w:sz w:val="16"/>
              </w:rPr>
              <w:t>551,992</w:t>
            </w:r>
          </w:p>
        </w:tc>
      </w:tr>
    </w:tbl>
    <w:p>
      <w:pPr>
        <w:pStyle w:val="TextBody"/>
        <w:spacing w:before="0" w:after="200"/>
        <w:ind w:left="0" w:right="0" w:firstLine="547"/>
        <w:rPr/>
      </w:pPr>
      <w:r>
        <w:rPr/>
        <w:t>​</w:t>
      </w:r>
    </w:p>
    <w:p>
      <w:pPr>
        <w:pStyle w:val="TextBody"/>
        <w:spacing w:before="0" w:after="200"/>
        <w:ind w:left="0" w:right="0" w:firstLine="547"/>
        <w:rPr/>
      </w:pPr>
      <w:r>
        <w:rPr/>
        <w:t>​</w:t>
      </w:r>
    </w:p>
    <w:p>
      <w:pPr>
        <w:pStyle w:val="TextBody"/>
        <w:spacing w:before="0" w:after="200"/>
        <w:ind w:left="0" w:right="0" w:firstLine="547"/>
        <w:rPr/>
      </w:pPr>
      <w:r>
        <w:rPr/>
        <w:t>​</w:t>
      </w:r>
    </w:p>
    <w:p>
      <w:pPr>
        <w:pStyle w:val="TextBody"/>
        <w:spacing w:before="0" w:after="200"/>
        <w:ind w:left="0" w:right="0" w:firstLine="547"/>
        <w:rPr/>
      </w:pPr>
      <w:r>
        <w:rPr/>
        <w:t>​</w:t>
      </w:r>
    </w:p>
    <w:p>
      <w:pPr>
        <w:pStyle w:val="TextBody"/>
        <w:spacing w:before="0" w:after="200"/>
        <w:ind w:left="0" w:right="0" w:firstLine="547"/>
        <w:rPr/>
      </w:pPr>
      <w:r>
        <w:rPr/>
        <w:t>​</w:t>
      </w:r>
    </w:p>
    <w:p>
      <w:pPr>
        <w:pStyle w:val="TextBody"/>
        <w:spacing w:before="0" w:after="200"/>
        <w:ind w:left="0" w:right="0" w:firstLine="547"/>
        <w:rPr/>
      </w:pPr>
      <w:r>
        <w:rPr/>
        <w:t>​</w:t>
      </w:r>
    </w:p>
    <w:p>
      <w:pPr>
        <w:pStyle w:val="TextBody"/>
        <w:spacing w:before="0" w:after="200"/>
        <w:ind w:left="0" w:right="0" w:firstLine="547"/>
        <w:jc w:val="center"/>
        <w:rPr/>
      </w:pPr>
      <w:r>
        <w:rPr/>
        <w:t>​</w:t>
      </w:r>
    </w:p>
    <w:p>
      <w:pPr>
        <w:pStyle w:val="TextBody"/>
        <w:spacing w:before="0" w:after="0"/>
        <w:ind w:left="0" w:right="0" w:firstLine="547"/>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spacing w:before="0" w:after="200"/>
        <w:ind w:left="0" w:right="0" w:firstLine="547"/>
        <w:rPr/>
      </w:pPr>
      <w:r>
        <w:rPr/>
        <w:t>​</w:t>
      </w:r>
    </w:p>
    <w:p>
      <w:pPr>
        <w:pStyle w:val="TextBody"/>
        <w:spacing w:before="0" w:after="200"/>
        <w:ind w:left="0" w:right="0" w:firstLine="547"/>
        <w:rPr/>
      </w:pPr>
      <w:r>
        <w:rPr/>
        <w:t>​</w:t>
      </w:r>
    </w:p>
    <w:p>
      <w:pPr>
        <w:pStyle w:val="TextBody"/>
        <w:spacing w:before="0" w:after="200"/>
        <w:ind w:left="0" w:right="0" w:firstLine="547"/>
        <w:rPr/>
      </w:pPr>
      <w:r>
        <w:rPr/>
        <w:t>​</w:t>
      </w:r>
    </w:p>
    <w:p>
      <w:pPr>
        <w:pStyle w:val="TextBody"/>
        <w:spacing w:before="0" w:after="200"/>
        <w:ind w:left="0" w:right="0" w:firstLine="547"/>
        <w:rPr/>
      </w:pPr>
      <w:r>
        <w:rPr/>
        <w:t>​</w:t>
      </w:r>
    </w:p>
    <w:p>
      <w:pPr>
        <w:pStyle w:val="TextBody"/>
        <w:spacing w:before="0" w:after="200"/>
        <w:ind w:left="0" w:right="0" w:firstLine="547"/>
        <w:rPr/>
      </w:pPr>
      <w:r>
        <w:rPr/>
        <w:t>​</w:t>
      </w:r>
    </w:p>
    <w:p>
      <w:pPr>
        <w:pStyle w:val="TextBody"/>
        <w:spacing w:before="0" w:after="200"/>
        <w:ind w:left="0" w:right="0" w:firstLine="547"/>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494" w:name="_5e4ab141_a3e6_4cbe_b80b_cd250bf77f46"/>
      <w:bookmarkEnd w:id="494"/>
      <w:r>
        <w:rPr>
          <w:rFonts w:ascii="Times New Roman;Times;serif" w:hAnsi="Times New Roman;Times;serif"/>
          <w:b/>
          <w:sz w:val="20"/>
        </w:rPr>
        <w:t>IOVANCE BIOTHERAPEUTICS,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spacing w:before="0" w:after="200"/>
        <w:ind w:left="0" w:right="0" w:hanging="0"/>
        <w:jc w:val="center"/>
        <w:rPr/>
      </w:pPr>
      <w:r>
        <w:rPr/>
        <w:t>​</w:t>
      </w:r>
    </w:p>
    <w:p>
      <w:pPr>
        <w:pStyle w:val="Normal"/>
        <w:spacing w:before="0" w:after="0"/>
        <w:rPr>
          <w:sz w:val="4"/>
          <w:szCs w:val="4"/>
        </w:rPr>
      </w:pPr>
      <w:r>
        <w:rPr>
          <w:sz w:val="4"/>
          <w:szCs w:val="4"/>
        </w:rPr>
      </w:r>
      <w:bookmarkStart w:id="495" w:name="Tc_S0h7-pJjj0WY3aQcIw2fpQ_37_0"/>
      <w:bookmarkStart w:id="496" w:name="Tc_FvrqFkCLP0CtzZ9ouMnBNw_36_0"/>
      <w:bookmarkStart w:id="497" w:name="Tc_-322jUh3zUKJ2QpMjnKcAw_35_5"/>
      <w:bookmarkStart w:id="498" w:name="Tc_EzULFiOPa0C0BNeqIn6tFQ_35_2"/>
      <w:bookmarkStart w:id="499" w:name="Tc_384acXrSI0usn4Z5tKO-Eg_35_0"/>
      <w:bookmarkStart w:id="500" w:name="Tc_cYGpbn0aw0es2xIxJnTl7Q_34_0"/>
      <w:bookmarkStart w:id="501" w:name="Tc_OMRHXEQW-US9KMbBxvdxQw_32_5"/>
      <w:bookmarkStart w:id="502" w:name="Tc_16Bq3kfgY0m3rpn3qDXeyA_32_2"/>
      <w:bookmarkStart w:id="503" w:name="Tc_uYhlZnoDBE6VfkjVbU5IEw_32_0"/>
      <w:bookmarkStart w:id="504" w:name="Tc_v4W2GS6o9k2NJoGKFebwjw_31_0"/>
      <w:bookmarkStart w:id="505" w:name="Tc_nYhgziZZX0e9zSHCf92poQ_30_0"/>
      <w:bookmarkStart w:id="506" w:name="Tc_BDawWxqM8Eu5ApPFnxJW0g_29_0"/>
      <w:bookmarkStart w:id="507" w:name="Tc_sZQSbdM-gkyupmMmsa6VRA_28_0"/>
      <w:bookmarkStart w:id="508" w:name="Tc_wvOyQCSziUSv-zXVCsY3ZA_27_0"/>
      <w:bookmarkStart w:id="509" w:name="Tc_Cw04tbZazEyZBn5y1FHigA_26_0"/>
      <w:bookmarkStart w:id="510" w:name="Tc_7BoVDUDDY06nFdNvHdMc7w_25_0"/>
      <w:bookmarkStart w:id="511" w:name="Tc_99zhlgifP0izMAZ1L_z4MQ_23_0"/>
      <w:bookmarkStart w:id="512" w:name="Tc_xF5K8FBpH0GKx49nN_4vdg_22_0"/>
      <w:bookmarkStart w:id="513" w:name="Tc_chF40Tc7p06JInW247g1jA_21_0"/>
      <w:bookmarkStart w:id="514" w:name="Tc_WhlwD7BaAUuraDh4Y4gIhA_20_0"/>
      <w:bookmarkStart w:id="515" w:name="Tc_C8EzqrZ80Eemu3VF7cT0rg_19_0"/>
      <w:bookmarkStart w:id="516" w:name="Tc_y3d8HrcEn0ahAecULixefw_17_0"/>
      <w:bookmarkStart w:id="517" w:name="Tc_8NuugxPjUU-gXHsmHNFZpg_16_0"/>
      <w:bookmarkStart w:id="518" w:name="Tc_A8-JOykxEEuIUsSo5p7Vww_15_0"/>
      <w:bookmarkStart w:id="519" w:name="Tc_h8Y4AaeEYEep6cSQ1Ev98A_14_0"/>
      <w:bookmarkStart w:id="520" w:name="Tc_MD-6wvFLW0mFSUbi3qO9oQ_13_0"/>
      <w:bookmarkStart w:id="521" w:name="Tc_RAjs6afmIU-Tn3BGOCsJCA_12_0"/>
      <w:bookmarkStart w:id="522" w:name="Tc_pslneO8Uqk2vPInKE5Y0RA_11_0"/>
      <w:bookmarkStart w:id="523" w:name="Tc_adKMY2OYGU2-JsPJTni1ZA_10_0"/>
      <w:bookmarkStart w:id="524" w:name="Tc_9Vb5hzRKYUqBjrpjCwfBGg_9_0"/>
      <w:bookmarkStart w:id="525" w:name="Tc_KbeuRN78LECqAzcUbTNG4g_8_0"/>
      <w:bookmarkStart w:id="526" w:name="Tc_nW7O9OJP60qarMRKtlIa4w_7_0"/>
      <w:bookmarkStart w:id="527" w:name="Tc_UlOLGzb_BE24JelCfwllFg_6_0"/>
      <w:bookmarkStart w:id="528" w:name="Tc_KhW2FCdxdUyxta72gjbS8w_5_5"/>
      <w:bookmarkStart w:id="529" w:name="Tc_Nt81EI3Id0mAzj5BTMh0Ew_5_2"/>
      <w:bookmarkStart w:id="530" w:name="Tc_klGGtCpk70OqZy0y4cDuiw_5_0"/>
      <w:bookmarkStart w:id="531" w:name="Tc_vEZ9JdS-D0y67jm3XkW71A_4_0"/>
      <w:bookmarkStart w:id="532" w:name="Tc_YVmo_sAPWkmw7IhqefOcXw_3_5"/>
      <w:bookmarkStart w:id="533" w:name="Tc_EeteW9gl3EuqsUOrvfBIlQ_3_2"/>
      <w:bookmarkStart w:id="534" w:name="Tc_UzL1uGneh0-j6dr-I2PGBg_2_2"/>
      <w:bookmarkStart w:id="535" w:name="Tc_nlfFtaGqhky7oWMD9M1fAA_1_2"/>
      <w:bookmarkStart w:id="536" w:name="_fe60453f_127a_46cd_a341_377132ae5c43"/>
      <w:bookmarkStart w:id="537" w:name="Tc_S0h7-pJjj0WY3aQcIw2fpQ_37_0"/>
      <w:bookmarkStart w:id="538" w:name="Tc_FvrqFkCLP0CtzZ9ouMnBNw_36_0"/>
      <w:bookmarkStart w:id="539" w:name="Tc_-322jUh3zUKJ2QpMjnKcAw_35_5"/>
      <w:bookmarkStart w:id="540" w:name="Tc_EzULFiOPa0C0BNeqIn6tFQ_35_2"/>
      <w:bookmarkStart w:id="541" w:name="Tc_384acXrSI0usn4Z5tKO-Eg_35_0"/>
      <w:bookmarkStart w:id="542" w:name="Tc_cYGpbn0aw0es2xIxJnTl7Q_34_0"/>
      <w:bookmarkStart w:id="543" w:name="Tc_OMRHXEQW-US9KMbBxvdxQw_32_5"/>
      <w:bookmarkStart w:id="544" w:name="Tc_16Bq3kfgY0m3rpn3qDXeyA_32_2"/>
      <w:bookmarkStart w:id="545" w:name="Tc_uYhlZnoDBE6VfkjVbU5IEw_32_0"/>
      <w:bookmarkStart w:id="546" w:name="Tc_v4W2GS6o9k2NJoGKFebwjw_31_0"/>
      <w:bookmarkStart w:id="547" w:name="Tc_nYhgziZZX0e9zSHCf92poQ_30_0"/>
      <w:bookmarkStart w:id="548" w:name="Tc_BDawWxqM8Eu5ApPFnxJW0g_29_0"/>
      <w:bookmarkStart w:id="549" w:name="Tc_sZQSbdM-gkyupmMmsa6VRA_28_0"/>
      <w:bookmarkStart w:id="550" w:name="Tc_wvOyQCSziUSv-zXVCsY3ZA_27_0"/>
      <w:bookmarkStart w:id="551" w:name="Tc_Cw04tbZazEyZBn5y1FHigA_26_0"/>
      <w:bookmarkStart w:id="552" w:name="Tc_7BoVDUDDY06nFdNvHdMc7w_25_0"/>
      <w:bookmarkStart w:id="553" w:name="Tc_99zhlgifP0izMAZ1L_z4MQ_23_0"/>
      <w:bookmarkStart w:id="554" w:name="Tc_xF5K8FBpH0GKx49nN_4vdg_22_0"/>
      <w:bookmarkStart w:id="555" w:name="Tc_chF40Tc7p06JInW247g1jA_21_0"/>
      <w:bookmarkStart w:id="556" w:name="Tc_WhlwD7BaAUuraDh4Y4gIhA_20_0"/>
      <w:bookmarkStart w:id="557" w:name="Tc_C8EzqrZ80Eemu3VF7cT0rg_19_0"/>
      <w:bookmarkStart w:id="558" w:name="Tc_y3d8HrcEn0ahAecULixefw_17_0"/>
      <w:bookmarkStart w:id="559" w:name="Tc_8NuugxPjUU-gXHsmHNFZpg_16_0"/>
      <w:bookmarkStart w:id="560" w:name="Tc_A8-JOykxEEuIUsSo5p7Vww_15_0"/>
      <w:bookmarkStart w:id="561" w:name="Tc_h8Y4AaeEYEep6cSQ1Ev98A_14_0"/>
      <w:bookmarkStart w:id="562" w:name="Tc_MD-6wvFLW0mFSUbi3qO9oQ_13_0"/>
      <w:bookmarkStart w:id="563" w:name="Tc_RAjs6afmIU-Tn3BGOCsJCA_12_0"/>
      <w:bookmarkStart w:id="564" w:name="Tc_pslneO8Uqk2vPInKE5Y0RA_11_0"/>
      <w:bookmarkStart w:id="565" w:name="Tc_adKMY2OYGU2-JsPJTni1ZA_10_0"/>
      <w:bookmarkStart w:id="566" w:name="Tc_9Vb5hzRKYUqBjrpjCwfBGg_9_0"/>
      <w:bookmarkStart w:id="567" w:name="Tc_KbeuRN78LECqAzcUbTNG4g_8_0"/>
      <w:bookmarkStart w:id="568" w:name="Tc_nW7O9OJP60qarMRKtlIa4w_7_0"/>
      <w:bookmarkStart w:id="569" w:name="Tc_UlOLGzb_BE24JelCfwllFg_6_0"/>
      <w:bookmarkStart w:id="570" w:name="Tc_KhW2FCdxdUyxta72gjbS8w_5_5"/>
      <w:bookmarkStart w:id="571" w:name="Tc_Nt81EI3Id0mAzj5BTMh0Ew_5_2"/>
      <w:bookmarkStart w:id="572" w:name="Tc_klGGtCpk70OqZy0y4cDuiw_5_0"/>
      <w:bookmarkStart w:id="573" w:name="Tc_vEZ9JdS-D0y67jm3XkW71A_4_0"/>
      <w:bookmarkStart w:id="574" w:name="Tc_YVmo_sAPWkmw7IhqefOcXw_3_5"/>
      <w:bookmarkStart w:id="575" w:name="Tc_EeteW9gl3EuqsUOrvfBIlQ_3_2"/>
      <w:bookmarkStart w:id="576" w:name="Tc_UzL1uGneh0-j6dr-I2PGBg_2_2"/>
      <w:bookmarkStart w:id="577" w:name="Tc_nlfFtaGqhky7oWMD9M1fAA_1_2"/>
      <w:bookmarkStart w:id="578" w:name="_fe60453f_127a_46cd_a341_377132ae5c43"/>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p>
    <w:tbl>
      <w:tblPr>
        <w:tblW w:w="10205" w:type="dxa"/>
        <w:jc w:val="left"/>
        <w:tblInd w:w="0" w:type="dxa"/>
        <w:tblCellMar>
          <w:top w:w="0" w:type="dxa"/>
          <w:left w:w="0" w:type="dxa"/>
          <w:bottom w:w="0" w:type="dxa"/>
          <w:right w:w="0" w:type="dxa"/>
        </w:tblCellMar>
      </w:tblPr>
      <w:tblGrid>
        <w:gridCol w:w="7282"/>
        <w:gridCol w:w="326"/>
        <w:gridCol w:w="211"/>
        <w:gridCol w:w="898"/>
        <w:gridCol w:w="326"/>
        <w:gridCol w:w="211"/>
        <w:gridCol w:w="795"/>
        <w:gridCol w:w="156"/>
      </w:tblGrid>
      <w:tr>
        <w:trPr/>
        <w:tc>
          <w:tcPr>
            <w:tcW w:w="72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4624070" cy="175260"/>
                      <wp:effectExtent l="0" t="0" r="0" b="0"/>
                      <wp:wrapNone/>
                      <wp:docPr id="22" name="Frame22"/>
                      <a:graphic xmlns:a="http://schemas.openxmlformats.org/drawingml/2006/main">
                        <a:graphicData uri="http://schemas.microsoft.com/office/word/2010/wordprocessingShape">
                          <wps:wsp>
                            <wps:cNvSpPr txBox="1"/>
                            <wps:spPr>
                              <a:xfrm>
                                <a:off x="0" y="0"/>
                                <a:ext cx="46240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3" name="Frame2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3985" cy="175260"/>
                      <wp:effectExtent l="0" t="0" r="0" b="0"/>
                      <wp:wrapNone/>
                      <wp:docPr id="24" name="Frame2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70230" cy="175260"/>
                      <wp:effectExtent l="0" t="0" r="0" b="0"/>
                      <wp:wrapNone/>
                      <wp:docPr id="25" name="Frame25"/>
                      <a:graphic xmlns:a="http://schemas.openxmlformats.org/drawingml/2006/main">
                        <a:graphicData uri="http://schemas.microsoft.com/office/word/2010/wordprocessingShape">
                          <wps:wsp>
                            <wps:cNvSpPr txBox="1"/>
                            <wps:spPr>
                              <a:xfrm>
                                <a:off x="0" y="0"/>
                                <a:ext cx="5702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6" name="Frame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3985" cy="175260"/>
                      <wp:effectExtent l="0" t="0" r="0" b="0"/>
                      <wp:wrapNone/>
                      <wp:docPr id="27" name="Frame2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504825" cy="175260"/>
                      <wp:effectExtent l="0" t="0" r="0" b="0"/>
                      <wp:wrapNone/>
                      <wp:docPr id="28" name="Frame28"/>
                      <a:graphic xmlns:a="http://schemas.openxmlformats.org/drawingml/2006/main">
                        <a:graphicData uri="http://schemas.microsoft.com/office/word/2010/wordprocessingShape">
                          <wps:wsp>
                            <wps:cNvSpPr txBox="1"/>
                            <wps:spPr>
                              <a:xfrm>
                                <a:off x="0" y="0"/>
                                <a:ext cx="5048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99060" cy="175260"/>
                      <wp:effectExtent l="0" t="0" r="0" b="0"/>
                      <wp:wrapNone/>
                      <wp:docPr id="29" name="Frame29"/>
                      <a:graphic xmlns:a="http://schemas.openxmlformats.org/drawingml/2006/main">
                        <a:graphicData uri="http://schemas.microsoft.com/office/word/2010/wordprocessingShape">
                          <wps:wsp>
                            <wps:cNvSpPr txBox="1"/>
                            <wps:spPr>
                              <a:xfrm>
                                <a:off x="0" y="0"/>
                                <a:ext cx="99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728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41"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56" w:type="dxa"/>
            <w:tcBorders/>
            <w:shd w:fill="auto" w:val="clear"/>
            <w:vAlign w:val="center"/>
          </w:tcPr>
          <w:p>
            <w:pPr>
              <w:pStyle w:val="TableContents"/>
              <w:spacing w:before="0" w:after="1"/>
              <w:ind w:left="0" w:right="0" w:hanging="0"/>
              <w:rPr/>
            </w:pPr>
            <w:r>
              <w:rPr/>
              <w:t>​</w:t>
            </w:r>
          </w:p>
        </w:tc>
      </w:tr>
      <w:tr>
        <w:trPr/>
        <w:tc>
          <w:tcPr>
            <w:tcW w:w="728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41"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56" w:type="dxa"/>
            <w:tcBorders/>
            <w:shd w:fill="auto" w:val="clear"/>
            <w:vAlign w:val="center"/>
          </w:tcPr>
          <w:p>
            <w:pPr>
              <w:pStyle w:val="TableContents"/>
              <w:spacing w:before="0" w:after="1"/>
              <w:ind w:left="0" w:right="0" w:hanging="0"/>
              <w:rPr/>
            </w:pPr>
            <w:r>
              <w:rPr/>
              <w:t>​</w:t>
            </w:r>
          </w:p>
        </w:tc>
      </w:tr>
      <w:tr>
        <w:trPr/>
        <w:tc>
          <w:tcPr>
            <w:tcW w:w="728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109"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1"/>
              <w:ind w:left="0" w:right="0" w:hanging="0"/>
              <w:rPr/>
            </w:pPr>
            <w:r>
              <w:rPr/>
              <w:t>    </w:t>
            </w:r>
          </w:p>
        </w:tc>
        <w:tc>
          <w:tcPr>
            <w:tcW w:w="100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6" w:type="dxa"/>
            <w:tcBorders/>
            <w:shd w:fill="auto" w:val="clear"/>
            <w:vAlign w:val="center"/>
          </w:tcPr>
          <w:p>
            <w:pPr>
              <w:pStyle w:val="TableContents"/>
              <w:spacing w:before="0" w:after="1"/>
              <w:ind w:left="0" w:right="0" w:hanging="0"/>
              <w:rPr/>
            </w:pPr>
            <w:r>
              <w:rPr/>
              <w:t>​</w:t>
            </w:r>
          </w:p>
        </w:tc>
      </w:tr>
      <w:tr>
        <w:trPr/>
        <w:tc>
          <w:tcPr>
            <w:tcW w:w="7282" w:type="dxa"/>
            <w:tcBorders/>
            <w:shd w:fill="CCEEFF" w:val="clear"/>
            <w:vAlign w:val="center"/>
          </w:tcPr>
          <w:p>
            <w:pPr>
              <w:pStyle w:val="TableContents"/>
              <w:spacing w:before="0" w:after="1"/>
              <w:ind w:left="0" w:right="0" w:hanging="0"/>
              <w:jc w:val="both"/>
              <w:rPr>
                <w:rFonts w:ascii="Times New Roman;Times;serif" w:hAnsi="Times New Roman;Times;serif"/>
                <w:b/>
                <w:sz w:val="20"/>
              </w:rPr>
            </w:pPr>
            <w:r>
              <w:rPr>
                <w:rFonts w:ascii="Times New Roman;Times;serif" w:hAnsi="Times New Roman;Times;serif"/>
                <w:b/>
                <w:sz w:val="20"/>
              </w:rPr>
              <w:t>Cash Flows from Operating Activities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98"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95" w:type="dxa"/>
            <w:tcBorders/>
            <w:shd w:fill="CCEEFF" w:val="clear"/>
            <w:vAlign w:val="center"/>
          </w:tcPr>
          <w:p>
            <w:pPr>
              <w:pStyle w:val="TableContents"/>
              <w:spacing w:before="0" w:after="1"/>
              <w:ind w:left="0" w:right="0" w:hanging="0"/>
              <w:rPr/>
            </w:pPr>
            <w:r>
              <w:rPr/>
              <w:t>​</w:t>
            </w:r>
          </w:p>
        </w:tc>
        <w:tc>
          <w:tcPr>
            <w:tcW w:w="156" w:type="dxa"/>
            <w:tcBorders/>
            <w:shd w:fill="CCEEFF" w:val="clear"/>
            <w:vAlign w:val="center"/>
          </w:tcPr>
          <w:p>
            <w:pPr>
              <w:pStyle w:val="TableContents"/>
              <w:spacing w:before="0" w:after="1"/>
              <w:ind w:left="0" w:right="0" w:hanging="0"/>
              <w:rPr/>
            </w:pPr>
            <w:r>
              <w:rPr/>
              <w:t>​</w:t>
            </w:r>
          </w:p>
        </w:tc>
      </w:tr>
      <w:tr>
        <w:trPr/>
        <w:tc>
          <w:tcPr>
            <w:tcW w:w="7282"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Net loss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9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(107,370)</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(91,607)</w:t>
            </w:r>
          </w:p>
        </w:tc>
        <w:tc>
          <w:tcPr>
            <w:tcW w:w="156" w:type="dxa"/>
            <w:tcBorders/>
            <w:shd w:fill="auto" w:val="clear"/>
            <w:vAlign w:val="center"/>
          </w:tcPr>
          <w:p>
            <w:pPr>
              <w:pStyle w:val="TableContents"/>
              <w:spacing w:before="0" w:after="1"/>
              <w:ind w:left="0" w:right="0" w:hanging="0"/>
              <w:rPr/>
            </w:pPr>
            <w:r>
              <w:rPr/>
              <w:t>​</w:t>
            </w:r>
          </w:p>
        </w:tc>
      </w:tr>
      <w:tr>
        <w:trPr/>
        <w:tc>
          <w:tcPr>
            <w:tcW w:w="728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98"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95" w:type="dxa"/>
            <w:tcBorders/>
            <w:shd w:fill="CCEEFF" w:val="clear"/>
            <w:vAlign w:val="center"/>
          </w:tcPr>
          <w:p>
            <w:pPr>
              <w:pStyle w:val="TableContents"/>
              <w:spacing w:before="0" w:after="1"/>
              <w:ind w:left="0" w:right="0" w:hanging="0"/>
              <w:jc w:val="right"/>
              <w:rPr/>
            </w:pPr>
            <w:r>
              <w:rPr/>
              <w:t>​</w:t>
            </w:r>
          </w:p>
        </w:tc>
        <w:tc>
          <w:tcPr>
            <w:tcW w:w="156" w:type="dxa"/>
            <w:tcBorders/>
            <w:shd w:fill="CCEEFF" w:val="clear"/>
            <w:vAlign w:val="center"/>
          </w:tcPr>
          <w:p>
            <w:pPr>
              <w:pStyle w:val="TableContents"/>
              <w:spacing w:before="0" w:after="1"/>
              <w:ind w:left="0" w:right="0" w:hanging="0"/>
              <w:rPr/>
            </w:pPr>
            <w:r>
              <w:rPr/>
              <w:t>​</w:t>
            </w:r>
          </w:p>
        </w:tc>
      </w:tr>
      <w:tr>
        <w:trPr/>
        <w:tc>
          <w:tcPr>
            <w:tcW w:w="728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9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15,665</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9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22,265</w:t>
            </w:r>
          </w:p>
        </w:tc>
        <w:tc>
          <w:tcPr>
            <w:tcW w:w="156" w:type="dxa"/>
            <w:tcBorders/>
            <w:shd w:fill="auto" w:val="clear"/>
            <w:vAlign w:val="center"/>
          </w:tcPr>
          <w:p>
            <w:pPr>
              <w:pStyle w:val="TableContents"/>
              <w:spacing w:before="0" w:after="1"/>
              <w:ind w:left="0" w:right="0" w:hanging="0"/>
              <w:rPr/>
            </w:pPr>
            <w:r>
              <w:rPr/>
              <w:t>​</w:t>
            </w:r>
          </w:p>
        </w:tc>
      </w:tr>
      <w:tr>
        <w:trPr/>
        <w:tc>
          <w:tcPr>
            <w:tcW w:w="728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Amortization of right of use asset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9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2,933</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9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3,181</w:t>
            </w:r>
          </w:p>
        </w:tc>
        <w:tc>
          <w:tcPr>
            <w:tcW w:w="156" w:type="dxa"/>
            <w:tcBorders/>
            <w:shd w:fill="CCEEFF" w:val="clear"/>
            <w:vAlign w:val="center"/>
          </w:tcPr>
          <w:p>
            <w:pPr>
              <w:pStyle w:val="TableContents"/>
              <w:spacing w:before="0" w:after="1"/>
              <w:ind w:left="0" w:right="0" w:hanging="0"/>
              <w:rPr/>
            </w:pPr>
            <w:r>
              <w:rPr/>
              <w:t>​</w:t>
            </w:r>
          </w:p>
        </w:tc>
      </w:tr>
      <w:tr>
        <w:trPr/>
        <w:tc>
          <w:tcPr>
            <w:tcW w:w="728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9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2,764</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9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1,797</w:t>
            </w:r>
          </w:p>
        </w:tc>
        <w:tc>
          <w:tcPr>
            <w:tcW w:w="156" w:type="dxa"/>
            <w:tcBorders/>
            <w:shd w:fill="auto" w:val="clear"/>
            <w:vAlign w:val="center"/>
          </w:tcPr>
          <w:p>
            <w:pPr>
              <w:pStyle w:val="TableContents"/>
              <w:spacing w:before="0" w:after="1"/>
              <w:ind w:left="0" w:right="0" w:hanging="0"/>
              <w:rPr/>
            </w:pPr>
            <w:r>
              <w:rPr/>
              <w:t>​</w:t>
            </w:r>
          </w:p>
        </w:tc>
      </w:tr>
      <w:tr>
        <w:trPr/>
        <w:tc>
          <w:tcPr>
            <w:tcW w:w="728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Accretion of discounts and premiums on investments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9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(978)</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9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541</w:t>
            </w:r>
          </w:p>
        </w:tc>
        <w:tc>
          <w:tcPr>
            <w:tcW w:w="156" w:type="dxa"/>
            <w:tcBorders/>
            <w:shd w:fill="CCEEFF" w:val="clear"/>
            <w:vAlign w:val="center"/>
          </w:tcPr>
          <w:p>
            <w:pPr>
              <w:pStyle w:val="TableContents"/>
              <w:spacing w:before="0" w:after="1"/>
              <w:ind w:left="0" w:right="0" w:hanging="0"/>
              <w:rPr/>
            </w:pPr>
            <w:r>
              <w:rPr/>
              <w:t>​</w:t>
            </w:r>
          </w:p>
        </w:tc>
      </w:tr>
      <w:tr>
        <w:trPr/>
        <w:tc>
          <w:tcPr>
            <w:tcW w:w="728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Loss on write-off of fixed assets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9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9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314</w:t>
            </w:r>
          </w:p>
        </w:tc>
        <w:tc>
          <w:tcPr>
            <w:tcW w:w="156" w:type="dxa"/>
            <w:tcBorders/>
            <w:shd w:fill="auto" w:val="clear"/>
            <w:vAlign w:val="center"/>
          </w:tcPr>
          <w:p>
            <w:pPr>
              <w:pStyle w:val="TableContents"/>
              <w:spacing w:before="0" w:after="1"/>
              <w:ind w:left="0" w:right="0" w:hanging="0"/>
              <w:rPr/>
            </w:pPr>
            <w:r>
              <w:rPr/>
              <w:t>​</w:t>
            </w:r>
          </w:p>
        </w:tc>
      </w:tr>
      <w:tr>
        <w:trPr/>
        <w:tc>
          <w:tcPr>
            <w:tcW w:w="728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Changes in assets and liabilities: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98"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95" w:type="dxa"/>
            <w:tcBorders/>
            <w:shd w:fill="CCEEFF" w:val="clear"/>
            <w:vAlign w:val="center"/>
          </w:tcPr>
          <w:p>
            <w:pPr>
              <w:pStyle w:val="TableContents"/>
              <w:spacing w:before="0" w:after="1"/>
              <w:ind w:left="0" w:right="0" w:hanging="0"/>
              <w:rPr/>
            </w:pPr>
            <w:r>
              <w:rPr/>
              <w:t>​</w:t>
            </w:r>
          </w:p>
        </w:tc>
        <w:tc>
          <w:tcPr>
            <w:tcW w:w="156" w:type="dxa"/>
            <w:tcBorders/>
            <w:shd w:fill="CCEEFF" w:val="clear"/>
            <w:vAlign w:val="center"/>
          </w:tcPr>
          <w:p>
            <w:pPr>
              <w:pStyle w:val="TableContents"/>
              <w:spacing w:before="0" w:after="1"/>
              <w:ind w:left="0" w:right="0" w:hanging="0"/>
              <w:rPr/>
            </w:pPr>
            <w:r>
              <w:rPr/>
              <w:t>​</w:t>
            </w:r>
          </w:p>
        </w:tc>
      </w:tr>
      <w:tr>
        <w:trPr/>
        <w:tc>
          <w:tcPr>
            <w:tcW w:w="728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Prepaid expenses, other assets and long-term assets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9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(4,231)</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9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(3,715)</w:t>
            </w:r>
          </w:p>
        </w:tc>
        <w:tc>
          <w:tcPr>
            <w:tcW w:w="156" w:type="dxa"/>
            <w:tcBorders/>
            <w:shd w:fill="auto" w:val="clear"/>
            <w:vAlign w:val="center"/>
          </w:tcPr>
          <w:p>
            <w:pPr>
              <w:pStyle w:val="TableContents"/>
              <w:spacing w:before="0" w:after="1"/>
              <w:ind w:left="0" w:right="0" w:hanging="0"/>
              <w:rPr/>
            </w:pPr>
            <w:r>
              <w:rPr/>
              <w:t>​</w:t>
            </w:r>
          </w:p>
        </w:tc>
      </w:tr>
      <w:tr>
        <w:trPr/>
        <w:tc>
          <w:tcPr>
            <w:tcW w:w="728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lease liabilities, net of tenant improvement allowance received</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9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(2,569)</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9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690</w:t>
            </w:r>
          </w:p>
        </w:tc>
        <w:tc>
          <w:tcPr>
            <w:tcW w:w="156" w:type="dxa"/>
            <w:tcBorders/>
            <w:shd w:fill="CCEEFF" w:val="clear"/>
            <w:vAlign w:val="center"/>
          </w:tcPr>
          <w:p>
            <w:pPr>
              <w:pStyle w:val="TableContents"/>
              <w:spacing w:before="0" w:after="1"/>
              <w:ind w:left="0" w:right="0" w:hanging="0"/>
              <w:rPr/>
            </w:pPr>
            <w:r>
              <w:rPr/>
              <w:t>​</w:t>
            </w:r>
          </w:p>
        </w:tc>
      </w:tr>
      <w:tr>
        <w:trPr/>
        <w:tc>
          <w:tcPr>
            <w:tcW w:w="728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Accounts payable</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9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3,025</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9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(2,104)</w:t>
            </w:r>
          </w:p>
        </w:tc>
        <w:tc>
          <w:tcPr>
            <w:tcW w:w="156" w:type="dxa"/>
            <w:tcBorders/>
            <w:shd w:fill="auto" w:val="clear"/>
            <w:vAlign w:val="center"/>
          </w:tcPr>
          <w:p>
            <w:pPr>
              <w:pStyle w:val="TableContents"/>
              <w:spacing w:before="0" w:after="1"/>
              <w:ind w:left="0" w:right="0" w:hanging="0"/>
              <w:rPr/>
            </w:pPr>
            <w:r>
              <w:rPr/>
              <w:t>​</w:t>
            </w:r>
          </w:p>
        </w:tc>
      </w:tr>
      <w:tr>
        <w:trPr/>
        <w:tc>
          <w:tcPr>
            <w:tcW w:w="728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Accrued expenses and other liabilities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9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(9,054)</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95"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(5,164)</w:t>
            </w:r>
          </w:p>
        </w:tc>
        <w:tc>
          <w:tcPr>
            <w:tcW w:w="156" w:type="dxa"/>
            <w:tcBorders/>
            <w:shd w:fill="CCEEFF" w:val="clear"/>
            <w:vAlign w:val="center"/>
          </w:tcPr>
          <w:p>
            <w:pPr>
              <w:pStyle w:val="TableContents"/>
              <w:spacing w:before="0" w:after="1"/>
              <w:ind w:left="0" w:right="0" w:hanging="0"/>
              <w:rPr/>
            </w:pPr>
            <w:r>
              <w:rPr/>
              <w:t>​</w:t>
            </w:r>
          </w:p>
        </w:tc>
      </w:tr>
      <w:tr>
        <w:trPr/>
        <w:tc>
          <w:tcPr>
            <w:tcW w:w="728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9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(99,815)</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95"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(73,802)</w:t>
            </w:r>
          </w:p>
        </w:tc>
        <w:tc>
          <w:tcPr>
            <w:tcW w:w="156" w:type="dxa"/>
            <w:tcBorders/>
            <w:shd w:fill="auto" w:val="clear"/>
            <w:vAlign w:val="center"/>
          </w:tcPr>
          <w:p>
            <w:pPr>
              <w:pStyle w:val="TableContents"/>
              <w:spacing w:before="0" w:after="1"/>
              <w:ind w:left="0" w:right="0" w:hanging="0"/>
              <w:rPr/>
            </w:pPr>
            <w:r>
              <w:rPr/>
              <w:t>​</w:t>
            </w:r>
          </w:p>
        </w:tc>
      </w:tr>
      <w:tr>
        <w:trPr/>
        <w:tc>
          <w:tcPr>
            <w:tcW w:w="7282"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98" w:type="dxa"/>
            <w:tcBorders/>
            <w:shd w:fill="CCEEFF" w:val="clear"/>
            <w:vAlign w:val="center"/>
          </w:tcPr>
          <w:p>
            <w:pPr>
              <w:pStyle w:val="TableContents"/>
              <w:spacing w:before="0" w:after="1"/>
              <w:ind w:left="0" w:right="0" w:hanging="0"/>
              <w:rPr>
                <w:color w:val="FF0000"/>
              </w:rPr>
            </w:pPr>
            <w:r>
              <w:rPr>
                <w:color w:val="FF0000"/>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95" w:type="dxa"/>
            <w:tcBorders/>
            <w:shd w:fill="CCEEFF" w:val="clear"/>
            <w:vAlign w:val="center"/>
          </w:tcPr>
          <w:p>
            <w:pPr>
              <w:pStyle w:val="TableContents"/>
              <w:spacing w:before="0" w:after="1"/>
              <w:ind w:left="0" w:right="0" w:hanging="0"/>
              <w:rPr/>
            </w:pPr>
            <w:r>
              <w:rPr/>
              <w:t>​</w:t>
            </w:r>
          </w:p>
        </w:tc>
        <w:tc>
          <w:tcPr>
            <w:tcW w:w="156" w:type="dxa"/>
            <w:tcBorders/>
            <w:shd w:fill="CCEEFF" w:val="clear"/>
            <w:vAlign w:val="center"/>
          </w:tcPr>
          <w:p>
            <w:pPr>
              <w:pStyle w:val="TableContents"/>
              <w:spacing w:before="0" w:after="1"/>
              <w:ind w:left="0" w:right="0" w:hanging="0"/>
              <w:rPr/>
            </w:pPr>
            <w:r>
              <w:rPr/>
              <w:t>​</w:t>
            </w:r>
          </w:p>
        </w:tc>
      </w:tr>
      <w:tr>
        <w:trPr/>
        <w:tc>
          <w:tcPr>
            <w:tcW w:w="7282"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Cash Flows from Investing Activities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98" w:type="dxa"/>
            <w:tcBorders/>
            <w:shd w:fill="auto" w:val="clear"/>
            <w:vAlign w:val="center"/>
          </w:tcPr>
          <w:p>
            <w:pPr>
              <w:pStyle w:val="TableContents"/>
              <w:spacing w:before="0" w:after="1"/>
              <w:ind w:left="0" w:right="0" w:hanging="0"/>
              <w:rPr>
                <w:color w:val="FF0000"/>
              </w:rPr>
            </w:pPr>
            <w:r>
              <w:rPr>
                <w:color w:val="FF0000"/>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95" w:type="dxa"/>
            <w:tcBorders/>
            <w:shd w:fill="auto" w:val="clear"/>
            <w:vAlign w:val="center"/>
          </w:tcPr>
          <w:p>
            <w:pPr>
              <w:pStyle w:val="TableContents"/>
              <w:spacing w:before="0" w:after="1"/>
              <w:ind w:left="0" w:right="0" w:hanging="0"/>
              <w:rPr/>
            </w:pPr>
            <w:r>
              <w:rPr/>
              <w:t>​</w:t>
            </w:r>
          </w:p>
        </w:tc>
        <w:tc>
          <w:tcPr>
            <w:tcW w:w="156" w:type="dxa"/>
            <w:tcBorders/>
            <w:shd w:fill="auto" w:val="clear"/>
            <w:vAlign w:val="center"/>
          </w:tcPr>
          <w:p>
            <w:pPr>
              <w:pStyle w:val="TableContents"/>
              <w:spacing w:before="0" w:after="1"/>
              <w:ind w:left="0" w:right="0" w:hanging="0"/>
              <w:rPr/>
            </w:pPr>
            <w:r>
              <w:rPr/>
              <w:t>​</w:t>
            </w:r>
          </w:p>
        </w:tc>
      </w:tr>
      <w:tr>
        <w:trPr/>
        <w:tc>
          <w:tcPr>
            <w:tcW w:w="728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Maturities of investments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9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164,383</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9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143,508</w:t>
            </w:r>
          </w:p>
        </w:tc>
        <w:tc>
          <w:tcPr>
            <w:tcW w:w="156" w:type="dxa"/>
            <w:tcBorders/>
            <w:shd w:fill="CCEEFF" w:val="clear"/>
            <w:vAlign w:val="center"/>
          </w:tcPr>
          <w:p>
            <w:pPr>
              <w:pStyle w:val="TableContents"/>
              <w:spacing w:before="0" w:after="1"/>
              <w:ind w:left="0" w:right="0" w:hanging="0"/>
              <w:rPr/>
            </w:pPr>
            <w:r>
              <w:rPr/>
              <w:t>​</w:t>
            </w:r>
          </w:p>
        </w:tc>
      </w:tr>
      <w:tr>
        <w:trPr/>
        <w:tc>
          <w:tcPr>
            <w:tcW w:w="728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Purchase of investments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9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(5,323)</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9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(45,552)</w:t>
            </w:r>
          </w:p>
        </w:tc>
        <w:tc>
          <w:tcPr>
            <w:tcW w:w="156" w:type="dxa"/>
            <w:tcBorders/>
            <w:shd w:fill="auto" w:val="clear"/>
            <w:vAlign w:val="center"/>
          </w:tcPr>
          <w:p>
            <w:pPr>
              <w:pStyle w:val="TableContents"/>
              <w:spacing w:before="0" w:after="1"/>
              <w:ind w:left="0" w:right="0" w:hanging="0"/>
              <w:rPr/>
            </w:pPr>
            <w:r>
              <w:rPr/>
              <w:t>​</w:t>
            </w:r>
          </w:p>
        </w:tc>
      </w:tr>
      <w:tr>
        <w:trPr/>
        <w:tc>
          <w:tcPr>
            <w:tcW w:w="728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Purchase of property and equipment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9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(5,664)</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95"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(11,440)</w:t>
            </w:r>
          </w:p>
        </w:tc>
        <w:tc>
          <w:tcPr>
            <w:tcW w:w="156" w:type="dxa"/>
            <w:tcBorders/>
            <w:shd w:fill="CCEEFF" w:val="clear"/>
            <w:vAlign w:val="center"/>
          </w:tcPr>
          <w:p>
            <w:pPr>
              <w:pStyle w:val="TableContents"/>
              <w:spacing w:before="0" w:after="1"/>
              <w:ind w:left="0" w:right="0" w:hanging="0"/>
              <w:rPr/>
            </w:pPr>
            <w:r>
              <w:rPr/>
              <w:t>​</w:t>
            </w:r>
          </w:p>
        </w:tc>
      </w:tr>
      <w:tr>
        <w:trPr/>
        <w:tc>
          <w:tcPr>
            <w:tcW w:w="728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cash provided by investing activities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9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153,396</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95"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86,516</w:t>
            </w:r>
          </w:p>
        </w:tc>
        <w:tc>
          <w:tcPr>
            <w:tcW w:w="156" w:type="dxa"/>
            <w:tcBorders/>
            <w:shd w:fill="auto" w:val="clear"/>
            <w:vAlign w:val="center"/>
          </w:tcPr>
          <w:p>
            <w:pPr>
              <w:pStyle w:val="TableContents"/>
              <w:spacing w:before="0" w:after="1"/>
              <w:ind w:left="0" w:right="0" w:hanging="0"/>
              <w:rPr/>
            </w:pPr>
            <w:r>
              <w:rPr/>
              <w:t>​</w:t>
            </w:r>
          </w:p>
        </w:tc>
      </w:tr>
      <w:tr>
        <w:trPr/>
        <w:tc>
          <w:tcPr>
            <w:tcW w:w="7282"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98" w:type="dxa"/>
            <w:tcBorders/>
            <w:shd w:fill="CCEEFF" w:val="clear"/>
            <w:vAlign w:val="center"/>
          </w:tcPr>
          <w:p>
            <w:pPr>
              <w:pStyle w:val="TableContents"/>
              <w:spacing w:before="0" w:after="1"/>
              <w:ind w:left="0" w:right="0" w:hanging="0"/>
              <w:rPr>
                <w:color w:val="FF0000"/>
              </w:rPr>
            </w:pPr>
            <w:r>
              <w:rPr>
                <w:color w:val="FF0000"/>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95" w:type="dxa"/>
            <w:tcBorders/>
            <w:shd w:fill="CCEEFF" w:val="clear"/>
            <w:vAlign w:val="center"/>
          </w:tcPr>
          <w:p>
            <w:pPr>
              <w:pStyle w:val="TableContents"/>
              <w:spacing w:before="0" w:after="1"/>
              <w:ind w:left="0" w:right="0" w:hanging="0"/>
              <w:rPr/>
            </w:pPr>
            <w:r>
              <w:rPr/>
              <w:t>​</w:t>
            </w:r>
          </w:p>
        </w:tc>
        <w:tc>
          <w:tcPr>
            <w:tcW w:w="156" w:type="dxa"/>
            <w:tcBorders/>
            <w:shd w:fill="CCEEFF" w:val="clear"/>
            <w:vAlign w:val="center"/>
          </w:tcPr>
          <w:p>
            <w:pPr>
              <w:pStyle w:val="TableContents"/>
              <w:spacing w:before="0" w:after="1"/>
              <w:ind w:left="0" w:right="0" w:hanging="0"/>
              <w:rPr/>
            </w:pPr>
            <w:r>
              <w:rPr/>
              <w:t>​</w:t>
            </w:r>
          </w:p>
        </w:tc>
      </w:tr>
      <w:tr>
        <w:trPr/>
        <w:tc>
          <w:tcPr>
            <w:tcW w:w="7282"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Cash Flows from Financing Activities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98" w:type="dxa"/>
            <w:tcBorders/>
            <w:shd w:fill="auto" w:val="clear"/>
            <w:vAlign w:val="center"/>
          </w:tcPr>
          <w:p>
            <w:pPr>
              <w:pStyle w:val="TableContents"/>
              <w:spacing w:before="0" w:after="1"/>
              <w:ind w:left="0" w:right="0" w:hanging="0"/>
              <w:rPr>
                <w:color w:val="FF0000"/>
              </w:rPr>
            </w:pPr>
            <w:r>
              <w:rPr>
                <w:color w:val="FF0000"/>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95" w:type="dxa"/>
            <w:tcBorders/>
            <w:shd w:fill="auto" w:val="clear"/>
            <w:vAlign w:val="center"/>
          </w:tcPr>
          <w:p>
            <w:pPr>
              <w:pStyle w:val="TableContents"/>
              <w:spacing w:before="0" w:after="1"/>
              <w:ind w:left="0" w:right="0" w:hanging="0"/>
              <w:rPr/>
            </w:pPr>
            <w:r>
              <w:rPr/>
              <w:t>​</w:t>
            </w:r>
          </w:p>
        </w:tc>
        <w:tc>
          <w:tcPr>
            <w:tcW w:w="156" w:type="dxa"/>
            <w:tcBorders/>
            <w:shd w:fill="auto" w:val="clear"/>
            <w:vAlign w:val="center"/>
          </w:tcPr>
          <w:p>
            <w:pPr>
              <w:pStyle w:val="TableContents"/>
              <w:spacing w:before="0" w:after="1"/>
              <w:ind w:left="0" w:right="0" w:hanging="0"/>
              <w:rPr/>
            </w:pPr>
            <w:r>
              <w:rPr/>
              <w:t>​</w:t>
            </w:r>
          </w:p>
        </w:tc>
      </w:tr>
      <w:tr>
        <w:trPr/>
        <w:tc>
          <w:tcPr>
            <w:tcW w:w="728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Tax payments related to shares withheld for vested restricted stock units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9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(1,929)</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95" w:type="dxa"/>
            <w:tcBorders/>
            <w:shd w:fill="CCEEFF" w:val="clear"/>
            <w:vAlign w:val="center"/>
          </w:tcPr>
          <w:p>
            <w:pPr>
              <w:pStyle w:val="TableContents"/>
              <w:spacing w:before="0" w:after="1"/>
              <w:ind w:left="0" w:right="0" w:hanging="0"/>
              <w:jc w:val="right"/>
              <w:rPr/>
            </w:pPr>
            <w:r>
              <w:rPr/>
              <w:t>—</w:t>
            </w:r>
          </w:p>
        </w:tc>
        <w:tc>
          <w:tcPr>
            <w:tcW w:w="156" w:type="dxa"/>
            <w:tcBorders/>
            <w:shd w:fill="CCEEFF" w:val="clear"/>
            <w:vAlign w:val="center"/>
          </w:tcPr>
          <w:p>
            <w:pPr>
              <w:pStyle w:val="TableContents"/>
              <w:spacing w:before="0" w:after="1"/>
              <w:ind w:left="0" w:right="0" w:hanging="0"/>
              <w:rPr/>
            </w:pPr>
            <w:r>
              <w:rPr/>
              <w:t>​</w:t>
            </w:r>
          </w:p>
        </w:tc>
      </w:tr>
      <w:tr>
        <w:trPr/>
        <w:tc>
          <w:tcPr>
            <w:tcW w:w="728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Proceeds from the issuance of common stock upon exercise of options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9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9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1,417</w:t>
            </w:r>
          </w:p>
        </w:tc>
        <w:tc>
          <w:tcPr>
            <w:tcW w:w="156" w:type="dxa"/>
            <w:tcBorders/>
            <w:shd w:fill="auto" w:val="clear"/>
            <w:vAlign w:val="center"/>
          </w:tcPr>
          <w:p>
            <w:pPr>
              <w:pStyle w:val="TableContents"/>
              <w:spacing w:before="0" w:after="1"/>
              <w:ind w:left="0" w:right="0" w:hanging="0"/>
              <w:rPr/>
            </w:pPr>
            <w:r>
              <w:rPr/>
              <w:t>​</w:t>
            </w:r>
          </w:p>
        </w:tc>
      </w:tr>
      <w:tr>
        <w:trPr/>
        <w:tc>
          <w:tcPr>
            <w:tcW w:w="728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Proceeds from the issuance of common stock, net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9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260,101</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95"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156" w:type="dxa"/>
            <w:tcBorders/>
            <w:shd w:fill="CCEEFF" w:val="clear"/>
            <w:vAlign w:val="center"/>
          </w:tcPr>
          <w:p>
            <w:pPr>
              <w:pStyle w:val="TableContents"/>
              <w:spacing w:before="0" w:after="1"/>
              <w:ind w:left="0" w:right="0" w:hanging="0"/>
              <w:rPr/>
            </w:pPr>
            <w:r>
              <w:rPr/>
              <w:t>​</w:t>
            </w:r>
          </w:p>
        </w:tc>
      </w:tr>
      <w:tr>
        <w:trPr/>
        <w:tc>
          <w:tcPr>
            <w:tcW w:w="728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9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258,172</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95"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1,417</w:t>
            </w:r>
          </w:p>
        </w:tc>
        <w:tc>
          <w:tcPr>
            <w:tcW w:w="156" w:type="dxa"/>
            <w:tcBorders/>
            <w:shd w:fill="auto" w:val="clear"/>
            <w:vAlign w:val="center"/>
          </w:tcPr>
          <w:p>
            <w:pPr>
              <w:pStyle w:val="TableContents"/>
              <w:spacing w:before="0" w:after="1"/>
              <w:ind w:left="0" w:right="0" w:hanging="0"/>
              <w:rPr/>
            </w:pPr>
            <w:r>
              <w:rPr/>
              <w:t>​</w:t>
            </w:r>
          </w:p>
        </w:tc>
      </w:tr>
      <w:tr>
        <w:trPr/>
        <w:tc>
          <w:tcPr>
            <w:tcW w:w="7282"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Net increase in cash, cash equivalents and restricted cash</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9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311,753</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9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14,131</w:t>
            </w:r>
          </w:p>
        </w:tc>
        <w:tc>
          <w:tcPr>
            <w:tcW w:w="156" w:type="dxa"/>
            <w:tcBorders/>
            <w:shd w:fill="CCEEFF" w:val="clear"/>
            <w:vAlign w:val="center"/>
          </w:tcPr>
          <w:p>
            <w:pPr>
              <w:pStyle w:val="TableContents"/>
              <w:spacing w:before="0" w:after="1"/>
              <w:ind w:left="0" w:right="0" w:hanging="0"/>
              <w:rPr/>
            </w:pPr>
            <w:r>
              <w:rPr/>
              <w:t>​</w:t>
            </w:r>
          </w:p>
        </w:tc>
      </w:tr>
      <w:tr>
        <w:trPr/>
        <w:tc>
          <w:tcPr>
            <w:tcW w:w="7282"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Cash, Cash Equivalents and Restricted Cash Beginning of Period</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9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238,161</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95"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84,313</w:t>
            </w:r>
          </w:p>
        </w:tc>
        <w:tc>
          <w:tcPr>
            <w:tcW w:w="156" w:type="dxa"/>
            <w:tcBorders/>
            <w:shd w:fill="auto" w:val="clear"/>
            <w:vAlign w:val="center"/>
          </w:tcPr>
          <w:p>
            <w:pPr>
              <w:pStyle w:val="TableContents"/>
              <w:spacing w:before="0" w:after="1"/>
              <w:ind w:left="0" w:right="0" w:hanging="0"/>
              <w:rPr/>
            </w:pPr>
            <w:r>
              <w:rPr/>
              <w:t>​</w:t>
            </w:r>
          </w:p>
        </w:tc>
      </w:tr>
      <w:tr>
        <w:trPr/>
        <w:tc>
          <w:tcPr>
            <w:tcW w:w="7282"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Cash, Cash Equivalents and Restricted Cash End of Period</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549,914</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5"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98,444</w:t>
            </w:r>
          </w:p>
        </w:tc>
        <w:tc>
          <w:tcPr>
            <w:tcW w:w="156" w:type="dxa"/>
            <w:tcBorders/>
            <w:shd w:fill="CCEEFF" w:val="clear"/>
            <w:vAlign w:val="center"/>
          </w:tcPr>
          <w:p>
            <w:pPr>
              <w:pStyle w:val="TableContents"/>
              <w:spacing w:before="0" w:after="1"/>
              <w:ind w:left="0" w:right="0" w:hanging="0"/>
              <w:rPr/>
            </w:pPr>
            <w:r>
              <w:rPr/>
              <w:t>​</w:t>
            </w:r>
          </w:p>
        </w:tc>
      </w:tr>
      <w:tr>
        <w:trPr/>
        <w:tc>
          <w:tcPr>
            <w:tcW w:w="728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98" w:type="dxa"/>
            <w:tcBorders/>
            <w:shd w:fill="auto" w:val="clear"/>
            <w:vAlign w:val="center"/>
          </w:tcPr>
          <w:p>
            <w:pPr>
              <w:pStyle w:val="TableContents"/>
              <w:spacing w:before="0" w:after="1"/>
              <w:ind w:left="0" w:right="0" w:hanging="0"/>
              <w:rPr>
                <w:color w:val="FF0000"/>
              </w:rPr>
            </w:pPr>
            <w:r>
              <w:rPr>
                <w:color w:val="FF0000"/>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95" w:type="dxa"/>
            <w:tcBorders/>
            <w:shd w:fill="auto" w:val="clear"/>
            <w:vAlign w:val="center"/>
          </w:tcPr>
          <w:p>
            <w:pPr>
              <w:pStyle w:val="TableContents"/>
              <w:spacing w:before="0" w:after="1"/>
              <w:ind w:left="0" w:right="0" w:hanging="0"/>
              <w:rPr/>
            </w:pPr>
            <w:r>
              <w:rPr/>
              <w:t>​</w:t>
            </w:r>
          </w:p>
        </w:tc>
        <w:tc>
          <w:tcPr>
            <w:tcW w:w="156" w:type="dxa"/>
            <w:tcBorders/>
            <w:shd w:fill="auto" w:val="clear"/>
            <w:vAlign w:val="center"/>
          </w:tcPr>
          <w:p>
            <w:pPr>
              <w:pStyle w:val="TableContents"/>
              <w:spacing w:before="0" w:after="1"/>
              <w:ind w:left="0" w:right="0" w:hanging="0"/>
              <w:rPr/>
            </w:pPr>
            <w:r>
              <w:rPr/>
              <w:t>​</w:t>
            </w:r>
          </w:p>
        </w:tc>
      </w:tr>
      <w:tr>
        <w:trPr/>
        <w:tc>
          <w:tcPr>
            <w:tcW w:w="7282"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Supplemental disclosure of non-cash investing and financing activities: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98" w:type="dxa"/>
            <w:tcBorders/>
            <w:shd w:fill="CCEEFF" w:val="clear"/>
            <w:vAlign w:val="center"/>
          </w:tcPr>
          <w:p>
            <w:pPr>
              <w:pStyle w:val="TableContents"/>
              <w:spacing w:before="0" w:after="1"/>
              <w:ind w:left="0" w:right="0" w:hanging="0"/>
              <w:rPr>
                <w:color w:val="FF0000"/>
              </w:rPr>
            </w:pPr>
            <w:r>
              <w:rPr>
                <w:color w:val="FF0000"/>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95" w:type="dxa"/>
            <w:tcBorders/>
            <w:shd w:fill="CCEEFF" w:val="clear"/>
            <w:vAlign w:val="center"/>
          </w:tcPr>
          <w:p>
            <w:pPr>
              <w:pStyle w:val="TableContents"/>
              <w:spacing w:before="0" w:after="1"/>
              <w:ind w:left="0" w:right="0" w:hanging="0"/>
              <w:rPr/>
            </w:pPr>
            <w:r>
              <w:rPr/>
              <w:t>​</w:t>
            </w:r>
          </w:p>
        </w:tc>
        <w:tc>
          <w:tcPr>
            <w:tcW w:w="156" w:type="dxa"/>
            <w:tcBorders/>
            <w:shd w:fill="CCEEFF" w:val="clear"/>
            <w:vAlign w:val="center"/>
          </w:tcPr>
          <w:p>
            <w:pPr>
              <w:pStyle w:val="TableContents"/>
              <w:spacing w:before="0" w:after="1"/>
              <w:ind w:left="0" w:right="0" w:hanging="0"/>
              <w:rPr/>
            </w:pPr>
            <w:r>
              <w:rPr/>
              <w:t>​</w:t>
            </w:r>
          </w:p>
        </w:tc>
      </w:tr>
      <w:tr>
        <w:trPr/>
        <w:tc>
          <w:tcPr>
            <w:tcW w:w="728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unrealized gain/(loss) on investments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9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776</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(1,742)</w:t>
            </w:r>
          </w:p>
        </w:tc>
        <w:tc>
          <w:tcPr>
            <w:tcW w:w="156" w:type="dxa"/>
            <w:tcBorders/>
            <w:shd w:fill="auto" w:val="clear"/>
            <w:vAlign w:val="center"/>
          </w:tcPr>
          <w:p>
            <w:pPr>
              <w:pStyle w:val="TableContents"/>
              <w:spacing w:before="0" w:after="1"/>
              <w:ind w:left="0" w:right="0" w:hanging="0"/>
              <w:rPr/>
            </w:pPr>
            <w:r>
              <w:rPr/>
              <w:t>​</w:t>
            </w:r>
          </w:p>
        </w:tc>
      </w:tr>
      <w:tr>
        <w:trPr/>
        <w:tc>
          <w:tcPr>
            <w:tcW w:w="728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Acquisition of property and equipment included in accounts payable and accrued expenses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9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7,777</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9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4,900</w:t>
            </w:r>
          </w:p>
        </w:tc>
        <w:tc>
          <w:tcPr>
            <w:tcW w:w="156" w:type="dxa"/>
            <w:tcBorders/>
            <w:shd w:fill="CCEEFF" w:val="clear"/>
            <w:vAlign w:val="center"/>
          </w:tcPr>
          <w:p>
            <w:pPr>
              <w:pStyle w:val="TableContents"/>
              <w:spacing w:before="0" w:after="1"/>
              <w:ind w:left="0" w:right="0" w:hanging="0"/>
              <w:rPr/>
            </w:pPr>
            <w:r>
              <w:rPr/>
              <w:t>​</w:t>
            </w:r>
          </w:p>
        </w:tc>
      </w:tr>
      <w:tr>
        <w:trPr/>
        <w:tc>
          <w:tcPr>
            <w:tcW w:w="728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Lease liabilities arising from obtaining right-of-use asset from lease modifications </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9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349</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9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7,673</w:t>
            </w:r>
          </w:p>
        </w:tc>
        <w:tc>
          <w:tcPr>
            <w:tcW w:w="156" w:type="dxa"/>
            <w:tcBorders/>
            <w:shd w:fill="auto" w:val="clear"/>
            <w:vAlign w:val="center"/>
          </w:tcPr>
          <w:p>
            <w:pPr>
              <w:pStyle w:val="TableContents"/>
              <w:spacing w:before="0" w:after="1"/>
              <w:ind w:left="0" w:right="0" w:hanging="0"/>
              <w:rPr/>
            </w:pPr>
            <w:r>
              <w:rPr/>
              <w:t>​</w:t>
            </w:r>
          </w:p>
        </w:tc>
      </w:tr>
    </w:tbl>
    <w:p>
      <w:pPr>
        <w:pStyle w:val="TextBody"/>
        <w:spacing w:before="0" w:after="200"/>
        <w:ind w:left="0" w:right="0" w:hanging="0"/>
        <w:rPr/>
      </w:pPr>
      <w:r>
        <w:rPr/>
        <w:t>​</w:t>
      </w:r>
    </w:p>
    <w:p>
      <w:pPr>
        <w:pStyle w:val="TextBody"/>
        <w:spacing w:before="0" w:after="200"/>
        <w:ind w:left="0" w:right="0" w:firstLine="547"/>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579" w:name="_37665532_8c7a_4474_9f82_b3db372def0d"/>
      <w:bookmarkEnd w:id="579"/>
      <w:r>
        <w:rPr>
          <w:rFonts w:ascii="Times New Roman;Times;serif" w:hAnsi="Times New Roman;Times;serif"/>
          <w:b/>
          <w:sz w:val="20"/>
        </w:rPr>
        <w:t>IOVANCE BIOTHERAPEUTICS,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w:t>
      </w:r>
    </w:p>
    <w:p>
      <w:pPr>
        <w:pStyle w:val="TextBody"/>
        <w:spacing w:before="0" w:after="2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NOTE 1. GENERAL ORGANIZATION, BUSINESS AND LIQUIDITY</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General Organization and Business</w:t>
      </w:r>
    </w:p>
    <w:p>
      <w:pPr>
        <w:pStyle w:val="TextBody"/>
        <w:spacing w:before="0" w:after="240"/>
        <w:ind w:left="0" w:right="0" w:firstLine="547"/>
        <w:rPr>
          <w:rFonts w:ascii="Times New Roman;Times;serif" w:hAnsi="Times New Roman;Times;serif"/>
          <w:sz w:val="20"/>
        </w:rPr>
      </w:pPr>
      <w:r>
        <w:rPr>
          <w:rFonts w:ascii="Times New Roman;Times;serif" w:hAnsi="Times New Roman;Times;serif"/>
          <w:sz w:val="20"/>
        </w:rPr>
        <w:t>Iovance Biotherapeutics, Inc. (the “Company”) is a clinical-stage biopharmaceutical company pioneering a transformational approach to treating cancer by harnessing the human immune system’s ability to recognize and destroy diverse cancer cells using therapies personalized for each patient. The Company’s mission is to be the global leader in innovating, developing and delivering tumor infiltrating lymphocyte (“TIL”) therapies for patients with solid tumor cancers. The Company’s autologous TIL therapy platform uses a centralized, scalable, and proprietary 22-day manufacturing process to grow polyclonal T-cells unique to each patient and yields a cryopreserved, individualized therapy. The Company is currently conducting clinical trials to investigate multiple TIL therapies for multiple indications, including its lead product candidate, lifileucel, for advanced, or metastatic or unresectable, melanoma. The Company completed a rolling Biologics License Application (“BLA”) submission to the U.S. Food and Drug Administration (“FDA”) for lifileucel in March 2023. The Company is also pursuing registrational strategies for lifileucel in advanced cervical cancer and for its TIL therapy LN-145 in metastatic non-small cell lung cancer (“NSCLC”). In addition, the Company is investigating next generation approaches to optimize TIL products, manufacturing processes and treatment regimens, including a first-in-human clinical trial of its lead genetically modified TIL therapy, IOV-4001. The Company is also exploring a 16-day manufacturing process, tumor tissue procurement via core biopsy, additional genetically modified TIL therapies including multiple immune checkpoint gene edits and cytokine-tethered TIL therapies, as well as, a novel interleukin-2 (“IL-2”) analog, designated IOV-3001, as potential avenues to improve manufacturing timelines, sample collection and supportive treatments involved in the overall TIL therapy process and treatment regimen.</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Basis of Presentation of Unaudited Condensed Consolidated Financial Information</w:t>
      </w:r>
    </w:p>
    <w:p>
      <w:pPr>
        <w:pStyle w:val="TextBody"/>
        <w:spacing w:before="0" w:after="240"/>
        <w:ind w:left="0" w:right="0" w:firstLine="547"/>
        <w:rPr>
          <w:rFonts w:ascii="Times New Roman;Times;serif" w:hAnsi="Times New Roman;Times;serif"/>
          <w:sz w:val="20"/>
        </w:rPr>
      </w:pPr>
      <w:r>
        <w:rPr>
          <w:rFonts w:ascii="Times New Roman;Times;serif" w:hAnsi="Times New Roman;Times;serif"/>
          <w:sz w:val="20"/>
        </w:rPr>
        <w:t>The accompanying unaudited Condensed Consolidated Financial Statements of the Company for the three months ended March 31, 2023 and 2022 have been prepared in accordance with accounting principles generally accepted in the United States of America (“GAAP”) for interim financial information and pursuant to the requirements for reporting on Form 10-Q and Regulation S-X. Accordingly, they do not include all the information and footnotes required by GAAP for audited financial statements. However, such information reflects all adjustments (consisting solely of normal recurring adjustments), which are, in the opinion of management, necessary for the fair presentation of the Company's financial position and results of operations. Results shown for interim periods are not necessarily indicative of the results that may be expected for the year ended December 31, 2023 or for any other period. The Condensed Consolidated Balance Sheet as of December 31, 2022 was derived from the audited consolidated financial statements included in the Company's Annual Report on Form 10-K filed with the Securities and Exchange Commission (the “SEC”) on February 28, 2023. These interim financial statements should be read in conjunction with that report. Certain prior period amounts reported in the Company’s Condensed Consolidated Financial Statements and accompanying notes have been reclassified to conform to the current period presentation.</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Liquidity</w:t>
      </w:r>
    </w:p>
    <w:p>
      <w:pPr>
        <w:pStyle w:val="TextBody"/>
        <w:spacing w:lineRule="auto" w:line="240" w:before="0" w:after="240"/>
        <w:ind w:left="0" w:right="0" w:firstLine="547"/>
        <w:rPr>
          <w:rFonts w:ascii="Times New Roman;Times;serif" w:hAnsi="Times New Roman;Times;serif"/>
          <w:sz w:val="20"/>
        </w:rPr>
      </w:pPr>
      <w:r>
        <w:rPr>
          <w:rFonts w:ascii="Times New Roman;Times;serif" w:hAnsi="Times New Roman;Times;serif"/>
          <w:sz w:val="20"/>
        </w:rPr>
        <w:t>The Company is currently engaged in the development of therapeutics to fight cancer, specifically solid tumors. The Company currently does not have any commercial products and has not yet generated any revenues from its business. With the completion of the rolling BLA for lifileucel for advanced melanoma in March 2023 and the expected completion of the closing of the acquisition of the worldwide rights to Proleukin</w:t>
      </w:r>
      <w:r>
        <w:rPr>
          <w:rFonts w:ascii="Times New Roman;Times;serif" w:hAnsi="Times New Roman;Times;serif"/>
          <w:sz w:val="15"/>
        </w:rPr>
        <w:t xml:space="preserve">® </w:t>
      </w:r>
      <w:r>
        <w:rPr>
          <w:rFonts w:ascii="Times New Roman;Times;serif" w:hAnsi="Times New Roman;Times;serif"/>
          <w:sz w:val="20"/>
        </w:rPr>
        <w:t>in the second quarter of 2023, the Company anticipates generating revenue from the sale of products during the 12 months from the date these Condensed Consolidated Financial Statements are issued, however, such revenues may not be material. The Company has incurred a net loss of $107.4 million for the three months ended March 31, 2023 and used $99.8 million of cash in its operating activities during the three months ended March 31, 2023. As of March 31, 2023, the Company had $632.7 million in cash, cash equivalents, investments, and restricted cash ($543.5 million of cash and cash equivalents, $82.8 million in short-term investments and $6.4 million in restricted cash).</w:t>
      </w:r>
    </w:p>
    <w:p>
      <w:pPr>
        <w:pStyle w:val="TextBody"/>
        <w:spacing w:before="0" w:after="0"/>
        <w:ind w:left="0" w:right="0" w:firstLine="547"/>
        <w:rPr>
          <w:rFonts w:ascii="Times New Roman;Times;serif" w:hAnsi="Times New Roman;Times;serif"/>
          <w:sz w:val="20"/>
        </w:rPr>
      </w:pPr>
      <w:r>
        <w:rPr>
          <w:rFonts w:ascii="Times New Roman;Times;serif" w:hAnsi="Times New Roman;Times;serif"/>
          <w:sz w:val="20"/>
        </w:rPr>
        <w:t>The Company expects to continue to incur significant expenses to support its research and development activities, on-going pre-commercial activities and completion of the construction of tenant improvements for the Iovance Cell Therapy Center (the “</w:t>
      </w:r>
      <w:r>
        <w:rPr>
          <w:rFonts w:ascii="Times New Roman;Times;serif" w:hAnsi="Times New Roman;Times;serif"/>
          <w:i/>
          <w:sz w:val="20"/>
        </w:rPr>
        <w:t>i</w:t>
      </w:r>
      <w:r>
        <w:rPr>
          <w:rFonts w:ascii="Times New Roman;Times;serif" w:hAnsi="Times New Roman;Times;serif"/>
          <w:sz w:val="20"/>
        </w:rPr>
        <w:t xml:space="preserve">CTC”) facility during 2023 and beyond. Specifically, the Company expects continued spending on its current and planned clinical trials, continued expansion of manufacturing activities, higher payroll expenses as the Company increases its professional and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scientific staff and continuation of pre-commercial activities. Based on the funds the Company has available as of the date these consolidated financial statements are issued, the Company believes that it has sufficient capital to fund its anticipated operating expenses and capital expenditures, and the Proleukin® acquisition, as planned for at least the next twelve months from the date these consolidated financial statements are issued.</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Concentrations of Risk</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The Company is subject to credit risk from its portfolio of cash, cash equivalents and investments. Under its investment policy, the Company limits amounts invested in securities by credit rating, maturity, industry group, investment type and issuer, except for securities issued by the U.S. government. The Company does not believe it is exposed to any significant concentrations of credit risk from these financial instruments. The goals of its investment policy are safety and preservation of principal, diversification of risk, and liquidity of investments sufficient to meet cash flow requirements.</w:t>
      </w:r>
    </w:p>
    <w:p>
      <w:pPr>
        <w:pStyle w:val="TextBody"/>
        <w:spacing w:before="0" w:after="200"/>
        <w:ind w:left="0" w:right="0" w:hanging="0"/>
        <w:rPr/>
      </w:pPr>
      <w:r>
        <w:rPr/>
        <w:t>​</w:t>
      </w:r>
    </w:p>
    <w:p>
      <w:pPr>
        <w:pStyle w:val="TextBody"/>
        <w:spacing w:before="0" w:after="200"/>
        <w:ind w:left="0" w:right="0" w:hanging="0"/>
        <w:rPr>
          <w:rFonts w:ascii="Times New Roman;Times;serif" w:hAnsi="Times New Roman;Times;serif"/>
          <w:b/>
          <w:sz w:val="20"/>
        </w:rPr>
      </w:pPr>
      <w:bookmarkStart w:id="580" w:name="_Hlk99026576"/>
      <w:bookmarkEnd w:id="580"/>
      <w:r>
        <w:rPr>
          <w:rFonts w:ascii="Times New Roman;Times;serif" w:hAnsi="Times New Roman;Times;serif"/>
          <w:b/>
          <w:sz w:val="20"/>
        </w:rPr>
        <w:t>NOTE 2. SUMMARY OF SIGNIFICANT ACCOUNTING POLICIES</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Cash, Cash Equivalents, and Investments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 xml:space="preserve">The Company’s cash and cash equivalents include short-term investments with original maturities of three months or less when purchased. The Company's investments are classified as “available-for-sale.” The Company includes these investments in current assets or non-current assets in the Condensed Consolidated Balance Sheets based on the length of maturity from the reporting date and carries them at fair value. Unrealized gains and losses on available-for-sale securities are recorded in accumulated other comprehensive loss. Impairment losses related to credit losses (if any) are recorded as an allowance for credit losses with an offsetting entry to Interest income, net. No impairment losses related to credit losses were recognized for the three months ended March 31, 2023 and 2022. The cost of debt securities is adjusted for the amortization of premiums and accretion of discounts to maturity. Such amortization and accretion are included in Interest income, net in the Condensed Consolidated Statements of Operations. Gains and losses on securities sold are recorded based on the specific identification method and are included in Interest income, net in the Condensed Consolidated Statements of Operations. The Company has not incurred any realized gains or losses from sales of securities to date. The Company’s investment policy limits investments to certain types of instruments such as certificates of deposit, money market instruments, obligations issued by the U.S. government and U.S. government agencies as well as corporate debt securities and commercial paper, and places restrictions on maturities and concentration by type and issuer, except for securities issued by the U.S. government. </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Restricted Cash</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 xml:space="preserve">The Company maintains a required minimum balance in a segregated bank account in connection with its letters of credit for which amounts are restricted as to their use by the Company. Currently, the Company’s letters of credit are primarily comprised of one for the benefit of the landlord for the </w:t>
      </w:r>
      <w:r>
        <w:rPr>
          <w:rFonts w:ascii="Times New Roman;Times;serif" w:hAnsi="Times New Roman;Times;serif"/>
          <w:i/>
          <w:sz w:val="20"/>
        </w:rPr>
        <w:t>i</w:t>
      </w:r>
      <w:r>
        <w:rPr>
          <w:rFonts w:ascii="Times New Roman;Times;serif" w:hAnsi="Times New Roman;Times;serif"/>
          <w:sz w:val="20"/>
        </w:rPr>
        <w:t>CTC used as a security deposit for the lease in the amount $5.45 million (See Note 8 - Leases) and one for $0.6 million for the benefit of the landlord for the Company’s current headquarters’ lease. The total amount of the Company’s letters of credit is classified as Restricted Cash in the Condensed Consolidated Balance Sheets. The letter of credit for $5.45 million originally expired on May 28, 2020, however, it automatically extends for additional one-year periods, without written agreement, to May 28 in each succeeding calendar year, through at least 60 days after the lease expiration date. Further, on the expiration of the seventh year of the lease, and each anniversary date thereafter, the letter of credit may be decreased by $1.0 million with a minimum security deposit of $1.5 million maintained through the end of the lease term. The letter of credit with the landlord for the Company’s current headquarters’ lease expires on February 1, 2032, however, it will be automatically extended, without written agreement, for one-year periods to February in each succeeding calendar year. As of March 31, 2023 and December 31, 2022, restricted cash consisted of $6.4 million and $6.4 million, respectively. This amount has been classified as a non-current asset in the Company’s Condensed Consolidated Balance Sheets.</w:t>
      </w:r>
    </w:p>
    <w:p>
      <w:pPr>
        <w:pStyle w:val="TextBody"/>
        <w:spacing w:before="0" w:after="200"/>
        <w:ind w:left="0" w:right="0" w:firstLine="547"/>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547"/>
        <w:rPr>
          <w:rFonts w:ascii="Times New Roman;Times;serif" w:hAnsi="Times New Roman;Times;serif"/>
          <w:sz w:val="20"/>
        </w:rPr>
      </w:pPr>
      <w:bookmarkStart w:id="581" w:name="_278ecf15_3931_46a3_89f0_21af8571fd56"/>
      <w:bookmarkStart w:id="582" w:name="Tc_zBgvciErY0W0n48vQPAqeg_7_0"/>
      <w:bookmarkStart w:id="583" w:name="Tc_2IGYL-rI5kataKuUraPa2A_6_0"/>
      <w:bookmarkStart w:id="584" w:name="Tc_M80IUhZCP0iN9hKEEtfDZA_5_0"/>
      <w:bookmarkStart w:id="585" w:name="Tc_hT86qkziUUq_yfb1Da74Ig_4_0"/>
      <w:bookmarkStart w:id="586" w:name="Tc_zJ810SniqUWDCVzu96Io5w_3_0"/>
      <w:bookmarkStart w:id="587" w:name="Tc_YlVJbYaEwUS-1-I-mfEYZA_2_4"/>
      <w:bookmarkStart w:id="588" w:name="Tc_-OnOlIGskkCsywm71bg0aw_2_2"/>
      <w:bookmarkStart w:id="589" w:name="Tc_yznBDSo4dkKKNEBqAMklVg_1_2"/>
      <w:bookmarkStart w:id="590" w:name="_6c42b869_f5c9_40bd_a01a_4d720dcea47b"/>
      <w:bookmarkStart w:id="591" w:name="Tc_UC9AisrCsUS383z5OGfCRg_5_5"/>
      <w:bookmarkStart w:id="592" w:name="Tc_rwKTE5-GnEWsCx53EEJ0Gg_5_2"/>
      <w:bookmarkStart w:id="593" w:name="Tc_XHlNfVMCwkexqJZteV59kg_5_0"/>
      <w:bookmarkStart w:id="594" w:name="Tc_Zehp1h4OF0Cyyh1bjpFHfw_4_0"/>
      <w:bookmarkStart w:id="595" w:name="Tc_yVno23tMmEmf4ev_1vpvGw_3_5"/>
      <w:bookmarkStart w:id="596" w:name="Tc_Crhj8RcoqkW9FglkrLtCbQ_3_2"/>
      <w:bookmarkStart w:id="597" w:name="Tc_p5zsbMel7EeTj2kSXaXTrQ_3_0"/>
      <w:bookmarkStart w:id="598" w:name="Tc_nI8EnBxfVU-QO6QD9xnvMQ_2_5"/>
      <w:bookmarkStart w:id="599" w:name="Tc_IXfZDXH1GkiNwznbtoAT2Q_2_2"/>
      <w:bookmarkStart w:id="600" w:name="Tc_q1ckyIho_kuXK6dlRNMoTA_1_2"/>
      <w:bookmarkStart w:id="601" w:name="Tc_-FpSjVTd3k6r7JtM-wDnuQ_1_0"/>
      <w:bookmarkStart w:id="602" w:name="_06f9ed0c_aabb_46c7_8de9_a56b88712b5c"/>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r>
        <w:rPr>
          <w:rFonts w:ascii="Times New Roman;Times;serif" w:hAnsi="Times New Roman;Times;serif"/>
          <w:sz w:val="20"/>
        </w:rPr>
        <w:t>The following table provides a reconciliation of cash, cash equivalents, and restricted cash, reported within the Condensed Consolidated Balance Sheets that sum to the total of the same such amounts shown in the Condensed Consolidated Statements of Cash Flows (in thousands):</w:t>
      </w:r>
    </w:p>
    <w:tbl>
      <w:tblPr>
        <w:tblW w:w="6377" w:type="dxa"/>
        <w:jc w:val="left"/>
        <w:tblInd w:w="0" w:type="dxa"/>
        <w:tblCellMar>
          <w:top w:w="0" w:type="dxa"/>
          <w:left w:w="0" w:type="dxa"/>
          <w:bottom w:w="0" w:type="dxa"/>
          <w:right w:w="0" w:type="dxa"/>
        </w:tblCellMar>
      </w:tblPr>
      <w:tblGrid>
        <w:gridCol w:w="3946"/>
        <w:gridCol w:w="326"/>
        <w:gridCol w:w="211"/>
        <w:gridCol w:w="781"/>
        <w:gridCol w:w="109"/>
        <w:gridCol w:w="211"/>
        <w:gridCol w:w="793"/>
      </w:tblGrid>
      <w:tr>
        <w:trPr/>
        <w:tc>
          <w:tcPr>
            <w:tcW w:w="3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505710" cy="175260"/>
                      <wp:effectExtent l="0" t="0" r="0" b="0"/>
                      <wp:wrapNone/>
                      <wp:docPr id="30" name="Frame30"/>
                      <a:graphic xmlns:a="http://schemas.openxmlformats.org/drawingml/2006/main">
                        <a:graphicData uri="http://schemas.microsoft.com/office/word/2010/wordprocessingShape">
                          <wps:wsp>
                            <wps:cNvSpPr txBox="1"/>
                            <wps:spPr>
                              <a:xfrm>
                                <a:off x="0" y="0"/>
                                <a:ext cx="2505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1" name="Frame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3985" cy="175260"/>
                      <wp:effectExtent l="0" t="0" r="0" b="0"/>
                      <wp:wrapNone/>
                      <wp:docPr id="32" name="Frame3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495935" cy="175260"/>
                      <wp:effectExtent l="0" t="0" r="0" b="0"/>
                      <wp:wrapNone/>
                      <wp:docPr id="33" name="Frame33"/>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9215" cy="175260"/>
                      <wp:effectExtent l="0" t="0" r="0" b="0"/>
                      <wp:wrapNone/>
                      <wp:docPr id="34" name="Frame3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3985" cy="175260"/>
                      <wp:effectExtent l="0" t="0" r="0" b="0"/>
                      <wp:wrapNone/>
                      <wp:docPr id="35" name="Frame3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03555" cy="175260"/>
                      <wp:effectExtent l="0" t="0" r="0" b="0"/>
                      <wp:wrapNone/>
                      <wp:docPr id="36" name="Frame36"/>
                      <a:graphic xmlns:a="http://schemas.openxmlformats.org/drawingml/2006/main">
                        <a:graphicData uri="http://schemas.microsoft.com/office/word/2010/wordprocessingShape">
                          <wps:wsp>
                            <wps:cNvSpPr txBox="1"/>
                            <wps:spPr>
                              <a:xfrm>
                                <a:off x="0" y="0"/>
                                <a:ext cx="5035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946" w:type="dxa"/>
            <w:tcBorders/>
            <w:shd w:fill="auto" w:val="clear"/>
            <w:vAlign w:val="center"/>
          </w:tcPr>
          <w:p>
            <w:pPr>
              <w:pStyle w:val="TableContents"/>
              <w:spacing w:before="0" w:after="1"/>
              <w:ind w:left="0" w:right="0" w:hanging="0"/>
              <w:rPr/>
            </w:pPr>
            <w:r>
              <w:rPr/>
              <w:t xml:space="preserve">​ </w:t>
            </w:r>
          </w:p>
        </w:tc>
        <w:tc>
          <w:tcPr>
            <w:tcW w:w="326" w:type="dxa"/>
            <w:tcBorders/>
            <w:shd w:fill="auto" w:val="clear"/>
            <w:vAlign w:val="center"/>
          </w:tcPr>
          <w:p>
            <w:pPr>
              <w:pStyle w:val="TableContents"/>
              <w:spacing w:before="0" w:after="1"/>
              <w:ind w:left="0" w:right="0" w:hanging="0"/>
              <w:jc w:val="center"/>
              <w:rPr/>
            </w:pPr>
            <w:r>
              <w:rPr/>
              <w:t>    </w:t>
            </w:r>
          </w:p>
        </w:tc>
        <w:tc>
          <w:tcPr>
            <w:tcW w:w="210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39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shd w:fill="auto" w:val="clear"/>
            <w:vAlign w:val="center"/>
          </w:tcPr>
          <w:p>
            <w:pPr>
              <w:pStyle w:val="TableContents"/>
              <w:spacing w:before="0" w:after="1"/>
              <w:ind w:left="0" w:right="0" w:hanging="0"/>
              <w:jc w:val="center"/>
              <w:rPr/>
            </w:pPr>
            <w:r>
              <w:rPr/>
              <w:t>​</w:t>
            </w:r>
          </w:p>
        </w:tc>
        <w:tc>
          <w:tcPr>
            <w:tcW w:w="1004"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9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543,484</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92,360</w:t>
            </w:r>
          </w:p>
        </w:tc>
      </w:tr>
      <w:tr>
        <w:trPr/>
        <w:tc>
          <w:tcPr>
            <w:tcW w:w="39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Restricted cash</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6,430</w:t>
            </w:r>
          </w:p>
        </w:tc>
        <w:tc>
          <w:tcPr>
            <w:tcW w:w="109"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9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6,084</w:t>
            </w:r>
          </w:p>
        </w:tc>
      </w:tr>
      <w:tr>
        <w:trPr/>
        <w:tc>
          <w:tcPr>
            <w:tcW w:w="39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cash, cash equivalents and restricted cash</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549,914</w:t>
            </w:r>
          </w:p>
        </w:tc>
        <w:tc>
          <w:tcPr>
            <w:tcW w:w="109"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spacing w:before="0" w:after="1"/>
              <w:ind w:left="0" w:right="72" w:hanging="0"/>
              <w:jc w:val="right"/>
              <w:rPr>
                <w:rFonts w:ascii="Times New Roman;Times;serif" w:hAnsi="Times New Roman;Times;serif"/>
                <w:sz w:val="20"/>
              </w:rPr>
            </w:pPr>
            <w:r>
              <w:rPr>
                <w:rFonts w:ascii="Times New Roman;Times;serif" w:hAnsi="Times New Roman;Times;serif"/>
                <w:sz w:val="20"/>
              </w:rPr>
              <w:t>98,444</w:t>
            </w:r>
          </w:p>
        </w:tc>
      </w:tr>
    </w:tbl>
    <w:p>
      <w:pPr>
        <w:pStyle w:val="TextBody"/>
        <w:spacing w:before="0" w:after="200"/>
        <w:ind w:left="0" w:right="0" w:firstLine="547"/>
        <w:rPr/>
      </w:pPr>
      <w:r>
        <w:rPr/>
        <w:t>​</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Net Loss per Share</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Basic net loss per share is computed by dividing the net loss by the weighted average number of common shares outstanding during the period.</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Diluted net loss per share is computed by dividing the net loss by the sum of the weighted average number of shares of common stock outstanding and the dilutive common stock equivalents outstanding during the period. The Company’s potentially dilutive common stock equivalent shares, which include incremental common shares issuable upon (i) the exercise of outstanding stock options, (ii) purchases though the 2020 Employee Stock Purchase Plan (the “2020 ESPP”), (iii) vesting of restricted stock units, and (iv) conversion of preferred stock, are only included in the calculation of diluted net loss per share when their effect is dilutive.</w:t>
      </w:r>
    </w:p>
    <w:p>
      <w:pPr>
        <w:pStyle w:val="TextBody"/>
        <w:spacing w:before="0" w:after="0"/>
        <w:ind w:left="0" w:right="0" w:firstLine="547"/>
        <w:rPr>
          <w:rFonts w:ascii="Times New Roman;Times;serif" w:hAnsi="Times New Roman;Times;serif"/>
          <w:sz w:val="20"/>
        </w:rPr>
      </w:pPr>
      <w:r>
        <w:rPr>
          <w:rFonts w:ascii="Times New Roman;Times;serif" w:hAnsi="Times New Roman;Times;serif"/>
          <w:sz w:val="20"/>
        </w:rPr>
        <w:t>As of March 31, 2023 and 2022, the following outstanding common stock equivalents have been excluded from the calculation of net loss per share because their impact would be anti-dilutive:</w:t>
      </w:r>
    </w:p>
    <w:p>
      <w:pPr>
        <w:pStyle w:val="TextBody"/>
        <w:spacing w:before="0" w:after="200"/>
        <w:ind w:left="0" w:right="0" w:firstLine="547"/>
        <w:rPr/>
      </w:pPr>
      <w:r>
        <w:rPr/>
        <w:t>​</w:t>
      </w:r>
    </w:p>
    <w:tbl>
      <w:tblPr>
        <w:tblW w:w="6022" w:type="dxa"/>
        <w:jc w:val="left"/>
        <w:tblInd w:w="0" w:type="dxa"/>
        <w:tblCellMar>
          <w:top w:w="0" w:type="dxa"/>
          <w:left w:w="0" w:type="dxa"/>
          <w:bottom w:w="0" w:type="dxa"/>
          <w:right w:w="0" w:type="dxa"/>
        </w:tblCellMar>
      </w:tblPr>
      <w:tblGrid>
        <w:gridCol w:w="3181"/>
        <w:gridCol w:w="326"/>
        <w:gridCol w:w="1036"/>
        <w:gridCol w:w="326"/>
        <w:gridCol w:w="1153"/>
      </w:tblGrid>
      <w:tr>
        <w:trPr/>
        <w:tc>
          <w:tcPr>
            <w:tcW w:w="3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19935" cy="175260"/>
                      <wp:effectExtent l="0" t="0" r="0" b="0"/>
                      <wp:wrapNone/>
                      <wp:docPr id="37" name="Frame37"/>
                      <a:graphic xmlns:a="http://schemas.openxmlformats.org/drawingml/2006/main">
                        <a:graphicData uri="http://schemas.microsoft.com/office/word/2010/wordprocessingShape">
                          <wps:wsp>
                            <wps:cNvSpPr txBox="1"/>
                            <wps:spPr>
                              <a:xfrm>
                                <a:off x="0" y="0"/>
                                <a:ext cx="2019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8" name="Frame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57860" cy="175260"/>
                      <wp:effectExtent l="0" t="0" r="0" b="0"/>
                      <wp:wrapNone/>
                      <wp:docPr id="39" name="Frame39"/>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0" name="Frame4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5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732155" cy="175260"/>
                      <wp:effectExtent l="0" t="0" r="0" b="0"/>
                      <wp:wrapNone/>
                      <wp:docPr id="41" name="Frame41"/>
                      <a:graphic xmlns:a="http://schemas.openxmlformats.org/drawingml/2006/main">
                        <a:graphicData uri="http://schemas.microsoft.com/office/word/2010/wordprocessingShape">
                          <wps:wsp>
                            <wps:cNvSpPr txBox="1"/>
                            <wps:spPr>
                              <a:xfrm>
                                <a:off x="0" y="0"/>
                                <a:ext cx="7321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1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515"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31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1"/>
              <w:ind w:left="0" w:right="0" w:hanging="0"/>
              <w:rPr/>
            </w:pPr>
            <w:r>
              <w:rPr/>
              <w:t>    </w:t>
            </w:r>
          </w:p>
        </w:tc>
        <w:tc>
          <w:tcPr>
            <w:tcW w:w="1153"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1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Stock options</w:t>
            </w:r>
          </w:p>
        </w:tc>
        <w:tc>
          <w:tcPr>
            <w:tcW w:w="326"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19,264,017</w:t>
            </w:r>
          </w:p>
        </w:tc>
        <w:tc>
          <w:tcPr>
            <w:tcW w:w="326" w:type="dxa"/>
            <w:tcBorders/>
            <w:shd w:fill="CCEEFF" w:val="clear"/>
            <w:vAlign w:val="center"/>
          </w:tcPr>
          <w:p>
            <w:pPr>
              <w:pStyle w:val="TableContents"/>
              <w:spacing w:before="0" w:after="1"/>
              <w:ind w:left="0" w:right="0" w:hanging="0"/>
              <w:rPr>
                <w:color w:val="0000FF"/>
              </w:rPr>
            </w:pPr>
            <w:r>
              <w:rPr>
                <w:color w:val="0000FF"/>
              </w:rPr>
              <w:t>​</w:t>
            </w:r>
          </w:p>
        </w:tc>
        <w:tc>
          <w:tcPr>
            <w:tcW w:w="115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14,101,526</w:t>
            </w:r>
          </w:p>
        </w:tc>
      </w:tr>
      <w:tr>
        <w:trPr/>
        <w:tc>
          <w:tcPr>
            <w:tcW w:w="31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Employee Stock Purchase Plan</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247,284</w:t>
            </w:r>
          </w:p>
        </w:tc>
        <w:tc>
          <w:tcPr>
            <w:tcW w:w="326" w:type="dxa"/>
            <w:tcBorders/>
            <w:shd w:fill="auto" w:val="clear"/>
            <w:vAlign w:val="center"/>
          </w:tcPr>
          <w:p>
            <w:pPr>
              <w:pStyle w:val="TableContents"/>
              <w:spacing w:before="0" w:after="1"/>
              <w:ind w:left="0" w:right="0" w:hanging="0"/>
              <w:rPr/>
            </w:pPr>
            <w:r>
              <w:rPr/>
              <w:t>​</w:t>
            </w:r>
          </w:p>
        </w:tc>
        <w:tc>
          <w:tcPr>
            <w:tcW w:w="115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86,448</w:t>
            </w:r>
          </w:p>
        </w:tc>
      </w:tr>
      <w:tr>
        <w:trPr/>
        <w:tc>
          <w:tcPr>
            <w:tcW w:w="31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Restricted stock units</w:t>
            </w:r>
          </w:p>
        </w:tc>
        <w:tc>
          <w:tcPr>
            <w:tcW w:w="326"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3,910,457</w:t>
            </w:r>
          </w:p>
        </w:tc>
        <w:tc>
          <w:tcPr>
            <w:tcW w:w="326" w:type="dxa"/>
            <w:tcBorders/>
            <w:shd w:fill="CCEEFF" w:val="clear"/>
            <w:vAlign w:val="center"/>
          </w:tcPr>
          <w:p>
            <w:pPr>
              <w:pStyle w:val="TableContents"/>
              <w:spacing w:before="0" w:after="1"/>
              <w:ind w:left="0" w:right="0" w:hanging="0"/>
              <w:rPr>
                <w:color w:val="0000FF"/>
              </w:rPr>
            </w:pPr>
            <w:r>
              <w:rPr>
                <w:color w:val="0000FF"/>
              </w:rPr>
              <w:t>​</w:t>
            </w:r>
          </w:p>
        </w:tc>
        <w:tc>
          <w:tcPr>
            <w:tcW w:w="115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3,095,177</w:t>
            </w:r>
          </w:p>
        </w:tc>
      </w:tr>
      <w:tr>
        <w:trPr/>
        <w:tc>
          <w:tcPr>
            <w:tcW w:w="31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Series A Convertible Preferred Stock*</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97,000</w:t>
            </w:r>
          </w:p>
        </w:tc>
        <w:tc>
          <w:tcPr>
            <w:tcW w:w="326" w:type="dxa"/>
            <w:tcBorders/>
            <w:shd w:fill="auto" w:val="clear"/>
            <w:vAlign w:val="center"/>
          </w:tcPr>
          <w:p>
            <w:pPr>
              <w:pStyle w:val="TableContents"/>
              <w:spacing w:before="0" w:after="1"/>
              <w:ind w:left="0" w:right="0" w:hanging="0"/>
              <w:rPr>
                <w:color w:val="0000FF"/>
              </w:rPr>
            </w:pPr>
            <w:r>
              <w:rPr>
                <w:color w:val="0000FF"/>
              </w:rPr>
              <w:t>​</w:t>
            </w:r>
          </w:p>
        </w:tc>
        <w:tc>
          <w:tcPr>
            <w:tcW w:w="115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97,000</w:t>
            </w:r>
          </w:p>
        </w:tc>
      </w:tr>
      <w:tr>
        <w:trPr/>
        <w:tc>
          <w:tcPr>
            <w:tcW w:w="31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Series B Convertible Preferred Stock*</w:t>
            </w:r>
          </w:p>
        </w:tc>
        <w:tc>
          <w:tcPr>
            <w:tcW w:w="326" w:type="dxa"/>
            <w:tcBorders/>
            <w:shd w:fill="CCEEFF" w:val="clear"/>
            <w:vAlign w:val="center"/>
          </w:tcPr>
          <w:p>
            <w:pPr>
              <w:pStyle w:val="TableContents"/>
              <w:spacing w:before="0" w:after="1"/>
              <w:ind w:left="0" w:right="0" w:hanging="0"/>
              <w:rPr/>
            </w:pPr>
            <w:r>
              <w:rPr/>
              <w:t>​</w:t>
            </w:r>
          </w:p>
        </w:tc>
        <w:tc>
          <w:tcPr>
            <w:tcW w:w="10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2,842,158</w:t>
            </w:r>
          </w:p>
        </w:tc>
        <w:tc>
          <w:tcPr>
            <w:tcW w:w="326" w:type="dxa"/>
            <w:tcBorders/>
            <w:shd w:fill="CCEEFF" w:val="clear"/>
            <w:vAlign w:val="center"/>
          </w:tcPr>
          <w:p>
            <w:pPr>
              <w:pStyle w:val="TableContents"/>
              <w:spacing w:before="0" w:after="1"/>
              <w:ind w:left="0" w:right="0" w:hanging="0"/>
              <w:rPr>
                <w:color w:val="0000FF"/>
              </w:rPr>
            </w:pPr>
            <w:r>
              <w:rPr>
                <w:color w:val="0000FF"/>
              </w:rPr>
              <w:t>​</w:t>
            </w:r>
          </w:p>
        </w:tc>
        <w:tc>
          <w:tcPr>
            <w:tcW w:w="115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2,842,158</w:t>
            </w:r>
          </w:p>
        </w:tc>
      </w:tr>
      <w:tr>
        <w:trPr/>
        <w:tc>
          <w:tcPr>
            <w:tcW w:w="31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3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26,360,916</w:t>
            </w:r>
          </w:p>
        </w:tc>
        <w:tc>
          <w:tcPr>
            <w:tcW w:w="326" w:type="dxa"/>
            <w:tcBorders/>
            <w:shd w:fill="auto" w:val="clear"/>
            <w:vAlign w:val="center"/>
          </w:tcPr>
          <w:p>
            <w:pPr>
              <w:pStyle w:val="TableContents"/>
              <w:spacing w:before="0" w:after="1"/>
              <w:ind w:left="0" w:right="0" w:hanging="0"/>
              <w:rPr/>
            </w:pPr>
            <w:r>
              <w:rPr/>
              <w:t>​</w:t>
            </w:r>
          </w:p>
        </w:tc>
        <w:tc>
          <w:tcPr>
            <w:tcW w:w="1153" w:type="dxa"/>
            <w:tcBorders>
              <w:bottom w:val="double" w:sz="6" w:space="0" w:color="000000"/>
            </w:tcBorders>
            <w:shd w:fill="auto" w:val="clear"/>
            <w:tcMar>
              <w:bottom w:w="28" w:type="dxa"/>
            </w:tcMar>
            <w:vAlign w:val="center"/>
          </w:tcPr>
          <w:p>
            <w:pPr>
              <w:pStyle w:val="TableContents"/>
              <w:spacing w:before="0" w:after="1"/>
              <w:ind w:left="0" w:right="72" w:hanging="0"/>
              <w:jc w:val="right"/>
              <w:rPr>
                <w:rFonts w:ascii="Times New Roman;Times;serif" w:hAnsi="Times New Roman;Times;serif"/>
                <w:sz w:val="20"/>
              </w:rPr>
            </w:pPr>
            <w:r>
              <w:rPr>
                <w:rFonts w:ascii="Times New Roman;Times;serif" w:hAnsi="Times New Roman;Times;serif"/>
                <w:sz w:val="20"/>
              </w:rPr>
              <w:t>20,222,309</w:t>
            </w:r>
          </w:p>
        </w:tc>
      </w:tr>
    </w:tbl>
    <w:p>
      <w:pPr>
        <w:pStyle w:val="TextBody"/>
        <w:spacing w:before="0" w:after="200"/>
        <w:ind w:left="547" w:right="0" w:hanging="0"/>
        <w:rPr>
          <w:rFonts w:ascii="Times New Roman;Times;serif" w:hAnsi="Times New Roman;Times;serif"/>
          <w:b w:val="false"/>
          <w:i/>
          <w:sz w:val="20"/>
        </w:rPr>
      </w:pPr>
      <w:r>
        <w:rPr>
          <w:rFonts w:ascii="Times New Roman;Times;serif" w:hAnsi="Times New Roman;Times;serif"/>
          <w:b w:val="false"/>
          <w:i/>
          <w:sz w:val="20"/>
        </w:rPr>
        <w:t>* on an as-converted basis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The dilutive effect of potentially dilutive securities would be reflected in diluted earnings per common share by application of the treasury stock method. Under the treasury stock method, an increase in the fair market value of the Company's common stock could result in a greater dilutive effect from potentially dilutive securities.</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Use of Estimates</w:t>
      </w:r>
    </w:p>
    <w:p>
      <w:pPr>
        <w:pStyle w:val="TextBody"/>
        <w:spacing w:before="0" w:after="200"/>
        <w:ind w:left="0" w:right="0" w:firstLine="547"/>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Significant items subject to such estimates and assumptions include assumptions made in the fair value of equity awards and related stock-based compensation, assumptions used in measuring operating right-of-use assets and operating lease liabilities, accounting for potential liabilities, including estimates inherent in accruals related to clinical trials, and the realizability of the Company’s deferred tax assets.</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Principles of Consolidation</w:t>
      </w:r>
    </w:p>
    <w:p>
      <w:pPr>
        <w:pStyle w:val="TextBody"/>
        <w:spacing w:before="0" w:after="200"/>
        <w:ind w:left="0" w:right="0" w:firstLine="547"/>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include the accounts of Iovance Biotherapeutics, Inc. and its wholly-owned subsidiaries, Iovance Biotherapeutics Manufacturing LLC, Iovance Biotherapeutics GmbH, Iovance Biotherapeutics B.V., Iovance Biotherapeutics UK LTD, and Iovance Biotherapeutics Canada, Inc. All intercompany accounts and transactions have been eliminated. The Condensed Consolidated Financial Statements are presented in U.S. dollars. The functional currency for most of the Company’s foreign subsidiaries is their respective local currency.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Leases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 xml:space="preserve">The Company determines if an arrangement includes a lease at inception and thereafter, if modified. Operating leases are included in its Condensed Consolidated Balance Sheets as Operating lease right-of-use assets and Operating lease liabilities as of March 31, 2023 and December 31, 2022. Operating lease right-of-use assets represent the Company’s right to use an underlying asset for the lease term and operating lease liabilities represent the Company’s obligation to make lease payments arising from the lease. Operating lease right-of-use assets and liabilities are recognized at the lease commencement date or modification date based on the present value of lease payments over the lease term. In determining the net present value of lease payments, the Company uses an estimated incremental borrowing rate that is applicable to the Company based on the information available at the later of the lease commencement or modification date. </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The operating lease right-of-use assets also include any lease payments made less lease incentives. The Company’s leases may include options to extend or terminate the lease, which is considered in the lease term when it is reasonably certain that the Company will exercise any such options. Lease expense is recognized on a straight-line basis over the expected lease term and recorded in costs and expenses in the Condensed Consolidated Statements of Operations. The Company has elected not to apply the recognition requirements of Accounting Standards Update (“ASU”) No. 2016-02 and No. 2018-10 (together “Topic 842”) for short-term leases.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For lease agreements entered into by the Company that include lease and non-lease components, such components are generally accounted for separately.</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Stock-Based Compensation</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The Company periodically grants stock options to employees and non-employees as compensation for services rendered. The Company accounts for all stock-based payment awards made to employees, including the employee stock purchase plans, and non-employees in accordance with the authoritative guidance provided by the Financial Accounting Standards Board (“FASB”) where the value of the award is measured on the date of grant and recognized over the vesting period. Forfeitures are recognized in the period in which they occur. The Company accounts for stock option grants to non-employees in a similar manner as stock option grants to employees except for the term used in the grant date fair value, therefore no longer requiring a re-measurement at the then-current fair values at each reporting date until the shares underlying the options have vested. The non-employee awards that contain a performance condition that affects the quantity or other terms of the award are measured based on the outcome that is probable.</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 xml:space="preserve">The fair value of the Company's common stock option grants is estimated using a Black-Scholes option pricing model, which uses certain assumptions related to risk-free interest rates, expected volatility, expected term of the common stock options, and future dividends. The stock-based compensation expense is recorded based upon the value derived from the Black-Scholes option pricing model. The assumptions used in the Black-Scholes option pricing model could affect compensation expense recorded in future periods. </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The Company issues restricted stock units (“RSUs”) from time to time as part of its equity incentive plans. The Company measures the compensation cost with respect to RSUs issued to employees based upon the estimated fair value of the equity instruments at the date of the grant, which is recognized as an expense over the period during which an employee is required to provide services in exchange for the awards. The fair value of RSUs is based on the closing price of the Company’s common stock on the grant date. In addition to RSUs that have time-based vesting requirements, from time to time the Company may issue RSUs that include certain performance vesting criteria based upon the satisfaction of stated objectives (“PRSUs”). The Company measures the compensation cost with respect to PRSUs issued to employees based upon the estimated fair value of the equity instruments at the date of grant, which is recognized as an expense over the period that achievement is determined to be probable through the stated service period associated with the award.</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 xml:space="preserve">Accrued Research and Development Costs </w:t>
      </w:r>
    </w:p>
    <w:p>
      <w:pPr>
        <w:pStyle w:val="TextBody"/>
        <w:spacing w:before="0" w:after="0"/>
        <w:ind w:left="0" w:right="0" w:firstLine="547"/>
        <w:rPr>
          <w:rFonts w:ascii="Times New Roman;Times;serif" w:hAnsi="Times New Roman;Times;serif"/>
          <w:sz w:val="20"/>
        </w:rPr>
      </w:pPr>
      <w:r>
        <w:rPr>
          <w:rFonts w:ascii="Times New Roman;Times;serif" w:hAnsi="Times New Roman;Times;serif"/>
          <w:sz w:val="20"/>
        </w:rPr>
        <w:t xml:space="preserve">Research and development costs are expensed as incurred. Clinical development costs compose a significant component of research and development costs. The Company has a history of contracting with third parties, including contract research organizations (“CROs”), independent clinical investigators, and contract manufacturing organizations (“CMOs”) that perform various clinical trial activities on the Company’s behalf in connection with the ongoing development of the Company’s product candidates. The financial terms of these contracts are subject to negotiations and may vary from contract to contract and may result in uneven payment flow. The Company accrues and expenses costs for clinical trial activities performed by third parties based upon estimates of work completed to date for each clinical trial in accordance with agreements established with CROs, hospitals, and clinical investigators. Accruals for CROs and CMOs are recorded based on estimates of services received and efforts expended pursuant to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agreements established with CROs, CMOs and other outside service providers. The Company determines its estimates through discussions with internal clinical stakeholders and outside service providers as to the progress or stage of completion of clinical trials or services and the contracted fee to be paid for such services.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Included in the Company’s clinical development costs are investigator costs, which are costs associated with treatments administered at clinical sites as required under each clinical study protocol. The Company’s estimates for clinical investigator costs and timing of expense recognition will depend on a number of factors that include, but are not limited to, (i) the overall number of patients that enroll in the trial at each individual site, (ii) the length of study enrollment period, (iii) discontinuation and completion rates of patients, (iv) duration of patient safety follow-ups, (v) the number of sites included in the clinical trial, and (vi) the contracted fee of each participating site for patient treatment while on study, which can vary greatly for several reasons including, but not limited to, geographic region, medical center or physician costs, and overhead costs. In addition, the Company’s estimates for per patient trial costs will vary based on a number of factors that include, but are not limited to, the extent of additional treatments that may be administered by investigators as a result of patient health status, recoverability of patient costs through insurance carriers of patients, and unanticipated cost of injuries incurred as a result of the study treatment. The Company accrues for estimated expenses resulting from obligations under investigator site agreements as the timing of payments does not always timely align with the periods over which the treatments are administered by the clinical investigators. These estimates are typically based on contracted amounts, patient visit data, discussions with internal clinical stakeholders and outside service providers, and historical look-back analysis of actual payments made to date.</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The Company makes judgements and estimates in determining the accrual balance in each reporting period.</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In the event advance payments are made to a CRO, CMO or other outside service provider, the payments are recorded within prepaid expenses and other current assets in the Condensed Consolidated Balance Sheets and subsequently recognized as research and development expense in the Condensed Consolidated Statements of Operations when the associated services have been performed. As actual costs become known, the Company adjusts its estimates, liabilities and assets. Inputs used in the determination of estimates discussed above may vary from actual, which will result in adjustments to research and development expense in future periods. Changes in these estimates that result in material changes to the Company’s accruals could materially affect its results of operations. The Company’s historical estimates have not been materially different from actual amounts recorded.</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Segment Reporting</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The Company operates in one segment, focused on innovating, developing and commercializing therapies using autologous TIL for the treatment of advanced melanoma and other solid tumor cancers.</w:t>
      </w:r>
    </w:p>
    <w:p>
      <w:pPr>
        <w:pStyle w:val="TextBody"/>
        <w:spacing w:before="0" w:after="200"/>
        <w:ind w:left="0" w:right="0" w:firstLine="547"/>
        <w:rPr/>
      </w:pPr>
      <w:r>
        <w:rPr/>
        <w:t>​</w:t>
      </w:r>
    </w:p>
    <w:p>
      <w:pPr>
        <w:pStyle w:val="TextBody"/>
        <w:spacing w:before="0" w:after="200"/>
        <w:ind w:left="0" w:right="0" w:hanging="0"/>
        <w:rPr>
          <w:rFonts w:ascii="Times New Roman;Times;serif" w:hAnsi="Times New Roman;Times;serif"/>
          <w:b/>
          <w:sz w:val="20"/>
        </w:rPr>
      </w:pPr>
      <w:bookmarkStart w:id="603" w:name="Tc_hyl0u5ag3ESUy-1zD1N0FQ_9_11"/>
      <w:bookmarkStart w:id="604" w:name="Tc__nbeT-j1bEKEDIc4FrxcUg_9_8"/>
      <w:bookmarkStart w:id="605" w:name="Tc_WgITAPvx-UigxERSwwphog_9_5"/>
      <w:bookmarkStart w:id="606" w:name="Tc_OjkuV9E3UUqmXcfIEvIlcw_9_2"/>
      <w:bookmarkStart w:id="607" w:name="Tc_WZszWNjdZke2-cg2Kev6VQ_9_0"/>
      <w:bookmarkStart w:id="608" w:name="Tc_BAzSW7Vw80eBIyjjo-sRUw_8_9"/>
      <w:bookmarkStart w:id="609" w:name="Tc_Zw6-NbJAiE2zp7JfoYNYcA_8_6"/>
      <w:bookmarkStart w:id="610" w:name="Tc_VsgQ-ueoBkSyOMwa_f98eQ_8_0"/>
      <w:bookmarkStart w:id="611" w:name="Tc_x38ltMdUdU-dQBvynTgzjg_7_0"/>
      <w:bookmarkStart w:id="612" w:name="Tc_rgjTBEuhDEG9e1yMPbX9CA_6_9"/>
      <w:bookmarkStart w:id="613" w:name="Tc__ZYzDv9GYUqPqK0TIoR87g_6_6"/>
      <w:bookmarkStart w:id="614" w:name="Tc_42EexSJvp0-dcAiT3sAQ4A_6_0"/>
      <w:bookmarkStart w:id="615" w:name="Tc_8z6ineZwF0qVjeGBiWMLzg_5_6"/>
      <w:bookmarkStart w:id="616" w:name="Tc_oKFMyvs-ikapjokSqQoUrQ_5_0"/>
      <w:bookmarkStart w:id="617" w:name="Tc_yNF2Y_kHFk2_6vqySTPSrw_4_11"/>
      <w:bookmarkStart w:id="618" w:name="Tc_tgNmoZnThEOMMbfFb167Ig_4_8"/>
      <w:bookmarkStart w:id="619" w:name="Tc_Ol_eVoMngU6Qvtxp725MuA_4_6"/>
      <w:bookmarkStart w:id="620" w:name="Tc_sEhW8KusjUy7fqXJnuzhCA_4_5"/>
      <w:bookmarkStart w:id="621" w:name="Tc_f-8gpw3YEEq20QxaQwIMnA_4_2"/>
      <w:bookmarkStart w:id="622" w:name="Tc_B5yGetd1IkWiMeW_c-GmdA_4_0"/>
      <w:bookmarkStart w:id="623" w:name="Tc_MNaADdvXq0-LQoAJZ_ikAw_3_11"/>
      <w:bookmarkStart w:id="624" w:name="Tc_rq2KHvME6ESxKj8fF7Os2A_3_8"/>
      <w:bookmarkStart w:id="625" w:name="Tc_9SJaLIAQ2UyZ4K9Ew7idpw_3_5"/>
      <w:bookmarkStart w:id="626" w:name="Tc_0rFqmPsB00yle0ChneI9Vw_3_2"/>
      <w:bookmarkStart w:id="627" w:name="Tc_uf7l3-5mnEOSL3BZtXkVsg_3_0"/>
      <w:bookmarkStart w:id="628" w:name="Tc_ePWzCdOxdEej7kdyq1mnFA_2_8"/>
      <w:bookmarkStart w:id="629" w:name="Tc_7fOlLpmYhEW7BSGawzASLw_2_5"/>
      <w:bookmarkStart w:id="630" w:name="Tc_4EN2wrcKE0SbQOqiQYFZpg_2_2"/>
      <w:bookmarkStart w:id="631" w:name="Tc_RTOdYb9jJ0OElrcDlFjQHA_1_8"/>
      <w:bookmarkStart w:id="632" w:name="Tc_P1YJ0AC4C0WYQ4stLKOjwg_1_5"/>
      <w:bookmarkStart w:id="633" w:name="_50e9a77a_9031_4d6e_9c23_dd8f453103c8"/>
      <w:bookmarkStart w:id="634" w:name="Tc_WsHaNFxFl0ew4Zkdmn7VCA_7_11"/>
      <w:bookmarkStart w:id="635" w:name="Tc_VYyUBiIv2E-elZo9jGyzuw_7_8"/>
      <w:bookmarkStart w:id="636" w:name="Tc_1FcyWl_qfEC3BfOAjjjjrg_7_6"/>
      <w:bookmarkStart w:id="637" w:name="Tc_5Zi4oL2D0k60xCrAQh7rXg_7_5"/>
      <w:bookmarkStart w:id="638" w:name="Tc_R6qpR5aE5ECp1VD2mAPXcQ_7_2"/>
      <w:bookmarkStart w:id="639" w:name="Tc_WXwpiTyAX0e5146UNT3Eeg_7_0"/>
      <w:bookmarkStart w:id="640" w:name="Tc_v45-sSn4TkGCXLb4YCVuWw_6_9"/>
      <w:bookmarkStart w:id="641" w:name="Tc_G-_-lxiRC0OVQYAQIQPaqw_6_6"/>
      <w:bookmarkStart w:id="642" w:name="Tc_47YruMzT7kyXsWeIrKI50w_6_0"/>
      <w:bookmarkStart w:id="643" w:name="Tc_4GnCptfrdEikcvoCkocO2g_5_6"/>
      <w:bookmarkStart w:id="644" w:name="Tc_pWlIC7L2zk6rhkF0zQgpQw_5_0"/>
      <w:bookmarkStart w:id="645" w:name="Tc_KTCc-7xKJ0-973O60TduJg_4_11"/>
      <w:bookmarkStart w:id="646" w:name="Tc_Fx0490NI-ESM4MZSPA_bng_4_8"/>
      <w:bookmarkStart w:id="647" w:name="Tc_oHPGjyVLFES45PSZMqWu7w_4_6"/>
      <w:bookmarkStart w:id="648" w:name="Tc_iTaoOQDtNEST9WMdx9F-pg_4_5"/>
      <w:bookmarkStart w:id="649" w:name="Tc_cHTr3u_rPEqJMnxxaxw1og_4_2"/>
      <w:bookmarkStart w:id="650" w:name="Tc_r3akVucFJEGoIs8DOnXncg_4_0"/>
      <w:bookmarkStart w:id="651" w:name="Tc_uc4uF9KCYkS0WKBZO1i8Eg_3_11"/>
      <w:bookmarkStart w:id="652" w:name="Tc_wkg3T-7aFEKHKOkMV7df7g_3_8"/>
      <w:bookmarkStart w:id="653" w:name="Tc_d11FUIfw1EWR76QwRaIwvQ_3_5"/>
      <w:bookmarkStart w:id="654" w:name="Tc_x5O7XxX470-TaBK_YeaFiQ_3_2"/>
      <w:bookmarkStart w:id="655" w:name="Tc_cCceQ9Vi00OQdWEsCcaThA_3_0"/>
      <w:bookmarkStart w:id="656" w:name="Tc_eBfhzHKy906qPB9gQU5uLw_2_8"/>
      <w:bookmarkStart w:id="657" w:name="Tc__OGxrDIoRU2k1qbYsAzSBA_2_5"/>
      <w:bookmarkStart w:id="658" w:name="Tc_cZExgrnlwkWeG8Rhvt7x2w_2_2"/>
      <w:bookmarkStart w:id="659" w:name="Tc_Mau3UpdwL0KgDQesDxf-KA_1_8"/>
      <w:bookmarkStart w:id="660" w:name="Tc_MBz617LMTUmpsBIOt2nmwA_1_5"/>
      <w:bookmarkStart w:id="661" w:name="_1db2213e_942b_4f71_a994_32ac3d638c68"/>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r>
        <w:rPr>
          <w:rFonts w:ascii="Times New Roman;Times;serif" w:hAnsi="Times New Roman;Times;serif"/>
          <w:b/>
          <w:sz w:val="20"/>
        </w:rPr>
        <w:t>NOTE 3. CASH EQUIVALENTS, INVESTMENTS AND FAIR VALUE MEASUREMENTS</w:t>
      </w:r>
    </w:p>
    <w:p>
      <w:pPr>
        <w:pStyle w:val="TextBody"/>
        <w:spacing w:before="0" w:after="0"/>
        <w:ind w:left="0" w:right="0" w:firstLine="547"/>
        <w:rPr>
          <w:rFonts w:ascii="Times New Roman;Times;serif" w:hAnsi="Times New Roman;Times;serif"/>
          <w:sz w:val="20"/>
        </w:rPr>
      </w:pPr>
      <w:r>
        <w:rPr>
          <w:rFonts w:ascii="Times New Roman;Times;serif" w:hAnsi="Times New Roman;Times;serif"/>
          <w:sz w:val="20"/>
        </w:rPr>
        <w:t>The amortized cost and fair value of cash equivalents and investments as of March 31, 2023 and December 31, 2022 were as follows (in thousands):</w:t>
      </w:r>
    </w:p>
    <w:p>
      <w:pPr>
        <w:pStyle w:val="TextBody"/>
        <w:spacing w:before="0" w:after="200"/>
        <w:ind w:left="0" w:right="0" w:firstLine="547"/>
        <w:rPr/>
      </w:pPr>
      <w:r>
        <w:rPr/>
        <w:t>​</w:t>
      </w:r>
    </w:p>
    <w:tbl>
      <w:tblPr>
        <w:tblW w:w="7128" w:type="dxa"/>
        <w:jc w:val="left"/>
        <w:tblInd w:w="0" w:type="dxa"/>
        <w:tblCellMar>
          <w:top w:w="0" w:type="dxa"/>
          <w:left w:w="0" w:type="dxa"/>
          <w:bottom w:w="0" w:type="dxa"/>
          <w:right w:w="0" w:type="dxa"/>
        </w:tblCellMar>
      </w:tblPr>
      <w:tblGrid>
        <w:gridCol w:w="1951"/>
        <w:gridCol w:w="326"/>
        <w:gridCol w:w="211"/>
        <w:gridCol w:w="781"/>
        <w:gridCol w:w="326"/>
        <w:gridCol w:w="335"/>
        <w:gridCol w:w="551"/>
        <w:gridCol w:w="326"/>
        <w:gridCol w:w="270"/>
        <w:gridCol w:w="616"/>
        <w:gridCol w:w="326"/>
        <w:gridCol w:w="211"/>
        <w:gridCol w:w="898"/>
      </w:tblGrid>
      <w:tr>
        <w:trPr/>
        <w:tc>
          <w:tcPr>
            <w:tcW w:w="19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238885" cy="175260"/>
                      <wp:effectExtent l="0" t="0" r="0" b="0"/>
                      <wp:wrapNone/>
                      <wp:docPr id="42" name="Frame42"/>
                      <a:graphic xmlns:a="http://schemas.openxmlformats.org/drawingml/2006/main">
                        <a:graphicData uri="http://schemas.microsoft.com/office/word/2010/wordprocessingShape">
                          <wps:wsp>
                            <wps:cNvSpPr txBox="1"/>
                            <wps:spPr>
                              <a:xfrm>
                                <a:off x="0" y="0"/>
                                <a:ext cx="12388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3" name="Frame4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3985" cy="175260"/>
                      <wp:effectExtent l="0" t="0" r="0" b="0"/>
                      <wp:wrapNone/>
                      <wp:docPr id="44" name="Frame4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95935" cy="175260"/>
                      <wp:effectExtent l="0" t="0" r="0" b="0"/>
                      <wp:wrapNone/>
                      <wp:docPr id="45" name="Frame45"/>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6" name="Frame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2725" cy="175260"/>
                      <wp:effectExtent l="0" t="0" r="0" b="0"/>
                      <wp:wrapNone/>
                      <wp:docPr id="47" name="Frame47"/>
                      <a:graphic xmlns:a="http://schemas.openxmlformats.org/drawingml/2006/main">
                        <a:graphicData uri="http://schemas.microsoft.com/office/word/2010/wordprocessingShape">
                          <wps:wsp>
                            <wps:cNvSpPr txBox="1"/>
                            <wps:spPr>
                              <a:xfrm>
                                <a:off x="0" y="0"/>
                                <a:ext cx="2127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349885" cy="175260"/>
                      <wp:effectExtent l="0" t="0" r="0" b="0"/>
                      <wp:wrapNone/>
                      <wp:docPr id="48" name="Frame48"/>
                      <a:graphic xmlns:a="http://schemas.openxmlformats.org/drawingml/2006/main">
                        <a:graphicData uri="http://schemas.microsoft.com/office/word/2010/wordprocessingShape">
                          <wps:wsp>
                            <wps:cNvSpPr txBox="1"/>
                            <wps:spPr>
                              <a:xfrm>
                                <a:off x="0" y="0"/>
                                <a:ext cx="3498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49" name="Frame4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71450" cy="175260"/>
                      <wp:effectExtent l="0" t="0" r="0" b="0"/>
                      <wp:wrapNone/>
                      <wp:docPr id="50" name="Frame50"/>
                      <a:graphic xmlns:a="http://schemas.openxmlformats.org/drawingml/2006/main">
                        <a:graphicData uri="http://schemas.microsoft.com/office/word/2010/wordprocessingShape">
                          <wps:wsp>
                            <wps:cNvSpPr txBox="1"/>
                            <wps:spPr>
                              <a:xfrm>
                                <a:off x="0" y="0"/>
                                <a:ext cx="1714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391160" cy="175260"/>
                      <wp:effectExtent l="0" t="0" r="0" b="0"/>
                      <wp:wrapNone/>
                      <wp:docPr id="51" name="Frame51"/>
                      <a:graphic xmlns:a="http://schemas.openxmlformats.org/drawingml/2006/main">
                        <a:graphicData uri="http://schemas.microsoft.com/office/word/2010/wordprocessingShape">
                          <wps:wsp>
                            <wps:cNvSpPr txBox="1"/>
                            <wps:spPr>
                              <a:xfrm>
                                <a:off x="0" y="0"/>
                                <a:ext cx="3911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2" name="Frame5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3985" cy="175260"/>
                      <wp:effectExtent l="0" t="0" r="0" b="0"/>
                      <wp:wrapNone/>
                      <wp:docPr id="53" name="Frame5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570230" cy="175260"/>
                      <wp:effectExtent l="0" t="0" r="0" b="0"/>
                      <wp:wrapNone/>
                      <wp:docPr id="54" name="Frame54"/>
                      <a:graphic xmlns:a="http://schemas.openxmlformats.org/drawingml/2006/main">
                        <a:graphicData uri="http://schemas.microsoft.com/office/word/2010/wordprocessingShape">
                          <wps:wsp>
                            <wps:cNvSpPr txBox="1"/>
                            <wps:spPr>
                              <a:xfrm>
                                <a:off x="0" y="0"/>
                                <a:ext cx="5702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9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8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shd w:fill="auto" w:val="clear"/>
            <w:vAlign w:val="center"/>
          </w:tcPr>
          <w:p>
            <w:pPr>
              <w:pStyle w:val="TableContents"/>
              <w:spacing w:before="0" w:after="1"/>
              <w:ind w:left="0" w:right="0" w:hanging="0"/>
              <w:rPr/>
            </w:pPr>
            <w:r>
              <w:rPr/>
              <w:t>​</w:t>
            </w:r>
          </w:p>
        </w:tc>
        <w:tc>
          <w:tcPr>
            <w:tcW w:w="88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98" w:type="dxa"/>
            <w:tcBorders/>
            <w:shd w:fill="auto" w:val="clear"/>
            <w:vAlign w:val="center"/>
          </w:tcPr>
          <w:p>
            <w:pPr>
              <w:pStyle w:val="TableContents"/>
              <w:spacing w:before="0" w:after="1"/>
              <w:ind w:left="0" w:right="0" w:hanging="0"/>
              <w:jc w:val="center"/>
              <w:rPr/>
            </w:pPr>
            <w:r>
              <w:rPr/>
              <w:t>​</w:t>
            </w:r>
          </w:p>
        </w:tc>
      </w:tr>
      <w:tr>
        <w:trPr/>
        <w:tc>
          <w:tcPr>
            <w:tcW w:w="19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9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Amortized </w:t>
            </w:r>
          </w:p>
        </w:tc>
        <w:tc>
          <w:tcPr>
            <w:tcW w:w="326" w:type="dxa"/>
            <w:tcBorders/>
            <w:shd w:fill="auto" w:val="clear"/>
            <w:vAlign w:val="center"/>
          </w:tcPr>
          <w:p>
            <w:pPr>
              <w:pStyle w:val="TableContents"/>
              <w:spacing w:before="0" w:after="1"/>
              <w:ind w:left="0" w:right="0" w:hanging="0"/>
              <w:rPr/>
            </w:pPr>
            <w:r>
              <w:rPr/>
              <w:t>​</w:t>
            </w:r>
          </w:p>
        </w:tc>
        <w:tc>
          <w:tcPr>
            <w:tcW w:w="88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shd w:fill="auto" w:val="clear"/>
            <w:vAlign w:val="center"/>
          </w:tcPr>
          <w:p>
            <w:pPr>
              <w:pStyle w:val="TableContents"/>
              <w:spacing w:before="0" w:after="1"/>
              <w:ind w:left="0" w:right="0" w:hanging="0"/>
              <w:rPr/>
            </w:pPr>
            <w:r>
              <w:rPr/>
              <w:t>​</w:t>
            </w:r>
          </w:p>
        </w:tc>
        <w:tc>
          <w:tcPr>
            <w:tcW w:w="88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98" w:type="dxa"/>
            <w:tcBorders/>
            <w:shd w:fill="auto" w:val="clear"/>
            <w:vAlign w:val="center"/>
          </w:tcPr>
          <w:p>
            <w:pPr>
              <w:pStyle w:val="TableContents"/>
              <w:spacing w:before="0" w:after="1"/>
              <w:ind w:left="0" w:right="0" w:hanging="0"/>
              <w:jc w:val="center"/>
              <w:rPr/>
            </w:pPr>
            <w:r>
              <w:rPr/>
              <w:t>​</w:t>
            </w:r>
          </w:p>
        </w:tc>
      </w:tr>
      <w:tr>
        <w:trPr/>
        <w:tc>
          <w:tcPr>
            <w:tcW w:w="195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As of March 31, 2023</w:t>
            </w:r>
          </w:p>
        </w:tc>
        <w:tc>
          <w:tcPr>
            <w:tcW w:w="326" w:type="dxa"/>
            <w:tcBorders/>
            <w:shd w:fill="auto" w:val="clear"/>
            <w:vAlign w:val="center"/>
          </w:tcPr>
          <w:p>
            <w:pPr>
              <w:pStyle w:val="TableContents"/>
              <w:spacing w:before="0" w:after="1"/>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shd w:fill="auto" w:val="clear"/>
            <w:vAlign w:val="center"/>
          </w:tcPr>
          <w:p>
            <w:pPr>
              <w:pStyle w:val="TableContents"/>
              <w:spacing w:before="0" w:after="1"/>
              <w:ind w:left="0" w:right="0" w:hanging="0"/>
              <w:rPr/>
            </w:pPr>
            <w:r>
              <w:rPr/>
              <w:t>    </w:t>
            </w:r>
          </w:p>
        </w:tc>
        <w:tc>
          <w:tcPr>
            <w:tcW w:w="88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shd w:fill="auto" w:val="clear"/>
            <w:vAlign w:val="center"/>
          </w:tcPr>
          <w:p>
            <w:pPr>
              <w:pStyle w:val="TableContents"/>
              <w:spacing w:before="0" w:after="1"/>
              <w:ind w:left="0" w:right="0" w:hanging="0"/>
              <w:rPr/>
            </w:pPr>
            <w:r>
              <w:rPr/>
              <w:t>    </w:t>
            </w:r>
          </w:p>
        </w:tc>
        <w:tc>
          <w:tcPr>
            <w:tcW w:w="88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shd w:fill="auto" w:val="clear"/>
            <w:vAlign w:val="center"/>
          </w:tcPr>
          <w:p>
            <w:pPr>
              <w:pStyle w:val="TableContents"/>
              <w:spacing w:before="0" w:after="1"/>
              <w:ind w:left="0" w:right="0" w:hanging="0"/>
              <w:rPr/>
            </w:pPr>
            <w:r>
              <w:rPr/>
              <w:t>    </w:t>
            </w:r>
          </w:p>
        </w:tc>
        <w:tc>
          <w:tcPr>
            <w:tcW w:w="1109"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9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U.S. treasury securities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45,212</w:t>
            </w:r>
          </w:p>
        </w:tc>
        <w:tc>
          <w:tcPr>
            <w:tcW w:w="326" w:type="dxa"/>
            <w:tcBorders/>
            <w:shd w:fill="CCEEFF" w:val="clear"/>
            <w:vAlign w:val="center"/>
          </w:tcPr>
          <w:p>
            <w:pPr>
              <w:pStyle w:val="TableContents"/>
              <w:spacing w:before="0" w:after="1"/>
              <w:ind w:left="0" w:right="0" w:hanging="0"/>
              <w:rPr/>
            </w:pPr>
            <w:r>
              <w:rPr/>
              <w:t>​</w:t>
            </w:r>
          </w:p>
        </w:tc>
        <w:tc>
          <w:tcPr>
            <w:tcW w:w="33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7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(117)</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45,095</w:t>
            </w:r>
          </w:p>
        </w:tc>
      </w:tr>
      <w:tr>
        <w:trPr/>
        <w:tc>
          <w:tcPr>
            <w:tcW w:w="19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Commercial paper</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38,716</w:t>
            </w:r>
          </w:p>
        </w:tc>
        <w:tc>
          <w:tcPr>
            <w:tcW w:w="326" w:type="dxa"/>
            <w:tcBorders/>
            <w:shd w:fill="auto" w:val="clear"/>
            <w:vAlign w:val="center"/>
          </w:tcPr>
          <w:p>
            <w:pPr>
              <w:pStyle w:val="TableContents"/>
              <w:spacing w:before="0" w:after="1"/>
              <w:ind w:left="0" w:right="0" w:hanging="0"/>
              <w:rPr/>
            </w:pPr>
            <w:r>
              <w:rPr/>
              <w:t>​</w:t>
            </w:r>
          </w:p>
        </w:tc>
        <w:tc>
          <w:tcPr>
            <w:tcW w:w="335" w:type="dxa"/>
            <w:tcBorders/>
            <w:shd w:fill="auto" w:val="clear"/>
            <w:vAlign w:val="center"/>
          </w:tcPr>
          <w:p>
            <w:pPr>
              <w:pStyle w:val="TableContents"/>
              <w:spacing w:before="0" w:after="1"/>
              <w:ind w:left="0" w:right="0" w:hanging="0"/>
              <w:rPr/>
            </w:pPr>
            <w:r>
              <w:rPr/>
              <w:t>​</w:t>
            </w:r>
          </w:p>
        </w:tc>
        <w:tc>
          <w:tcPr>
            <w:tcW w:w="5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70" w:type="dxa"/>
            <w:tcBorders/>
            <w:shd w:fill="auto" w:val="clear"/>
            <w:vAlign w:val="center"/>
          </w:tcPr>
          <w:p>
            <w:pPr>
              <w:pStyle w:val="TableContents"/>
              <w:spacing w:before="0" w:after="1"/>
              <w:ind w:left="0" w:right="0" w:hanging="0"/>
              <w:rPr/>
            </w:pPr>
            <w:r>
              <w:rPr/>
              <w:t>​</w:t>
            </w:r>
          </w:p>
        </w:tc>
        <w:tc>
          <w:tcPr>
            <w:tcW w:w="61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9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38,707</w:t>
            </w:r>
          </w:p>
        </w:tc>
      </w:tr>
      <w:tr>
        <w:trPr/>
        <w:tc>
          <w:tcPr>
            <w:tcW w:w="19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Money market funds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284,486</w:t>
            </w:r>
          </w:p>
        </w:tc>
        <w:tc>
          <w:tcPr>
            <w:tcW w:w="326" w:type="dxa"/>
            <w:tcBorders/>
            <w:shd w:fill="CCEEFF" w:val="clear"/>
            <w:vAlign w:val="center"/>
          </w:tcPr>
          <w:p>
            <w:pPr>
              <w:pStyle w:val="TableContents"/>
              <w:spacing w:before="0" w:after="1"/>
              <w:ind w:left="0" w:right="0" w:hanging="0"/>
              <w:rPr/>
            </w:pPr>
            <w:r>
              <w:rPr/>
              <w:t>​</w:t>
            </w:r>
          </w:p>
        </w:tc>
        <w:tc>
          <w:tcPr>
            <w:tcW w:w="335"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55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70"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1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9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284,486</w:t>
            </w:r>
          </w:p>
        </w:tc>
      </w:tr>
      <w:tr>
        <w:trPr/>
        <w:tc>
          <w:tcPr>
            <w:tcW w:w="19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investments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368,414</w:t>
            </w:r>
          </w:p>
        </w:tc>
        <w:tc>
          <w:tcPr>
            <w:tcW w:w="326" w:type="dxa"/>
            <w:tcBorders/>
            <w:shd w:fill="auto" w:val="clear"/>
            <w:vAlign w:val="center"/>
          </w:tcPr>
          <w:p>
            <w:pPr>
              <w:pStyle w:val="TableContents"/>
              <w:spacing w:before="0" w:after="1"/>
              <w:ind w:left="0" w:right="0" w:hanging="0"/>
              <w:rPr/>
            </w:pPr>
            <w:r>
              <w:rPr/>
              <w:t>​</w:t>
            </w:r>
          </w:p>
        </w:tc>
        <w:tc>
          <w:tcPr>
            <w:tcW w:w="335"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70"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(126)</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auto" w:val="clear"/>
            <w:tcMar>
              <w:bottom w:w="28" w:type="dxa"/>
            </w:tcMar>
            <w:vAlign w:val="center"/>
          </w:tcPr>
          <w:p>
            <w:pPr>
              <w:pStyle w:val="TableContents"/>
              <w:spacing w:before="0" w:after="1"/>
              <w:ind w:left="0" w:right="72" w:hanging="0"/>
              <w:jc w:val="right"/>
              <w:rPr>
                <w:rFonts w:ascii="Times New Roman;Times;serif" w:hAnsi="Times New Roman;Times;serif"/>
                <w:sz w:val="20"/>
              </w:rPr>
            </w:pPr>
            <w:r>
              <w:rPr>
                <w:rFonts w:ascii="Times New Roman;Times;serif" w:hAnsi="Times New Roman;Times;serif"/>
                <w:sz w:val="20"/>
              </w:rPr>
              <w:t>368,288</w:t>
            </w:r>
          </w:p>
        </w:tc>
      </w:tr>
    </w:tbl>
    <w:p>
      <w:pPr>
        <w:pStyle w:val="TextBody"/>
        <w:spacing w:before="0" w:after="200"/>
        <w:ind w:left="0" w:right="0" w:hanging="0"/>
        <w:rPr/>
      </w:pPr>
      <w:r>
        <w:rPr/>
        <w:t>​</w:t>
      </w:r>
    </w:p>
    <w:tbl>
      <w:tblPr>
        <w:tblW w:w="8088" w:type="dxa"/>
        <w:jc w:val="left"/>
        <w:tblInd w:w="0" w:type="dxa"/>
        <w:tblCellMar>
          <w:top w:w="0" w:type="dxa"/>
          <w:left w:w="0" w:type="dxa"/>
          <w:bottom w:w="0" w:type="dxa"/>
          <w:right w:w="0" w:type="dxa"/>
        </w:tblCellMar>
      </w:tblPr>
      <w:tblGrid>
        <w:gridCol w:w="2911"/>
        <w:gridCol w:w="326"/>
        <w:gridCol w:w="211"/>
        <w:gridCol w:w="781"/>
        <w:gridCol w:w="326"/>
        <w:gridCol w:w="335"/>
        <w:gridCol w:w="551"/>
        <w:gridCol w:w="326"/>
        <w:gridCol w:w="270"/>
        <w:gridCol w:w="616"/>
        <w:gridCol w:w="326"/>
        <w:gridCol w:w="211"/>
        <w:gridCol w:w="898"/>
      </w:tblGrid>
      <w:tr>
        <w:trPr/>
        <w:tc>
          <w:tcPr>
            <w:tcW w:w="29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848485" cy="175260"/>
                      <wp:effectExtent l="0" t="0" r="0" b="0"/>
                      <wp:wrapNone/>
                      <wp:docPr id="55" name="Frame55"/>
                      <a:graphic xmlns:a="http://schemas.openxmlformats.org/drawingml/2006/main">
                        <a:graphicData uri="http://schemas.microsoft.com/office/word/2010/wordprocessingShape">
                          <wps:wsp>
                            <wps:cNvSpPr txBox="1"/>
                            <wps:spPr>
                              <a:xfrm>
                                <a:off x="0" y="0"/>
                                <a:ext cx="1848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6" name="Frame5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3985" cy="175260"/>
                      <wp:effectExtent l="0" t="0" r="0" b="0"/>
                      <wp:wrapNone/>
                      <wp:docPr id="57" name="Frame5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495935" cy="175260"/>
                      <wp:effectExtent l="0" t="0" r="0" b="0"/>
                      <wp:wrapNone/>
                      <wp:docPr id="58" name="Frame58"/>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59" name="Frame5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2725" cy="175260"/>
                      <wp:effectExtent l="0" t="0" r="0" b="0"/>
                      <wp:wrapNone/>
                      <wp:docPr id="60" name="Frame60"/>
                      <a:graphic xmlns:a="http://schemas.openxmlformats.org/drawingml/2006/main">
                        <a:graphicData uri="http://schemas.microsoft.com/office/word/2010/wordprocessingShape">
                          <wps:wsp>
                            <wps:cNvSpPr txBox="1"/>
                            <wps:spPr>
                              <a:xfrm>
                                <a:off x="0" y="0"/>
                                <a:ext cx="2127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349885" cy="175260"/>
                      <wp:effectExtent l="0" t="0" r="0" b="0"/>
                      <wp:wrapNone/>
                      <wp:docPr id="61" name="Frame61"/>
                      <a:graphic xmlns:a="http://schemas.openxmlformats.org/drawingml/2006/main">
                        <a:graphicData uri="http://schemas.microsoft.com/office/word/2010/wordprocessingShape">
                          <wps:wsp>
                            <wps:cNvSpPr txBox="1"/>
                            <wps:spPr>
                              <a:xfrm>
                                <a:off x="0" y="0"/>
                                <a:ext cx="3498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2" name="Frame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71450" cy="175260"/>
                      <wp:effectExtent l="0" t="0" r="0" b="0"/>
                      <wp:wrapNone/>
                      <wp:docPr id="63" name="Frame63"/>
                      <a:graphic xmlns:a="http://schemas.openxmlformats.org/drawingml/2006/main">
                        <a:graphicData uri="http://schemas.microsoft.com/office/word/2010/wordprocessingShape">
                          <wps:wsp>
                            <wps:cNvSpPr txBox="1"/>
                            <wps:spPr>
                              <a:xfrm>
                                <a:off x="0" y="0"/>
                                <a:ext cx="1714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391160" cy="175260"/>
                      <wp:effectExtent l="0" t="0" r="0" b="0"/>
                      <wp:wrapNone/>
                      <wp:docPr id="64" name="Frame64"/>
                      <a:graphic xmlns:a="http://schemas.openxmlformats.org/drawingml/2006/main">
                        <a:graphicData uri="http://schemas.microsoft.com/office/word/2010/wordprocessingShape">
                          <wps:wsp>
                            <wps:cNvSpPr txBox="1"/>
                            <wps:spPr>
                              <a:xfrm>
                                <a:off x="0" y="0"/>
                                <a:ext cx="3911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5" name="Frame6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3985" cy="175260"/>
                      <wp:effectExtent l="0" t="0" r="0" b="0"/>
                      <wp:wrapNone/>
                      <wp:docPr id="66" name="Frame6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570230" cy="175260"/>
                      <wp:effectExtent l="0" t="0" r="0" b="0"/>
                      <wp:wrapNone/>
                      <wp:docPr id="67" name="Frame67"/>
                      <a:graphic xmlns:a="http://schemas.openxmlformats.org/drawingml/2006/main">
                        <a:graphicData uri="http://schemas.microsoft.com/office/word/2010/wordprocessingShape">
                          <wps:wsp>
                            <wps:cNvSpPr txBox="1"/>
                            <wps:spPr>
                              <a:xfrm>
                                <a:off x="0" y="0"/>
                                <a:ext cx="5702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9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8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shd w:fill="auto" w:val="clear"/>
            <w:vAlign w:val="center"/>
          </w:tcPr>
          <w:p>
            <w:pPr>
              <w:pStyle w:val="TableContents"/>
              <w:spacing w:before="0" w:after="1"/>
              <w:ind w:left="0" w:right="0" w:hanging="0"/>
              <w:rPr/>
            </w:pPr>
            <w:r>
              <w:rPr/>
              <w:t>​</w:t>
            </w:r>
          </w:p>
        </w:tc>
        <w:tc>
          <w:tcPr>
            <w:tcW w:w="88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98" w:type="dxa"/>
            <w:tcBorders/>
            <w:shd w:fill="auto" w:val="clear"/>
            <w:vAlign w:val="center"/>
          </w:tcPr>
          <w:p>
            <w:pPr>
              <w:pStyle w:val="TableContents"/>
              <w:spacing w:before="0" w:after="1"/>
              <w:ind w:left="0" w:right="0" w:hanging="0"/>
              <w:jc w:val="center"/>
              <w:rPr/>
            </w:pPr>
            <w:r>
              <w:rPr/>
              <w:t>​</w:t>
            </w:r>
          </w:p>
        </w:tc>
      </w:tr>
      <w:tr>
        <w:trPr/>
        <w:tc>
          <w:tcPr>
            <w:tcW w:w="29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9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Amortized </w:t>
            </w:r>
          </w:p>
        </w:tc>
        <w:tc>
          <w:tcPr>
            <w:tcW w:w="326" w:type="dxa"/>
            <w:tcBorders/>
            <w:shd w:fill="auto" w:val="clear"/>
            <w:vAlign w:val="center"/>
          </w:tcPr>
          <w:p>
            <w:pPr>
              <w:pStyle w:val="TableContents"/>
              <w:spacing w:before="0" w:after="1"/>
              <w:ind w:left="0" w:right="0" w:hanging="0"/>
              <w:rPr/>
            </w:pPr>
            <w:r>
              <w:rPr/>
              <w:t>​</w:t>
            </w:r>
          </w:p>
        </w:tc>
        <w:tc>
          <w:tcPr>
            <w:tcW w:w="88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shd w:fill="auto" w:val="clear"/>
            <w:vAlign w:val="center"/>
          </w:tcPr>
          <w:p>
            <w:pPr>
              <w:pStyle w:val="TableContents"/>
              <w:spacing w:before="0" w:after="1"/>
              <w:ind w:left="0" w:right="0" w:hanging="0"/>
              <w:rPr/>
            </w:pPr>
            <w:r>
              <w:rPr/>
              <w:t>​</w:t>
            </w:r>
          </w:p>
        </w:tc>
        <w:tc>
          <w:tcPr>
            <w:tcW w:w="88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98" w:type="dxa"/>
            <w:tcBorders/>
            <w:shd w:fill="auto" w:val="clear"/>
            <w:vAlign w:val="center"/>
          </w:tcPr>
          <w:p>
            <w:pPr>
              <w:pStyle w:val="TableContents"/>
              <w:spacing w:before="0" w:after="1"/>
              <w:ind w:left="0" w:right="0" w:hanging="0"/>
              <w:jc w:val="center"/>
              <w:rPr/>
            </w:pPr>
            <w:r>
              <w:rPr/>
              <w:t>​</w:t>
            </w:r>
          </w:p>
        </w:tc>
      </w:tr>
      <w:tr>
        <w:trPr/>
        <w:tc>
          <w:tcPr>
            <w:tcW w:w="291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As of December 31, 2022</w:t>
            </w:r>
          </w:p>
        </w:tc>
        <w:tc>
          <w:tcPr>
            <w:tcW w:w="326" w:type="dxa"/>
            <w:tcBorders/>
            <w:shd w:fill="auto" w:val="clear"/>
            <w:vAlign w:val="center"/>
          </w:tcPr>
          <w:p>
            <w:pPr>
              <w:pStyle w:val="TableContents"/>
              <w:spacing w:before="0" w:after="1"/>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shd w:fill="auto" w:val="clear"/>
            <w:vAlign w:val="center"/>
          </w:tcPr>
          <w:p>
            <w:pPr>
              <w:pStyle w:val="TableContents"/>
              <w:spacing w:before="0" w:after="1"/>
              <w:ind w:left="0" w:right="0" w:hanging="0"/>
              <w:rPr/>
            </w:pPr>
            <w:r>
              <w:rPr/>
              <w:t>    </w:t>
            </w:r>
          </w:p>
        </w:tc>
        <w:tc>
          <w:tcPr>
            <w:tcW w:w="88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shd w:fill="auto" w:val="clear"/>
            <w:vAlign w:val="center"/>
          </w:tcPr>
          <w:p>
            <w:pPr>
              <w:pStyle w:val="TableContents"/>
              <w:spacing w:before="0" w:after="1"/>
              <w:ind w:left="0" w:right="0" w:hanging="0"/>
              <w:rPr/>
            </w:pPr>
            <w:r>
              <w:rPr/>
              <w:t>    </w:t>
            </w:r>
          </w:p>
        </w:tc>
        <w:tc>
          <w:tcPr>
            <w:tcW w:w="88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shd w:fill="auto" w:val="clear"/>
            <w:vAlign w:val="center"/>
          </w:tcPr>
          <w:p>
            <w:pPr>
              <w:pStyle w:val="TableContents"/>
              <w:spacing w:before="0" w:after="1"/>
              <w:ind w:left="0" w:right="0" w:hanging="0"/>
              <w:rPr/>
            </w:pPr>
            <w:r>
              <w:rPr/>
              <w:t>    </w:t>
            </w:r>
          </w:p>
        </w:tc>
        <w:tc>
          <w:tcPr>
            <w:tcW w:w="1109"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9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U.S. treasury securities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118,570</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33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7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(850)</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117,720</w:t>
            </w:r>
          </w:p>
        </w:tc>
      </w:tr>
      <w:tr>
        <w:trPr/>
        <w:tc>
          <w:tcPr>
            <w:tcW w:w="29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U.S. government agency securities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11,272</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335" w:type="dxa"/>
            <w:tcBorders/>
            <w:shd w:fill="auto" w:val="clear"/>
            <w:vAlign w:val="center"/>
          </w:tcPr>
          <w:p>
            <w:pPr>
              <w:pStyle w:val="TableContents"/>
              <w:spacing w:before="0" w:after="1"/>
              <w:ind w:left="0" w:right="0" w:hanging="0"/>
              <w:rPr/>
            </w:pPr>
            <w:r>
              <w:rPr/>
              <w:t> </w:t>
            </w:r>
          </w:p>
        </w:tc>
        <w:tc>
          <w:tcPr>
            <w:tcW w:w="5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70" w:type="dxa"/>
            <w:tcBorders/>
            <w:shd w:fill="auto" w:val="clear"/>
            <w:vAlign w:val="center"/>
          </w:tcPr>
          <w:p>
            <w:pPr>
              <w:pStyle w:val="TableContents"/>
              <w:spacing w:before="0" w:after="1"/>
              <w:ind w:left="0" w:right="0" w:hanging="0"/>
              <w:rPr/>
            </w:pPr>
            <w:r>
              <w:rPr/>
              <w:t> </w:t>
            </w:r>
          </w:p>
        </w:tc>
        <w:tc>
          <w:tcPr>
            <w:tcW w:w="61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pPr>
            <w:r>
              <w:rPr/>
              <w:t> </w:t>
            </w:r>
          </w:p>
        </w:tc>
        <w:tc>
          <w:tcPr>
            <w:tcW w:w="89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11,265</w:t>
            </w:r>
          </w:p>
        </w:tc>
      </w:tr>
      <w:tr>
        <w:trPr/>
        <w:tc>
          <w:tcPr>
            <w:tcW w:w="29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Corporate securities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7,230</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335" w:type="dxa"/>
            <w:tcBorders/>
            <w:shd w:fill="CCEEFF" w:val="clear"/>
            <w:vAlign w:val="center"/>
          </w:tcPr>
          <w:p>
            <w:pPr>
              <w:pStyle w:val="TableContents"/>
              <w:spacing w:before="0" w:after="1"/>
              <w:ind w:left="0" w:right="0" w:hanging="0"/>
              <w:rPr/>
            </w:pPr>
            <w:r>
              <w:rPr/>
              <w:t>​</w:t>
            </w:r>
          </w:p>
        </w:tc>
        <w:tc>
          <w:tcPr>
            <w:tcW w:w="5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70" w:type="dxa"/>
            <w:tcBorders/>
            <w:shd w:fill="CCEEFF" w:val="clear"/>
            <w:vAlign w:val="center"/>
          </w:tcPr>
          <w:p>
            <w:pPr>
              <w:pStyle w:val="TableContents"/>
              <w:spacing w:before="0" w:after="1"/>
              <w:ind w:left="0" w:right="0" w:hanging="0"/>
              <w:rPr/>
            </w:pPr>
            <w:r>
              <w:rPr/>
              <w:t>​</w:t>
            </w:r>
          </w:p>
        </w:tc>
        <w:tc>
          <w:tcPr>
            <w:tcW w:w="61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pPr>
            <w:r>
              <w:rPr/>
              <w:t>​</w:t>
            </w:r>
          </w:p>
        </w:tc>
        <w:tc>
          <w:tcPr>
            <w:tcW w:w="89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7,230</w:t>
            </w:r>
          </w:p>
        </w:tc>
      </w:tr>
      <w:tr>
        <w:trPr/>
        <w:tc>
          <w:tcPr>
            <w:tcW w:w="29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Commercial paper</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148,299</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335" w:type="dxa"/>
            <w:tcBorders/>
            <w:shd w:fill="auto" w:val="clear"/>
            <w:vAlign w:val="center"/>
          </w:tcPr>
          <w:p>
            <w:pPr>
              <w:pStyle w:val="TableContents"/>
              <w:spacing w:before="0" w:after="1"/>
              <w:ind w:left="0" w:right="0" w:hanging="0"/>
              <w:rPr/>
            </w:pPr>
            <w:r>
              <w:rPr/>
              <w:t>​</w:t>
            </w:r>
          </w:p>
        </w:tc>
        <w:tc>
          <w:tcPr>
            <w:tcW w:w="5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70" w:type="dxa"/>
            <w:tcBorders/>
            <w:shd w:fill="auto" w:val="clear"/>
            <w:vAlign w:val="center"/>
          </w:tcPr>
          <w:p>
            <w:pPr>
              <w:pStyle w:val="TableContents"/>
              <w:spacing w:before="0" w:after="1"/>
              <w:ind w:left="0" w:right="0" w:hanging="0"/>
              <w:rPr/>
            </w:pPr>
            <w:r>
              <w:rPr/>
              <w:t>​</w:t>
            </w:r>
          </w:p>
        </w:tc>
        <w:tc>
          <w:tcPr>
            <w:tcW w:w="61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pPr>
            <w:r>
              <w:rPr/>
              <w:t>​</w:t>
            </w:r>
          </w:p>
        </w:tc>
        <w:tc>
          <w:tcPr>
            <w:tcW w:w="89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148,254</w:t>
            </w:r>
          </w:p>
        </w:tc>
      </w:tr>
      <w:tr>
        <w:trPr/>
        <w:tc>
          <w:tcPr>
            <w:tcW w:w="29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Money market funds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88,001</w:t>
            </w:r>
          </w:p>
        </w:tc>
        <w:tc>
          <w:tcPr>
            <w:tcW w:w="326" w:type="dxa"/>
            <w:tcBorders/>
            <w:shd w:fill="CCEEFF" w:val="clear"/>
            <w:vAlign w:val="center"/>
          </w:tcPr>
          <w:p>
            <w:pPr>
              <w:pStyle w:val="TableContents"/>
              <w:spacing w:before="0" w:after="1"/>
              <w:ind w:left="0" w:right="0" w:hanging="0"/>
              <w:rPr/>
            </w:pPr>
            <w:r>
              <w:rPr/>
              <w:t>​</w:t>
            </w:r>
          </w:p>
        </w:tc>
        <w:tc>
          <w:tcPr>
            <w:tcW w:w="335"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55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70"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1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9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88,001</w:t>
            </w:r>
          </w:p>
        </w:tc>
      </w:tr>
      <w:tr>
        <w:trPr/>
        <w:tc>
          <w:tcPr>
            <w:tcW w:w="29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investments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373,372</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335"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70"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(910)</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auto" w:val="clear"/>
            <w:tcMar>
              <w:bottom w:w="28" w:type="dxa"/>
            </w:tcMar>
            <w:vAlign w:val="center"/>
          </w:tcPr>
          <w:p>
            <w:pPr>
              <w:pStyle w:val="TableContents"/>
              <w:spacing w:before="0" w:after="1"/>
              <w:ind w:left="0" w:right="72" w:hanging="0"/>
              <w:jc w:val="right"/>
              <w:rPr>
                <w:rFonts w:ascii="Times New Roman;Times;serif" w:hAnsi="Times New Roman;Times;serif"/>
                <w:sz w:val="20"/>
              </w:rPr>
            </w:pPr>
            <w:r>
              <w:rPr>
                <w:rFonts w:ascii="Times New Roman;Times;serif" w:hAnsi="Times New Roman;Times;serif"/>
                <w:sz w:val="20"/>
              </w:rPr>
              <w:t>372,470</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pPr>
      <w:bookmarkStart w:id="662" w:name="Tc_X5Qhy0kO5kGnrBhUw-2OiQ_8_11"/>
      <w:bookmarkStart w:id="663" w:name="Tc_yG2-gHD2Kk-P4AgPLLl4TQ_8_9"/>
      <w:bookmarkStart w:id="664" w:name="Tc_iPBHLC5yyUWc0AEb7YSXkQ_8_8"/>
      <w:bookmarkStart w:id="665" w:name="Tc_Bc6SN1afOkaoB9hh5qpQfQ_8_5"/>
      <w:bookmarkStart w:id="666" w:name="Tc_iwk3dWfpU0aoijh-r_6GKw_8_2"/>
      <w:bookmarkStart w:id="667" w:name="Tc_W9ucObef5k2WpcuruXgXFA_8_0"/>
      <w:bookmarkStart w:id="668" w:name="Tc_Jg1Os7b4o0mbxhz4TfCPEA_7_9"/>
      <w:bookmarkStart w:id="669" w:name="Tc_e9IuNEUzfkKZG5qKyq8Pyw_7_6"/>
      <w:bookmarkStart w:id="670" w:name="Tc_3PaiTxZ6J0iG0TfN0febXQ_7_0"/>
      <w:bookmarkStart w:id="671" w:name="Tc_ok_QMQAtykqXnALGCFSrqw_6_9"/>
      <w:bookmarkStart w:id="672" w:name="Tc_RCbkaPNIpEOPqFHClh_sLQ_6_3"/>
      <w:bookmarkStart w:id="673" w:name="Tc_wohEu-QPNkuJWHBWPMaXtg_6_0"/>
      <w:bookmarkStart w:id="674" w:name="Tc_RA-Ex0hBx0GMyRbAh2Aqiw_5_9"/>
      <w:bookmarkStart w:id="675" w:name="Tc_idOpATHCUEeF243U8NsUyQ_5_3"/>
      <w:bookmarkStart w:id="676" w:name="Tc_j-Mcq_F97EKmUAftq-vmiA_5_0"/>
      <w:bookmarkStart w:id="677" w:name="Tc_MGpi21dDSkWkrjNOhJefdw_4_9"/>
      <w:bookmarkStart w:id="678" w:name="Tc_AfSp56R7P0ClKab1cxybkQ_4_3"/>
      <w:bookmarkStart w:id="679" w:name="Tc_MD7WA8qSRk2mkxdxALn2pw_4_0"/>
      <w:bookmarkStart w:id="680" w:name="Tc_YfR31FGGU0SlgANyR0NkWQ_3_11"/>
      <w:bookmarkStart w:id="681" w:name="Tc_xjPxxZfZZkeUS9x8uacXOA_3_9"/>
      <w:bookmarkStart w:id="682" w:name="Tc_oWJ5S8BhFUC8Bs5CCgrrzw_3_8"/>
      <w:bookmarkStart w:id="683" w:name="Tc_RM3o1KrnVECKmzBLTrcFOg_3_6"/>
      <w:bookmarkStart w:id="684" w:name="Tc_JcFFBhorU02EDO6itZKajQ_3_5"/>
      <w:bookmarkStart w:id="685" w:name="Tc_Pa_g10u5IUugjH2Y9EOe1w_3_2"/>
      <w:bookmarkStart w:id="686" w:name="Tc_2-x-YPcaWU6IdBOOJzflRg_3_0"/>
      <w:bookmarkStart w:id="687" w:name="Tc_KZdsPoajW0acKDp2Qi9nbQ_2_11"/>
      <w:bookmarkStart w:id="688" w:name="Tc_dTT9hpN2ZEuUjnhW9Hxw7A_2_8"/>
      <w:bookmarkStart w:id="689" w:name="Tc_9jZtyLYWdkmtZEceQeFsrw_2_5"/>
      <w:bookmarkStart w:id="690" w:name="Tc_TUfC2H30FEiF_A80D26heg_2_2"/>
      <w:bookmarkStart w:id="691" w:name="Tc_K9IH1uNGmEyiI9HKXMlV5Q_1_2"/>
      <w:bookmarkStart w:id="692" w:name="_110a36d9_7e25_4db0_bfb1_58cd3c1f2723"/>
      <w:bookmarkStart w:id="693" w:name="Tc_P8BpNaM_xk-KQY-ZDUTyEg_6_11"/>
      <w:bookmarkStart w:id="694" w:name="Tc_K48IJDKcM0yDfymTtx6LGA_6_9"/>
      <w:bookmarkStart w:id="695" w:name="Tc_rHpH8R1ApEmxQhEu0GXnxw_6_8"/>
      <w:bookmarkStart w:id="696" w:name="Tc_TzNHpXR7Z0qNQKe1z0ZVXg_6_5"/>
      <w:bookmarkStart w:id="697" w:name="Tc_PQZraQE79E2OgTLRjaKLJw_6_2"/>
      <w:bookmarkStart w:id="698" w:name="Tc_TCFmBJHDXkGFLjZRmdZauw_6_0"/>
      <w:bookmarkStart w:id="699" w:name="Tc_fCPmK7jtDkSyJ3cZSyma9A_5_9"/>
      <w:bookmarkStart w:id="700" w:name="Tc_GT-JdQ0bI0K829BrVk3Kjw_5_6"/>
      <w:bookmarkStart w:id="701" w:name="Tc_NLLJBkkTW0u4-YeuKLsnNA_5_0"/>
      <w:bookmarkStart w:id="702" w:name="Tc_pYHBdnppgkycdACsqpjyLA_4_9"/>
      <w:bookmarkStart w:id="703" w:name="Tc_4JIH6IuDIEeHFDZ7nBkboA_4_3"/>
      <w:bookmarkStart w:id="704" w:name="Tc_HzyjYY458kOu0KmEhp-s7g_4_0"/>
      <w:bookmarkStart w:id="705" w:name="Tc_vX_gA7tPFE-GEftr3OLoAg_3_11"/>
      <w:bookmarkStart w:id="706" w:name="Tc_MpCG5SbTfE6SR0NKwYCNVg_3_9"/>
      <w:bookmarkStart w:id="707" w:name="Tc_z311oYe_1E-hMTVfkDWodQ_3_8"/>
      <w:bookmarkStart w:id="708" w:name="Tc_xhPpUuzfcEOG63fNAphUrA_3_6"/>
      <w:bookmarkStart w:id="709" w:name="Tc_IXqKVOKpfEqY2NIBGes5yw_3_5"/>
      <w:bookmarkStart w:id="710" w:name="Tc_5eh7UUfVu0S6FqC9oO3xYQ_3_2"/>
      <w:bookmarkStart w:id="711" w:name="Tc_yCKb_y6SAkiPEABEUMCKew_3_0"/>
      <w:bookmarkStart w:id="712" w:name="Tc_GstRsWX-0k28I8ItvMp7bw_2_11"/>
      <w:bookmarkStart w:id="713" w:name="Tc_pedcaYRLWE2jjKPiwncZ0g_2_8"/>
      <w:bookmarkStart w:id="714" w:name="Tc_IV1JpsnsCUOS5frs6jRqew_2_5"/>
      <w:bookmarkStart w:id="715" w:name="Tc_Pc4-_ps33EebeFU1IuuaZw_2_2"/>
      <w:bookmarkStart w:id="716" w:name="Tc_pPgR8L1nake-gxx3gVQNjg_1_2"/>
      <w:bookmarkStart w:id="717" w:name="_ef606639_55b6_4843_a65a_7098773d8c67"/>
      <w:bookmarkStart w:id="718" w:name="Tc_gfw5-xjXdkWii_RlAUeRww_5_5"/>
      <w:bookmarkStart w:id="719" w:name="Tc_q_hMR502BUKU889SKxwDqQ_5_2"/>
      <w:bookmarkStart w:id="720" w:name="Tc_2J-uPVmJ1EapJZEi5jyd_w_5_0"/>
      <w:bookmarkStart w:id="721" w:name="Tc_SmqAOSavu0mNb2lbdywJlw_4_0"/>
      <w:bookmarkStart w:id="722" w:name="Tc_8SBRJuNO0UCv9UKSniBXdg_3_5"/>
      <w:bookmarkStart w:id="723" w:name="Tc_UQkTwr2xDkmwlidWameenQ_3_2"/>
      <w:bookmarkStart w:id="724" w:name="Tc_JuiPT_NLXUqvWoAeQh2NkQ_3_0"/>
      <w:bookmarkStart w:id="725" w:name="Tc_N5qwBHM1GE6yeDulXHZFeA_2_5"/>
      <w:bookmarkStart w:id="726" w:name="Tc_sLzzZlKUBkSdvLtSuBlMHQ_2_2"/>
      <w:bookmarkStart w:id="727" w:name="Tc_xoSP_FU-BUa73PdutRGnLg_2_0"/>
      <w:bookmarkStart w:id="728" w:name="Tc_k7NgsCKwekSOmJQZrpUePg_1_5"/>
      <w:bookmarkStart w:id="729" w:name="Tc_LrcPAkGnJkCcQzo5nO9Ymg_1_2"/>
      <w:bookmarkStart w:id="730" w:name="_6204f270_1533_4746_8b69_a4122079a649"/>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r>
        <w:rPr/>
        <w:t>​</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The fair value of cash equivalents and investments as of March 31, 2023 and December 31, 2022 are classified as follows in the Company’s Consolidated Balance Sheets (in thousands):</w:t>
      </w:r>
    </w:p>
    <w:tbl>
      <w:tblPr>
        <w:tblW w:w="4608" w:type="dxa"/>
        <w:jc w:val="left"/>
        <w:tblInd w:w="0" w:type="dxa"/>
        <w:tblCellMar>
          <w:top w:w="0" w:type="dxa"/>
          <w:left w:w="0" w:type="dxa"/>
          <w:bottom w:w="0" w:type="dxa"/>
          <w:right w:w="0" w:type="dxa"/>
        </w:tblCellMar>
      </w:tblPr>
      <w:tblGrid>
        <w:gridCol w:w="1996"/>
        <w:gridCol w:w="109"/>
        <w:gridCol w:w="211"/>
        <w:gridCol w:w="781"/>
        <w:gridCol w:w="326"/>
        <w:gridCol w:w="225"/>
        <w:gridCol w:w="960"/>
      </w:tblGrid>
      <w:tr>
        <w:trPr/>
        <w:tc>
          <w:tcPr>
            <w:tcW w:w="199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9215" cy="175260"/>
                      <wp:effectExtent l="0" t="0" r="0" b="0"/>
                      <wp:wrapNone/>
                      <wp:docPr id="68" name="Frame6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69" name="Frame6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5" w:type="dxa"/>
            <w:tcBorders/>
            <w:shd w:fill="auto" w:val="clear"/>
            <w:vAlign w:val="center"/>
          </w:tcPr>
          <w:p>
            <w:pPr>
              <w:pStyle w:val="TableContents"/>
              <w:spacing w:before="0" w:after="1"/>
              <w:ind w:left="0" w:right="0" w:hanging="0"/>
              <w:rPr/>
            </w:pPr>
            <w:r>
              <w:rPr/>
              <w:t>​</w:t>
            </w:r>
          </w:p>
        </w:tc>
        <w:tc>
          <w:tcPr>
            <w:tcW w:w="960" w:type="dxa"/>
            <w:tcBorders/>
            <w:shd w:fill="auto" w:val="clear"/>
            <w:vAlign w:val="center"/>
          </w:tcPr>
          <w:p>
            <w:pPr>
              <w:pStyle w:val="TableContents"/>
              <w:spacing w:before="0" w:after="1"/>
              <w:ind w:left="0" w:right="0" w:hanging="0"/>
              <w:rPr/>
            </w:pPr>
            <w:r>
              <w:rPr/>
              <w:t>​</w:t>
            </w:r>
          </w:p>
        </w:tc>
      </w:tr>
      <w:tr>
        <w:trPr/>
        <w:tc>
          <w:tcPr>
            <w:tcW w:w="1996"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rPr/>
            </w:pPr>
            <w:r>
              <w:rPr/>
              <w:t>​</w:t>
            </w:r>
          </w:p>
        </w:tc>
        <w:tc>
          <w:tcPr>
            <w:tcW w:w="99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1"/>
              <w:ind w:left="0" w:right="0" w:hanging="0"/>
              <w:rPr/>
            </w:pPr>
            <w:r>
              <w:rPr/>
              <w:t>​</w:t>
            </w:r>
          </w:p>
        </w:tc>
        <w:tc>
          <w:tcPr>
            <w:tcW w:w="118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996"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Classified as:</w:t>
            </w:r>
          </w:p>
        </w:tc>
        <w:tc>
          <w:tcPr>
            <w:tcW w:w="109" w:type="dxa"/>
            <w:tcBorders/>
            <w:shd w:fill="auto" w:val="clear"/>
            <w:vAlign w:val="center"/>
          </w:tcPr>
          <w:p>
            <w:pPr>
              <w:pStyle w:val="TableContents"/>
              <w:spacing w:before="0" w:after="1"/>
              <w:ind w:left="0" w:right="0" w:hanging="0"/>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1"/>
              <w:ind w:left="0" w:right="0" w:hanging="0"/>
              <w:rPr/>
            </w:pPr>
            <w:r>
              <w:rPr/>
              <w:t>    </w:t>
            </w:r>
          </w:p>
        </w:tc>
        <w:tc>
          <w:tcPr>
            <w:tcW w:w="118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9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Cash equivalents</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285,480</w:t>
            </w:r>
          </w:p>
        </w:tc>
        <w:tc>
          <w:tcPr>
            <w:tcW w:w="326" w:type="dxa"/>
            <w:tcBorders/>
            <w:shd w:fill="CCEEFF" w:val="clear"/>
            <w:vAlign w:val="center"/>
          </w:tcPr>
          <w:p>
            <w:pPr>
              <w:pStyle w:val="TableContents"/>
              <w:spacing w:before="0" w:after="1"/>
              <w:ind w:left="0" w:right="0" w:hanging="0"/>
              <w:rPr/>
            </w:pPr>
            <w:r>
              <w:rPr/>
              <w:t>​</w:t>
            </w:r>
          </w:p>
        </w:tc>
        <w:tc>
          <w:tcPr>
            <w:tcW w:w="22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6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132,356</w:t>
            </w:r>
          </w:p>
        </w:tc>
      </w:tr>
      <w:tr>
        <w:trPr/>
        <w:tc>
          <w:tcPr>
            <w:tcW w:w="19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Short-term investments</w:t>
            </w:r>
          </w:p>
        </w:tc>
        <w:tc>
          <w:tcPr>
            <w:tcW w:w="109" w:type="dxa"/>
            <w:tcBorders/>
            <w:shd w:fill="auto" w:val="clear"/>
            <w:vAlign w:val="center"/>
          </w:tcPr>
          <w:p>
            <w:pPr>
              <w:pStyle w:val="TableContents"/>
              <w:spacing w:before="0" w:after="1"/>
              <w:ind w:left="0" w:right="0" w:hanging="0"/>
              <w:jc w:val="right"/>
              <w:rPr>
                <w:color w:val="FF0000"/>
              </w:rPr>
            </w:pPr>
            <w:r>
              <w:rPr>
                <w:color w:val="FF0000"/>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82,808</w:t>
            </w:r>
          </w:p>
        </w:tc>
        <w:tc>
          <w:tcPr>
            <w:tcW w:w="326" w:type="dxa"/>
            <w:tcBorders/>
            <w:shd w:fill="auto" w:val="clear"/>
            <w:vAlign w:val="center"/>
          </w:tcPr>
          <w:p>
            <w:pPr>
              <w:pStyle w:val="TableContents"/>
              <w:spacing w:before="0" w:after="1"/>
              <w:ind w:left="0" w:right="0" w:hanging="0"/>
              <w:rPr/>
            </w:pPr>
            <w:r>
              <w:rPr/>
              <w:t>​</w:t>
            </w:r>
          </w:p>
        </w:tc>
        <w:tc>
          <w:tcPr>
            <w:tcW w:w="225"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6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240,114</w:t>
            </w:r>
          </w:p>
        </w:tc>
      </w:tr>
      <w:tr>
        <w:trPr/>
        <w:tc>
          <w:tcPr>
            <w:tcW w:w="19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investments</w:t>
            </w:r>
          </w:p>
        </w:tc>
        <w:tc>
          <w:tcPr>
            <w:tcW w:w="109" w:type="dxa"/>
            <w:tcBorders/>
            <w:shd w:fill="CCEEFF" w:val="clear"/>
            <w:vAlign w:val="center"/>
          </w:tcPr>
          <w:p>
            <w:pPr>
              <w:pStyle w:val="TableContents"/>
              <w:spacing w:before="0" w:after="1"/>
              <w:ind w:left="0" w:right="0" w:hanging="0"/>
              <w:jc w:val="right"/>
              <w:rPr>
                <w:color w:val="FF0000"/>
              </w:rPr>
            </w:pPr>
            <w:r>
              <w:rPr>
                <w:color w:val="FF0000"/>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368,288</w:t>
            </w:r>
          </w:p>
        </w:tc>
        <w:tc>
          <w:tcPr>
            <w:tcW w:w="326" w:type="dxa"/>
            <w:tcBorders/>
            <w:shd w:fill="CCEEFF" w:val="clear"/>
            <w:vAlign w:val="center"/>
          </w:tcPr>
          <w:p>
            <w:pPr>
              <w:pStyle w:val="TableContents"/>
              <w:spacing w:before="0" w:after="1"/>
              <w:ind w:left="0" w:right="0" w:hanging="0"/>
              <w:rPr/>
            </w:pPr>
            <w:r>
              <w:rPr/>
              <w:t>​</w:t>
            </w:r>
          </w:p>
        </w:tc>
        <w:tc>
          <w:tcPr>
            <w:tcW w:w="22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6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1"/>
              <w:ind w:left="0" w:right="72" w:hanging="0"/>
              <w:jc w:val="right"/>
              <w:rPr>
                <w:rFonts w:ascii="Times New Roman;Times;serif" w:hAnsi="Times New Roman;Times;serif"/>
                <w:sz w:val="20"/>
              </w:rPr>
            </w:pPr>
            <w:r>
              <w:rPr>
                <w:rFonts w:ascii="Times New Roman;Times;serif" w:hAnsi="Times New Roman;Times;serif"/>
                <w:sz w:val="20"/>
              </w:rPr>
              <w:t>372,470</w:t>
            </w:r>
          </w:p>
        </w:tc>
      </w:tr>
    </w:tbl>
    <w:p>
      <w:pPr>
        <w:pStyle w:val="TextBody"/>
        <w:spacing w:before="0" w:after="200"/>
        <w:ind w:left="0" w:right="0" w:hanging="0"/>
        <w:rPr/>
      </w:pPr>
      <w:r>
        <w:rPr/>
        <w:t>​</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Cash equivalents in the tables above exclude cash demand deposits of $258.0</w:t>
      </w:r>
      <w:r>
        <w:rPr>
          <w:rFonts w:ascii="Times New Roman;Times;serif" w:hAnsi="Times New Roman;Times;serif"/>
          <w:color w:val="FF0000"/>
          <w:sz w:val="20"/>
        </w:rPr>
        <w:t xml:space="preserve"> </w:t>
      </w:r>
      <w:r>
        <w:rPr>
          <w:rFonts w:ascii="Times New Roman;Times;serif" w:hAnsi="Times New Roman;Times;serif"/>
          <w:sz w:val="20"/>
        </w:rPr>
        <w:t xml:space="preserve">million and $99.4 million as of March 31, 2023 and December 31, 2022, respectively. </w:t>
      </w:r>
      <w:r>
        <w:rPr>
          <w:rFonts w:ascii="Times New Roman;Times;serif" w:hAnsi="Times New Roman;Times;serif"/>
          <w:sz w:val="20"/>
          <w:highlight w:val="white"/>
        </w:rPr>
        <w:t xml:space="preserve">Unrealized gains and losses are included in accumulated other comprehensive loss, and as of </w:t>
      </w:r>
      <w:r>
        <w:rPr>
          <w:rFonts w:ascii="Times New Roman;Times;serif" w:hAnsi="Times New Roman;Times;serif"/>
          <w:sz w:val="20"/>
        </w:rPr>
        <w:t xml:space="preserve">March 31, 2023 and December 31, 2022 </w:t>
      </w:r>
      <w:r>
        <w:rPr>
          <w:rFonts w:ascii="Times New Roman;Times;serif" w:hAnsi="Times New Roman;Times;serif"/>
          <w:sz w:val="20"/>
          <w:highlight w:val="white"/>
        </w:rPr>
        <w:t xml:space="preserve">no unrealized losses on available-for-sale securities have resulted from credit risk. All available-for-sale securities held as of </w:t>
      </w:r>
      <w:r>
        <w:rPr>
          <w:rFonts w:ascii="Times New Roman;Times;serif" w:hAnsi="Times New Roman;Times;serif"/>
          <w:sz w:val="20"/>
        </w:rPr>
        <w:t xml:space="preserve">March 31, 2023 and December 31, 2022 </w:t>
      </w:r>
      <w:r>
        <w:rPr>
          <w:rFonts w:ascii="Times New Roman;Times;serif" w:hAnsi="Times New Roman;Times;serif"/>
          <w:sz w:val="20"/>
          <w:highlight w:val="white"/>
        </w:rPr>
        <w:t>had contractual maturities of less than one year. The amount of unrealized losses on available-for-sale securities that have been in a continuous unrealized loss position for more than 12 months, held as of the periods presented, was immaterial. The Company determined that it has the ability and intent to hold all marketable securities that have been in a continuous loss position for more than 12 months until maturity or recovery. To date, the Company has not recorded any impairment charges on its marketable securities.</w:t>
      </w:r>
      <w:r>
        <w:rPr>
          <w:rFonts w:ascii="Times New Roman;Times;serif" w:hAnsi="Times New Roman;Times;serif"/>
          <w:sz w:val="20"/>
        </w:rPr>
        <w:t xml:space="preserve"> </w:t>
      </w:r>
    </w:p>
    <w:p>
      <w:pPr>
        <w:pStyle w:val="TextBody"/>
        <w:spacing w:before="0" w:after="0"/>
        <w:ind w:left="0" w:right="0" w:hanging="0"/>
        <w:rPr>
          <w:rFonts w:ascii="Times New Roman;Times;serif" w:hAnsi="Times New Roman;Times;serif"/>
          <w:b/>
          <w:i/>
          <w:sz w:val="20"/>
          <w:highlight w:val="white"/>
        </w:rPr>
      </w:pPr>
      <w:r>
        <w:rPr>
          <w:rFonts w:ascii="Times New Roman;Times;serif" w:hAnsi="Times New Roman;Times;serif"/>
          <w:b/>
          <w:i/>
          <w:sz w:val="20"/>
          <w:highlight w:val="white"/>
        </w:rPr>
        <w:t>Recurring Fair Value Measurements</w:t>
      </w:r>
    </w:p>
    <w:p>
      <w:pPr>
        <w:pStyle w:val="TextBody"/>
        <w:spacing w:before="0" w:after="200"/>
        <w:ind w:left="0" w:right="0" w:firstLine="547"/>
        <w:rPr/>
      </w:pPr>
      <w:r>
        <w:rPr/>
        <w:t>​</w:t>
      </w:r>
    </w:p>
    <w:p>
      <w:pPr>
        <w:pStyle w:val="TextBody"/>
        <w:spacing w:before="0" w:after="0"/>
        <w:ind w:left="0" w:right="0" w:firstLine="547"/>
        <w:rPr>
          <w:rFonts w:ascii="Times New Roman;Times;serif" w:hAnsi="Times New Roman;Times;serif"/>
          <w:sz w:val="20"/>
        </w:rPr>
      </w:pPr>
      <w:r>
        <w:rPr>
          <w:rFonts w:ascii="Times New Roman;Times;serif" w:hAnsi="Times New Roman;Times;serif"/>
          <w:sz w:val="20"/>
        </w:rPr>
        <w:t>As of March 31, 2023 and December 31, 2022, the fair value of the Company’s financial assets that are measured at fair value on a recurring basis, which consist of cash equivalents and short-term and long-term investments classified as available-for-sale securities, are categorized in the table below based upon the lowest level of significant input to the valuations (in thousands):</w:t>
      </w:r>
    </w:p>
    <w:p>
      <w:pPr>
        <w:pStyle w:val="TextBody"/>
        <w:spacing w:before="0" w:after="200"/>
        <w:ind w:left="0" w:right="0" w:firstLine="547"/>
        <w:rPr/>
      </w:pPr>
      <w:r>
        <w:rPr/>
        <w:t>​</w:t>
      </w:r>
    </w:p>
    <w:tbl>
      <w:tblPr>
        <w:tblW w:w="6874" w:type="dxa"/>
        <w:jc w:val="left"/>
        <w:tblInd w:w="0" w:type="dxa"/>
        <w:tblCellMar>
          <w:top w:w="0" w:type="dxa"/>
          <w:left w:w="0" w:type="dxa"/>
          <w:bottom w:w="0" w:type="dxa"/>
          <w:right w:w="0" w:type="dxa"/>
        </w:tblCellMar>
      </w:tblPr>
      <w:tblGrid>
        <w:gridCol w:w="1951"/>
        <w:gridCol w:w="326"/>
        <w:gridCol w:w="211"/>
        <w:gridCol w:w="781"/>
        <w:gridCol w:w="326"/>
        <w:gridCol w:w="211"/>
        <w:gridCol w:w="676"/>
        <w:gridCol w:w="326"/>
        <w:gridCol w:w="239"/>
        <w:gridCol w:w="392"/>
        <w:gridCol w:w="326"/>
        <w:gridCol w:w="211"/>
        <w:gridCol w:w="898"/>
      </w:tblGrid>
      <w:tr>
        <w:trPr/>
        <w:tc>
          <w:tcPr>
            <w:tcW w:w="19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238885" cy="175260"/>
                      <wp:effectExtent l="0" t="0" r="0" b="0"/>
                      <wp:wrapNone/>
                      <wp:docPr id="70" name="Frame70"/>
                      <a:graphic xmlns:a="http://schemas.openxmlformats.org/drawingml/2006/main">
                        <a:graphicData uri="http://schemas.microsoft.com/office/word/2010/wordprocessingShape">
                          <wps:wsp>
                            <wps:cNvSpPr txBox="1"/>
                            <wps:spPr>
                              <a:xfrm>
                                <a:off x="0" y="0"/>
                                <a:ext cx="12388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71" name="Frame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3985" cy="175260"/>
                      <wp:effectExtent l="0" t="0" r="0" b="0"/>
                      <wp:wrapNone/>
                      <wp:docPr id="72" name="Frame7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95935" cy="175260"/>
                      <wp:effectExtent l="0" t="0" r="0" b="0"/>
                      <wp:wrapNone/>
                      <wp:docPr id="73" name="Frame73"/>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4" name="Frame7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3985" cy="175260"/>
                      <wp:effectExtent l="0" t="0" r="0" b="0"/>
                      <wp:wrapNone/>
                      <wp:docPr id="75" name="Frame7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429260" cy="175260"/>
                      <wp:effectExtent l="0" t="0" r="0" b="0"/>
                      <wp:wrapNone/>
                      <wp:docPr id="76" name="Frame76"/>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7" name="Frame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51765" cy="175260"/>
                      <wp:effectExtent l="0" t="0" r="0" b="0"/>
                      <wp:wrapNone/>
                      <wp:docPr id="78" name="Frame78"/>
                      <a:graphic xmlns:a="http://schemas.openxmlformats.org/drawingml/2006/main">
                        <a:graphicData uri="http://schemas.microsoft.com/office/word/2010/wordprocessingShape">
                          <wps:wsp>
                            <wps:cNvSpPr txBox="1"/>
                            <wps:spPr>
                              <a:xfrm>
                                <a:off x="0" y="0"/>
                                <a:ext cx="1517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48920" cy="175260"/>
                      <wp:effectExtent l="0" t="0" r="0" b="0"/>
                      <wp:wrapNone/>
                      <wp:docPr id="79" name="Frame79"/>
                      <a:graphic xmlns:a="http://schemas.openxmlformats.org/drawingml/2006/main">
                        <a:graphicData uri="http://schemas.microsoft.com/office/word/2010/wordprocessingShape">
                          <wps:wsp>
                            <wps:cNvSpPr txBox="1"/>
                            <wps:spPr>
                              <a:xfrm>
                                <a:off x="0" y="0"/>
                                <a:ext cx="2489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0" name="Frame8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3985" cy="175260"/>
                      <wp:effectExtent l="0" t="0" r="0" b="0"/>
                      <wp:wrapNone/>
                      <wp:docPr id="81" name="Frame8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70230" cy="175260"/>
                      <wp:effectExtent l="0" t="0" r="0" b="0"/>
                      <wp:wrapNone/>
                      <wp:docPr id="82" name="Frame82"/>
                      <a:graphic xmlns:a="http://schemas.openxmlformats.org/drawingml/2006/main">
                        <a:graphicData uri="http://schemas.microsoft.com/office/word/2010/wordprocessingShape">
                          <wps:wsp>
                            <wps:cNvSpPr txBox="1"/>
                            <wps:spPr>
                              <a:xfrm>
                                <a:off x="0" y="0"/>
                                <a:ext cx="5702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9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597" w:type="dxa"/>
            <w:gridSpan w:val="11"/>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 at Fair Value as of March 31, 2023</w:t>
            </w:r>
          </w:p>
        </w:tc>
      </w:tr>
      <w:tr>
        <w:trPr/>
        <w:tc>
          <w:tcPr>
            <w:tcW w:w="19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shd w:fill="auto" w:val="clear"/>
            <w:vAlign w:val="center"/>
          </w:tcPr>
          <w:p>
            <w:pPr>
              <w:pStyle w:val="TableContents"/>
              <w:spacing w:before="0" w:after="1"/>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shd w:fill="auto" w:val="clear"/>
            <w:vAlign w:val="center"/>
          </w:tcPr>
          <w:p>
            <w:pPr>
              <w:pStyle w:val="TableContents"/>
              <w:spacing w:before="0" w:after="1"/>
              <w:ind w:left="0" w:right="0" w:hanging="0"/>
              <w:rPr/>
            </w:pPr>
            <w:r>
              <w:rPr/>
              <w:t>    </w:t>
            </w:r>
          </w:p>
        </w:tc>
        <w:tc>
          <w:tcPr>
            <w:tcW w:w="63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shd w:fill="auto" w:val="clear"/>
            <w:vAlign w:val="center"/>
          </w:tcPr>
          <w:p>
            <w:pPr>
              <w:pStyle w:val="TableContents"/>
              <w:spacing w:before="0" w:after="1"/>
              <w:ind w:left="0" w:right="0" w:hanging="0"/>
              <w:rPr/>
            </w:pPr>
            <w:r>
              <w:rPr/>
              <w:t>    </w:t>
            </w:r>
          </w:p>
        </w:tc>
        <w:tc>
          <w:tcPr>
            <w:tcW w:w="1109"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9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U.S. treasury securities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45,095</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3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39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45,095</w:t>
            </w:r>
          </w:p>
        </w:tc>
      </w:tr>
      <w:tr>
        <w:trPr/>
        <w:tc>
          <w:tcPr>
            <w:tcW w:w="19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Commercial paper</w:t>
            </w:r>
          </w:p>
        </w:tc>
        <w:tc>
          <w:tcPr>
            <w:tcW w:w="326" w:type="dxa"/>
            <w:tcBorders/>
            <w:shd w:fill="auto" w:val="clear"/>
            <w:vAlign w:val="center"/>
          </w:tcPr>
          <w:p>
            <w:pPr>
              <w:pStyle w:val="TableContents"/>
              <w:spacing w:before="0" w:after="1"/>
              <w:ind w:left="0" w:right="0" w:hanging="0"/>
              <w:jc w:val="right"/>
              <w:rPr>
                <w:color w:val="FF0000"/>
              </w:rPr>
            </w:pPr>
            <w:r>
              <w:rPr>
                <w:color w:val="FF0000"/>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211"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38,707</w:t>
            </w:r>
          </w:p>
        </w:tc>
        <w:tc>
          <w:tcPr>
            <w:tcW w:w="326" w:type="dxa"/>
            <w:tcBorders/>
            <w:shd w:fill="auto" w:val="clear"/>
            <w:vAlign w:val="center"/>
          </w:tcPr>
          <w:p>
            <w:pPr>
              <w:pStyle w:val="TableContents"/>
              <w:spacing w:before="0" w:after="1"/>
              <w:ind w:left="0" w:right="0" w:hanging="0"/>
              <w:rPr/>
            </w:pPr>
            <w:r>
              <w:rPr/>
              <w:t>​</w:t>
            </w:r>
          </w:p>
        </w:tc>
        <w:tc>
          <w:tcPr>
            <w:tcW w:w="239" w:type="dxa"/>
            <w:tcBorders/>
            <w:shd w:fill="auto" w:val="clear"/>
            <w:vAlign w:val="center"/>
          </w:tcPr>
          <w:p>
            <w:pPr>
              <w:pStyle w:val="TableContents"/>
              <w:spacing w:before="0" w:after="1"/>
              <w:ind w:left="0" w:right="0" w:hanging="0"/>
              <w:rPr/>
            </w:pPr>
            <w:r>
              <w:rPr/>
              <w:t>​</w:t>
            </w:r>
          </w:p>
        </w:tc>
        <w:tc>
          <w:tcPr>
            <w:tcW w:w="39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211" w:type="dxa"/>
            <w:tcBorders/>
            <w:shd w:fill="auto" w:val="clear"/>
            <w:vAlign w:val="center"/>
          </w:tcPr>
          <w:p>
            <w:pPr>
              <w:pStyle w:val="TableContents"/>
              <w:spacing w:before="0" w:after="1"/>
              <w:ind w:left="0" w:right="0" w:hanging="0"/>
              <w:rPr/>
            </w:pPr>
            <w:r>
              <w:rPr/>
              <w:t>​</w:t>
            </w:r>
          </w:p>
        </w:tc>
        <w:tc>
          <w:tcPr>
            <w:tcW w:w="89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38,707</w:t>
            </w:r>
          </w:p>
        </w:tc>
      </w:tr>
      <w:tr>
        <w:trPr/>
        <w:tc>
          <w:tcPr>
            <w:tcW w:w="19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Money market funds</w:t>
            </w:r>
          </w:p>
        </w:tc>
        <w:tc>
          <w:tcPr>
            <w:tcW w:w="326" w:type="dxa"/>
            <w:tcBorders/>
            <w:shd w:fill="CCEEFF" w:val="clear"/>
            <w:vAlign w:val="center"/>
          </w:tcPr>
          <w:p>
            <w:pPr>
              <w:pStyle w:val="TableContents"/>
              <w:spacing w:before="0" w:after="1"/>
              <w:ind w:left="0" w:right="0" w:hanging="0"/>
              <w:jc w:val="right"/>
              <w:rPr>
                <w:color w:val="FF0000"/>
              </w:rPr>
            </w:pPr>
            <w:r>
              <w:rPr>
                <w:color w:val="FF0000"/>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284,486</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39"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392"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9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284,486</w:t>
            </w:r>
          </w:p>
        </w:tc>
      </w:tr>
      <w:tr>
        <w:trPr/>
        <w:tc>
          <w:tcPr>
            <w:tcW w:w="19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329,581</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38,707</w:t>
            </w:r>
          </w:p>
        </w:tc>
        <w:tc>
          <w:tcPr>
            <w:tcW w:w="326" w:type="dxa"/>
            <w:tcBorders/>
            <w:shd w:fill="auto" w:val="clear"/>
            <w:vAlign w:val="center"/>
          </w:tcPr>
          <w:p>
            <w:pPr>
              <w:pStyle w:val="TableContents"/>
              <w:spacing w:before="0" w:after="1"/>
              <w:ind w:left="0" w:right="0" w:hanging="0"/>
              <w:rPr/>
            </w:pPr>
            <w:r>
              <w:rPr/>
              <w:t>​</w:t>
            </w:r>
          </w:p>
        </w:tc>
        <w:tc>
          <w:tcPr>
            <w:tcW w:w="239"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auto" w:val="clear"/>
            <w:tcMar>
              <w:bottom w:w="28" w:type="dxa"/>
            </w:tcMar>
            <w:vAlign w:val="center"/>
          </w:tcPr>
          <w:p>
            <w:pPr>
              <w:pStyle w:val="TableContents"/>
              <w:spacing w:before="0" w:after="1"/>
              <w:ind w:left="0" w:right="72" w:hanging="0"/>
              <w:jc w:val="right"/>
              <w:rPr>
                <w:rFonts w:ascii="Times New Roman;Times;serif" w:hAnsi="Times New Roman;Times;serif"/>
                <w:sz w:val="20"/>
              </w:rPr>
            </w:pPr>
            <w:r>
              <w:rPr>
                <w:rFonts w:ascii="Times New Roman;Times;serif" w:hAnsi="Times New Roman;Times;serif"/>
                <w:sz w:val="20"/>
              </w:rPr>
              <w:t>368,288</w:t>
            </w:r>
          </w:p>
        </w:tc>
      </w:tr>
    </w:tbl>
    <w:p>
      <w:pPr>
        <w:pStyle w:val="TextBody"/>
        <w:spacing w:before="0" w:after="200"/>
        <w:ind w:left="0" w:right="0" w:firstLine="547"/>
        <w:rPr/>
      </w:pPr>
      <w:r>
        <w:rPr/>
        <w:t>​</w:t>
      </w:r>
    </w:p>
    <w:tbl>
      <w:tblPr>
        <w:tblW w:w="7939" w:type="dxa"/>
        <w:jc w:val="left"/>
        <w:tblInd w:w="0" w:type="dxa"/>
        <w:tblCellMar>
          <w:top w:w="0" w:type="dxa"/>
          <w:left w:w="0" w:type="dxa"/>
          <w:bottom w:w="0" w:type="dxa"/>
          <w:right w:w="0" w:type="dxa"/>
        </w:tblCellMar>
      </w:tblPr>
      <w:tblGrid>
        <w:gridCol w:w="2911"/>
        <w:gridCol w:w="326"/>
        <w:gridCol w:w="211"/>
        <w:gridCol w:w="781"/>
        <w:gridCol w:w="326"/>
        <w:gridCol w:w="211"/>
        <w:gridCol w:w="781"/>
        <w:gridCol w:w="326"/>
        <w:gridCol w:w="239"/>
        <w:gridCol w:w="392"/>
        <w:gridCol w:w="326"/>
        <w:gridCol w:w="211"/>
        <w:gridCol w:w="898"/>
      </w:tblGrid>
      <w:tr>
        <w:trPr/>
        <w:tc>
          <w:tcPr>
            <w:tcW w:w="29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848485" cy="175260"/>
                      <wp:effectExtent l="0" t="0" r="0" b="0"/>
                      <wp:wrapNone/>
                      <wp:docPr id="83" name="Frame83"/>
                      <a:graphic xmlns:a="http://schemas.openxmlformats.org/drawingml/2006/main">
                        <a:graphicData uri="http://schemas.microsoft.com/office/word/2010/wordprocessingShape">
                          <wps:wsp>
                            <wps:cNvSpPr txBox="1"/>
                            <wps:spPr>
                              <a:xfrm>
                                <a:off x="0" y="0"/>
                                <a:ext cx="1848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4" name="Frame8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85" name="Frame8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95935" cy="175260"/>
                      <wp:effectExtent l="0" t="0" r="0" b="0"/>
                      <wp:wrapNone/>
                      <wp:docPr id="86" name="Frame86"/>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7" name="Frame8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8" name="Frame8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495935" cy="175260"/>
                      <wp:effectExtent l="0" t="0" r="0" b="0"/>
                      <wp:wrapNone/>
                      <wp:docPr id="89" name="Frame89"/>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0" name="Frame9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51765" cy="175260"/>
                      <wp:effectExtent l="0" t="0" r="0" b="0"/>
                      <wp:wrapNone/>
                      <wp:docPr id="91" name="Frame91"/>
                      <a:graphic xmlns:a="http://schemas.openxmlformats.org/drawingml/2006/main">
                        <a:graphicData uri="http://schemas.microsoft.com/office/word/2010/wordprocessingShape">
                          <wps:wsp>
                            <wps:cNvSpPr txBox="1"/>
                            <wps:spPr>
                              <a:xfrm>
                                <a:off x="0" y="0"/>
                                <a:ext cx="1517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48920" cy="175260"/>
                      <wp:effectExtent l="0" t="0" r="0" b="0"/>
                      <wp:wrapNone/>
                      <wp:docPr id="92" name="Frame92"/>
                      <a:graphic xmlns:a="http://schemas.openxmlformats.org/drawingml/2006/main">
                        <a:graphicData uri="http://schemas.microsoft.com/office/word/2010/wordprocessingShape">
                          <wps:wsp>
                            <wps:cNvSpPr txBox="1"/>
                            <wps:spPr>
                              <a:xfrm>
                                <a:off x="0" y="0"/>
                                <a:ext cx="2489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3" name="Frame9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3985" cy="175260"/>
                      <wp:effectExtent l="0" t="0" r="0" b="0"/>
                      <wp:wrapNone/>
                      <wp:docPr id="94" name="Frame9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570230" cy="175260"/>
                      <wp:effectExtent l="0" t="0" r="0" b="0"/>
                      <wp:wrapNone/>
                      <wp:docPr id="95" name="Frame95"/>
                      <a:graphic xmlns:a="http://schemas.openxmlformats.org/drawingml/2006/main">
                        <a:graphicData uri="http://schemas.microsoft.com/office/word/2010/wordprocessingShape">
                          <wps:wsp>
                            <wps:cNvSpPr txBox="1"/>
                            <wps:spPr>
                              <a:xfrm>
                                <a:off x="0" y="0"/>
                                <a:ext cx="5702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9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702" w:type="dxa"/>
            <w:gridSpan w:val="11"/>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 at Fair Value as of December 31, 2022</w:t>
            </w:r>
          </w:p>
        </w:tc>
      </w:tr>
      <w:tr>
        <w:trPr/>
        <w:tc>
          <w:tcPr>
            <w:tcW w:w="29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shd w:fill="auto" w:val="clear"/>
            <w:vAlign w:val="center"/>
          </w:tcPr>
          <w:p>
            <w:pPr>
              <w:pStyle w:val="TableContents"/>
              <w:spacing w:before="0" w:after="1"/>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shd w:fill="auto" w:val="clear"/>
            <w:vAlign w:val="center"/>
          </w:tcPr>
          <w:p>
            <w:pPr>
              <w:pStyle w:val="TableContents"/>
              <w:spacing w:before="0" w:after="1"/>
              <w:ind w:left="0" w:right="0" w:hanging="0"/>
              <w:rPr/>
            </w:pPr>
            <w:r>
              <w:rPr/>
              <w:t>    </w:t>
            </w:r>
          </w:p>
        </w:tc>
        <w:tc>
          <w:tcPr>
            <w:tcW w:w="63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shd w:fill="auto" w:val="clear"/>
            <w:vAlign w:val="center"/>
          </w:tcPr>
          <w:p>
            <w:pPr>
              <w:pStyle w:val="TableContents"/>
              <w:spacing w:before="0" w:after="1"/>
              <w:ind w:left="0" w:right="0" w:hanging="0"/>
              <w:rPr/>
            </w:pPr>
            <w:r>
              <w:rPr/>
              <w:t>    </w:t>
            </w:r>
          </w:p>
        </w:tc>
        <w:tc>
          <w:tcPr>
            <w:tcW w:w="1109"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9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U.S. treasury securities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117,720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3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39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117,720</w:t>
            </w:r>
          </w:p>
        </w:tc>
      </w:tr>
      <w:tr>
        <w:trPr/>
        <w:tc>
          <w:tcPr>
            <w:tcW w:w="29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U.S. government agency securities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11,265</w:t>
            </w:r>
          </w:p>
        </w:tc>
        <w:tc>
          <w:tcPr>
            <w:tcW w:w="326" w:type="dxa"/>
            <w:tcBorders/>
            <w:shd w:fill="auto" w:val="clear"/>
            <w:vAlign w:val="center"/>
          </w:tcPr>
          <w:p>
            <w:pPr>
              <w:pStyle w:val="TableContents"/>
              <w:spacing w:before="0" w:after="1"/>
              <w:ind w:left="0" w:right="0" w:hanging="0"/>
              <w:rPr/>
            </w:pPr>
            <w:r>
              <w:rPr/>
              <w:t>​</w:t>
            </w:r>
          </w:p>
        </w:tc>
        <w:tc>
          <w:tcPr>
            <w:tcW w:w="239" w:type="dxa"/>
            <w:tcBorders/>
            <w:shd w:fill="auto" w:val="clear"/>
            <w:vAlign w:val="center"/>
          </w:tcPr>
          <w:p>
            <w:pPr>
              <w:pStyle w:val="TableContents"/>
              <w:spacing w:before="0" w:after="1"/>
              <w:ind w:left="0" w:right="0" w:hanging="0"/>
              <w:rPr/>
            </w:pPr>
            <w:r>
              <w:rPr/>
              <w:t> </w:t>
            </w:r>
          </w:p>
        </w:tc>
        <w:tc>
          <w:tcPr>
            <w:tcW w:w="39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9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11,265</w:t>
            </w:r>
          </w:p>
        </w:tc>
      </w:tr>
      <w:tr>
        <w:trPr/>
        <w:tc>
          <w:tcPr>
            <w:tcW w:w="29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Corporate securities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7,230</w:t>
            </w:r>
          </w:p>
        </w:tc>
        <w:tc>
          <w:tcPr>
            <w:tcW w:w="326" w:type="dxa"/>
            <w:tcBorders/>
            <w:shd w:fill="CCEEFF" w:val="clear"/>
            <w:vAlign w:val="center"/>
          </w:tcPr>
          <w:p>
            <w:pPr>
              <w:pStyle w:val="TableContents"/>
              <w:spacing w:before="0" w:after="1"/>
              <w:ind w:left="0" w:right="0" w:hanging="0"/>
              <w:rPr/>
            </w:pPr>
            <w:r>
              <w:rPr/>
              <w:t>​</w:t>
            </w:r>
          </w:p>
        </w:tc>
        <w:tc>
          <w:tcPr>
            <w:tcW w:w="239" w:type="dxa"/>
            <w:tcBorders/>
            <w:shd w:fill="CCEEFF" w:val="clear"/>
            <w:vAlign w:val="center"/>
          </w:tcPr>
          <w:p>
            <w:pPr>
              <w:pStyle w:val="TableContents"/>
              <w:spacing w:before="0" w:after="1"/>
              <w:ind w:left="0" w:right="0" w:hanging="0"/>
              <w:rPr/>
            </w:pPr>
            <w:r>
              <w:rPr/>
              <w:t>​</w:t>
            </w:r>
          </w:p>
        </w:tc>
        <w:tc>
          <w:tcPr>
            <w:tcW w:w="39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9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7,230</w:t>
            </w:r>
          </w:p>
        </w:tc>
      </w:tr>
      <w:tr>
        <w:trPr/>
        <w:tc>
          <w:tcPr>
            <w:tcW w:w="29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Commercial paper</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148,254</w:t>
            </w:r>
          </w:p>
        </w:tc>
        <w:tc>
          <w:tcPr>
            <w:tcW w:w="326" w:type="dxa"/>
            <w:tcBorders/>
            <w:shd w:fill="auto" w:val="clear"/>
            <w:vAlign w:val="center"/>
          </w:tcPr>
          <w:p>
            <w:pPr>
              <w:pStyle w:val="TableContents"/>
              <w:spacing w:before="0" w:after="1"/>
              <w:ind w:left="0" w:right="0" w:hanging="0"/>
              <w:rPr/>
            </w:pPr>
            <w:r>
              <w:rPr/>
              <w:t>​</w:t>
            </w:r>
          </w:p>
        </w:tc>
        <w:tc>
          <w:tcPr>
            <w:tcW w:w="239" w:type="dxa"/>
            <w:tcBorders/>
            <w:shd w:fill="auto" w:val="clear"/>
            <w:vAlign w:val="center"/>
          </w:tcPr>
          <w:p>
            <w:pPr>
              <w:pStyle w:val="TableContents"/>
              <w:spacing w:before="0" w:after="1"/>
              <w:ind w:left="0" w:right="0" w:hanging="0"/>
              <w:rPr/>
            </w:pPr>
            <w:r>
              <w:rPr/>
              <w:t>​</w:t>
            </w:r>
          </w:p>
        </w:tc>
        <w:tc>
          <w:tcPr>
            <w:tcW w:w="39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9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148,254</w:t>
            </w:r>
          </w:p>
        </w:tc>
      </w:tr>
      <w:tr>
        <w:trPr/>
        <w:tc>
          <w:tcPr>
            <w:tcW w:w="29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Money market funds</w:t>
            </w:r>
          </w:p>
        </w:tc>
        <w:tc>
          <w:tcPr>
            <w:tcW w:w="326" w:type="dxa"/>
            <w:tcBorders/>
            <w:shd w:fill="CCEEFF" w:val="clear"/>
            <w:vAlign w:val="center"/>
          </w:tcPr>
          <w:p>
            <w:pPr>
              <w:pStyle w:val="TableContents"/>
              <w:spacing w:before="0" w:after="1"/>
              <w:ind w:left="0" w:right="0" w:hanging="0"/>
              <w:jc w:val="right"/>
              <w:rPr>
                <w:color w:val="FF0000"/>
              </w:rPr>
            </w:pPr>
            <w:r>
              <w:rPr>
                <w:color w:val="FF0000"/>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88,001</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39"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392"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9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88,001</w:t>
            </w:r>
          </w:p>
        </w:tc>
      </w:tr>
      <w:tr>
        <w:trPr/>
        <w:tc>
          <w:tcPr>
            <w:tcW w:w="29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205,721</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166,749</w:t>
            </w:r>
          </w:p>
        </w:tc>
        <w:tc>
          <w:tcPr>
            <w:tcW w:w="326" w:type="dxa"/>
            <w:tcBorders/>
            <w:shd w:fill="auto" w:val="clear"/>
            <w:vAlign w:val="center"/>
          </w:tcPr>
          <w:p>
            <w:pPr>
              <w:pStyle w:val="TableContents"/>
              <w:spacing w:before="0" w:after="1"/>
              <w:ind w:left="0" w:right="0" w:hanging="0"/>
              <w:rPr/>
            </w:pPr>
            <w:r>
              <w:rPr/>
              <w:t>​</w:t>
            </w:r>
          </w:p>
        </w:tc>
        <w:tc>
          <w:tcPr>
            <w:tcW w:w="239"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auto" w:val="clear"/>
            <w:tcMar>
              <w:bottom w:w="28" w:type="dxa"/>
            </w:tcMar>
            <w:vAlign w:val="center"/>
          </w:tcPr>
          <w:p>
            <w:pPr>
              <w:pStyle w:val="TableContents"/>
              <w:spacing w:before="0" w:after="1"/>
              <w:ind w:left="0" w:right="72" w:hanging="0"/>
              <w:jc w:val="right"/>
              <w:rPr>
                <w:rFonts w:ascii="Times New Roman;Times;serif" w:hAnsi="Times New Roman;Times;serif"/>
                <w:sz w:val="20"/>
              </w:rPr>
            </w:pPr>
            <w:r>
              <w:rPr>
                <w:rFonts w:ascii="Times New Roman;Times;serif" w:hAnsi="Times New Roman;Times;serif"/>
                <w:sz w:val="20"/>
              </w:rPr>
              <w:t>372,470</w:t>
            </w:r>
          </w:p>
        </w:tc>
      </w:tr>
    </w:tbl>
    <w:p>
      <w:pPr>
        <w:pStyle w:val="TextBody"/>
        <w:spacing w:before="0" w:after="200"/>
        <w:ind w:left="0" w:right="0" w:firstLine="547"/>
        <w:rPr/>
      </w:pPr>
      <w:r>
        <w:rPr/>
        <w:t>​</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Level 2 assets consist of commercial paper and government agency securities. Level 2 inputs for the valuations are limited to quoted prices for similar assets or liabilities in active markets and inputs other than quoted prices that are observable for the asset.</w:t>
      </w:r>
    </w:p>
    <w:p>
      <w:pPr>
        <w:pStyle w:val="TextBody"/>
        <w:spacing w:before="0" w:after="200"/>
        <w:ind w:left="0" w:right="0" w:firstLine="547"/>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b/>
          <w:sz w:val="20"/>
        </w:rPr>
      </w:pPr>
      <w:bookmarkStart w:id="731" w:name="Tc_sqWK2mjxy0WZiCGD-HL1OQ_13_5"/>
      <w:bookmarkStart w:id="732" w:name="Tc_QRYjaP5G2Ey2tLwI95_hPw_13_2"/>
      <w:bookmarkStart w:id="733" w:name="Tc_TI8kY3LM-UC7MkUOxdJ3wQ_13_0"/>
      <w:bookmarkStart w:id="734" w:name="Tc_fCU0XC9DA0eJyYMvxT0Y-A_12_0"/>
      <w:bookmarkStart w:id="735" w:name="Tc_2y3QsiTW_0SFVcZe-llZqg_11_0"/>
      <w:bookmarkStart w:id="736" w:name="Tc_x8qwcfazQEyxFlpj_5xvDA_10_0"/>
      <w:bookmarkStart w:id="737" w:name="Tc_P8ho0u1mi0CNEOyWQ84dyw_9_0"/>
      <w:bookmarkStart w:id="738" w:name="Tc_xFpywyJSDki3If3f4wonnQ_8_0"/>
      <w:bookmarkStart w:id="739" w:name="Tc_c_0fynqTgkmXgT7xIxl01g_7_0"/>
      <w:bookmarkStart w:id="740" w:name="Tc_iSQThnkZNkitJWOSTJAkag_6_0"/>
      <w:bookmarkStart w:id="741" w:name="Tc_ugVvRQdC9EGmQja58Ij7tA_5_0"/>
      <w:bookmarkStart w:id="742" w:name="Tc_BDonRVw9EkKcta92wTemvA_4_0"/>
      <w:bookmarkStart w:id="743" w:name="Tc_sR7fB4QFo0iY0PS2XJ4ofA_3_5"/>
      <w:bookmarkStart w:id="744" w:name="Tc_x97WPY08dkOCsgAlH5myCQ_3_2"/>
      <w:bookmarkStart w:id="745" w:name="Tc_4G0rokQyFE69NZECyYyZiA_3_0"/>
      <w:bookmarkStart w:id="746" w:name="Tc_zudi_CipgUCTdTbRp07FpA_2_5"/>
      <w:bookmarkStart w:id="747" w:name="Tc_uanVgIzdDk26KDEU6K2OxQ_2_2"/>
      <w:bookmarkStart w:id="748" w:name="Tc_O2wdyNdNnUi_IDJusKeRSw_1_5"/>
      <w:bookmarkStart w:id="749" w:name="Tc_rO6DWnwTx0Wd3TPhF1Wh9w_1_2"/>
      <w:bookmarkStart w:id="750" w:name="_6e7fdfd1_6685_4110_8776_747f548017f9"/>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r>
        <w:rPr>
          <w:rFonts w:ascii="Times New Roman;Times;serif" w:hAnsi="Times New Roman;Times;serif"/>
          <w:b/>
          <w:sz w:val="20"/>
        </w:rPr>
        <w:t>NOTE 4. PROPERTY AND EQUIPMENT, NET</w:t>
      </w:r>
    </w:p>
    <w:p>
      <w:pPr>
        <w:pStyle w:val="TextBody"/>
        <w:spacing w:before="0" w:after="0"/>
        <w:ind w:left="0" w:right="0" w:firstLine="547"/>
        <w:rPr>
          <w:rFonts w:ascii="Times New Roman;Times;serif" w:hAnsi="Times New Roman;Times;serif"/>
          <w:sz w:val="20"/>
        </w:rPr>
      </w:pPr>
      <w:r>
        <w:rPr>
          <w:rFonts w:ascii="Times New Roman;Times;serif" w:hAnsi="Times New Roman;Times;serif"/>
          <w:sz w:val="20"/>
        </w:rPr>
        <w:t>Property and equipment, net consists of the following (in thousands):</w:t>
      </w:r>
    </w:p>
    <w:p>
      <w:pPr>
        <w:pStyle w:val="TextBody"/>
        <w:spacing w:before="0" w:after="200"/>
        <w:ind w:left="0" w:right="0" w:firstLine="547"/>
        <w:rPr/>
      </w:pPr>
      <w:r>
        <w:rPr/>
        <w:t>​</w:t>
      </w:r>
    </w:p>
    <w:tbl>
      <w:tblPr>
        <w:tblW w:w="7000" w:type="dxa"/>
        <w:jc w:val="left"/>
        <w:tblInd w:w="0" w:type="dxa"/>
        <w:tblCellMar>
          <w:top w:w="0" w:type="dxa"/>
          <w:left w:w="0" w:type="dxa"/>
          <w:bottom w:w="0" w:type="dxa"/>
          <w:right w:w="0" w:type="dxa"/>
        </w:tblCellMar>
      </w:tblPr>
      <w:tblGrid>
        <w:gridCol w:w="4156"/>
        <w:gridCol w:w="326"/>
        <w:gridCol w:w="211"/>
        <w:gridCol w:w="796"/>
        <w:gridCol w:w="326"/>
        <w:gridCol w:w="225"/>
        <w:gridCol w:w="960"/>
      </w:tblGrid>
      <w:tr>
        <w:trPr/>
        <w:tc>
          <w:tcPr>
            <w:tcW w:w="4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639060" cy="175260"/>
                      <wp:effectExtent l="0" t="0" r="0" b="0"/>
                      <wp:wrapNone/>
                      <wp:docPr id="96" name="Frame96"/>
                      <a:graphic xmlns:a="http://schemas.openxmlformats.org/drawingml/2006/main">
                        <a:graphicData uri="http://schemas.microsoft.com/office/word/2010/wordprocessingShape">
                          <wps:wsp>
                            <wps:cNvSpPr txBox="1"/>
                            <wps:spPr>
                              <a:xfrm>
                                <a:off x="0" y="0"/>
                                <a:ext cx="2639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7" name="Frame9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3985" cy="175260"/>
                      <wp:effectExtent l="0" t="0" r="0" b="0"/>
                      <wp:wrapNone/>
                      <wp:docPr id="98" name="Frame9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505460" cy="175260"/>
                      <wp:effectExtent l="0" t="0" r="0" b="0"/>
                      <wp:wrapNone/>
                      <wp:docPr id="99" name="Frame99"/>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0" name="Frame10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42875" cy="175260"/>
                      <wp:effectExtent l="0" t="0" r="0" b="0"/>
                      <wp:wrapNone/>
                      <wp:docPr id="101" name="Frame101"/>
                      <a:graphic xmlns:a="http://schemas.openxmlformats.org/drawingml/2006/main">
                        <a:graphicData uri="http://schemas.microsoft.com/office/word/2010/wordprocessingShape">
                          <wps:wsp>
                            <wps:cNvSpPr txBox="1"/>
                            <wps:spPr>
                              <a:xfrm>
                                <a:off x="0" y="0"/>
                                <a:ext cx="1428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09600" cy="175260"/>
                      <wp:effectExtent l="0" t="0" r="0" b="0"/>
                      <wp:wrapNone/>
                      <wp:docPr id="102" name="Frame102"/>
                      <a:graphic xmlns:a="http://schemas.openxmlformats.org/drawingml/2006/main">
                        <a:graphicData uri="http://schemas.microsoft.com/office/word/2010/wordprocessingShape">
                          <wps:wsp>
                            <wps:cNvSpPr txBox="1"/>
                            <wps:spPr>
                              <a:xfrm>
                                <a:off x="0" y="0"/>
                                <a:ext cx="6096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1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0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1"/>
              <w:ind w:left="0" w:right="0" w:hanging="0"/>
              <w:rPr/>
            </w:pPr>
            <w:r>
              <w:rPr/>
              <w:t>​</w:t>
            </w:r>
          </w:p>
        </w:tc>
        <w:tc>
          <w:tcPr>
            <w:tcW w:w="118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1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1"/>
              <w:ind w:left="0" w:right="0" w:hanging="0"/>
              <w:rPr/>
            </w:pPr>
            <w:r>
              <w:rPr/>
              <w:t>    </w:t>
            </w:r>
          </w:p>
        </w:tc>
        <w:tc>
          <w:tcPr>
            <w:tcW w:w="118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1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75,016</w:t>
            </w:r>
          </w:p>
        </w:tc>
        <w:tc>
          <w:tcPr>
            <w:tcW w:w="326" w:type="dxa"/>
            <w:tcBorders/>
            <w:shd w:fill="CCEEFF" w:val="clear"/>
            <w:vAlign w:val="center"/>
          </w:tcPr>
          <w:p>
            <w:pPr>
              <w:pStyle w:val="TableContents"/>
              <w:spacing w:before="0" w:after="1"/>
              <w:ind w:left="0" w:right="0" w:hanging="0"/>
              <w:rPr/>
            </w:pPr>
            <w:r>
              <w:rPr/>
              <w:t>​</w:t>
            </w:r>
          </w:p>
        </w:tc>
        <w:tc>
          <w:tcPr>
            <w:tcW w:w="22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6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74,305</w:t>
            </w:r>
          </w:p>
        </w:tc>
      </w:tr>
      <w:tr>
        <w:trPr/>
        <w:tc>
          <w:tcPr>
            <w:tcW w:w="41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Lab, process, and validation equipment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22,448</w:t>
            </w:r>
          </w:p>
        </w:tc>
        <w:tc>
          <w:tcPr>
            <w:tcW w:w="326" w:type="dxa"/>
            <w:tcBorders/>
            <w:shd w:fill="auto" w:val="clear"/>
            <w:vAlign w:val="center"/>
          </w:tcPr>
          <w:p>
            <w:pPr>
              <w:pStyle w:val="TableContents"/>
              <w:spacing w:before="0" w:after="1"/>
              <w:ind w:left="0" w:right="0" w:hanging="0"/>
              <w:rPr/>
            </w:pPr>
            <w:r>
              <w:rPr/>
              <w:t>​</w:t>
            </w:r>
          </w:p>
        </w:tc>
        <w:tc>
          <w:tcPr>
            <w:tcW w:w="225" w:type="dxa"/>
            <w:tcBorders/>
            <w:shd w:fill="auto" w:val="clear"/>
            <w:vAlign w:val="center"/>
          </w:tcPr>
          <w:p>
            <w:pPr>
              <w:pStyle w:val="TableContents"/>
              <w:spacing w:before="0" w:after="1"/>
              <w:ind w:left="0" w:right="0" w:hanging="0"/>
              <w:rPr/>
            </w:pPr>
            <w:r>
              <w:rPr/>
              <w:t>​</w:t>
            </w:r>
          </w:p>
        </w:tc>
        <w:tc>
          <w:tcPr>
            <w:tcW w:w="96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22,136</w:t>
            </w:r>
          </w:p>
        </w:tc>
      </w:tr>
      <w:tr>
        <w:trPr/>
        <w:tc>
          <w:tcPr>
            <w:tcW w:w="41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Utility equipment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5,990</w:t>
            </w:r>
          </w:p>
        </w:tc>
        <w:tc>
          <w:tcPr>
            <w:tcW w:w="326" w:type="dxa"/>
            <w:tcBorders/>
            <w:shd w:fill="CCEEFF" w:val="clear"/>
            <w:vAlign w:val="center"/>
          </w:tcPr>
          <w:p>
            <w:pPr>
              <w:pStyle w:val="TableContents"/>
              <w:spacing w:before="0" w:after="1"/>
              <w:ind w:left="0" w:right="0" w:hanging="0"/>
              <w:rPr/>
            </w:pPr>
            <w:r>
              <w:rPr/>
              <w:t>​</w:t>
            </w:r>
          </w:p>
        </w:tc>
        <w:tc>
          <w:tcPr>
            <w:tcW w:w="225" w:type="dxa"/>
            <w:tcBorders/>
            <w:shd w:fill="CCEEFF" w:val="clear"/>
            <w:vAlign w:val="center"/>
          </w:tcPr>
          <w:p>
            <w:pPr>
              <w:pStyle w:val="TableContents"/>
              <w:spacing w:before="0" w:after="1"/>
              <w:ind w:left="0" w:right="0" w:hanging="0"/>
              <w:rPr/>
            </w:pPr>
            <w:r>
              <w:rPr/>
              <w:t> </w:t>
            </w:r>
          </w:p>
        </w:tc>
        <w:tc>
          <w:tcPr>
            <w:tcW w:w="96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5,951</w:t>
            </w:r>
          </w:p>
        </w:tc>
      </w:tr>
      <w:tr>
        <w:trPr/>
        <w:tc>
          <w:tcPr>
            <w:tcW w:w="41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Office furniture and equipment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3,138</w:t>
            </w:r>
          </w:p>
        </w:tc>
        <w:tc>
          <w:tcPr>
            <w:tcW w:w="326" w:type="dxa"/>
            <w:tcBorders/>
            <w:shd w:fill="auto" w:val="clear"/>
            <w:vAlign w:val="center"/>
          </w:tcPr>
          <w:p>
            <w:pPr>
              <w:pStyle w:val="TableContents"/>
              <w:spacing w:before="0" w:after="1"/>
              <w:ind w:left="0" w:right="0" w:hanging="0"/>
              <w:rPr/>
            </w:pPr>
            <w:r>
              <w:rPr/>
              <w:t>​</w:t>
            </w:r>
          </w:p>
        </w:tc>
        <w:tc>
          <w:tcPr>
            <w:tcW w:w="225" w:type="dxa"/>
            <w:tcBorders/>
            <w:shd w:fill="auto" w:val="clear"/>
            <w:vAlign w:val="center"/>
          </w:tcPr>
          <w:p>
            <w:pPr>
              <w:pStyle w:val="TableContents"/>
              <w:spacing w:before="0" w:after="1"/>
              <w:ind w:left="0" w:right="0" w:hanging="0"/>
              <w:rPr/>
            </w:pPr>
            <w:r>
              <w:rPr/>
              <w:t> </w:t>
            </w:r>
          </w:p>
        </w:tc>
        <w:tc>
          <w:tcPr>
            <w:tcW w:w="96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2,927</w:t>
            </w:r>
          </w:p>
        </w:tc>
      </w:tr>
      <w:tr>
        <w:trPr/>
        <w:tc>
          <w:tcPr>
            <w:tcW w:w="41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Computer software</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6,736</w:t>
            </w:r>
          </w:p>
        </w:tc>
        <w:tc>
          <w:tcPr>
            <w:tcW w:w="326" w:type="dxa"/>
            <w:tcBorders/>
            <w:shd w:fill="CCEEFF" w:val="clear"/>
            <w:vAlign w:val="center"/>
          </w:tcPr>
          <w:p>
            <w:pPr>
              <w:pStyle w:val="TableContents"/>
              <w:spacing w:before="0" w:after="1"/>
              <w:ind w:left="0" w:right="0" w:hanging="0"/>
              <w:rPr/>
            </w:pPr>
            <w:r>
              <w:rPr/>
              <w:t>​</w:t>
            </w:r>
          </w:p>
        </w:tc>
        <w:tc>
          <w:tcPr>
            <w:tcW w:w="225" w:type="dxa"/>
            <w:tcBorders/>
            <w:shd w:fill="CCEEFF" w:val="clear"/>
            <w:vAlign w:val="center"/>
          </w:tcPr>
          <w:p>
            <w:pPr>
              <w:pStyle w:val="TableContents"/>
              <w:spacing w:before="0" w:after="1"/>
              <w:ind w:left="0" w:right="0" w:hanging="0"/>
              <w:rPr/>
            </w:pPr>
            <w:r>
              <w:rPr/>
              <w:t>​</w:t>
            </w:r>
          </w:p>
        </w:tc>
        <w:tc>
          <w:tcPr>
            <w:tcW w:w="96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6,736</w:t>
            </w:r>
          </w:p>
        </w:tc>
      </w:tr>
      <w:tr>
        <w:trPr/>
        <w:tc>
          <w:tcPr>
            <w:tcW w:w="41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Computer equipment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695</w:t>
            </w:r>
          </w:p>
        </w:tc>
        <w:tc>
          <w:tcPr>
            <w:tcW w:w="326" w:type="dxa"/>
            <w:tcBorders/>
            <w:shd w:fill="auto" w:val="clear"/>
            <w:vAlign w:val="center"/>
          </w:tcPr>
          <w:p>
            <w:pPr>
              <w:pStyle w:val="TableContents"/>
              <w:spacing w:before="0" w:after="1"/>
              <w:ind w:left="0" w:right="0" w:hanging="0"/>
              <w:rPr/>
            </w:pPr>
            <w:r>
              <w:rPr/>
              <w:t>​</w:t>
            </w:r>
          </w:p>
        </w:tc>
        <w:tc>
          <w:tcPr>
            <w:tcW w:w="225" w:type="dxa"/>
            <w:tcBorders/>
            <w:shd w:fill="auto" w:val="clear"/>
            <w:vAlign w:val="center"/>
          </w:tcPr>
          <w:p>
            <w:pPr>
              <w:pStyle w:val="TableContents"/>
              <w:spacing w:before="0" w:after="1"/>
              <w:ind w:left="0" w:right="0" w:hanging="0"/>
              <w:rPr/>
            </w:pPr>
            <w:r>
              <w:rPr/>
              <w:t> </w:t>
            </w:r>
          </w:p>
        </w:tc>
        <w:tc>
          <w:tcPr>
            <w:tcW w:w="96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695</w:t>
            </w:r>
          </w:p>
        </w:tc>
      </w:tr>
      <w:tr>
        <w:trPr/>
        <w:tc>
          <w:tcPr>
            <w:tcW w:w="41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Machinery and equipment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251</w:t>
            </w:r>
          </w:p>
        </w:tc>
        <w:tc>
          <w:tcPr>
            <w:tcW w:w="326" w:type="dxa"/>
            <w:tcBorders/>
            <w:shd w:fill="CCEEFF" w:val="clear"/>
            <w:vAlign w:val="center"/>
          </w:tcPr>
          <w:p>
            <w:pPr>
              <w:pStyle w:val="TableContents"/>
              <w:spacing w:before="0" w:after="1"/>
              <w:ind w:left="0" w:right="0" w:hanging="0"/>
              <w:rPr/>
            </w:pPr>
            <w:r>
              <w:rPr/>
              <w:t>​</w:t>
            </w:r>
          </w:p>
        </w:tc>
        <w:tc>
          <w:tcPr>
            <w:tcW w:w="225" w:type="dxa"/>
            <w:tcBorders/>
            <w:shd w:fill="CCEEFF" w:val="clear"/>
            <w:vAlign w:val="center"/>
          </w:tcPr>
          <w:p>
            <w:pPr>
              <w:pStyle w:val="TableContents"/>
              <w:spacing w:before="0" w:after="1"/>
              <w:ind w:left="0" w:right="0" w:hanging="0"/>
              <w:rPr/>
            </w:pPr>
            <w:r>
              <w:rPr/>
              <w:t>​</w:t>
            </w:r>
          </w:p>
        </w:tc>
        <w:tc>
          <w:tcPr>
            <w:tcW w:w="96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41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Construction in progress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15,023</w:t>
            </w:r>
          </w:p>
        </w:tc>
        <w:tc>
          <w:tcPr>
            <w:tcW w:w="326" w:type="dxa"/>
            <w:tcBorders/>
            <w:shd w:fill="auto" w:val="clear"/>
            <w:vAlign w:val="center"/>
          </w:tcPr>
          <w:p>
            <w:pPr>
              <w:pStyle w:val="TableContents"/>
              <w:spacing w:before="0" w:after="1"/>
              <w:ind w:left="0" w:right="0" w:hanging="0"/>
              <w:rPr/>
            </w:pPr>
            <w:r>
              <w:rPr/>
              <w:t>​</w:t>
            </w:r>
          </w:p>
        </w:tc>
        <w:tc>
          <w:tcPr>
            <w:tcW w:w="225"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6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9,118</w:t>
            </w:r>
          </w:p>
        </w:tc>
      </w:tr>
      <w:tr>
        <w:trPr/>
        <w:tc>
          <w:tcPr>
            <w:tcW w:w="41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property and equipment, cost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129,297</w:t>
            </w:r>
          </w:p>
        </w:tc>
        <w:tc>
          <w:tcPr>
            <w:tcW w:w="326" w:type="dxa"/>
            <w:tcBorders/>
            <w:shd w:fill="CCEEFF" w:val="clear"/>
            <w:vAlign w:val="center"/>
          </w:tcPr>
          <w:p>
            <w:pPr>
              <w:pStyle w:val="TableContents"/>
              <w:spacing w:before="0" w:after="1"/>
              <w:ind w:left="0" w:right="0" w:hanging="0"/>
              <w:rPr/>
            </w:pPr>
            <w:r>
              <w:rPr/>
              <w:t>​</w:t>
            </w:r>
          </w:p>
        </w:tc>
        <w:tc>
          <w:tcPr>
            <w:tcW w:w="225" w:type="dxa"/>
            <w:tcBorders/>
            <w:shd w:fill="CCEEFF" w:val="clear"/>
            <w:vAlign w:val="center"/>
          </w:tcPr>
          <w:p>
            <w:pPr>
              <w:pStyle w:val="TableContents"/>
              <w:spacing w:before="0" w:after="1"/>
              <w:ind w:left="0" w:right="0" w:hanging="0"/>
              <w:rPr/>
            </w:pPr>
            <w:r>
              <w:rPr/>
              <w:t> </w:t>
            </w:r>
          </w:p>
        </w:tc>
        <w:tc>
          <w:tcPr>
            <w:tcW w:w="96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121,950</w:t>
            </w:r>
          </w:p>
        </w:tc>
      </w:tr>
      <w:tr>
        <w:trPr/>
        <w:tc>
          <w:tcPr>
            <w:tcW w:w="41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Less: Accumulated depreciation and amortization</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(19,374)</w:t>
            </w:r>
          </w:p>
        </w:tc>
        <w:tc>
          <w:tcPr>
            <w:tcW w:w="326" w:type="dxa"/>
            <w:tcBorders/>
            <w:shd w:fill="auto" w:val="clear"/>
            <w:vAlign w:val="center"/>
          </w:tcPr>
          <w:p>
            <w:pPr>
              <w:pStyle w:val="TableContents"/>
              <w:spacing w:before="0" w:after="1"/>
              <w:ind w:left="0" w:right="0" w:hanging="0"/>
              <w:rPr/>
            </w:pPr>
            <w:r>
              <w:rPr/>
              <w:t>​</w:t>
            </w:r>
          </w:p>
        </w:tc>
        <w:tc>
          <w:tcPr>
            <w:tcW w:w="225"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6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(16,718)</w:t>
            </w:r>
          </w:p>
        </w:tc>
      </w:tr>
      <w:tr>
        <w:trPr/>
        <w:tc>
          <w:tcPr>
            <w:tcW w:w="41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109,923</w:t>
            </w:r>
          </w:p>
        </w:tc>
        <w:tc>
          <w:tcPr>
            <w:tcW w:w="326" w:type="dxa"/>
            <w:tcBorders/>
            <w:shd w:fill="CCEEFF" w:val="clear"/>
            <w:vAlign w:val="center"/>
          </w:tcPr>
          <w:p>
            <w:pPr>
              <w:pStyle w:val="TableContents"/>
              <w:spacing w:before="0" w:after="1"/>
              <w:ind w:left="0" w:right="0" w:hanging="0"/>
              <w:rPr/>
            </w:pPr>
            <w:r>
              <w:rPr/>
              <w:t>​</w:t>
            </w:r>
          </w:p>
        </w:tc>
        <w:tc>
          <w:tcPr>
            <w:tcW w:w="225"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60" w:type="dxa"/>
            <w:tcBorders>
              <w:bottom w:val="double" w:sz="6" w:space="0" w:color="000000"/>
            </w:tcBorders>
            <w:shd w:fill="CCEEFF" w:val="clear"/>
            <w:tcMar>
              <w:bottom w:w="28" w:type="dxa"/>
            </w:tcMar>
            <w:vAlign w:val="center"/>
          </w:tcPr>
          <w:p>
            <w:pPr>
              <w:pStyle w:val="TableContents"/>
              <w:spacing w:before="0" w:after="1"/>
              <w:ind w:left="0" w:right="72" w:hanging="0"/>
              <w:jc w:val="right"/>
              <w:rPr>
                <w:rFonts w:ascii="Times New Roman;Times;serif" w:hAnsi="Times New Roman;Times;serif"/>
                <w:sz w:val="20"/>
              </w:rPr>
            </w:pPr>
            <w:r>
              <w:rPr>
                <w:rFonts w:ascii="Times New Roman;Times;serif" w:hAnsi="Times New Roman;Times;serif"/>
                <w:sz w:val="20"/>
              </w:rPr>
              <w:t>105,232</w:t>
            </w:r>
          </w:p>
        </w:tc>
      </w:tr>
    </w:tbl>
    <w:p>
      <w:pPr>
        <w:pStyle w:val="TextBody"/>
        <w:spacing w:before="0" w:after="200"/>
        <w:ind w:left="0" w:right="0" w:firstLine="547"/>
        <w:rPr/>
      </w:pPr>
      <w:r>
        <w:rPr/>
        <w:t>​</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Depreciation expense for the three months ended March 31, 2023 and 2022, was $2.8</w:t>
      </w:r>
      <w:r>
        <w:rPr>
          <w:rFonts w:ascii="Times New Roman;Times;serif" w:hAnsi="Times New Roman;Times;serif"/>
          <w:color w:val="FF0000"/>
          <w:sz w:val="20"/>
        </w:rPr>
        <w:t xml:space="preserve"> </w:t>
      </w:r>
      <w:r>
        <w:rPr>
          <w:rFonts w:ascii="Times New Roman;Times;serif" w:hAnsi="Times New Roman;Times;serif"/>
          <w:sz w:val="20"/>
        </w:rPr>
        <w:t>million and $1.8</w:t>
      </w:r>
      <w:r>
        <w:rPr>
          <w:rFonts w:ascii="Times New Roman;Times;serif" w:hAnsi="Times New Roman;Times;serif"/>
          <w:color w:val="FF0000"/>
          <w:sz w:val="20"/>
        </w:rPr>
        <w:t xml:space="preserve"> </w:t>
      </w:r>
      <w:r>
        <w:rPr>
          <w:rFonts w:ascii="Times New Roman;Times;serif" w:hAnsi="Times New Roman;Times;serif"/>
          <w:sz w:val="20"/>
        </w:rPr>
        <w:t xml:space="preserve">million, respectively. </w:t>
      </w:r>
    </w:p>
    <w:p>
      <w:pPr>
        <w:pStyle w:val="TextBody"/>
        <w:pBdr/>
        <w:spacing w:before="0" w:after="200"/>
        <w:ind w:left="547" w:right="0" w:hanging="5213"/>
        <w:rPr/>
      </w:pPr>
      <w:r>
        <w:rPr/>
        <w:t>​</w:t>
      </w:r>
    </w:p>
    <w:p>
      <w:pPr>
        <w:pStyle w:val="TextBody"/>
        <w:spacing w:before="0" w:after="200"/>
        <w:ind w:left="0" w:right="0" w:hanging="0"/>
        <w:rPr>
          <w:rFonts w:ascii="Times New Roman;Times;serif" w:hAnsi="Times New Roman;Times;serif"/>
          <w:b/>
          <w:sz w:val="20"/>
        </w:rPr>
      </w:pPr>
      <w:bookmarkStart w:id="751" w:name="Tc_PDCn-UcoZkesBl6liLBHRg_9_5"/>
      <w:bookmarkStart w:id="752" w:name="Tc_M61a--h3skqMvxWNnxfVbQ_9_2"/>
      <w:bookmarkStart w:id="753" w:name="Tc_1L7hgj3srEGFGY9X6EJQSw_9_0"/>
      <w:bookmarkStart w:id="754" w:name="Tc_w_ZHmviEDECFskkmYIADYw_8_0"/>
      <w:bookmarkStart w:id="755" w:name="Tc_5fm87zeY6EqNol_iNNNZuQ_7_0"/>
      <w:bookmarkStart w:id="756" w:name="Tc_FjACqkMB-US6wd0R2pj8AQ_6_0"/>
      <w:bookmarkStart w:id="757" w:name="Tc_wo1ZuepbF0SfkkzsNNgzgA_5_0"/>
      <w:bookmarkStart w:id="758" w:name="Tc_QUCQjXkWPkC7ApgdzWM7uA_4_0"/>
      <w:bookmarkStart w:id="759" w:name="Tc_vLaA0z-eoECiZfPrc8eOYg_3_5"/>
      <w:bookmarkStart w:id="760" w:name="Tc_kQMFh7CdDECaG4T49IqBZw_3_2"/>
      <w:bookmarkStart w:id="761" w:name="Tc_yX0qrSPZ10mQcBHY6_anjg_3_0"/>
      <w:bookmarkStart w:id="762" w:name="Tc_dS-EOohVT0mzqLfVjrPMgQ_2_5"/>
      <w:bookmarkStart w:id="763" w:name="Tc_PWVnt927SE6QYnFxOxiHSQ_2_2"/>
      <w:bookmarkStart w:id="764" w:name="Tc_lgiflCVuzEqvvuX9pdOJnw_1_5"/>
      <w:bookmarkStart w:id="765" w:name="Tc_io_z7QTLgUKqgWlVhi2lWw_1_2"/>
      <w:bookmarkStart w:id="766" w:name="_08f40c93_8eaf_4012_98e1_1d4557be0542"/>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r>
        <w:rPr>
          <w:rFonts w:ascii="Times New Roman;Times;serif" w:hAnsi="Times New Roman;Times;serif"/>
          <w:b/>
          <w:sz w:val="20"/>
        </w:rPr>
        <w:t>NOTE 5. ACCRUED EXPENSES</w:t>
      </w:r>
    </w:p>
    <w:p>
      <w:pPr>
        <w:pStyle w:val="TextBody"/>
        <w:spacing w:before="0" w:after="0"/>
        <w:ind w:left="0" w:right="0" w:firstLine="547"/>
        <w:rPr>
          <w:rFonts w:ascii="Times New Roman;Times;serif" w:hAnsi="Times New Roman;Times;serif"/>
          <w:sz w:val="20"/>
        </w:rPr>
      </w:pPr>
      <w:r>
        <w:rPr>
          <w:rFonts w:ascii="Times New Roman;Times;serif" w:hAnsi="Times New Roman;Times;serif"/>
          <w:sz w:val="20"/>
        </w:rPr>
        <w:t>Accrued expenses consist of the following (in thousands):</w:t>
      </w:r>
    </w:p>
    <w:p>
      <w:pPr>
        <w:pStyle w:val="TextBody"/>
        <w:spacing w:before="0" w:after="200"/>
        <w:ind w:left="0" w:right="0" w:firstLine="547"/>
        <w:rPr/>
      </w:pPr>
      <w:r>
        <w:rPr/>
        <w:t>​</w:t>
      </w:r>
    </w:p>
    <w:tbl>
      <w:tblPr>
        <w:tblW w:w="6511" w:type="dxa"/>
        <w:jc w:val="left"/>
        <w:tblInd w:w="0" w:type="dxa"/>
        <w:tblCellMar>
          <w:top w:w="0" w:type="dxa"/>
          <w:left w:w="0" w:type="dxa"/>
          <w:bottom w:w="0" w:type="dxa"/>
          <w:right w:w="0" w:type="dxa"/>
        </w:tblCellMar>
      </w:tblPr>
      <w:tblGrid>
        <w:gridCol w:w="3991"/>
        <w:gridCol w:w="109"/>
        <w:gridCol w:w="214"/>
        <w:gridCol w:w="686"/>
        <w:gridCol w:w="326"/>
        <w:gridCol w:w="248"/>
        <w:gridCol w:w="937"/>
      </w:tblGrid>
      <w:tr>
        <w:trPr/>
        <w:tc>
          <w:tcPr>
            <w:tcW w:w="39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534285" cy="175260"/>
                      <wp:effectExtent l="0" t="0" r="0" b="0"/>
                      <wp:wrapNone/>
                      <wp:docPr id="103" name="Frame103"/>
                      <a:graphic xmlns:a="http://schemas.openxmlformats.org/drawingml/2006/main">
                        <a:graphicData uri="http://schemas.microsoft.com/office/word/2010/wordprocessingShape">
                          <wps:wsp>
                            <wps:cNvSpPr txBox="1"/>
                            <wps:spPr>
                              <a:xfrm>
                                <a:off x="0" y="0"/>
                                <a:ext cx="25342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9215" cy="175260"/>
                      <wp:effectExtent l="0" t="0" r="0" b="0"/>
                      <wp:wrapNone/>
                      <wp:docPr id="104" name="Frame10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35890" cy="175260"/>
                      <wp:effectExtent l="0" t="0" r="0" b="0"/>
                      <wp:wrapNone/>
                      <wp:docPr id="105" name="Frame105"/>
                      <a:graphic xmlns:a="http://schemas.openxmlformats.org/drawingml/2006/main">
                        <a:graphicData uri="http://schemas.microsoft.com/office/word/2010/wordprocessingShape">
                          <wps:wsp>
                            <wps:cNvSpPr txBox="1"/>
                            <wps:spPr>
                              <a:xfrm>
                                <a:off x="0" y="0"/>
                                <a:ext cx="1358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435610" cy="175260"/>
                      <wp:effectExtent l="0" t="0" r="0" b="0"/>
                      <wp:wrapNone/>
                      <wp:docPr id="106" name="Frame106"/>
                      <a:graphic xmlns:a="http://schemas.openxmlformats.org/drawingml/2006/main">
                        <a:graphicData uri="http://schemas.microsoft.com/office/word/2010/wordprocessingShape">
                          <wps:wsp>
                            <wps:cNvSpPr txBox="1"/>
                            <wps:spPr>
                              <a:xfrm>
                                <a:off x="0" y="0"/>
                                <a:ext cx="435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7" name="Frame10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57480" cy="175260"/>
                      <wp:effectExtent l="0" t="0" r="0" b="0"/>
                      <wp:wrapNone/>
                      <wp:docPr id="108" name="Frame108"/>
                      <a:graphic xmlns:a="http://schemas.openxmlformats.org/drawingml/2006/main">
                        <a:graphicData uri="http://schemas.microsoft.com/office/word/2010/wordprocessingShape">
                          <wps:wsp>
                            <wps:cNvSpPr txBox="1"/>
                            <wps:spPr>
                              <a:xfrm>
                                <a:off x="0" y="0"/>
                                <a:ext cx="1574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594995" cy="175260"/>
                      <wp:effectExtent l="0" t="0" r="0" b="0"/>
                      <wp:wrapNone/>
                      <wp:docPr id="109" name="Frame109"/>
                      <a:graphic xmlns:a="http://schemas.openxmlformats.org/drawingml/2006/main">
                        <a:graphicData uri="http://schemas.microsoft.com/office/word/2010/wordprocessingShape">
                          <wps:wsp>
                            <wps:cNvSpPr txBox="1"/>
                            <wps:spPr>
                              <a:xfrm>
                                <a:off x="0" y="0"/>
                                <a:ext cx="5949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99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90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1"/>
              <w:ind w:left="0" w:right="0" w:hanging="0"/>
              <w:rPr/>
            </w:pPr>
            <w:r>
              <w:rPr/>
              <w:t>​</w:t>
            </w:r>
          </w:p>
        </w:tc>
        <w:tc>
          <w:tcPr>
            <w:tcW w:w="118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99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90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1"/>
              <w:ind w:left="0" w:right="0" w:hanging="0"/>
              <w:rPr/>
            </w:pPr>
            <w:r>
              <w:rPr/>
              <w:t>    </w:t>
            </w:r>
          </w:p>
        </w:tc>
        <w:tc>
          <w:tcPr>
            <w:tcW w:w="118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9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Accrued payroll and employee related expenses</w:t>
            </w:r>
          </w:p>
        </w:tc>
        <w:tc>
          <w:tcPr>
            <w:tcW w:w="109" w:type="dxa"/>
            <w:tcBorders/>
            <w:shd w:fill="CCEEFF" w:val="clear"/>
            <w:vAlign w:val="center"/>
          </w:tcPr>
          <w:p>
            <w:pPr>
              <w:pStyle w:val="TableContents"/>
              <w:spacing w:before="0" w:after="1"/>
              <w:ind w:left="0" w:right="0" w:hanging="0"/>
              <w:rPr/>
            </w:pPr>
            <w:r>
              <w:rPr/>
              <w:t>​</w:t>
            </w:r>
          </w:p>
        </w:tc>
        <w:tc>
          <w:tcPr>
            <w:tcW w:w="21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13,904</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19,407</w:t>
            </w:r>
          </w:p>
        </w:tc>
      </w:tr>
      <w:tr>
        <w:trPr/>
        <w:tc>
          <w:tcPr>
            <w:tcW w:w="39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Clinical related</w:t>
            </w:r>
          </w:p>
        </w:tc>
        <w:tc>
          <w:tcPr>
            <w:tcW w:w="109" w:type="dxa"/>
            <w:tcBorders/>
            <w:shd w:fill="auto" w:val="clear"/>
            <w:vAlign w:val="center"/>
          </w:tcPr>
          <w:p>
            <w:pPr>
              <w:pStyle w:val="TableContents"/>
              <w:spacing w:before="0" w:after="1"/>
              <w:ind w:left="0" w:right="0" w:hanging="0"/>
              <w:rPr/>
            </w:pPr>
            <w:r>
              <w:rPr/>
              <w:t>​</w:t>
            </w:r>
          </w:p>
        </w:tc>
        <w:tc>
          <w:tcPr>
            <w:tcW w:w="214" w:type="dxa"/>
            <w:tcBorders/>
            <w:shd w:fill="auto" w:val="clear"/>
            <w:vAlign w:val="center"/>
          </w:tcPr>
          <w:p>
            <w:pPr>
              <w:pStyle w:val="TableContents"/>
              <w:spacing w:before="0" w:after="1"/>
              <w:ind w:left="0" w:right="0" w:hanging="0"/>
              <w:jc w:val="center"/>
              <w:rPr/>
            </w:pPr>
            <w:r>
              <w:rPr/>
              <w:t>​</w:t>
            </w:r>
          </w:p>
        </w:tc>
        <w:tc>
          <w:tcPr>
            <w:tcW w:w="6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10,578</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jc w:val="center"/>
              <w:rPr/>
            </w:pPr>
            <w:r>
              <w:rPr/>
              <w:t>​</w:t>
            </w:r>
          </w:p>
        </w:tc>
        <w:tc>
          <w:tcPr>
            <w:tcW w:w="93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14,812</w:t>
            </w:r>
          </w:p>
        </w:tc>
      </w:tr>
      <w:tr>
        <w:trPr/>
        <w:tc>
          <w:tcPr>
            <w:tcW w:w="39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Manufacturing related</w:t>
            </w:r>
          </w:p>
        </w:tc>
        <w:tc>
          <w:tcPr>
            <w:tcW w:w="109" w:type="dxa"/>
            <w:tcBorders/>
            <w:shd w:fill="CCEEFF" w:val="clear"/>
            <w:vAlign w:val="center"/>
          </w:tcPr>
          <w:p>
            <w:pPr>
              <w:pStyle w:val="TableContents"/>
              <w:spacing w:before="0" w:after="1"/>
              <w:ind w:left="0" w:right="0" w:hanging="0"/>
              <w:rPr/>
            </w:pPr>
            <w:r>
              <w:rPr/>
              <w:t>​</w:t>
            </w:r>
          </w:p>
        </w:tc>
        <w:tc>
          <w:tcPr>
            <w:tcW w:w="214" w:type="dxa"/>
            <w:tcBorders/>
            <w:shd w:fill="CCEEFF" w:val="clear"/>
            <w:vAlign w:val="center"/>
          </w:tcPr>
          <w:p>
            <w:pPr>
              <w:pStyle w:val="TableContents"/>
              <w:spacing w:before="0" w:after="1"/>
              <w:ind w:left="0" w:right="0" w:hanging="0"/>
              <w:rPr/>
            </w:pPr>
            <w:r>
              <w:rPr/>
              <w:t> </w:t>
            </w:r>
          </w:p>
        </w:tc>
        <w:tc>
          <w:tcPr>
            <w:tcW w:w="6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5,004</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pPr>
            <w:r>
              <w:rPr/>
              <w:t> </w:t>
            </w:r>
          </w:p>
        </w:tc>
        <w:tc>
          <w:tcPr>
            <w:tcW w:w="93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4,652</w:t>
            </w:r>
          </w:p>
        </w:tc>
      </w:tr>
      <w:tr>
        <w:trPr/>
        <w:tc>
          <w:tcPr>
            <w:tcW w:w="39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Facilities related</w:t>
            </w:r>
          </w:p>
        </w:tc>
        <w:tc>
          <w:tcPr>
            <w:tcW w:w="109" w:type="dxa"/>
            <w:tcBorders/>
            <w:shd w:fill="auto" w:val="clear"/>
            <w:vAlign w:val="center"/>
          </w:tcPr>
          <w:p>
            <w:pPr>
              <w:pStyle w:val="TableContents"/>
              <w:spacing w:before="0" w:after="1"/>
              <w:ind w:left="0" w:right="0" w:hanging="0"/>
              <w:rPr/>
            </w:pPr>
            <w:r>
              <w:rPr/>
              <w:t>​</w:t>
            </w:r>
          </w:p>
        </w:tc>
        <w:tc>
          <w:tcPr>
            <w:tcW w:w="214" w:type="dxa"/>
            <w:tcBorders/>
            <w:shd w:fill="auto" w:val="clear"/>
            <w:vAlign w:val="center"/>
          </w:tcPr>
          <w:p>
            <w:pPr>
              <w:pStyle w:val="TableContents"/>
              <w:spacing w:before="0" w:after="1"/>
              <w:ind w:left="0" w:right="0" w:hanging="0"/>
              <w:rPr/>
            </w:pPr>
            <w:r>
              <w:rPr/>
              <w:t>​</w:t>
            </w:r>
          </w:p>
        </w:tc>
        <w:tc>
          <w:tcPr>
            <w:tcW w:w="6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6,652</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w:t>
            </w:r>
          </w:p>
        </w:tc>
        <w:tc>
          <w:tcPr>
            <w:tcW w:w="93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6,510</w:t>
            </w:r>
          </w:p>
        </w:tc>
      </w:tr>
      <w:tr>
        <w:trPr/>
        <w:tc>
          <w:tcPr>
            <w:tcW w:w="39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Legal and related services</w:t>
            </w:r>
          </w:p>
        </w:tc>
        <w:tc>
          <w:tcPr>
            <w:tcW w:w="109" w:type="dxa"/>
            <w:tcBorders/>
            <w:shd w:fill="CCEEFF" w:val="clear"/>
            <w:vAlign w:val="center"/>
          </w:tcPr>
          <w:p>
            <w:pPr>
              <w:pStyle w:val="TableContents"/>
              <w:spacing w:before="0" w:after="1"/>
              <w:ind w:left="0" w:right="0" w:hanging="0"/>
              <w:rPr/>
            </w:pPr>
            <w:r>
              <w:rPr/>
              <w:t>​</w:t>
            </w:r>
          </w:p>
        </w:tc>
        <w:tc>
          <w:tcPr>
            <w:tcW w:w="214" w:type="dxa"/>
            <w:tcBorders/>
            <w:shd w:fill="CCEEFF" w:val="clear"/>
            <w:vAlign w:val="center"/>
          </w:tcPr>
          <w:p>
            <w:pPr>
              <w:pStyle w:val="TableContents"/>
              <w:spacing w:before="0" w:after="1"/>
              <w:ind w:left="0" w:right="0" w:hanging="0"/>
              <w:rPr/>
            </w:pPr>
            <w:r>
              <w:rPr/>
              <w:t> </w:t>
            </w:r>
          </w:p>
        </w:tc>
        <w:tc>
          <w:tcPr>
            <w:tcW w:w="6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2,660</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pPr>
            <w:r>
              <w:rPr/>
              <w:t> </w:t>
            </w:r>
          </w:p>
        </w:tc>
        <w:tc>
          <w:tcPr>
            <w:tcW w:w="93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3,015</w:t>
            </w:r>
          </w:p>
        </w:tc>
      </w:tr>
      <w:tr>
        <w:trPr/>
        <w:tc>
          <w:tcPr>
            <w:tcW w:w="39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accrued expenses</w:t>
            </w:r>
          </w:p>
        </w:tc>
        <w:tc>
          <w:tcPr>
            <w:tcW w:w="109" w:type="dxa"/>
            <w:tcBorders/>
            <w:shd w:fill="auto" w:val="clear"/>
            <w:vAlign w:val="center"/>
          </w:tcPr>
          <w:p>
            <w:pPr>
              <w:pStyle w:val="TableContents"/>
              <w:spacing w:before="0" w:after="1"/>
              <w:ind w:left="0" w:right="0" w:hanging="0"/>
              <w:rPr/>
            </w:pPr>
            <w:r>
              <w:rPr/>
              <w:t>​</w:t>
            </w:r>
          </w:p>
        </w:tc>
        <w:tc>
          <w:tcPr>
            <w:tcW w:w="214"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4,290</w:t>
            </w:r>
          </w:p>
        </w:tc>
        <w:tc>
          <w:tcPr>
            <w:tcW w:w="326" w:type="dxa"/>
            <w:tcBorders/>
            <w:shd w:fill="auto" w:val="clear"/>
            <w:vAlign w:val="center"/>
          </w:tcPr>
          <w:p>
            <w:pPr>
              <w:pStyle w:val="TableContents"/>
              <w:spacing w:before="0" w:after="1"/>
              <w:ind w:left="0" w:right="0" w:hanging="0"/>
              <w:rPr/>
            </w:pPr>
            <w:r>
              <w:rPr/>
              <w:t>​</w:t>
            </w:r>
          </w:p>
        </w:tc>
        <w:tc>
          <w:tcPr>
            <w:tcW w:w="248"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3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3,899</w:t>
            </w:r>
          </w:p>
        </w:tc>
      </w:tr>
      <w:tr>
        <w:trPr/>
        <w:tc>
          <w:tcPr>
            <w:tcW w:w="39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accrued expenses</w:t>
            </w:r>
          </w:p>
        </w:tc>
        <w:tc>
          <w:tcPr>
            <w:tcW w:w="109" w:type="dxa"/>
            <w:tcBorders/>
            <w:shd w:fill="CCEEFF" w:val="clear"/>
            <w:vAlign w:val="center"/>
          </w:tcPr>
          <w:p>
            <w:pPr>
              <w:pStyle w:val="TableContents"/>
              <w:spacing w:before="0" w:after="1"/>
              <w:ind w:left="0" w:right="0" w:hanging="0"/>
              <w:rPr/>
            </w:pPr>
            <w:r>
              <w:rPr/>
              <w:t>​</w:t>
            </w:r>
          </w:p>
        </w:tc>
        <w:tc>
          <w:tcPr>
            <w:tcW w:w="214"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43,088</w:t>
            </w:r>
          </w:p>
        </w:tc>
        <w:tc>
          <w:tcPr>
            <w:tcW w:w="326" w:type="dxa"/>
            <w:tcBorders/>
            <w:shd w:fill="CCEEFF" w:val="clear"/>
            <w:vAlign w:val="center"/>
          </w:tcPr>
          <w:p>
            <w:pPr>
              <w:pStyle w:val="TableContents"/>
              <w:spacing w:before="0" w:after="1"/>
              <w:ind w:left="0" w:right="0" w:hanging="0"/>
              <w:rPr/>
            </w:pPr>
            <w:r>
              <w:rPr/>
              <w:t>​</w:t>
            </w:r>
          </w:p>
        </w:tc>
        <w:tc>
          <w:tcPr>
            <w:tcW w:w="248"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shd w:fill="CCEEFF" w:val="clear"/>
            <w:tcMar>
              <w:bottom w:w="28" w:type="dxa"/>
            </w:tcMar>
            <w:vAlign w:val="center"/>
          </w:tcPr>
          <w:p>
            <w:pPr>
              <w:pStyle w:val="TableContents"/>
              <w:spacing w:before="0" w:after="1"/>
              <w:ind w:left="0" w:right="72" w:hanging="0"/>
              <w:jc w:val="right"/>
              <w:rPr>
                <w:rFonts w:ascii="Times New Roman;Times;serif" w:hAnsi="Times New Roman;Times;serif"/>
                <w:sz w:val="20"/>
              </w:rPr>
            </w:pPr>
            <w:r>
              <w:rPr>
                <w:rFonts w:ascii="Times New Roman;Times;serif" w:hAnsi="Times New Roman;Times;serif"/>
                <w:sz w:val="20"/>
              </w:rPr>
              <w:t>52,295</w:t>
            </w:r>
          </w:p>
        </w:tc>
      </w:tr>
    </w:tbl>
    <w:p>
      <w:pPr>
        <w:pStyle w:val="TextBody"/>
        <w:spacing w:before="0" w:after="200"/>
        <w:ind w:left="0" w:right="0" w:firstLine="547"/>
        <w:rPr/>
      </w:pPr>
      <w:r>
        <w:rPr/>
        <w:t>​</w:t>
      </w:r>
    </w:p>
    <w:p>
      <w:pPr>
        <w:pStyle w:val="TextBody"/>
        <w:spacing w:before="0" w:after="200"/>
        <w:ind w:left="0" w:right="0" w:hanging="0"/>
        <w:rPr/>
      </w:pPr>
      <w:r>
        <w:rPr/>
        <w:t>​</w:t>
      </w:r>
    </w:p>
    <w:p>
      <w:pPr>
        <w:pStyle w:val="TextBody"/>
        <w:spacing w:before="200" w:after="200"/>
        <w:ind w:left="0" w:right="0" w:hanging="0"/>
        <w:rPr>
          <w:rFonts w:ascii="Times New Roman;Times;serif" w:hAnsi="Times New Roman;Times;serif"/>
          <w:b/>
          <w:sz w:val="20"/>
        </w:rPr>
      </w:pPr>
      <w:r>
        <w:rPr>
          <w:rFonts w:ascii="Times New Roman;Times;serif" w:hAnsi="Times New Roman;Times;serif"/>
          <w:b/>
          <w:sz w:val="20"/>
        </w:rPr>
        <w:t>NOTE 6. STOCKHOLDERS’ EQUITY</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Common Stock</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 xml:space="preserve">The Company’s certificate of incorporation, as amended, authorizes the issuance of up to 300,000,000 shares of the Company’s common stock, par value $0.000041666. As of March 31, 2023, 224,358,979 shares of the Company’s common stock were issued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At the Market Offering Program</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On February 8, 2021, the Company entered into an Open Market Sale Agreement (the “</w:t>
      </w:r>
      <w:r>
        <w:rPr>
          <w:rFonts w:ascii="Times New Roman;Times;serif" w:hAnsi="Times New Roman;Times;serif"/>
          <w:b/>
          <w:i/>
          <w:sz w:val="20"/>
        </w:rPr>
        <w:t xml:space="preserve">First </w:t>
      </w:r>
      <w:r>
        <w:rPr>
          <w:rFonts w:ascii="Times New Roman;Times;serif" w:hAnsi="Times New Roman;Times;serif"/>
          <w:sz w:val="20"/>
        </w:rPr>
        <w:t>Sales Agreement”) with Jefferies LLC (“Jefferies”) with respect to an “at the market” offering program, under which the Company may, from time to time, in its sole discretion, issue and sell through Jefferies, acting as sales agent, up to $350.0 million of shares of the Company’s common stock (the “Common Shares”). On November 18, 2022, the Company entered into a new Open Market Sales Agreement (the “Second Sales Agreement”), which superseded and replaced the First Sales Agreement dated February 8, 2021. Under the terms of the Second Sales Agreement, the Company may, from time to time, in its sole discretion, issue and sell up to $500.0 million of shares of the Company’s Common Shares. The issuance and sale, if any, of the Common Shares by the Company under the First Sales Agreement and Second Sales Agreement (together, the “Sales Agreements”) will be made pursuant to a prospectus supplement, dated February 8, 2021 and November 18, 2022, to the Company’s Registration Statement on Form S-3ASR, which became effective immediately upon filing with the Securities and Exchange Commission on May 27, 2020.</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115" w:firstLine="547"/>
        <w:rPr>
          <w:rFonts w:ascii="Times New Roman;Times;serif" w:hAnsi="Times New Roman;Times;serif"/>
          <w:sz w:val="20"/>
        </w:rPr>
      </w:pPr>
      <w:r>
        <w:rPr>
          <w:rFonts w:ascii="Times New Roman;Times;serif" w:hAnsi="Times New Roman;Times;serif"/>
          <w:sz w:val="20"/>
        </w:rPr>
        <w:t>Pursuant to the Sales Agreements, Jefferies may sell the Common Shares by any method permitted by law deemed to be an “at the market” offering as defined in Rule 415 of the Securities Act of 1933, as amended. Jefferies will use commercially reasonable efforts consistent with its normal trading and sales practices to sell the Common Shares from time to time, based upon instructions from the Company (including any price or size limits or other customary parameters or conditions the Company may impose). The Company will pay Jefferies a commission of up to 3.0% of the gross sales proceeds of any Common Shares sold through Jefferies under the Sales Agreements.</w:t>
      </w:r>
    </w:p>
    <w:p>
      <w:pPr>
        <w:pStyle w:val="TextBody"/>
        <w:spacing w:before="0" w:after="200"/>
        <w:ind w:left="0" w:right="115" w:firstLine="547"/>
        <w:rPr>
          <w:rFonts w:ascii="Times New Roman;Times;serif" w:hAnsi="Times New Roman;Times;serif"/>
          <w:sz w:val="20"/>
        </w:rPr>
      </w:pPr>
      <w:r>
        <w:rPr>
          <w:rFonts w:ascii="Times New Roman;Times;serif" w:hAnsi="Times New Roman;Times;serif"/>
          <w:sz w:val="20"/>
        </w:rPr>
        <w:t>The Company is not obligated to make any sales of Common Shares under the Sales Agreements. The offering of Common Shares pursuant to the Sales Agreements will terminate upon the earlier to occur of (i) the issuance and sale, through Jefferies, of all Common Shares subject to the Sales Agreements and (ii) termination of the Sales Agreements in accordance with its terms.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For the three months ended March 31, 2023, the Company received approximately $260.1 million in net proceeds, net of offering costs, through the sale of 36,080,226 shares of its common stock through the Sales Agreements at a weighted average price per share of $7.35. No sales were made pursuant to the Sales Agreements during the three months ended March 31, 2022.</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Preferred Stock</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The Company’s certificate of incorporation authorizes the issuance of up to 50,000,000 shares of “blank check” preferred stock. As of March 31, 2023, 17,000 shares were designated as Series A Convertible Preferred Stock (“Series A Convertible Preferred Stock”) and 11,500,000 shares were designated as Series B Convertible Preferred Stock (“Series B Convertible Preferred Stock”).</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Series A Convertible Preferred Stock</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A total of 17,000 shares of Series A Convertible Preferred Stock have been authorized for issuance under the Company’s Certificate of Designation of Preferences and Rights of Series A Convertible Preferred Stock. The shares of Series A Convertible Preferred Stock have a stated value of $1,000 per share and are initially convertible into shares of common stock at a price of $2.00 per share, subject to adjustment. Each share of Series A Preferred Stock is initially convertible into 500 shares of common stock.</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 xml:space="preserve">The Series A Convertible Preferred Stock may, at the option of each investor, be converted into fully paid and non-assessable shares of common stock. The holders of shares of Series A Convertible Preferred Stock do not have the right to vote on matters that come before the Company’s stockholders. In the event of any dissolution or winding up of the Company, proceeds shall be paid pari passu among the holders of common stock and preferred stock, pro rata based on the number of shares held by each holder. The Company may not declare, pay, or set aside any dividends on shares of capital stock of the Company (other than dividends on shares of common stock payable in shares of common stock) unless the holders of the Series A Convertible Preferred Stock shall first receive an equal dividend on each outstanding share of Series A Convertible Preferred Stock. </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No shares of Series A Convertible Preferred Stock were converted into shares of common stock during the three months ended March 31, 2023 or 2022. As of March 31, 2023 and December 31, 2022, 194 shares of Series A Convertible Preferred Stock (that are convertible into 97,000 shares of common stock) remained outstanding.</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Series B Convertible Preferred Stock</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A total of 11,500,000 shares of Series B Convertible Preferred Stock are authorized for issuance under the Company’s Series B Certificate of Designation of Rights, Preferences and Privileges of Series B Convertible Preferred Stock. The shares of Series B Convertible Preferred Stock have a stated value of $4.75 per share and are convertible into shares of the Company’s common stock at an initial conversion price of $4.75 per share. Each share of Series B Preferred Stock is initially convertible into 1 share of common stock.</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The Series B Convertible Preferred Stock may, at the option of each investor, be converted into fully paid and non-assessable shares of common stock. The holders of shares of Series B Convertible Preferred Stock do not have the right to vote on matters that come before the Company's stockholders. In the event of any dissolution or winding up of the Company, proceeds shall be paid pari passu among the holders of common stock and preferred stock, pro rata based on the number of shares held by each holder. Holders of Series B Convertible Preferred Stock are entitled to dividends on an as-if-converted basis in the same form as any dividends actually paid on shares of the Series A Convertible Preferred Stock or the Company’s common stock. So long as any Series B Convertible Preferred Stock remains outstanding, the Company may not redeem, purchase, or otherwise acquire any material amount of the Series A Convertible Preferred Stock or any securities junior to the Series B Convertible Preferred Stock.</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During the three months ended March 31, 2023 and 2022, no shares</w:t>
      </w:r>
      <w:r>
        <w:rPr>
          <w:rFonts w:ascii="Times New Roman;Times;serif" w:hAnsi="Times New Roman;Times;serif"/>
          <w:color w:val="FF0000"/>
          <w:sz w:val="20"/>
        </w:rPr>
        <w:t xml:space="preserve"> </w:t>
      </w:r>
      <w:r>
        <w:rPr>
          <w:rFonts w:ascii="Times New Roman;Times;serif" w:hAnsi="Times New Roman;Times;serif"/>
          <w:sz w:val="20"/>
        </w:rPr>
        <w:t>of Series B Convertible Preferred Stock were converted into</w:t>
      </w:r>
      <w:r>
        <w:rPr>
          <w:rFonts w:ascii="Times New Roman;Times;serif" w:hAnsi="Times New Roman;Times;serif"/>
          <w:color w:val="FF0000"/>
          <w:sz w:val="20"/>
        </w:rPr>
        <w:t xml:space="preserve"> </w:t>
      </w:r>
      <w:r>
        <w:rPr>
          <w:rFonts w:ascii="Times New Roman;Times;serif" w:hAnsi="Times New Roman;Times;serif"/>
          <w:sz w:val="20"/>
        </w:rPr>
        <w:t xml:space="preserve">shares of common stock. As of March 31, 2023 and December 31, 2022, 2,842,158 shares of Series B Preferred Stock (that are convertible into 2,842,158 shares of common stock) remained outstanding. </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Equity Incentive Plans</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The Company has multiple equity incentive plans under which it grants awards. As of March 31, 2023, there are 61,293 shares available to grant under the 2014 Equity Incentive Plan (the “2014 Plan”).</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On April 22, 2018, the Company’s board of directors (the “Board”) adopted the Iovance Biotherapeutics, Inc. 2018 Equity Incentive Plan (as amended, the “2018 Plan”), which was approved by the Company’s stockholders in June 2018. The 2018 Plan as approved initially authorized the issuance up to an aggregate of 6,000,000 shares of common stock in the form of incentive (qualified) stock options, non-qualified options, common stock, stock appreciation rights, restricted stock awards, restricted stock units, other stock-based awards, other cash-based awards or any combination of the foregoing. On June 8, 2020, the Company's stockholders approved an amendment to the 2018 Plan to increase the number of shares available for issuance under the 2018 Plan from 6,000,000 to 14,000,000 shares, which became effective immediately. Additionally, on June 10, 2022, the Company’s stockholders approved an amendment to the 2018 Plan to increase the number of shares available for issuance under the 2018 Plan from 14,000,000 to 20,700,000 shares, which became effective immediately. As of March 31, 2023, 545,618 shares of common stock were available for grant under the Company’s 2018 Plan.</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On September 22, 2021, the Board adopted the Iovance Biotherapeutics, Inc. 2021 Inducement Plan (as amended, the “2021 Inducement Plan”). The 2021 Inducement Plan provides for the grant of non-qualified options, common stock, stock appreciation rights, restricted stock awards, restricted stock units, other stock-based awards, other cash-based awards, or any combination of the foregoing. The 2021 Inducement Plan was recommended for approval by the Compensation Committee of the Board (the “Compensation Committee”), and subsequently approved and adopted by the Board without stockholder approval pursuant to Rule 5635(c)(4) of the rules and regulations of The Nasdaq Stock Market, LLC (the “Nasdaq Listing Rules”).</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The Board initially reserved 1,000,000 shares of the Company’s common stock for issuance pursuant to equity awards granted under the 2021 Inducement Plan, and the 2021 Inducement Plan is administered by the Compensation Committee. On January 12, 2022, the Compensation Committee approved an amendment to the 2021 Inducement Plan solely to increase the number of shares reserved for issuance under the 2021 Inducement Plan from 1,000,000 shares of the Company’s common stock to 1,750,000 shares of the Company’s common stock without stockholder approval pursuant to Rule 5635(c)(4) of the Nasdaq Listing Rules. On March 13, 2023, the Compensation Committee approved an amendment to the 2021 Inducement Plan solely to increase the number of shares reserved for issuance under the 2021 Inducement Plan from 1,750,000 shares of the Company’s common stock to 2,250,000 shares of the Company’s common stock without stockholder approval pursuant to Rule 5635(c)(4) of the Nasdaq Listing Rules.</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In accordance with Rule 5635(c)(4) of the Nasdaq Listing Rules, equity awards under the 2021 Inducement Plan may only be made to an employee if such employee is granted such equity awards in connection with his or her commencement of employment with the Company or a subsidiary and such grant is an inducement material to his or her entering into employment with the Company or such subsidiary. In addition, awards under the 2021 Inducement Plan may only be made to employees who have not previously been an employee or member of the Board (or any parent or subsidiary of the Company) or following a bona fide period of non-employment of the employee by the Company (or a parent or subsidiary of the Company). As of March 31, 2023, 111,185 shares of common stock were available for grant under the 2021 Inducement Plan.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b/>
          <w:i/>
          <w:sz w:val="20"/>
        </w:rPr>
      </w:pPr>
      <w:bookmarkStart w:id="767" w:name="Tc_7el4HSzVW0uXx056LtSoPA_12_9"/>
      <w:bookmarkStart w:id="768" w:name="Tc_KzFvSZ47hEyocFdEiKmFXA_12_4"/>
      <w:bookmarkStart w:id="769" w:name="Tc_mGSALtI83kygscz_oXRs6A_12_0"/>
      <w:bookmarkStart w:id="770" w:name="Tc_lNp0ubi9p0ufS_XKE6BytA_11_9"/>
      <w:bookmarkStart w:id="771" w:name="Tc_5AHY_IGp10u6meAgcXxtdA_11_4"/>
      <w:bookmarkStart w:id="772" w:name="Tc_HoRWXLH13kGZASTdsyuCVQ_11_0"/>
      <w:bookmarkStart w:id="773" w:name="Tc_LdmeyX4bfkG0vJCAiusdtA_10_9"/>
      <w:bookmarkStart w:id="774" w:name="Tc_UyOn_EcUOEqKze56ECMUow_10_4"/>
      <w:bookmarkStart w:id="775" w:name="Tc_n7lXEUCbDUOmGlMCQfMFYw_10_0"/>
      <w:bookmarkStart w:id="776" w:name="Tc_Uodir98IXUaPuUOROcCEbw_9_0"/>
      <w:bookmarkStart w:id="777" w:name="Tc_ortlm-YI8EeUGG7R0Pqn0g_8_5"/>
      <w:bookmarkStart w:id="778" w:name="Tc_lc7ZXThF1U-VyZk_gghIww_8_2"/>
      <w:bookmarkStart w:id="779" w:name="Tc_Nkcgddc-3EmzBmfe3F4Mxg_8_0"/>
      <w:bookmarkStart w:id="780" w:name="Tc_bY898-0ugE2oQSaeNUZEOQ_7_0"/>
      <w:bookmarkStart w:id="781" w:name="Tc_vKOv_FeNmESLz2oOJDKqsA_6_4"/>
      <w:bookmarkStart w:id="782" w:name="Tc_U3gn6lab1kyfa36Zxfx_Vw_6_0"/>
      <w:bookmarkStart w:id="783" w:name="Tc_2NkR67_anEmGQAleIaPmWQ_5_7"/>
      <w:bookmarkStart w:id="784" w:name="Tc_9d51rDUKNUmmaHXeUf3N0Q_5_4"/>
      <w:bookmarkStart w:id="785" w:name="Tc_mJYBKpsClkOdaUR8FkyJAA_5_2"/>
      <w:bookmarkStart w:id="786" w:name="Tc_fr_tlSERw06Qjd1huI9FZQ_4_9"/>
      <w:bookmarkStart w:id="787" w:name="Tc_ademXnd_H0CDDwanW4J8ZA_4_7"/>
      <w:bookmarkStart w:id="788" w:name="Tc_BlTu3wewVkWv8unwIXMHkA_4_4"/>
      <w:bookmarkStart w:id="789" w:name="Tc_gvy_eWbLUkar1UHKPw2vTw_4_2"/>
      <w:bookmarkStart w:id="790" w:name="Tc_ZKXzUW2eCUexJotAGGizZw_3_9"/>
      <w:bookmarkStart w:id="791" w:name="Tc_kvrIEUtOWEqWsBmw-psurQ_3_7"/>
      <w:bookmarkStart w:id="792" w:name="Tc_e6RJ1TIyWE-MN9w-KsWqlw_3_4"/>
      <w:bookmarkStart w:id="793" w:name="Tc_48pb8AyEeE-AJ3RiEIcEzQ_3_2"/>
      <w:bookmarkStart w:id="794" w:name="Tc_uf2JLF_JfkakOuK_aM4PwA_2_9"/>
      <w:bookmarkStart w:id="795" w:name="Tc_kXmEcE6ZkE62oojNkOdvmQ_2_7"/>
      <w:bookmarkStart w:id="796" w:name="Tc_Nsca8ojkdEiusKGJ87njjw_2_4"/>
      <w:bookmarkStart w:id="797" w:name="Tc_c0YZ44Iyg0i_YH-kh7hwBQ_1_7"/>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r>
        <w:rPr>
          <w:rFonts w:ascii="Times New Roman;Times;serif" w:hAnsi="Times New Roman;Times;serif"/>
          <w:b/>
          <w:i/>
          <w:sz w:val="20"/>
        </w:rPr>
        <w:t>Stock Options</w:t>
      </w:r>
    </w:p>
    <w:p>
      <w:pPr>
        <w:pStyle w:val="TextBody"/>
        <w:spacing w:before="0" w:after="0"/>
        <w:ind w:left="0" w:right="0" w:firstLine="547"/>
        <w:rPr>
          <w:rFonts w:ascii="Times New Roman;Times;serif" w:hAnsi="Times New Roman;Times;serif"/>
          <w:sz w:val="20"/>
        </w:rPr>
      </w:pPr>
      <w:r>
        <w:rPr>
          <w:rFonts w:ascii="Times New Roman;Times;serif" w:hAnsi="Times New Roman;Times;serif"/>
          <w:sz w:val="20"/>
        </w:rPr>
        <w:t>A summary of the stock option activity during the three months ended March 31, 2023, is presented in the following table:</w:t>
      </w:r>
    </w:p>
    <w:p>
      <w:pPr>
        <w:pStyle w:val="TextBody"/>
        <w:spacing w:before="0" w:after="200"/>
        <w:ind w:left="0" w:right="0" w:firstLine="547"/>
        <w:rPr/>
      </w:pPr>
      <w:r>
        <w:rPr/>
        <w:t>​</w:t>
      </w:r>
    </w:p>
    <w:tbl>
      <w:tblPr>
        <w:tblW w:w="9662" w:type="dxa"/>
        <w:jc w:val="left"/>
        <w:tblInd w:w="0" w:type="dxa"/>
        <w:tblCellMar>
          <w:top w:w="0" w:type="dxa"/>
          <w:left w:w="0" w:type="dxa"/>
          <w:bottom w:w="0" w:type="dxa"/>
          <w:right w:w="0" w:type="dxa"/>
        </w:tblCellMar>
      </w:tblPr>
      <w:tblGrid>
        <w:gridCol w:w="4531"/>
        <w:gridCol w:w="326"/>
        <w:gridCol w:w="1036"/>
        <w:gridCol w:w="326"/>
        <w:gridCol w:w="214"/>
        <w:gridCol w:w="582"/>
        <w:gridCol w:w="326"/>
        <w:gridCol w:w="886"/>
        <w:gridCol w:w="326"/>
        <w:gridCol w:w="211"/>
        <w:gridCol w:w="898"/>
      </w:tblGrid>
      <w:tr>
        <w:trPr/>
        <w:tc>
          <w:tcPr>
            <w:tcW w:w="45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877185" cy="175260"/>
                      <wp:effectExtent l="0" t="0" r="0" b="0"/>
                      <wp:wrapNone/>
                      <wp:docPr id="110" name="Frame110"/>
                      <a:graphic xmlns:a="http://schemas.openxmlformats.org/drawingml/2006/main">
                        <a:graphicData uri="http://schemas.microsoft.com/office/word/2010/wordprocessingShape">
                          <wps:wsp>
                            <wps:cNvSpPr txBox="1"/>
                            <wps:spPr>
                              <a:xfrm>
                                <a:off x="0" y="0"/>
                                <a:ext cx="2877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1" name="Frame1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57860" cy="175260"/>
                      <wp:effectExtent l="0" t="0" r="0" b="0"/>
                      <wp:wrapNone/>
                      <wp:docPr id="112" name="Frame112"/>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13" name="Frame11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5890" cy="175260"/>
                      <wp:effectExtent l="0" t="0" r="0" b="0"/>
                      <wp:wrapNone/>
                      <wp:docPr id="114" name="Frame114"/>
                      <a:graphic xmlns:a="http://schemas.openxmlformats.org/drawingml/2006/main">
                        <a:graphicData uri="http://schemas.microsoft.com/office/word/2010/wordprocessingShape">
                          <wps:wsp>
                            <wps:cNvSpPr txBox="1"/>
                            <wps:spPr>
                              <a:xfrm>
                                <a:off x="0" y="0"/>
                                <a:ext cx="1358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369570" cy="175260"/>
                      <wp:effectExtent l="0" t="0" r="0" b="0"/>
                      <wp:wrapNone/>
                      <wp:docPr id="115" name="Frame115"/>
                      <a:graphic xmlns:a="http://schemas.openxmlformats.org/drawingml/2006/main">
                        <a:graphicData uri="http://schemas.microsoft.com/office/word/2010/wordprocessingShape">
                          <wps:wsp>
                            <wps:cNvSpPr txBox="1"/>
                            <wps:spPr>
                              <a:xfrm>
                                <a:off x="0" y="0"/>
                                <a:ext cx="3695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6" name="Frame11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562610" cy="175260"/>
                      <wp:effectExtent l="0" t="0" r="0" b="0"/>
                      <wp:wrapNone/>
                      <wp:docPr id="117" name="Frame117"/>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8" name="Frame1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33985" cy="175260"/>
                      <wp:effectExtent l="0" t="0" r="0" b="0"/>
                      <wp:wrapNone/>
                      <wp:docPr id="119" name="Frame11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570230" cy="175260"/>
                      <wp:effectExtent l="0" t="0" r="0" b="0"/>
                      <wp:wrapNone/>
                      <wp:docPr id="120" name="Frame120"/>
                      <a:graphic xmlns:a="http://schemas.openxmlformats.org/drawingml/2006/main">
                        <a:graphicData uri="http://schemas.microsoft.com/office/word/2010/wordprocessingShape">
                          <wps:wsp>
                            <wps:cNvSpPr txBox="1"/>
                            <wps:spPr>
                              <a:xfrm>
                                <a:off x="0" y="0"/>
                                <a:ext cx="5702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5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214" w:type="dxa"/>
            <w:tcBorders/>
            <w:shd w:fill="auto" w:val="clear"/>
            <w:vAlign w:val="center"/>
          </w:tcPr>
          <w:p>
            <w:pPr>
              <w:pStyle w:val="TableContents"/>
              <w:spacing w:before="0" w:after="1"/>
              <w:ind w:left="0" w:right="0" w:hanging="0"/>
              <w:rPr/>
            </w:pPr>
            <w:r>
              <w:rPr/>
              <w:t>​</w:t>
            </w:r>
          </w:p>
        </w:tc>
        <w:tc>
          <w:tcPr>
            <w:tcW w:w="582"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98" w:type="dxa"/>
            <w:tcBorders/>
            <w:shd w:fill="auto" w:val="clear"/>
            <w:vAlign w:val="center"/>
          </w:tcPr>
          <w:p>
            <w:pPr>
              <w:pStyle w:val="TableContents"/>
              <w:spacing w:before="0" w:after="1"/>
              <w:ind w:left="0" w:right="0" w:hanging="0"/>
              <w:jc w:val="center"/>
              <w:rPr/>
            </w:pPr>
            <w:r>
              <w:rPr/>
              <w:t> </w:t>
            </w:r>
          </w:p>
        </w:tc>
      </w:tr>
      <w:tr>
        <w:trPr/>
        <w:tc>
          <w:tcPr>
            <w:tcW w:w="45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79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shd w:fill="auto" w:val="clear"/>
            <w:vAlign w:val="center"/>
          </w:tcPr>
          <w:p>
            <w:pPr>
              <w:pStyle w:val="TableContents"/>
              <w:spacing w:before="0" w:after="1"/>
              <w:ind w:left="0" w:right="0" w:hanging="0"/>
              <w:rPr/>
            </w:pPr>
            <w:r>
              <w:rPr/>
              <w:t>​</w:t>
            </w:r>
          </w:p>
        </w:tc>
        <w:tc>
          <w:tcPr>
            <w:tcW w:w="1109"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45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26" w:type="dxa"/>
            <w:tcBorders/>
            <w:shd w:fill="auto" w:val="clear"/>
            <w:vAlign w:val="center"/>
          </w:tcPr>
          <w:p>
            <w:pPr>
              <w:pStyle w:val="TableContents"/>
              <w:spacing w:before="0" w:after="1"/>
              <w:ind w:left="0" w:right="0" w:hanging="0"/>
              <w:rPr/>
            </w:pPr>
            <w:r>
              <w:rPr/>
              <w:t>​</w:t>
            </w:r>
          </w:p>
        </w:tc>
        <w:tc>
          <w:tcPr>
            <w:tcW w:w="79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26" w:type="dxa"/>
            <w:tcBorders/>
            <w:shd w:fill="auto" w:val="clear"/>
            <w:vAlign w:val="center"/>
          </w:tcPr>
          <w:p>
            <w:pPr>
              <w:pStyle w:val="TableContents"/>
              <w:spacing w:before="0" w:after="1"/>
              <w:ind w:left="0" w:right="0" w:hanging="0"/>
              <w:rPr/>
            </w:pPr>
            <w:r>
              <w:rPr/>
              <w:t>​</w:t>
            </w:r>
          </w:p>
        </w:tc>
        <w:tc>
          <w:tcPr>
            <w:tcW w:w="1109"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45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of</w:t>
            </w:r>
          </w:p>
        </w:tc>
        <w:tc>
          <w:tcPr>
            <w:tcW w:w="326" w:type="dxa"/>
            <w:tcBorders/>
            <w:shd w:fill="auto" w:val="clear"/>
            <w:vAlign w:val="center"/>
          </w:tcPr>
          <w:p>
            <w:pPr>
              <w:pStyle w:val="TableContents"/>
              <w:spacing w:before="0" w:after="1"/>
              <w:ind w:left="0" w:right="0" w:hanging="0"/>
              <w:rPr/>
            </w:pPr>
            <w:r>
              <w:rPr/>
              <w:t>​</w:t>
            </w:r>
          </w:p>
        </w:tc>
        <w:tc>
          <w:tcPr>
            <w:tcW w:w="79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w:t>
            </w:r>
          </w:p>
        </w:tc>
        <w:tc>
          <w:tcPr>
            <w:tcW w:w="326" w:type="dxa"/>
            <w:tcBorders/>
            <w:shd w:fill="auto" w:val="clear"/>
            <w:vAlign w:val="center"/>
          </w:tcPr>
          <w:p>
            <w:pPr>
              <w:pStyle w:val="TableContents"/>
              <w:spacing w:before="0" w:after="1"/>
              <w:ind w:left="0" w:right="0" w:hanging="0"/>
              <w:rPr/>
            </w:pPr>
            <w:r>
              <w:rPr/>
              <w:t>​</w:t>
            </w:r>
          </w:p>
        </w:tc>
        <w:tc>
          <w:tcPr>
            <w:tcW w:w="1109"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45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shd w:fill="auto" w:val="clear"/>
            <w:vAlign w:val="center"/>
          </w:tcPr>
          <w:p>
            <w:pPr>
              <w:pStyle w:val="TableContents"/>
              <w:spacing w:before="0" w:after="1"/>
              <w:ind w:left="0" w:right="0" w:hanging="0"/>
              <w:rPr/>
            </w:pPr>
            <w:r>
              <w:rPr/>
              <w:t>    </w:t>
            </w:r>
          </w:p>
        </w:tc>
        <w:tc>
          <w:tcPr>
            <w:tcW w:w="79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26" w:type="dxa"/>
            <w:tcBorders/>
            <w:shd w:fill="auto" w:val="clear"/>
            <w:vAlign w:val="center"/>
          </w:tcPr>
          <w:p>
            <w:pPr>
              <w:pStyle w:val="TableContents"/>
              <w:spacing w:before="0" w:after="1"/>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Life</w:t>
            </w:r>
          </w:p>
        </w:tc>
        <w:tc>
          <w:tcPr>
            <w:tcW w:w="326" w:type="dxa"/>
            <w:tcBorders/>
            <w:shd w:fill="auto" w:val="clear"/>
            <w:vAlign w:val="center"/>
          </w:tcPr>
          <w:p>
            <w:pPr>
              <w:pStyle w:val="TableContents"/>
              <w:spacing w:before="0" w:after="1"/>
              <w:ind w:left="0" w:right="0" w:hanging="0"/>
              <w:rPr/>
            </w:pPr>
            <w:r>
              <w:rPr/>
              <w:t>    </w:t>
            </w:r>
          </w:p>
        </w:tc>
        <w:tc>
          <w:tcPr>
            <w:tcW w:w="1109"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pPr>
            <w:r>
              <w:rPr/>
              <w:t>​</w:t>
            </w:r>
          </w:p>
        </w:tc>
      </w:tr>
      <w:tr>
        <w:trPr/>
        <w:tc>
          <w:tcPr>
            <w:tcW w:w="45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Outstanding at December 31, 2022</w:t>
            </w:r>
          </w:p>
        </w:tc>
        <w:tc>
          <w:tcPr>
            <w:tcW w:w="326"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15,240,197</w:t>
            </w:r>
          </w:p>
        </w:tc>
        <w:tc>
          <w:tcPr>
            <w:tcW w:w="326" w:type="dxa"/>
            <w:tcBorders/>
            <w:shd w:fill="CCEEFF" w:val="clear"/>
            <w:vAlign w:val="center"/>
          </w:tcPr>
          <w:p>
            <w:pPr>
              <w:pStyle w:val="TableContents"/>
              <w:spacing w:before="0" w:after="1"/>
              <w:ind w:left="0" w:right="0" w:hanging="0"/>
              <w:rPr/>
            </w:pPr>
            <w:r>
              <w:rPr/>
              <w:t>​</w:t>
            </w:r>
          </w:p>
        </w:tc>
        <w:tc>
          <w:tcPr>
            <w:tcW w:w="21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22.45</w:t>
            </w:r>
          </w:p>
        </w:tc>
        <w:tc>
          <w:tcPr>
            <w:tcW w:w="326"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98" w:type="dxa"/>
            <w:tcBorders/>
            <w:shd w:fill="CCEEFF" w:val="clear"/>
            <w:vAlign w:val="center"/>
          </w:tcPr>
          <w:p>
            <w:pPr>
              <w:pStyle w:val="TableContents"/>
              <w:spacing w:before="0" w:after="1"/>
              <w:ind w:left="0" w:right="0" w:hanging="0"/>
              <w:rPr/>
            </w:pPr>
            <w:r>
              <w:rPr/>
              <w:t>​</w:t>
            </w:r>
          </w:p>
        </w:tc>
      </w:tr>
      <w:tr>
        <w:trPr/>
        <w:tc>
          <w:tcPr>
            <w:tcW w:w="45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Issued</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4,293,745</w:t>
            </w:r>
          </w:p>
        </w:tc>
        <w:tc>
          <w:tcPr>
            <w:tcW w:w="326" w:type="dxa"/>
            <w:tcBorders/>
            <w:shd w:fill="auto" w:val="clear"/>
            <w:vAlign w:val="center"/>
          </w:tcPr>
          <w:p>
            <w:pPr>
              <w:pStyle w:val="TableContents"/>
              <w:spacing w:before="0" w:after="1"/>
              <w:ind w:left="0" w:right="0" w:hanging="0"/>
              <w:rPr/>
            </w:pPr>
            <w:r>
              <w:rPr/>
              <w:t>​</w:t>
            </w:r>
          </w:p>
        </w:tc>
        <w:tc>
          <w:tcPr>
            <w:tcW w:w="214" w:type="dxa"/>
            <w:tcBorders/>
            <w:shd w:fill="auto" w:val="clear"/>
            <w:vAlign w:val="center"/>
          </w:tcPr>
          <w:p>
            <w:pPr>
              <w:pStyle w:val="TableContents"/>
              <w:spacing w:before="0" w:after="1"/>
              <w:ind w:left="0" w:right="0" w:hanging="0"/>
              <w:rPr/>
            </w:pPr>
            <w:r>
              <w:rPr/>
              <w:t> </w:t>
            </w:r>
          </w:p>
        </w:tc>
        <w:tc>
          <w:tcPr>
            <w:tcW w:w="58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7.10</w:t>
            </w:r>
          </w:p>
        </w:tc>
        <w:tc>
          <w:tcPr>
            <w:tcW w:w="32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98" w:type="dxa"/>
            <w:tcBorders/>
            <w:shd w:fill="auto" w:val="clear"/>
            <w:vAlign w:val="center"/>
          </w:tcPr>
          <w:p>
            <w:pPr>
              <w:pStyle w:val="TableContents"/>
              <w:spacing w:before="0" w:after="1"/>
              <w:ind w:left="0" w:right="0" w:hanging="0"/>
              <w:rPr/>
            </w:pPr>
            <w:r>
              <w:rPr/>
              <w:t>​</w:t>
            </w:r>
          </w:p>
        </w:tc>
      </w:tr>
      <w:tr>
        <w:trPr/>
        <w:tc>
          <w:tcPr>
            <w:tcW w:w="45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4" w:type="dxa"/>
            <w:tcBorders/>
            <w:shd w:fill="CCEEFF" w:val="clear"/>
            <w:vAlign w:val="center"/>
          </w:tcPr>
          <w:p>
            <w:pPr>
              <w:pStyle w:val="TableContents"/>
              <w:spacing w:before="0" w:after="1"/>
              <w:ind w:left="0" w:right="0" w:hanging="0"/>
              <w:rPr/>
            </w:pPr>
            <w:r>
              <w:rPr/>
              <w:t> </w:t>
            </w:r>
          </w:p>
        </w:tc>
        <w:tc>
          <w:tcPr>
            <w:tcW w:w="58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98" w:type="dxa"/>
            <w:tcBorders/>
            <w:shd w:fill="CCEEFF" w:val="clear"/>
            <w:vAlign w:val="center"/>
          </w:tcPr>
          <w:p>
            <w:pPr>
              <w:pStyle w:val="TableContents"/>
              <w:spacing w:before="0" w:after="1"/>
              <w:ind w:left="0" w:right="0" w:hanging="0"/>
              <w:rPr/>
            </w:pPr>
            <w:r>
              <w:rPr/>
              <w:t>​</w:t>
            </w:r>
          </w:p>
        </w:tc>
      </w:tr>
      <w:tr>
        <w:trPr/>
        <w:tc>
          <w:tcPr>
            <w:tcW w:w="45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Expired/Cancelled</w:t>
            </w:r>
          </w:p>
        </w:tc>
        <w:tc>
          <w:tcPr>
            <w:tcW w:w="326" w:type="dxa"/>
            <w:tcBorders/>
            <w:shd w:fill="auto" w:val="clear"/>
            <w:vAlign w:val="center"/>
          </w:tcPr>
          <w:p>
            <w:pPr>
              <w:pStyle w:val="TableContents"/>
              <w:spacing w:before="0" w:after="1"/>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(269,925)</w:t>
            </w:r>
          </w:p>
        </w:tc>
        <w:tc>
          <w:tcPr>
            <w:tcW w:w="326" w:type="dxa"/>
            <w:tcBorders/>
            <w:shd w:fill="auto" w:val="clear"/>
            <w:vAlign w:val="center"/>
          </w:tcPr>
          <w:p>
            <w:pPr>
              <w:pStyle w:val="TableContents"/>
              <w:spacing w:before="0" w:after="1"/>
              <w:ind w:left="0" w:right="0" w:hanging="0"/>
              <w:rPr/>
            </w:pPr>
            <w:r>
              <w:rPr/>
              <w:t>​</w:t>
            </w:r>
          </w:p>
        </w:tc>
        <w:tc>
          <w:tcPr>
            <w:tcW w:w="214"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58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18.92</w:t>
            </w:r>
          </w:p>
        </w:tc>
        <w:tc>
          <w:tcPr>
            <w:tcW w:w="326" w:type="dxa"/>
            <w:tcBorders/>
            <w:shd w:fill="auto" w:val="clear"/>
            <w:vAlign w:val="center"/>
          </w:tcPr>
          <w:p>
            <w:pPr>
              <w:pStyle w:val="TableContents"/>
              <w:spacing w:before="0" w:after="1"/>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98"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r>
      <w:tr>
        <w:trPr/>
        <w:tc>
          <w:tcPr>
            <w:tcW w:w="45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Outstanding at March 31, 2023</w:t>
            </w:r>
          </w:p>
        </w:tc>
        <w:tc>
          <w:tcPr>
            <w:tcW w:w="326" w:type="dxa"/>
            <w:tcBorders/>
            <w:shd w:fill="CCEEFF" w:val="clear"/>
            <w:vAlign w:val="center"/>
          </w:tcPr>
          <w:p>
            <w:pPr>
              <w:pStyle w:val="TableContents"/>
              <w:spacing w:before="0" w:after="1"/>
              <w:ind w:left="0" w:right="0" w:hanging="0"/>
              <w:rPr/>
            </w:pPr>
            <w:r>
              <w:rPr/>
              <w:t>​</w:t>
            </w:r>
          </w:p>
        </w:tc>
        <w:tc>
          <w:tcPr>
            <w:tcW w:w="10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19,264,017</w:t>
            </w:r>
          </w:p>
        </w:tc>
        <w:tc>
          <w:tcPr>
            <w:tcW w:w="326" w:type="dxa"/>
            <w:tcBorders/>
            <w:shd w:fill="CCEEFF" w:val="clear"/>
            <w:vAlign w:val="center"/>
          </w:tcPr>
          <w:p>
            <w:pPr>
              <w:pStyle w:val="TableContents"/>
              <w:spacing w:before="0" w:after="1"/>
              <w:ind w:left="0" w:right="0" w:hanging="0"/>
              <w:rPr/>
            </w:pPr>
            <w:r>
              <w:rPr/>
              <w:t> </w:t>
            </w:r>
          </w:p>
        </w:tc>
        <w:tc>
          <w:tcPr>
            <w:tcW w:w="214"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19.08</w:t>
            </w:r>
          </w:p>
        </w:tc>
        <w:tc>
          <w:tcPr>
            <w:tcW w:w="326" w:type="dxa"/>
            <w:tcBorders/>
            <w:shd w:fill="CCEEFF" w:val="clear"/>
            <w:vAlign w:val="center"/>
          </w:tcPr>
          <w:p>
            <w:pPr>
              <w:pStyle w:val="TableContents"/>
              <w:spacing w:before="0" w:after="1"/>
              <w:ind w:left="0" w:right="0" w:hanging="0"/>
              <w:rPr/>
            </w:pPr>
            <w:r>
              <w:rPr/>
              <w:t> </w:t>
            </w:r>
          </w:p>
        </w:tc>
        <w:tc>
          <w:tcPr>
            <w:tcW w:w="88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7.55</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174,200</w:t>
            </w:r>
          </w:p>
        </w:tc>
      </w:tr>
      <w:tr>
        <w:trPr/>
        <w:tc>
          <w:tcPr>
            <w:tcW w:w="45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Ending vested and expected to vest at March 31, 2023</w:t>
            </w:r>
          </w:p>
        </w:tc>
        <w:tc>
          <w:tcPr>
            <w:tcW w:w="326" w:type="dxa"/>
            <w:tcBorders/>
            <w:shd w:fill="auto" w:val="clear"/>
            <w:vAlign w:val="center"/>
          </w:tcPr>
          <w:p>
            <w:pPr>
              <w:pStyle w:val="TableContents"/>
              <w:spacing w:before="0" w:after="1"/>
              <w:ind w:left="0" w:right="0" w:hanging="0"/>
              <w:rPr/>
            </w:pPr>
            <w:r>
              <w:rPr/>
              <w:t>​</w:t>
            </w:r>
          </w:p>
        </w:tc>
        <w:tc>
          <w:tcPr>
            <w:tcW w:w="103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19,264,017</w:t>
            </w:r>
          </w:p>
        </w:tc>
        <w:tc>
          <w:tcPr>
            <w:tcW w:w="326" w:type="dxa"/>
            <w:tcBorders/>
            <w:shd w:fill="auto" w:val="clear"/>
            <w:vAlign w:val="center"/>
          </w:tcPr>
          <w:p>
            <w:pPr>
              <w:pStyle w:val="TableContents"/>
              <w:spacing w:before="0" w:after="1"/>
              <w:ind w:left="0" w:right="0" w:hanging="0"/>
              <w:rPr/>
            </w:pPr>
            <w:r>
              <w:rPr/>
              <w:t>​</w:t>
            </w:r>
          </w:p>
        </w:tc>
        <w:tc>
          <w:tcPr>
            <w:tcW w:w="214"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19.08</w:t>
            </w:r>
          </w:p>
        </w:tc>
        <w:tc>
          <w:tcPr>
            <w:tcW w:w="326" w:type="dxa"/>
            <w:tcBorders/>
            <w:shd w:fill="auto" w:val="clear"/>
            <w:vAlign w:val="center"/>
          </w:tcPr>
          <w:p>
            <w:pPr>
              <w:pStyle w:val="TableContents"/>
              <w:spacing w:before="0" w:after="1"/>
              <w:ind w:left="0" w:right="0" w:hanging="0"/>
              <w:rPr/>
            </w:pPr>
            <w:r>
              <w:rPr/>
              <w:t>​</w:t>
            </w:r>
          </w:p>
        </w:tc>
        <w:tc>
          <w:tcPr>
            <w:tcW w:w="88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7.55</w:t>
            </w:r>
          </w:p>
        </w:tc>
        <w:tc>
          <w:tcPr>
            <w:tcW w:w="326" w:type="dxa"/>
            <w:tcBorders/>
            <w:shd w:fill="auto" w:val="clear"/>
            <w:vAlign w:val="center"/>
          </w:tcPr>
          <w:p>
            <w:pPr>
              <w:pStyle w:val="TableContents"/>
              <w:spacing w:before="0" w:after="1"/>
              <w:ind w:left="0" w:right="0" w:hanging="0"/>
              <w:rPr/>
            </w:pPr>
            <w:r>
              <w:rPr/>
              <w:t>​</w:t>
            </w:r>
          </w:p>
        </w:tc>
        <w:tc>
          <w:tcPr>
            <w:tcW w:w="21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9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174,200</w:t>
            </w:r>
          </w:p>
        </w:tc>
      </w:tr>
      <w:tr>
        <w:trPr/>
        <w:tc>
          <w:tcPr>
            <w:tcW w:w="45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Options exercisable at March 31, 2023</w:t>
            </w:r>
          </w:p>
        </w:tc>
        <w:tc>
          <w:tcPr>
            <w:tcW w:w="326" w:type="dxa"/>
            <w:tcBorders/>
            <w:shd w:fill="CCEEFF" w:val="clear"/>
            <w:vAlign w:val="center"/>
          </w:tcPr>
          <w:p>
            <w:pPr>
              <w:pStyle w:val="TableContents"/>
              <w:spacing w:before="0" w:after="1"/>
              <w:ind w:left="0" w:right="0" w:hanging="0"/>
              <w:rPr/>
            </w:pPr>
            <w:r>
              <w:rPr/>
              <w:t> </w:t>
            </w:r>
          </w:p>
        </w:tc>
        <w:tc>
          <w:tcPr>
            <w:tcW w:w="10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10,777,903</w:t>
            </w:r>
          </w:p>
        </w:tc>
        <w:tc>
          <w:tcPr>
            <w:tcW w:w="326" w:type="dxa"/>
            <w:tcBorders/>
            <w:shd w:fill="CCEEFF" w:val="clear"/>
            <w:vAlign w:val="center"/>
          </w:tcPr>
          <w:p>
            <w:pPr>
              <w:pStyle w:val="TableContents"/>
              <w:spacing w:before="0" w:after="1"/>
              <w:ind w:left="0" w:right="0" w:hanging="0"/>
              <w:rPr/>
            </w:pPr>
            <w:r>
              <w:rPr/>
              <w:t>​</w:t>
            </w:r>
          </w:p>
        </w:tc>
        <w:tc>
          <w:tcPr>
            <w:tcW w:w="214"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22.85</w:t>
            </w:r>
          </w:p>
        </w:tc>
        <w:tc>
          <w:tcPr>
            <w:tcW w:w="326" w:type="dxa"/>
            <w:tcBorders/>
            <w:shd w:fill="CCEEFF" w:val="clear"/>
            <w:vAlign w:val="center"/>
          </w:tcPr>
          <w:p>
            <w:pPr>
              <w:pStyle w:val="TableContents"/>
              <w:spacing w:before="0" w:after="1"/>
              <w:ind w:left="0" w:right="0" w:hanging="0"/>
              <w:rPr/>
            </w:pPr>
            <w:r>
              <w:rPr/>
              <w:t> </w:t>
            </w:r>
          </w:p>
        </w:tc>
        <w:tc>
          <w:tcPr>
            <w:tcW w:w="88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6.25</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spacing w:before="0" w:after="1"/>
              <w:ind w:left="0" w:right="72" w:hanging="0"/>
              <w:jc w:val="right"/>
              <w:rPr>
                <w:rFonts w:ascii="Times New Roman;Times;serif" w:hAnsi="Times New Roman;Times;serif"/>
                <w:sz w:val="20"/>
              </w:rPr>
            </w:pPr>
            <w:r>
              <w:rPr>
                <w:rFonts w:ascii="Times New Roman;Times;serif" w:hAnsi="Times New Roman;Times;serif"/>
                <w:sz w:val="20"/>
              </w:rPr>
              <w:t>174,200</w:t>
            </w:r>
          </w:p>
        </w:tc>
      </w:tr>
    </w:tbl>
    <w:p>
      <w:pPr>
        <w:pStyle w:val="TextBody"/>
        <w:spacing w:before="0" w:after="200"/>
        <w:ind w:left="0" w:right="0" w:hanging="0"/>
        <w:rPr/>
      </w:pPr>
      <w:r>
        <w:rPr/>
        <w:t>​</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As of March 31, 2023, there was $66.5</w:t>
      </w:r>
      <w:r>
        <w:rPr>
          <w:rFonts w:ascii="Times New Roman;Times;serif" w:hAnsi="Times New Roman;Times;serif"/>
          <w:color w:val="FF0000"/>
          <w:sz w:val="20"/>
        </w:rPr>
        <w:t xml:space="preserve"> </w:t>
      </w:r>
      <w:r>
        <w:rPr>
          <w:rFonts w:ascii="Times New Roman;Times;serif" w:hAnsi="Times New Roman;Times;serif"/>
          <w:sz w:val="20"/>
        </w:rPr>
        <w:t>million of total unrecognized compensation expense related to the options that is expected to be recognized over a weighted average period of 2.20</w:t>
      </w:r>
      <w:r>
        <w:rPr>
          <w:rFonts w:ascii="Times New Roman;Times;serif" w:hAnsi="Times New Roman;Times;serif"/>
          <w:color w:val="FF0000"/>
          <w:sz w:val="20"/>
        </w:rPr>
        <w:t xml:space="preserve"> </w:t>
      </w:r>
      <w:r>
        <w:rPr>
          <w:rFonts w:ascii="Times New Roman;Times;serif" w:hAnsi="Times New Roman;Times;serif"/>
          <w:sz w:val="20"/>
        </w:rPr>
        <w:t>years.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The weighted average grant date fair value for employee options granted under the Company’s stock option plans during the three months ended March 31, 2023 and 2022 was $4.94</w:t>
      </w:r>
      <w:r>
        <w:rPr>
          <w:rFonts w:ascii="Times New Roman;Times;serif" w:hAnsi="Times New Roman;Times;serif"/>
          <w:color w:val="FF0000"/>
          <w:sz w:val="20"/>
        </w:rPr>
        <w:t xml:space="preserve"> </w:t>
      </w:r>
      <w:r>
        <w:rPr>
          <w:rFonts w:ascii="Times New Roman;Times;serif" w:hAnsi="Times New Roman;Times;serif"/>
          <w:sz w:val="20"/>
        </w:rPr>
        <w:t>and $8.81 per option, respectively.</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The aggregate intrinsic value in the table above reflects the total pre-tax intrinsic value (calculated as the difference between the Company’s closing stock price on the last trading day of the quarter ended March 31, 2023 and the exercise price of the options, multiplied by the number of in-the-money stock options) that would have been received by the option holders had all option holders exercised their options on March 31, 2023. The intrinsic value of the Company’s stock options changes based on the closing price of the Company’s common stock.</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Employee Stock Purchase Plan</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In June 2020, the Company adopted the 2020 Employee Stock Purchase Plan (as amended, the “ESPP”) upon its approval by the Company’s shareholders at its Annual Stockholders Meeting on June 8, 2020. The Company reserved 500,000 shares of its common stock for issuance under the 2020 ESPP.</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 xml:space="preserve">Under the 2020 ESPP, employees of the Company can purchase shares of its common stock based on a percentage of their compensation subject to certain limits. The purchase price per share is equal to the lower of 85% of the fair market value of its common stock on the offering date or the purchase date with a six-month look-back feature. The 2020 ESPP purchases are settled with common stock from the 2020 ESPP’s previously authorized and available pool of shares. </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 xml:space="preserve">The compensation expense related to the 2020 ESPP for the three months ended March 31, 2023 and 2022 was $0.3 million and $0.2 million, respectively. As of March 31, 2023, 356,849 shares have been issued to date under the 2020 ESPP and there was $0.3 million of unrecognized compensation cost associated with the 2020 ESPP, which is expected to be recognized over the remaining 2.3 months. </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Restricted Stock Units and Performance Restricted Stock Units</w:t>
      </w:r>
    </w:p>
    <w:p>
      <w:pPr>
        <w:pStyle w:val="TextBody"/>
        <w:spacing w:before="0" w:after="0"/>
        <w:ind w:left="0" w:right="0" w:firstLine="547"/>
        <w:rPr>
          <w:rFonts w:ascii="Times New Roman;Times;serif" w:hAnsi="Times New Roman;Times;serif"/>
          <w:sz w:val="20"/>
        </w:rPr>
      </w:pPr>
      <w:r>
        <w:rPr>
          <w:rFonts w:ascii="Times New Roman;Times;serif" w:hAnsi="Times New Roman;Times;serif"/>
          <w:sz w:val="20"/>
        </w:rPr>
        <w:t>In addition to RSUs that have time-based vesting requirements, from time to time the Company may issue RSUs that include certain performance vesting criteria based upon the satisfaction of stated objectives (“PRSUs”). </w:t>
      </w:r>
      <w:r>
        <w:rPr>
          <w:rFonts w:ascii="Times New Roman;Times;serif" w:hAnsi="Times New Roman;Times;serif"/>
          <w:sz w:val="20"/>
          <w:highlight w:val="white"/>
        </w:rPr>
        <w:t xml:space="preserve">Compensation expense related to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highlight w:val="white"/>
        </w:rPr>
      </w:pPr>
      <w:bookmarkStart w:id="798" w:name="Tc_tbSYwwE_ZUKLP0hVEAHNcw_7_5"/>
      <w:bookmarkStart w:id="799" w:name="Tc_87OOCUUqfEiNPbcQ7iZigQ_7_2"/>
      <w:bookmarkStart w:id="800" w:name="Tc_Gi_gBEWSlUeuOH_VMtaPFQ_7_0"/>
      <w:bookmarkStart w:id="801" w:name="Tc__RXCX60uYkKogicGTKvZAQ_6_0"/>
      <w:bookmarkStart w:id="802" w:name="Tc_m5USjZfGNUGaVOPpoWd5Fw_5_0"/>
      <w:bookmarkStart w:id="803" w:name="Tc_1CGKoKez0UqsU9ogXVsePw_4_5"/>
      <w:bookmarkStart w:id="804" w:name="Tc_4SHFT7c4qUy_3IA_hst0mQ_4_2"/>
      <w:bookmarkStart w:id="805" w:name="Tc_RMGsBwva9keYMtSr1g1voQ_4_0"/>
      <w:bookmarkStart w:id="806" w:name="Tc_W2MFuFFzFU6JMcuvNT88vg_3_5"/>
      <w:bookmarkStart w:id="807" w:name="Tc_mFqR6F7HHUCBlAO9a2vDcg_3_2"/>
      <w:bookmarkStart w:id="808" w:name="Tc_2n-zvVFk5UqSf86AiNv76Q_2_2"/>
      <w:bookmarkStart w:id="809" w:name="Tc_t8zohKh94kaEmAIxgWU5Uw_1_2"/>
      <w:bookmarkStart w:id="810" w:name="Tc_EI9Sd6G3ck2QQmtfG0S_uw_6_5"/>
      <w:bookmarkStart w:id="811" w:name="Tc__0MLxUCUP0-o7ULmCxTO5w_6_2"/>
      <w:bookmarkStart w:id="812" w:name="Tc_8tdDgnBQG0CqsLsX8Rwalg_6_0"/>
      <w:bookmarkStart w:id="813" w:name="Tc_cyypRnDXn0i3wQ1Ybpe4wA_5_0"/>
      <w:bookmarkStart w:id="814" w:name="Tc_TTN-YNU5EE6aTcuUIYXd9Q_4_5"/>
      <w:bookmarkStart w:id="815" w:name="Tc_xDQTAUsMcEqVoysrRULuEw_4_2"/>
      <w:bookmarkStart w:id="816" w:name="Tc_HSCq12dU70e0MmeJLOB-pg_4_0"/>
      <w:bookmarkStart w:id="817" w:name="Tc_fiKAdGpTW0SnHtTUzKKTWw_3_5"/>
      <w:bookmarkStart w:id="818" w:name="Tc_fmae_O2mVkWWu31tmzkm9w_3_2"/>
      <w:bookmarkStart w:id="819" w:name="Tc_2vIDid5KCE22Yp0Wv8DxvQ_2_2"/>
      <w:bookmarkStart w:id="820" w:name="Tc_c6zMwjYvfkS1JbZ_mqWkYg_1_2"/>
      <w:bookmarkStart w:id="821" w:name="Tc_6kkUJAide0abbHMoVumCrA_10_4"/>
      <w:bookmarkStart w:id="822" w:name="Tc_5iM0BQW-fEyHleCkx50BPw_10_0"/>
      <w:bookmarkStart w:id="823" w:name="Tc_SdaTFVIKUUGngPypyWvU-Q_9_4"/>
      <w:bookmarkStart w:id="824" w:name="Tc_yAAzNQG0j0CFnW5UlaedOg_9_0"/>
      <w:bookmarkStart w:id="825" w:name="Tc_N-v3P9GsvUOkNlRKcuEGPQ_8_0"/>
      <w:bookmarkStart w:id="826" w:name="Tc_6uVJ8WsXcUqkGX85jmDytg_7_0"/>
      <w:bookmarkStart w:id="827" w:name="Tc_th5mRFM2qEmUCigwzUGh-A_6_0"/>
      <w:bookmarkStart w:id="828" w:name="Tc_zRsCdqJ61EuthcOA_iC_dg_5_4"/>
      <w:bookmarkStart w:id="829" w:name="Tc_jkECOp-veU-9AM3QZcoZ7g_5_0"/>
      <w:bookmarkStart w:id="830" w:name="Tc_Y0bsZqeSlUaD2cYzBx--ZQ_4_4"/>
      <w:bookmarkStart w:id="831" w:name="Tc_dIc-MuRBsEKDtDrdvZ-G4g_4_2"/>
      <w:bookmarkStart w:id="832" w:name="Tc_R9JT7MP6WkiQ39c_ObChWg_3_4"/>
      <w:bookmarkStart w:id="833" w:name="Tc_fM4oiQwd6EerkjPu2LUKwQ_3_2"/>
      <w:bookmarkStart w:id="834" w:name="Tc_vzIt1c_CxkWimOkZKMsi9w_2_4"/>
      <w:bookmarkStart w:id="835" w:name="Tc_KJYxIYTHEUC18czaIcmpkg_2_2"/>
      <w:bookmarkStart w:id="836" w:name="Tc_mWaiMt5Oj0iVybboShRgWQ_1_4"/>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r>
        <w:rPr>
          <w:rFonts w:ascii="Times New Roman;Times;serif" w:hAnsi="Times New Roman;Times;serif"/>
          <w:sz w:val="20"/>
          <w:highlight w:val="white"/>
        </w:rPr>
        <w:t>PRSUs is based on the grant date fair value of the award and recorded from the period that achievement is determined to be probable through the stated service period associated with the award. </w:t>
      </w:r>
    </w:p>
    <w:p>
      <w:pPr>
        <w:pStyle w:val="TextBody"/>
        <w:spacing w:before="0" w:after="60"/>
        <w:ind w:left="0" w:right="0" w:firstLine="547"/>
        <w:rPr>
          <w:rFonts w:ascii="Times New Roman;Times;serif" w:hAnsi="Times New Roman;Times;serif"/>
          <w:sz w:val="20"/>
        </w:rPr>
      </w:pPr>
      <w:r>
        <w:rPr>
          <w:rFonts w:ascii="Times New Roman;Times;serif" w:hAnsi="Times New Roman;Times;serif"/>
          <w:sz w:val="20"/>
        </w:rPr>
        <w:t>Activity for RSUs and PRSUs during the three months ended March 31, 2023 is presented in the following table:</w:t>
      </w:r>
    </w:p>
    <w:p>
      <w:pPr>
        <w:pStyle w:val="TextBody"/>
        <w:spacing w:before="0" w:after="0"/>
        <w:ind w:left="0" w:right="0" w:hanging="0"/>
        <w:rPr/>
      </w:pPr>
      <w:r>
        <w:rPr/>
        <w:t>​</w:t>
      </w:r>
    </w:p>
    <w:tbl>
      <w:tblPr>
        <w:tblW w:w="7524" w:type="dxa"/>
        <w:jc w:val="left"/>
        <w:tblInd w:w="0" w:type="dxa"/>
        <w:tblCellMar>
          <w:top w:w="0" w:type="dxa"/>
          <w:left w:w="0" w:type="dxa"/>
          <w:bottom w:w="0" w:type="dxa"/>
          <w:right w:w="0" w:type="dxa"/>
        </w:tblCellMar>
      </w:tblPr>
      <w:tblGrid>
        <w:gridCol w:w="4531"/>
        <w:gridCol w:w="326"/>
        <w:gridCol w:w="1351"/>
        <w:gridCol w:w="326"/>
        <w:gridCol w:w="252"/>
        <w:gridCol w:w="738"/>
      </w:tblGrid>
      <w:tr>
        <w:trPr/>
        <w:tc>
          <w:tcPr>
            <w:tcW w:w="45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877185" cy="175260"/>
                      <wp:effectExtent l="0" t="0" r="0" b="0"/>
                      <wp:wrapNone/>
                      <wp:docPr id="121" name="Frame121"/>
                      <a:graphic xmlns:a="http://schemas.openxmlformats.org/drawingml/2006/main">
                        <a:graphicData uri="http://schemas.microsoft.com/office/word/2010/wordprocessingShape">
                          <wps:wsp>
                            <wps:cNvSpPr txBox="1"/>
                            <wps:spPr>
                              <a:xfrm>
                                <a:off x="0" y="0"/>
                                <a:ext cx="2877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2" name="Frame1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857885" cy="175260"/>
                      <wp:effectExtent l="0" t="0" r="0" b="0"/>
                      <wp:wrapNone/>
                      <wp:docPr id="123" name="Frame123"/>
                      <a:graphic xmlns:a="http://schemas.openxmlformats.org/drawingml/2006/main">
                        <a:graphicData uri="http://schemas.microsoft.com/office/word/2010/wordprocessingShape">
                          <wps:wsp>
                            <wps:cNvSpPr txBox="1"/>
                            <wps:spPr>
                              <a:xfrm>
                                <a:off x="0" y="0"/>
                                <a:ext cx="8578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24" name="Frame1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60020" cy="175260"/>
                      <wp:effectExtent l="0" t="0" r="0" b="0"/>
                      <wp:wrapNone/>
                      <wp:docPr id="125" name="Frame125"/>
                      <a:graphic xmlns:a="http://schemas.openxmlformats.org/drawingml/2006/main">
                        <a:graphicData uri="http://schemas.microsoft.com/office/word/2010/wordprocessingShape">
                          <wps:wsp>
                            <wps:cNvSpPr txBox="1"/>
                            <wps:spPr>
                              <a:xfrm>
                                <a:off x="0" y="0"/>
                                <a:ext cx="1600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468630" cy="175260"/>
                      <wp:effectExtent l="0" t="0" r="0" b="0"/>
                      <wp:wrapNone/>
                      <wp:docPr id="126" name="Frame126"/>
                      <a:graphic xmlns:a="http://schemas.openxmlformats.org/drawingml/2006/main">
                        <a:graphicData uri="http://schemas.microsoft.com/office/word/2010/wordprocessingShape">
                          <wps:wsp>
                            <wps:cNvSpPr txBox="1"/>
                            <wps:spPr>
                              <a:xfrm>
                                <a:off x="0" y="0"/>
                                <a:ext cx="4686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5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3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9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45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35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26" w:type="dxa"/>
            <w:tcBorders/>
            <w:shd w:fill="auto" w:val="clear"/>
            <w:vAlign w:val="center"/>
          </w:tcPr>
          <w:p>
            <w:pPr>
              <w:pStyle w:val="TableContents"/>
              <w:spacing w:before="0" w:after="1"/>
              <w:ind w:left="0" w:right="0" w:hanging="0"/>
              <w:rPr/>
            </w:pPr>
            <w:r>
              <w:rPr/>
              <w:t>​</w:t>
            </w:r>
          </w:p>
        </w:tc>
        <w:tc>
          <w:tcPr>
            <w:tcW w:w="99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45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35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of</w:t>
            </w:r>
          </w:p>
        </w:tc>
        <w:tc>
          <w:tcPr>
            <w:tcW w:w="326" w:type="dxa"/>
            <w:tcBorders/>
            <w:shd w:fill="auto" w:val="clear"/>
            <w:vAlign w:val="center"/>
          </w:tcPr>
          <w:p>
            <w:pPr>
              <w:pStyle w:val="TableContents"/>
              <w:spacing w:before="0" w:after="1"/>
              <w:ind w:left="0" w:right="0" w:hanging="0"/>
              <w:rPr/>
            </w:pPr>
            <w:r>
              <w:rPr/>
              <w:t>​</w:t>
            </w:r>
          </w:p>
        </w:tc>
        <w:tc>
          <w:tcPr>
            <w:tcW w:w="99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45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35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RSUs and PRSUs</w:t>
            </w:r>
          </w:p>
        </w:tc>
        <w:tc>
          <w:tcPr>
            <w:tcW w:w="326" w:type="dxa"/>
            <w:tcBorders/>
            <w:shd w:fill="auto" w:val="clear"/>
            <w:vAlign w:val="center"/>
          </w:tcPr>
          <w:p>
            <w:pPr>
              <w:pStyle w:val="TableContents"/>
              <w:spacing w:before="0" w:after="1"/>
              <w:ind w:left="0" w:right="0" w:hanging="0"/>
              <w:rPr/>
            </w:pPr>
            <w:r>
              <w:rPr/>
              <w:t>    </w:t>
            </w:r>
          </w:p>
        </w:tc>
        <w:tc>
          <w:tcPr>
            <w:tcW w:w="99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45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Outstanding as of December 31, 2022</w:t>
            </w:r>
          </w:p>
        </w:tc>
        <w:tc>
          <w:tcPr>
            <w:tcW w:w="326" w:type="dxa"/>
            <w:tcBorders/>
            <w:shd w:fill="CCEEFF" w:val="clear"/>
            <w:vAlign w:val="center"/>
          </w:tcPr>
          <w:p>
            <w:pPr>
              <w:pStyle w:val="TableContents"/>
              <w:spacing w:before="0" w:after="1"/>
              <w:ind w:left="0" w:right="0" w:hanging="0"/>
              <w:rPr/>
            </w:pPr>
            <w:r>
              <w:rPr/>
              <w:t>​</w:t>
            </w:r>
          </w:p>
        </w:tc>
        <w:tc>
          <w:tcPr>
            <w:tcW w:w="13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2,436,764</w:t>
            </w:r>
          </w:p>
        </w:tc>
        <w:tc>
          <w:tcPr>
            <w:tcW w:w="326" w:type="dxa"/>
            <w:tcBorders/>
            <w:shd w:fill="CCEEFF" w:val="clear"/>
            <w:vAlign w:val="center"/>
          </w:tcPr>
          <w:p>
            <w:pPr>
              <w:pStyle w:val="TableContents"/>
              <w:spacing w:before="0" w:after="1"/>
              <w:ind w:left="0" w:right="0" w:hanging="0"/>
              <w:rPr/>
            </w:pPr>
            <w:r>
              <w:rPr/>
              <w:t>​</w:t>
            </w:r>
          </w:p>
        </w:tc>
        <w:tc>
          <w:tcPr>
            <w:tcW w:w="252"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73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14.74</w:t>
            </w:r>
          </w:p>
        </w:tc>
      </w:tr>
      <w:tr>
        <w:trPr/>
        <w:tc>
          <w:tcPr>
            <w:tcW w:w="45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Granted</w:t>
            </w:r>
          </w:p>
        </w:tc>
        <w:tc>
          <w:tcPr>
            <w:tcW w:w="326" w:type="dxa"/>
            <w:tcBorders/>
            <w:shd w:fill="auto" w:val="clear"/>
            <w:vAlign w:val="center"/>
          </w:tcPr>
          <w:p>
            <w:pPr>
              <w:pStyle w:val="TableContents"/>
              <w:spacing w:before="0" w:after="1"/>
              <w:ind w:left="0" w:right="0" w:hanging="0"/>
              <w:rPr/>
            </w:pPr>
            <w:r>
              <w:rPr/>
              <w:t>​</w:t>
            </w:r>
          </w:p>
        </w:tc>
        <w:tc>
          <w:tcPr>
            <w:tcW w:w="13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2,267,306</w:t>
            </w:r>
          </w:p>
        </w:tc>
        <w:tc>
          <w:tcPr>
            <w:tcW w:w="326" w:type="dxa"/>
            <w:tcBorders/>
            <w:shd w:fill="auto" w:val="clear"/>
            <w:vAlign w:val="center"/>
          </w:tcPr>
          <w:p>
            <w:pPr>
              <w:pStyle w:val="TableContents"/>
              <w:spacing w:before="0" w:after="1"/>
              <w:ind w:left="0" w:right="0" w:hanging="0"/>
              <w:rPr/>
            </w:pPr>
            <w:r>
              <w:rPr/>
              <w:t>​</w:t>
            </w:r>
          </w:p>
        </w:tc>
        <w:tc>
          <w:tcPr>
            <w:tcW w:w="252" w:type="dxa"/>
            <w:tcBorders/>
            <w:shd w:fill="auto" w:val="clear"/>
            <w:vAlign w:val="center"/>
          </w:tcPr>
          <w:p>
            <w:pPr>
              <w:pStyle w:val="TableContents"/>
              <w:spacing w:before="0" w:after="1"/>
              <w:ind w:left="0" w:right="0" w:hanging="0"/>
              <w:jc w:val="center"/>
              <w:rPr/>
            </w:pPr>
            <w:r>
              <w:rPr/>
              <w:t>​</w:t>
            </w:r>
          </w:p>
        </w:tc>
        <w:tc>
          <w:tcPr>
            <w:tcW w:w="73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7.12</w:t>
            </w:r>
          </w:p>
        </w:tc>
      </w:tr>
      <w:tr>
        <w:trPr/>
        <w:tc>
          <w:tcPr>
            <w:tcW w:w="45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Vested/Released</w:t>
            </w:r>
          </w:p>
        </w:tc>
        <w:tc>
          <w:tcPr>
            <w:tcW w:w="326" w:type="dxa"/>
            <w:tcBorders/>
            <w:shd w:fill="CCEEFF" w:val="clear"/>
            <w:vAlign w:val="center"/>
          </w:tcPr>
          <w:p>
            <w:pPr>
              <w:pStyle w:val="TableContents"/>
              <w:spacing w:before="0" w:after="1"/>
              <w:ind w:left="0" w:right="0" w:hanging="0"/>
              <w:rPr/>
            </w:pPr>
            <w:r>
              <w:rPr/>
              <w:t>​</w:t>
            </w:r>
          </w:p>
        </w:tc>
        <w:tc>
          <w:tcPr>
            <w:tcW w:w="13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(770,257)</w:t>
            </w:r>
          </w:p>
        </w:tc>
        <w:tc>
          <w:tcPr>
            <w:tcW w:w="326" w:type="dxa"/>
            <w:tcBorders/>
            <w:shd w:fill="CCEEFF" w:val="clear"/>
            <w:vAlign w:val="center"/>
          </w:tcPr>
          <w:p>
            <w:pPr>
              <w:pStyle w:val="TableContents"/>
              <w:spacing w:before="0" w:after="1"/>
              <w:ind w:left="0" w:right="0" w:hanging="0"/>
              <w:rPr/>
            </w:pPr>
            <w:r>
              <w:rPr/>
              <w:t>​</w:t>
            </w:r>
          </w:p>
        </w:tc>
        <w:tc>
          <w:tcPr>
            <w:tcW w:w="252" w:type="dxa"/>
            <w:tcBorders/>
            <w:shd w:fill="CCEEFF" w:val="clear"/>
            <w:vAlign w:val="center"/>
          </w:tcPr>
          <w:p>
            <w:pPr>
              <w:pStyle w:val="TableContents"/>
              <w:spacing w:before="0" w:after="1"/>
              <w:ind w:left="0" w:right="0" w:hanging="0"/>
              <w:jc w:val="center"/>
              <w:rPr/>
            </w:pPr>
            <w:r>
              <w:rPr/>
              <w:t>​</w:t>
            </w:r>
          </w:p>
        </w:tc>
        <w:tc>
          <w:tcPr>
            <w:tcW w:w="73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17.20</w:t>
            </w:r>
          </w:p>
        </w:tc>
      </w:tr>
      <w:tr>
        <w:trPr/>
        <w:tc>
          <w:tcPr>
            <w:tcW w:w="45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Canceled/Forfeited</w:t>
            </w:r>
          </w:p>
        </w:tc>
        <w:tc>
          <w:tcPr>
            <w:tcW w:w="326" w:type="dxa"/>
            <w:tcBorders/>
            <w:shd w:fill="auto" w:val="clear"/>
            <w:vAlign w:val="center"/>
          </w:tcPr>
          <w:p>
            <w:pPr>
              <w:pStyle w:val="TableContents"/>
              <w:spacing w:before="0" w:after="1"/>
              <w:ind w:left="0" w:right="0" w:hanging="0"/>
              <w:rPr/>
            </w:pPr>
            <w:r>
              <w:rPr/>
              <w:t>​</w:t>
            </w:r>
          </w:p>
        </w:tc>
        <w:tc>
          <w:tcPr>
            <w:tcW w:w="135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(23,356)</w:t>
            </w:r>
          </w:p>
        </w:tc>
        <w:tc>
          <w:tcPr>
            <w:tcW w:w="326" w:type="dxa"/>
            <w:tcBorders/>
            <w:shd w:fill="auto" w:val="clear"/>
            <w:vAlign w:val="center"/>
          </w:tcPr>
          <w:p>
            <w:pPr>
              <w:pStyle w:val="TableContents"/>
              <w:spacing w:before="0" w:after="1"/>
              <w:ind w:left="0" w:right="0" w:hanging="0"/>
              <w:rPr/>
            </w:pPr>
            <w:r>
              <w:rPr/>
              <w:t>​</w:t>
            </w:r>
          </w:p>
        </w:tc>
        <w:tc>
          <w:tcPr>
            <w:tcW w:w="252"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w:t>
            </w:r>
          </w:p>
        </w:tc>
        <w:tc>
          <w:tcPr>
            <w:tcW w:w="73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15.49</w:t>
            </w:r>
          </w:p>
        </w:tc>
      </w:tr>
      <w:tr>
        <w:trPr/>
        <w:tc>
          <w:tcPr>
            <w:tcW w:w="45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Outstanding as of March 31, 2023</w:t>
            </w:r>
          </w:p>
        </w:tc>
        <w:tc>
          <w:tcPr>
            <w:tcW w:w="326" w:type="dxa"/>
            <w:tcBorders/>
            <w:shd w:fill="CCEEFF" w:val="clear"/>
            <w:vAlign w:val="center"/>
          </w:tcPr>
          <w:p>
            <w:pPr>
              <w:pStyle w:val="TableContents"/>
              <w:spacing w:before="0" w:after="1"/>
              <w:ind w:left="0" w:right="0" w:hanging="0"/>
              <w:rPr/>
            </w:pPr>
            <w:r>
              <w:rPr/>
              <w:t>​</w:t>
            </w:r>
          </w:p>
        </w:tc>
        <w:tc>
          <w:tcPr>
            <w:tcW w:w="135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3,910,457</w:t>
            </w:r>
          </w:p>
        </w:tc>
        <w:tc>
          <w:tcPr>
            <w:tcW w:w="326" w:type="dxa"/>
            <w:tcBorders/>
            <w:shd w:fill="CCEEFF" w:val="clear"/>
            <w:vAlign w:val="center"/>
          </w:tcPr>
          <w:p>
            <w:pPr>
              <w:pStyle w:val="TableContents"/>
              <w:spacing w:before="0" w:after="1"/>
              <w:ind w:left="0" w:right="0" w:hanging="0"/>
              <w:rPr/>
            </w:pPr>
            <w:r>
              <w:rPr/>
              <w:t>​</w:t>
            </w:r>
          </w:p>
        </w:tc>
        <w:tc>
          <w:tcPr>
            <w:tcW w:w="252" w:type="dxa"/>
            <w:tcBorders>
              <w:bottom w:val="double" w:sz="6" w:space="0" w:color="000000"/>
            </w:tcBorders>
            <w:shd w:fill="CCEEFF"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738"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9.83</w:t>
            </w:r>
          </w:p>
        </w:tc>
      </w:tr>
      <w:tr>
        <w:trPr/>
        <w:tc>
          <w:tcPr>
            <w:tcW w:w="45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Ending vested and expected to vest at March 31, 2023</w:t>
            </w:r>
          </w:p>
        </w:tc>
        <w:tc>
          <w:tcPr>
            <w:tcW w:w="326" w:type="dxa"/>
            <w:tcBorders/>
            <w:shd w:fill="auto" w:val="clear"/>
            <w:vAlign w:val="center"/>
          </w:tcPr>
          <w:p>
            <w:pPr>
              <w:pStyle w:val="TableContents"/>
              <w:spacing w:before="0" w:after="1"/>
              <w:ind w:left="0" w:right="0" w:hanging="0"/>
              <w:rPr/>
            </w:pPr>
            <w:r>
              <w:rPr/>
              <w:t>​</w:t>
            </w:r>
          </w:p>
        </w:tc>
        <w:tc>
          <w:tcPr>
            <w:tcW w:w="135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3,910,457</w:t>
            </w:r>
          </w:p>
        </w:tc>
        <w:tc>
          <w:tcPr>
            <w:tcW w:w="326" w:type="dxa"/>
            <w:tcBorders/>
            <w:shd w:fill="auto" w:val="clear"/>
            <w:vAlign w:val="center"/>
          </w:tcPr>
          <w:p>
            <w:pPr>
              <w:pStyle w:val="TableContents"/>
              <w:spacing w:before="0" w:after="1"/>
              <w:ind w:left="0" w:right="0" w:hanging="0"/>
              <w:rPr/>
            </w:pPr>
            <w:r>
              <w:rPr/>
              <w:t>​</w:t>
            </w:r>
          </w:p>
        </w:tc>
        <w:tc>
          <w:tcPr>
            <w:tcW w:w="252" w:type="dxa"/>
            <w:tcBorders>
              <w:bottom w:val="double" w:sz="6"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738" w:type="dxa"/>
            <w:tcBorders>
              <w:bottom w:val="double" w:sz="6" w:space="0" w:color="000000"/>
            </w:tcBorders>
            <w:shd w:fill="auto" w:val="clear"/>
            <w:tcMar>
              <w:bottom w:w="28" w:type="dxa"/>
            </w:tcMar>
            <w:vAlign w:val="center"/>
          </w:tcPr>
          <w:p>
            <w:pPr>
              <w:pStyle w:val="TableContents"/>
              <w:spacing w:before="0" w:after="1"/>
              <w:ind w:left="0" w:right="72" w:hanging="0"/>
              <w:jc w:val="right"/>
              <w:rPr>
                <w:rFonts w:ascii="Times New Roman;Times;serif" w:hAnsi="Times New Roman;Times;serif"/>
                <w:sz w:val="20"/>
              </w:rPr>
            </w:pPr>
            <w:r>
              <w:rPr>
                <w:rFonts w:ascii="Times New Roman;Times;serif" w:hAnsi="Times New Roman;Times;serif"/>
                <w:sz w:val="20"/>
              </w:rPr>
              <w:t>9.83</w:t>
            </w:r>
          </w:p>
        </w:tc>
      </w:tr>
    </w:tbl>
    <w:p>
      <w:pPr>
        <w:pStyle w:val="TextBody"/>
        <w:spacing w:before="0" w:after="0"/>
        <w:ind w:left="0" w:right="0" w:hanging="0"/>
        <w:rPr/>
      </w:pPr>
      <w:r>
        <w:rPr/>
        <w:t>​</w:t>
      </w:r>
    </w:p>
    <w:p>
      <w:pPr>
        <w:pStyle w:val="TextBody"/>
        <w:spacing w:before="200" w:after="200"/>
        <w:ind w:left="0" w:right="0" w:firstLine="547"/>
        <w:rPr>
          <w:rFonts w:ascii="Times New Roman;Times;serif" w:hAnsi="Times New Roman;Times;serif"/>
          <w:sz w:val="20"/>
        </w:rPr>
      </w:pPr>
      <w:r>
        <w:rPr>
          <w:rFonts w:ascii="Times New Roman;Times;serif" w:hAnsi="Times New Roman;Times;serif"/>
          <w:sz w:val="20"/>
        </w:rPr>
        <w:t>As of March 31, 2023, there was $32.7</w:t>
      </w:r>
      <w:r>
        <w:rPr>
          <w:rFonts w:ascii="Times New Roman;Times;serif" w:hAnsi="Times New Roman;Times;serif"/>
          <w:color w:val="FF0000"/>
          <w:sz w:val="20"/>
        </w:rPr>
        <w:t xml:space="preserve"> </w:t>
      </w:r>
      <w:r>
        <w:rPr>
          <w:rFonts w:ascii="Times New Roman;Times;serif" w:hAnsi="Times New Roman;Times;serif"/>
          <w:sz w:val="20"/>
        </w:rPr>
        <w:t>million of unrecognized stock-based compensation expense associated with unvested RSU and PRSUs, which the Company expects to recognize over a remaining weighted-average period of 2.26</w:t>
      </w:r>
      <w:r>
        <w:rPr>
          <w:rFonts w:ascii="Times New Roman;Times;serif" w:hAnsi="Times New Roman;Times;serif"/>
          <w:color w:val="FF0000"/>
          <w:sz w:val="20"/>
        </w:rPr>
        <w:t xml:space="preserve"> </w:t>
      </w:r>
      <w:r>
        <w:rPr>
          <w:rFonts w:ascii="Times New Roman;Times;serif" w:hAnsi="Times New Roman;Times;serif"/>
          <w:sz w:val="20"/>
        </w:rPr>
        <w:t>years. As of March 31, 2022, there was $37.0 million of unrecognized stock-based compensation expense associated with unvested RSU and PRSUs. The aggregate intrinsic value of the unvested RSUs and PRSUs outstanding as of March 31, 2023 and 2022 was $23.9</w:t>
      </w:r>
      <w:r>
        <w:rPr>
          <w:rFonts w:ascii="Times New Roman;Times;serif" w:hAnsi="Times New Roman;Times;serif"/>
          <w:color w:val="FF0000"/>
          <w:sz w:val="20"/>
        </w:rPr>
        <w:t xml:space="preserve"> </w:t>
      </w:r>
      <w:r>
        <w:rPr>
          <w:rFonts w:ascii="Times New Roman;Times;serif" w:hAnsi="Times New Roman;Times;serif"/>
          <w:sz w:val="20"/>
        </w:rPr>
        <w:t xml:space="preserve">million and $51.5 million. </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Stock-Based Compensation</w:t>
      </w:r>
    </w:p>
    <w:p>
      <w:pPr>
        <w:pStyle w:val="TextBody"/>
        <w:spacing w:before="0" w:after="60"/>
        <w:ind w:left="0" w:right="0" w:firstLine="547"/>
        <w:rPr>
          <w:rFonts w:ascii="Times New Roman;Times;serif" w:hAnsi="Times New Roman;Times;serif"/>
          <w:sz w:val="20"/>
        </w:rPr>
      </w:pPr>
      <w:r>
        <w:rPr>
          <w:rFonts w:ascii="Times New Roman;Times;serif" w:hAnsi="Times New Roman;Times;serif"/>
          <w:sz w:val="20"/>
        </w:rPr>
        <w:t>Total stock-based compensation expense related to all of the Company’s stock-based awards was recorded on the Condensed Consolidated Statements of Operations as follows (in thousands):</w:t>
      </w:r>
    </w:p>
    <w:p>
      <w:pPr>
        <w:pStyle w:val="TextBody"/>
        <w:spacing w:before="0" w:after="0"/>
        <w:ind w:left="0" w:right="0" w:hanging="0"/>
        <w:rPr/>
      </w:pPr>
      <w:r>
        <w:rPr/>
        <w:t>​</w:t>
      </w:r>
    </w:p>
    <w:tbl>
      <w:tblPr>
        <w:tblW w:w="5994" w:type="dxa"/>
        <w:jc w:val="left"/>
        <w:tblInd w:w="0" w:type="dxa"/>
        <w:tblCellMar>
          <w:top w:w="0" w:type="dxa"/>
          <w:left w:w="0" w:type="dxa"/>
          <w:bottom w:w="0" w:type="dxa"/>
          <w:right w:w="0" w:type="dxa"/>
        </w:tblCellMar>
      </w:tblPr>
      <w:tblGrid>
        <w:gridCol w:w="3451"/>
        <w:gridCol w:w="326"/>
        <w:gridCol w:w="211"/>
        <w:gridCol w:w="676"/>
        <w:gridCol w:w="326"/>
        <w:gridCol w:w="211"/>
        <w:gridCol w:w="793"/>
      </w:tblGrid>
      <w:tr>
        <w:trPr/>
        <w:tc>
          <w:tcPr>
            <w:tcW w:w="34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93" w:type="dxa"/>
            <w:tcBorders/>
            <w:shd w:fill="auto" w:val="clear"/>
            <w:vAlign w:val="center"/>
          </w:tcPr>
          <w:p>
            <w:pPr>
              <w:pStyle w:val="TableContents"/>
              <w:spacing w:before="0" w:after="1"/>
              <w:ind w:left="0" w:right="0" w:hanging="0"/>
              <w:rPr/>
            </w:pPr>
            <w:r>
              <w:rPr/>
              <w:t>​</w:t>
            </w:r>
          </w:p>
        </w:tc>
      </w:tr>
      <w:tr>
        <w:trPr/>
        <w:tc>
          <w:tcPr>
            <w:tcW w:w="34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217"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34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217"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34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1"/>
              <w:ind w:left="0" w:right="0" w:hanging="0"/>
              <w:rPr/>
            </w:pPr>
            <w:r>
              <w:rPr/>
              <w:t>    </w:t>
            </w:r>
          </w:p>
        </w:tc>
        <w:tc>
          <w:tcPr>
            <w:tcW w:w="1004"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4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8,859</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13,651</w:t>
            </w:r>
          </w:p>
        </w:tc>
      </w:tr>
      <w:tr>
        <w:trPr/>
        <w:tc>
          <w:tcPr>
            <w:tcW w:w="34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6,806</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9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8,614</w:t>
            </w:r>
          </w:p>
        </w:tc>
      </w:tr>
      <w:tr>
        <w:trPr/>
        <w:tc>
          <w:tcPr>
            <w:tcW w:w="34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stock-based compensation expense</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15,665</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spacing w:before="0" w:after="1"/>
              <w:ind w:left="0" w:right="72" w:hanging="0"/>
              <w:jc w:val="right"/>
              <w:rPr>
                <w:rFonts w:ascii="Times New Roman;Times;serif" w:hAnsi="Times New Roman;Times;serif"/>
                <w:sz w:val="20"/>
              </w:rPr>
            </w:pPr>
            <w:r>
              <w:rPr>
                <w:rFonts w:ascii="Times New Roman;Times;serif" w:hAnsi="Times New Roman;Times;serif"/>
                <w:sz w:val="20"/>
              </w:rPr>
              <w:t>22,265</w:t>
            </w:r>
          </w:p>
        </w:tc>
      </w:tr>
    </w:tbl>
    <w:p>
      <w:pPr>
        <w:pStyle w:val="TextBody"/>
        <w:spacing w:before="0" w:after="200"/>
        <w:ind w:left="0" w:right="0" w:hanging="0"/>
        <w:rPr/>
      </w:pPr>
      <w:r>
        <w:rPr/>
        <w:t>​</w:t>
      </w:r>
    </w:p>
    <w:p>
      <w:pPr>
        <w:pStyle w:val="TextBody"/>
        <w:spacing w:before="0" w:after="40"/>
        <w:ind w:left="0" w:right="0" w:firstLine="547"/>
        <w:rPr>
          <w:rFonts w:ascii="Times New Roman;Times;serif" w:hAnsi="Times New Roman;Times;serif"/>
          <w:sz w:val="20"/>
        </w:rPr>
      </w:pPr>
      <w:r>
        <w:rPr>
          <w:rFonts w:ascii="Times New Roman;Times;serif" w:hAnsi="Times New Roman;Times;serif"/>
          <w:sz w:val="20"/>
        </w:rPr>
        <w:t>Total stock-based compensation expense by type of award was as follows (in thousands):</w:t>
      </w:r>
    </w:p>
    <w:p>
      <w:pPr>
        <w:pStyle w:val="TextBody"/>
        <w:spacing w:before="0" w:after="0"/>
        <w:ind w:left="0" w:right="0" w:hanging="0"/>
        <w:rPr/>
      </w:pPr>
      <w:r>
        <w:rPr/>
        <w:t>​</w:t>
      </w:r>
    </w:p>
    <w:tbl>
      <w:tblPr>
        <w:tblW w:w="5994" w:type="dxa"/>
        <w:jc w:val="left"/>
        <w:tblInd w:w="0" w:type="dxa"/>
        <w:tblCellMar>
          <w:top w:w="0" w:type="dxa"/>
          <w:left w:w="0" w:type="dxa"/>
          <w:bottom w:w="0" w:type="dxa"/>
          <w:right w:w="0" w:type="dxa"/>
        </w:tblCellMar>
      </w:tblPr>
      <w:tblGrid>
        <w:gridCol w:w="3451"/>
        <w:gridCol w:w="326"/>
        <w:gridCol w:w="211"/>
        <w:gridCol w:w="676"/>
        <w:gridCol w:w="326"/>
        <w:gridCol w:w="211"/>
        <w:gridCol w:w="793"/>
      </w:tblGrid>
      <w:tr>
        <w:trPr/>
        <w:tc>
          <w:tcPr>
            <w:tcW w:w="34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1385" cy="175260"/>
                      <wp:effectExtent l="0" t="0" r="0" b="0"/>
                      <wp:wrapNone/>
                      <wp:docPr id="127" name="Frame127"/>
                      <a:graphic xmlns:a="http://schemas.openxmlformats.org/drawingml/2006/main">
                        <a:graphicData uri="http://schemas.microsoft.com/office/word/2010/wordprocessingShape">
                          <wps:wsp>
                            <wps:cNvSpPr txBox="1"/>
                            <wps:spPr>
                              <a:xfrm>
                                <a:off x="0" y="0"/>
                                <a:ext cx="2191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8" name="Frame1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3985" cy="175260"/>
                      <wp:effectExtent l="0" t="0" r="0" b="0"/>
                      <wp:wrapNone/>
                      <wp:docPr id="129" name="Frame12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429260" cy="175260"/>
                      <wp:effectExtent l="0" t="0" r="0" b="0"/>
                      <wp:wrapNone/>
                      <wp:docPr id="130" name="Frame130"/>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1" name="Frame1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33985" cy="175260"/>
                      <wp:effectExtent l="0" t="0" r="0" b="0"/>
                      <wp:wrapNone/>
                      <wp:docPr id="132" name="Frame13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503555" cy="175260"/>
                      <wp:effectExtent l="0" t="0" r="0" b="0"/>
                      <wp:wrapNone/>
                      <wp:docPr id="133" name="Frame133"/>
                      <a:graphic xmlns:a="http://schemas.openxmlformats.org/drawingml/2006/main">
                        <a:graphicData uri="http://schemas.microsoft.com/office/word/2010/wordprocessingShape">
                          <wps:wsp>
                            <wps:cNvSpPr txBox="1"/>
                            <wps:spPr>
                              <a:xfrm>
                                <a:off x="0" y="0"/>
                                <a:ext cx="5035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4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217"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34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217"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34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100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4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 option expense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11,702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14,867</w:t>
            </w:r>
          </w:p>
        </w:tc>
      </w:tr>
      <w:tr>
        <w:trPr/>
        <w:tc>
          <w:tcPr>
            <w:tcW w:w="34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Restricted stock expense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3,660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7,162</w:t>
            </w:r>
          </w:p>
        </w:tc>
      </w:tr>
      <w:tr>
        <w:trPr/>
        <w:tc>
          <w:tcPr>
            <w:tcW w:w="34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ESPP expense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236</w:t>
            </w:r>
          </w:p>
        </w:tc>
      </w:tr>
      <w:tr>
        <w:trPr/>
        <w:tc>
          <w:tcPr>
            <w:tcW w:w="34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stock-based compensation expense</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15,665</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auto"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22,265</w:t>
            </w:r>
          </w:p>
        </w:tc>
      </w:tr>
    </w:tbl>
    <w:p>
      <w:pPr>
        <w:pStyle w:val="TextBody"/>
        <w:spacing w:before="0" w:after="0"/>
        <w:ind w:left="0" w:right="0" w:hanging="0"/>
        <w:rPr/>
      </w:pPr>
      <w:r>
        <w:rPr/>
        <w:t>​</w:t>
      </w:r>
    </w:p>
    <w:p>
      <w:pPr>
        <w:pStyle w:val="TextBody"/>
        <w:spacing w:before="0" w:after="200"/>
        <w:ind w:left="0" w:right="0" w:hanging="0"/>
        <w:rPr/>
      </w:pPr>
      <w:r>
        <w:rPr/>
        <w:t>​</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NOTE 7. LICENSES AND AGREEMENTS</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National Institutes of Health (the “NIH”) and the National Cancer Institute (the “NCI”)</w:t>
      </w:r>
    </w:p>
    <w:p>
      <w:pPr>
        <w:pStyle w:val="TextBody"/>
        <w:spacing w:before="0" w:after="200"/>
        <w:ind w:left="0" w:right="0" w:hanging="0"/>
        <w:rPr>
          <w:rFonts w:ascii="Times New Roman;Times;serif" w:hAnsi="Times New Roman;Times;serif"/>
          <w:i/>
          <w:sz w:val="20"/>
        </w:rPr>
      </w:pPr>
      <w:r>
        <w:rPr>
          <w:rFonts w:ascii="Times New Roman;Times;serif" w:hAnsi="Times New Roman;Times;serif"/>
          <w:i/>
          <w:sz w:val="20"/>
        </w:rPr>
        <w:t>Cooperative Research and Development Agreement (the “CRADA”)</w:t>
      </w:r>
    </w:p>
    <w:p>
      <w:pPr>
        <w:pStyle w:val="TextBody"/>
        <w:spacing w:before="0" w:after="200"/>
        <w:ind w:left="0" w:right="0" w:firstLine="630"/>
        <w:rPr>
          <w:rFonts w:ascii="Times New Roman;Times;serif" w:hAnsi="Times New Roman;Times;serif"/>
          <w:sz w:val="20"/>
        </w:rPr>
      </w:pPr>
      <w:r>
        <w:rPr>
          <w:rFonts w:ascii="Times New Roman;Times;serif" w:hAnsi="Times New Roman;Times;serif"/>
          <w:sz w:val="20"/>
        </w:rPr>
        <w:t>In August 2011, the Company signed a five-year CRADA with the NCI to work on the development of adoptive cell immunotherapies that are designed to destroy advanced melanoma cells. The CRADA was amended in 2015 and 2016 to, among other things, extend the term of the CRADA through August 2021, include new indications such as the development of TIL therapy for the treatment of patients with bladder, lung, triple-negative breast, and Human Papilloma Virus (“HPV”)-associated cancers, and modify the focus on the development of unmodified TIL as a stand-alone therapy or in combination. The parties have continued the development of improved methods for the generation and selection of TIL with anti-tumor reactivity in metastatic melanoma, bladder, lung, breast, and HPV-associated cancers.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In August 2021, the NCI and the Company entered into a third amendment to the CRADA. The third amendment, among other things, extended the term of the CRADA by three years to August 2024. The research plan in this amendment includes the evaluation in clinical trials of strategies for development of more potent TILs, such as selection of CD39/69 double negative cells and the use of certain inhibitors or other reagents in TIL expansion cultures.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Pursuant to the terms of the CRADA, as amended, the Company is required to make quarterly payments of $0.5 million to the NCI for support of research activities. To the extent the Company licenses patent rights relating to a TIL-based product candidate, the Company will be responsible for all patent-related expenses and fees, past and future, relating to the TIL-based product candidate. In addition, the Company may be required to supply certain test articles, including TIL, grown and processed under Current Good Manufacturing Practice (“cGMP”) conditions, suitable for use in clinical trials. The extended CRADA has a three-year term expiring in August 2024. The Company or the NCI may unilaterally terminate the CRADA for any reason or for no reason at any time by providing written notice at least 60 days before the desired termination date. The Company recorded costs associated with the CRADA of $0.5 million for each of the three months ended March 31, 2023 and 2022, respectively, as research and development expenses.</w:t>
      </w:r>
    </w:p>
    <w:p>
      <w:pPr>
        <w:pStyle w:val="TextBody"/>
        <w:spacing w:before="0" w:after="200"/>
        <w:ind w:left="0" w:right="0" w:hanging="0"/>
        <w:rPr>
          <w:rFonts w:ascii="Times New Roman;Times;serif" w:hAnsi="Times New Roman;Times;serif"/>
          <w:i/>
          <w:sz w:val="20"/>
        </w:rPr>
      </w:pPr>
      <w:r>
        <w:rPr>
          <w:rFonts w:ascii="Times New Roman;Times;serif" w:hAnsi="Times New Roman;Times;serif"/>
          <w:i/>
          <w:sz w:val="20"/>
        </w:rPr>
        <w:t>Patent License Agreement Related to the Development and Manufacture of TIL Therapies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The Company entered into an Exclusive Patent License Agreement (the “Patent License Agreement”) with the NIH, an agency of the U.S. Public Health Service within the Department of Health and Human Services, in 2011, as amended in 2015. Pursuant to the Patent License Agreement, as amended, the NIH granted the Company licenses, including exclusive, co-exclusive, and non-exclusive licenses, to certain technologies relating to autologous tumor infiltrating lymphocyte adoptive cell therapy products for the treatment of metastatic melanoma, lung, breast, bladder and HPV-positive cancers.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Effective May 6, 2021, the Company entered into an Amended and Restated Patent License Agreement with NIH, which included the grant of additional exclusive, worldwide patent rights in the indications to interleukin-15 and interleukin-21cytokine-tethered TIL technology, and expanded the non-exclusive, worldwide field of use to all cancers. Effective August 1, 2022, the Company entered into a Second Amended and Restated Patent License Agreement with NIH to include additional exclusive, worldwide patent rights to TIL products expressing interleukin-12, expanded rights to TIL selection technologies previously licensed under the Exclusive Patent License Agreement below, and additional non-exclusive, worldwide patent rights to certain technologies for enhancing TIL products.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The Second Amended and Restated Patent License Agreement requires the Company to pay royalties based on a percentage of net sales in jurisdictions where patent rights exist, which percentage can fall into a tier that may be less than one percent to mid-single digits depending upon certain factors, including the exclusivity of the rights, and the Company expects lower overall royalty payments as a result. The Company also agreed to potential milestone payments on the achievement of certain clinical, regulatory, and commercial sales milestones for each of the indications and other direct costs incurred by the NIH pursuant to the Second Amended and Restated Patent License Agreement. The Company anticipates making payments that could range from several hundred thousand dollars to the mid-single-digit millions of dollars in conjunction with certain development milestones, the approval of a BLA or its foreign equivalent, or the first U.S. and foreign commercial sales of any of its product candidates covered by the Second Amended and Restated Patent License Agreement. The term of the Second Amended and Restated Patent License Agreement continues until the expiry of the last-to-expire patent rights licensed thereunder, and the agreement contains standard termination provisions.</w:t>
      </w:r>
    </w:p>
    <w:p>
      <w:pPr>
        <w:pStyle w:val="TextBody"/>
        <w:spacing w:before="0" w:after="200"/>
        <w:ind w:left="0" w:right="0" w:hanging="0"/>
        <w:rPr>
          <w:rFonts w:ascii="Times New Roman;Times;serif" w:hAnsi="Times New Roman;Times;serif"/>
          <w:i/>
          <w:sz w:val="20"/>
        </w:rPr>
      </w:pPr>
      <w:r>
        <w:rPr>
          <w:rFonts w:ascii="Times New Roman;Times;serif" w:hAnsi="Times New Roman;Times;serif"/>
          <w:i/>
          <w:sz w:val="20"/>
        </w:rPr>
        <w:t>Exclusive Patent License Agreement Related to TIL Selection</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On February 10, 2015, the Company entered into an exclusive patent license agreement (the “Exclusive Patent License Agreement”) with the NIH under which the Company received an exclusive, worldwide license under a patent related to selected TILs. This license was superseded and replaced by the Second Amended and Restated Patent License Agreement.</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H. Lee Moffitt Cancer Center</w:t>
      </w:r>
    </w:p>
    <w:p>
      <w:pPr>
        <w:pStyle w:val="TextBody"/>
        <w:spacing w:before="0" w:after="200"/>
        <w:ind w:left="0" w:right="0" w:hanging="0"/>
        <w:rPr>
          <w:rFonts w:ascii="Times New Roman;Times;serif" w:hAnsi="Times New Roman;Times;serif"/>
          <w:i/>
          <w:sz w:val="20"/>
        </w:rPr>
      </w:pPr>
      <w:r>
        <w:rPr>
          <w:rFonts w:ascii="Times New Roman;Times;serif" w:hAnsi="Times New Roman;Times;serif"/>
          <w:i/>
          <w:sz w:val="20"/>
        </w:rPr>
        <w:t>Research Collaboration and Clinical Grant Agreements with Moffitt</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In June 2020, the Company entered into a Sponsored Research Agreement with the H. Lee Moffitt Cancer Center (“Moffitt”), with a term that ends either upon completion of the research thereunder or on July 1, 2022, whichever is sooner. In June 2022, this agreement was extended until June 2023. The Company recorded $0.1 million for the three months ended March 31, 2023 and 2022, respectively, as research and development costs.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 xml:space="preserve">In December 2016, the Company entered into a clinical grant agreement with Moffitt to support an ongoing clinical trial at Moffitt that combines TIL therapy with nivolumab for the treatment of patients with metastatic melanoma. In June 2017, the Company entered into a second clinical grant agreement with Moffitt to support a new clinical trial at Moffitt that combines TIL therapy with nivolumab for the treatment of patients with non-small cell lung cancer, under which the Company obtained a non-exclusive, royalty-free license to any new Moffitt inventions made in the performance of the agreement. Under both clinical grant agreements with Moffit, the Company has non-exclusive rights to clinical data arising from the respective clinical trials. No expenses were recorded for each of the three months ended March 31, 2023 and 2022, in connection with the research collaboration and clinical grant agreements with Moffitt. </w:t>
      </w:r>
    </w:p>
    <w:p>
      <w:pPr>
        <w:pStyle w:val="TextBody"/>
        <w:spacing w:before="0" w:after="200"/>
        <w:ind w:left="0" w:right="0" w:hanging="0"/>
        <w:rPr>
          <w:rFonts w:ascii="Times New Roman;Times;serif" w:hAnsi="Times New Roman;Times;serif"/>
          <w:i/>
          <w:sz w:val="20"/>
        </w:rPr>
      </w:pPr>
      <w:r>
        <w:rPr>
          <w:rFonts w:ascii="Times New Roman;Times;serif" w:hAnsi="Times New Roman;Times;serif"/>
          <w:i/>
          <w:sz w:val="20"/>
        </w:rPr>
        <w:t>Exclusive License Agreements with Moffitt</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The Company entered into a license agreement with Moffitt (the “First Moffitt License”), effective as of June 28, 2014, under which the Company received a world-wide license to Moffitt’s rights to patent-pending technologies related to methods for improving TIL for adoptive cell therapy using toll-like receptor agonists. Unless earlier terminated, the term of the license extends until the earlier of the expiration of the last issued patent related to the licensed technology or 20 years after the effective date of the license agreement.</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Pursuant to the First Moffitt License, the Company paid an upfront licensing fee in the amount of $0.1 million which was recorded as research and development expense. In 2022, the Company paid a patent issuance fee that was payable under the First Moffitt License upon the issuance of the first U.S. patent covering the subject technology. In addition, the Company agreed to pay milestone license fees upon completion of specified milestones, customary royalties based on a specified percentage of net sales (which percentage is in the low single digits) and sublicensing payments, as applicable, and annual minimum royalties beginning with the first sale of products based on the licensed technologies, which minimum royalties will be credited against the percentage royalty payments otherwise payable in that year. The Company will also be responsible for all costs associated with the preparation, filing, maintenance and prosecution of the patent applications and patents covered by the First Moffitt License related to the treatment of any cancers in the U.S., Europe, and Japan and in other countries designated by the Company in agreement with Moffitt. No expenses were recorded for the First Moffitt License for each of the three months ended March 31, 2023 and 2022.</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 xml:space="preserve">The Company entered into a second license agreement with Moffitt effective as of May 7, 2018 (the “Second Moffitt License”), under which the Company received a license to Moffitt’s rights to patent-pending technologies related to the use of 4-1BB agonists in conjunction with TIL manufacturing processes and therapies. Pursuant to the Second Moffitt License, the Company paid an upfront licensing fee in the amount of $0.1 million in 2018. An annual license maintenance fee is also payable commencing on the first anniversary of the effective date. The Company agreed to pay an annual commercial use payment for each indication for which a first sale has occurred, which in the aggregate amounts to up to $0.4 million a year. The Company recorded a de minimis amount for the three months ended March 31, 2023 and 2022, respectively, as research and development expenses in connection with this agreement. </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The Company subsequently exercised an option to exclusively license Moffitt’s rights to patent pending technologies related to the use of tumor digests in conjunction with TIL manufacturing processes and therapies and entered into an amended and restated Second Moffitt License in October 2021 (the “Amended &amp; Restated Second Moffit License”), to include these rights. Pursuant to the Amended &amp; Restated Second Moffitt License, the Company paid an upfront licensing fee in the amount of $0.2 million in 2021, which was recorded as research and development expense. In addition, the Company agreed to pay an annual commercial use payment for each indication for which a first sale has occurred for products relating to the use of 4-1BB antagonists covered by the license and an additional annual commercial use payment for each indication for which a first sale has occurred for products relating to the use of tumor digests covered by the license.</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The University of Texas M.D. Anderson Cancer Center</w:t>
      </w:r>
    </w:p>
    <w:p>
      <w:pPr>
        <w:pStyle w:val="TextBody"/>
        <w:spacing w:before="0" w:after="200"/>
        <w:ind w:left="0" w:right="0" w:hanging="0"/>
        <w:rPr>
          <w:rFonts w:ascii="Times New Roman;Times;serif" w:hAnsi="Times New Roman;Times;serif"/>
          <w:i/>
          <w:sz w:val="20"/>
        </w:rPr>
      </w:pPr>
      <w:r>
        <w:rPr>
          <w:rFonts w:ascii="Times New Roman;Times;serif" w:hAnsi="Times New Roman;Times;serif"/>
          <w:i/>
          <w:sz w:val="20"/>
        </w:rPr>
        <w:t>Strategic Alliance Agreement</w:t>
      </w:r>
    </w:p>
    <w:p>
      <w:pPr>
        <w:pStyle w:val="TextBody"/>
        <w:spacing w:before="0" w:after="0"/>
        <w:ind w:left="0" w:right="0" w:firstLine="547"/>
        <w:rPr>
          <w:rFonts w:ascii="Times New Roman;Times;serif" w:hAnsi="Times New Roman;Times;serif"/>
          <w:sz w:val="20"/>
        </w:rPr>
      </w:pPr>
      <w:r>
        <w:rPr>
          <w:rFonts w:ascii="Times New Roman;Times;serif" w:hAnsi="Times New Roman;Times;serif"/>
          <w:sz w:val="20"/>
        </w:rPr>
        <w:t xml:space="preserve">On April 17, 2017, the Company entered into a Strategic Alliance Agreement (the “SAA”) with The University of Texas M.D. Anderson Cancer Center (“MDACC”) under which the Company and MDACC agreed to conduct clinical and preclinical research studies. The Company agreed in the SAA to provide total funding not to exceed approximately $14.2 million for the performance of the multi-year studies under the SAA, of which approximately $5.3 million has been funded cumulatively through March 31, 2023, and has been recorded as research and development expense. In return, the Company acquired all rights to inventions resulting from the studies and has been granted a non-exclusive, sub-licensable, royalty-free, and perpetual license to specified background intellectual property of MDACC reasonably necessary to exploit, including the commercialization thereof. The Company has also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bookmarkStart w:id="837" w:name="Narr_wMQ7WlNAZ0ugSWhHRg2bQw"/>
      <w:bookmarkEnd w:id="837"/>
      <w:r>
        <w:rPr>
          <w:rFonts w:ascii="Times New Roman;Times;serif" w:hAnsi="Times New Roman;Times;serif"/>
          <w:sz w:val="20"/>
        </w:rPr>
        <w:t xml:space="preserve">been granted certain rights in clinical data generated by MDACC outside of the clinical trials to be performed under the SAA. The SAA’s term shall continue in effect until the later of the fourth anniversary of the SAA or the completion or termination of the research and receipt by the Company of all deliverables due from MDACC thereunder. No expenses were recorded for the three months ended March 31, 2023 in connection with this agreement. The Company recorded a de minimis amount for the three months ended March 31, 2022, as research and development expenses associated with this agreement. </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 xml:space="preserve">WuXi Advanced Therapies, Inc. </w:t>
      </w:r>
    </w:p>
    <w:p>
      <w:pPr>
        <w:pStyle w:val="TextBody"/>
        <w:spacing w:before="0" w:after="200"/>
        <w:ind w:left="0" w:right="0" w:hanging="0"/>
        <w:rPr>
          <w:rFonts w:ascii="Times New Roman;Times;serif" w:hAnsi="Times New Roman;Times;serif"/>
          <w:i/>
          <w:sz w:val="20"/>
        </w:rPr>
      </w:pPr>
      <w:r>
        <w:rPr>
          <w:rFonts w:ascii="Times New Roman;Times;serif" w:hAnsi="Times New Roman;Times;serif"/>
          <w:i/>
          <w:sz w:val="20"/>
        </w:rPr>
        <w:t>First WuXi Manufacturing and Services Agreement</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 xml:space="preserve">In November 2016, the Company entered into a three-year manufacturing and services agreement (the “First WuXi MSA”) with WuXi Advanced Therapies, Inc. (“WuXi”) pursuant to which WuXi agreed to provide manufacturing and other services, which has since been amended and assigned to its subsidiary Iovance Biotherapeutics Manufacturing LLC. Under the First WuXi MSA, the Company entered into multiple statements of work for two cGMP manufacturing suites to be operated by WuXi for the Company. The terms of one of these statements of work expired in December 2022. </w:t>
      </w:r>
    </w:p>
    <w:p>
      <w:pPr>
        <w:pStyle w:val="TextBody"/>
        <w:spacing w:before="0" w:after="200"/>
        <w:ind w:left="0" w:right="0" w:hanging="0"/>
        <w:rPr>
          <w:rFonts w:ascii="Times New Roman;Times;serif" w:hAnsi="Times New Roman;Times;serif"/>
          <w:i/>
          <w:sz w:val="20"/>
        </w:rPr>
      </w:pPr>
      <w:r>
        <w:rPr>
          <w:rFonts w:ascii="Times New Roman;Times;serif" w:hAnsi="Times New Roman;Times;serif"/>
          <w:i/>
          <w:sz w:val="20"/>
        </w:rPr>
        <w:t>Second WuXi Manufacturing and Services Agreement</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 xml:space="preserve">In October 2022, the Company’s subsidiary Iovance Biotherapeutics Manufacturing LLC entered into an additional three-year manufacturing and services agreement (the “Second WuXi MSA”) with WuXi and its parent company WuXi Apptec, Co, Ltd pursuant to which WuXi agreed to provide commercial and clinical manufacturing services and related testing services. Under the Second WuXi MSA, the Company entered into a statement of work for the two cGMP manufacturing suites to be operated by WuXi for the Company. Both suites are expected to be capable of being used for the commercial and clinical manufacture of the Company’s products. The Second WuXi MSA and its related statement of work will supersede the statements of work under the First WuXi MSA with respect to commercial and clinical manufacturing and the two manufacturing suites. Certain other statements of work for related services will also be covered by the Second WuXi MSA. The First WuXi MSA will continue to address development services provided by WuXi to the Company. Prior to regulatory approval, or if the Company experiences a material adverse event, the Company may unilaterally terminate the statement of work for commercial and clinical manufacturing under the Second WuXi MSA at any time by providing written notice of at least 120 days. Post regulatory approval, the Company may unilaterally terminate the statement of work for commercial and clinical manufacturing with written notice of 15 month in year 1 of the term, written notice of 9 months in year 2 of the term, and written notice of 6 months in year 3 of the term. If WuXi fails a Pre-Licensing Inspection and does not address any related issues within 90 days of receipt of the FDA response letter, the Company may either terminate the statement of work for commercial and clinical manufacturing under the Second WuXi MSA immediately or shorten the term of this statement of work to June 30, 2024. </w:t>
      </w:r>
      <w:r>
        <w:rPr>
          <w:rFonts w:ascii="Times New Roman;Times;serif" w:hAnsi="Times New Roman;Times;serif"/>
          <w:color w:val="242424"/>
          <w:sz w:val="20"/>
          <w:highlight w:val="white"/>
        </w:rPr>
        <w:t>The Company recorded costs associated with agreements with WuXi of $3.9 million for each of the three months ended March 31, 2023 and 2022, respectively, as research and development expenses.</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Cellectis S.A.</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On December 31, 2019, the Company entered into a research collaboration and exclusive worldwide license agreement whereby the Company will license gene-editing technology from Cellectis S.A. (“Cellectis”), a clinical-stage biopharmaceutical company, to develop TIL therapies that have been genetically edited using TALEN ® technology, including a PD-1 inactivated product that the Company refers to as IOV-4001. Financial terms of the license include annual license payments and development, regulatory and sales milestone payments from the Company to Cellectis, as well as royalty payments based on net sales of TALEN®-modified TIL products. The Company recorded costs associated with the license agreement with Cellectis of $0.1 million for each of the three months ended March 31, 2023 and 2022, as research and development expense.</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Novartis Pharma AG</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On January 9, 2020, the Company obtained a license from Novartis Pharma AG (“Novartis”) to develop and commercialize an antibody cytokine engrafted protein, which the Company refers to as IOV-3001. Under the agreement, the Company has paid an upfront payment to Novartis and may pay future milestones related to initiation of patient dosing in various phases of clinical development for IOV-3001 and approval of the product in the U.S, EU, and Japan. Novartis is also entitled to low-to-mid single digit percentage royalties from commercial sales of the product. The Company recorded costs associated with the license agreement from Novartis of $10.0 million as research and development expense during for the year ended December 31, 2020. No expenses were recorded for each of the three months ended March 31, 2023 and 2022.</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NOTE 8. LEASES</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Operating Leases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 xml:space="preserve">The Company leases corporate office space in California, including 49,918 square feet for its current corporate headquarters’ office space in San Carlos, California, manufacturing, research and development lab facilities and office space in Philadelphia, Pennsylvania, including 136,000 square feet of commercial manufacturing and lab space at the </w:t>
      </w:r>
      <w:r>
        <w:rPr>
          <w:rFonts w:ascii="Times New Roman;Times;serif" w:hAnsi="Times New Roman;Times;serif"/>
          <w:i/>
          <w:sz w:val="20"/>
        </w:rPr>
        <w:t>i</w:t>
      </w:r>
      <w:r>
        <w:rPr>
          <w:rFonts w:ascii="Times New Roman;Times;serif" w:hAnsi="Times New Roman;Times;serif"/>
          <w:sz w:val="20"/>
        </w:rPr>
        <w:t xml:space="preserve">CTC, and research and development lab facilities in Tampa, Florida. The determination if an arrangement is a lease occurs at inception, and for leases with terms greater than 12 months, the Company records a related right-of-use asset and lease liability at the present value of lease payments over the term. Many leases include fixed rental escalation clauses, renewal options and/or termination options that are factored into the determination of lease payments when appropriate. The Company’s leases do not provide an implicit rate, and thus the Company estimated the incremental borrowing rate in calculating the present value of the lease payments. </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The Company’s leases have remaining lease terms that range from less than one year to approximately 20 years. Some of the Company’s leases include one or more options to renew with renewal terms that can extend the lease for additional years, or options to terminate the leases, both at the Company’s discretion. The Company’s leases may include options to extend or terminate the lease, which is considered in the lease term when it is reasonably certain that the Company will exercise any such options. Lease expense for minimum lease payments is recognized on a straight-line basis based on the fixed components of a lease arrangement.</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Variable lease cost is determined based on performance or usage in accordance with the contractual agreements, and not based on an index or rate. Such costs that are not fixed in nature are recognized as incurred.</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The Company also leases certain furniture and equipment that has a lease term of 12 months or less. Since the lease agreement do not include an option to purchase the underlying asset, the Company elected not to apply the recognition requirements of Topic 842 for short-term leases, however, the lease costs that pertain to the short-term leases are disclosed in the components of lease costs table below.</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Manufacturing Contracts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 xml:space="preserve">The Company uses contract manufacturing organizations (collectively the “CMOs” and each a “CMO”) to manufacture and supply TILs for clinical and commercial purposes. The CMO contractual obligations consist of the use of manufacturing facilities and minimum fixed commitment fees, such as personnel, general support fees, and minimum production or material fees. In addition to the minimum fixed commitment fees, the CMO contractual obligations include variable costs such as production and material costs in excess of the minimum quantity specified in each CMO agreement. During the term of each CMO agreement, the Company has access to and control of the use of a dedicated suite in each of the CMOs’ facilities for manufacturing activities. The contracts with CMOs generally contain embedded operating leases based on the fact that the suites are used for the Company’s production are implicitly identified, are used exclusively by the Company during the contractual term of the arrangements, and the CMOs have no substantive contractual rights to substitute the facilities used by the Company. </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Further, the Company controls the use of the facilities by obtaining all of the economic benefits from the use of the facilities and direct the use of the facilities throughout the period of use. The terms of the CMO contracts include options to terminate the lease with advance notice of five to six months. The termination clauses and extension clauses are included in the calculation of the lease term for each of the CMOs when it is reasonably certain that it will not exercise such options.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For contracts with multiple deliverables, Topic 842 requires the Company to first identify a lease deliverable and non-lease deliverable included in the arrangements, and then allocate the fixed contractual consideration to the lease deliverable(s) and the non-lease deliverable(s) on a relative standalone selling price basis to determine the amount of operating lease right-of-use assets and liabilities. The Company identified the use of a dedicated suite as a single lease deliverable, and related labor services as a single non-lease deliverable in each of the CMO arrangements. Judgment is required to determine the relative standalone selling price of each deliverable as the observable standalone selling prices are not readily available. Therefore, management uses estimates and assumptions in determining relative standalone selling price of lease of a suite and labor service using information that includes market and other observable inputs to the extent possible.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547"/>
        <w:rPr>
          <w:rFonts w:ascii="Times New Roman;Times;serif" w:hAnsi="Times New Roman;Times;serif"/>
          <w:sz w:val="20"/>
        </w:rPr>
      </w:pPr>
      <w:bookmarkStart w:id="838" w:name="Tc_QP2M1hN4MESENsZPPt6xMA_12_8"/>
      <w:bookmarkStart w:id="839" w:name="Tc_l-u_afmh90Gnd9surMaYJw_12_5"/>
      <w:bookmarkStart w:id="840" w:name="Tc_Xo-HZUdU1kuUuBQ_OGWUSg_12_2"/>
      <w:bookmarkStart w:id="841" w:name="Tc_BJQpvGroHkagTaLf4IMc4Q_12_0"/>
      <w:bookmarkStart w:id="842" w:name="Tc_N6Q_Y18BcUmsSNf3pnlSow_11_0"/>
      <w:bookmarkStart w:id="843" w:name="Tc_WxvbKYnA8kuVGXs49CZCWA_10_8"/>
      <w:bookmarkStart w:id="844" w:name="Tc_BVtZV7YdlUmSIfUnOsaIQw_10_5"/>
      <w:bookmarkStart w:id="845" w:name="Tc_cK7zExOmw0S8DtRBP2Jccg_10_2"/>
      <w:bookmarkStart w:id="846" w:name="Tc_AxwEP7xwFEmw3i41HdOAaA_10_0"/>
      <w:bookmarkStart w:id="847" w:name="Tc_5RP4e2fbwkyWD9em51_sxw_9_6"/>
      <w:bookmarkStart w:id="848" w:name="Tc_p7AEt9FXXUSYRXluyt7Ysg_9_0"/>
      <w:bookmarkStart w:id="849" w:name="Tc_ExDFWz-cRkS2f6SF9Js9RQ_8_6"/>
      <w:bookmarkStart w:id="850" w:name="Tc_41XOC8YUdE6-Zq496tcRBA_8_0"/>
      <w:bookmarkStart w:id="851" w:name="Tc_xqm0obGDcUy8ECJDb1LSYA_7_6"/>
      <w:bookmarkStart w:id="852" w:name="Tc_cQpvk_nINUGKDcv9MZygrw_7_0"/>
      <w:bookmarkStart w:id="853" w:name="Tc_8qY6D3NFfESSb0iFYMGC2Q_6_6"/>
      <w:bookmarkStart w:id="854" w:name="Tc_GXPpRWny4EOf-0OWAFAuLA_6_0"/>
      <w:bookmarkStart w:id="855" w:name="Tc_jWvSzynVq0G-uRsFhwZ3jg_5_0"/>
      <w:bookmarkStart w:id="856" w:name="Tc_ukKp9FXg0ESK7Gt0r0fvpA_4_8"/>
      <w:bookmarkStart w:id="857" w:name="Tc_zMvDOodo10u7ykVvZytEqA_4_5"/>
      <w:bookmarkStart w:id="858" w:name="Tc_ppvoyS8ahka-ERH-i_rYHg_4_2"/>
      <w:bookmarkStart w:id="859" w:name="Tc_EKn71TnFHU6tedvSPv_1Hg_4_0"/>
      <w:bookmarkStart w:id="860" w:name="Tc_2zZXSOVVm0e-pi3KAyVQVw_3_8"/>
      <w:bookmarkStart w:id="861" w:name="Tc_DHAEZsKmaUGDVfSuviW3IQ_3_5"/>
      <w:bookmarkStart w:id="862" w:name="Tc_G3frvcXkHkulScU_-FF3zg_3_2"/>
      <w:bookmarkStart w:id="863" w:name="Tc_y05v0mCvIk2k4m5bCxdVJg_3_0"/>
      <w:bookmarkStart w:id="864" w:name="Tc_r_XSkZuxv0m1tFNx7HKUiA_2_5"/>
      <w:bookmarkStart w:id="865" w:name="Tc_mEkMcpz1Uke_yCz_RoHL7g_2_2"/>
      <w:bookmarkStart w:id="866" w:name="Tc_ooqSzdXwaUO-Q6GhqHqEiw_1_5"/>
      <w:bookmarkStart w:id="867" w:name="_b2e36c3b_b90b_4ef5_97f6_12c4c3481769"/>
      <w:bookmarkStart w:id="868" w:name="Tc_FvEN_m7A7UyttU1LWwSKCg_14_7"/>
      <w:bookmarkStart w:id="869" w:name="Tc_Ou8XDnAyBUiyTz23I1y__A_14_4"/>
      <w:bookmarkStart w:id="870" w:name="Tc_1_eTxNvMXkuDp2F6Ms3Ajw_14_0"/>
      <w:bookmarkStart w:id="871" w:name="Tc_YdQF-6505kerD021PS2gng_13_0"/>
      <w:bookmarkStart w:id="872" w:name="Tc_DPA8WkJBZUin0vp0vXZFPg_12_5"/>
      <w:bookmarkStart w:id="873" w:name="Tc_9aT-Ents6kSaBREhox4Auw_12_2"/>
      <w:bookmarkStart w:id="874" w:name="Tc_GOOFixka0UuB4ExoFsJVaw_12_0"/>
      <w:bookmarkStart w:id="875" w:name="Tc_OfZnpMiciU2-GBy_EzaLZg_11_5"/>
      <w:bookmarkStart w:id="876" w:name="Tc_Bz4ripexe0yzoGaMK35uZw_11_3"/>
      <w:bookmarkStart w:id="877" w:name="Tc_FNLdJMv8KUWsyikqGHcnPg_11_2"/>
      <w:bookmarkStart w:id="878" w:name="Tc_7clqeU7OG0K0PI8PLjlY8g_11_0"/>
      <w:bookmarkStart w:id="879" w:name="Tc_iZ91-puHj0C-HT3qr37UVA_10_5"/>
      <w:bookmarkStart w:id="880" w:name="Tc_f113S7CJsUeGz1Ddf0W1Kw_10_2"/>
      <w:bookmarkStart w:id="881" w:name="Tc_Ghcn4onnUEmDzzvpdIrV4Q_10_0"/>
      <w:bookmarkStart w:id="882" w:name="Tc_oyruhGJmMka0alcE9vpK2A_9_0"/>
      <w:bookmarkStart w:id="883" w:name="Tc_zU106XpQmkGa-hbgh_qg1A_7_5"/>
      <w:bookmarkStart w:id="884" w:name="Tc_g13bjBL5L0iwXJpy8vKuFg_7_2"/>
      <w:bookmarkStart w:id="885" w:name="Tc_b-FAnXUu4ESoE9FJVLn_eg_7_0"/>
      <w:bookmarkStart w:id="886" w:name="Tc_Cgyc25x6mkuE0RNyCKsJ9g_6_0"/>
      <w:bookmarkStart w:id="887" w:name="Tc_K-0XQGknOE23RKWle0DRtg_5_0"/>
      <w:bookmarkStart w:id="888" w:name="Tc_F7XZgH2fWEWoeUptu3RHlw_4_5"/>
      <w:bookmarkStart w:id="889" w:name="Tc_QfHsEnVMQUCyn97hoBoFnA_4_2"/>
      <w:bookmarkStart w:id="890" w:name="Tc_ghHLJI0MqUuS6ZFFxz8mSA_4_0"/>
      <w:bookmarkStart w:id="891" w:name="Tc_H8BZBY1AZEWfvAMAd3kqSA_3_5"/>
      <w:bookmarkStart w:id="892" w:name="Tc_DIh2ysphPkWLf77UyQvPig_3_2"/>
      <w:bookmarkStart w:id="893" w:name="Tc_tEswQQPBBESoxao3y01hLg_2_2"/>
      <w:bookmarkStart w:id="894" w:name="Tc_gGju9bqnNUG28SrbkFuKEQ_1_2"/>
      <w:bookmarkStart w:id="895" w:name="_384ba491_0d3b_4244_b16c_e2ccba79c77e"/>
      <w:bookmarkStart w:id="896" w:name="Tc_EffaUU-xMker-Y5XlrvOoA_7_5"/>
      <w:bookmarkStart w:id="897" w:name="Tc_fWzv8m06-UGAeq_8O_lGVw_7_2"/>
      <w:bookmarkStart w:id="898" w:name="Tc_UMxX_IvmM0-fMYn4rAophw_7_0"/>
      <w:bookmarkStart w:id="899" w:name="Tc_lkyxHsEnKUy2DZk7uCguYw_6_0"/>
      <w:bookmarkStart w:id="900" w:name="Tc_h_lJYyG3AUC4THiyvtSZdQ_5_0"/>
      <w:bookmarkStart w:id="901" w:name="Tc_aS0vVakF20WGVkOxcVFFng_4_0"/>
      <w:bookmarkStart w:id="902" w:name="Tc_xxfOejdWyUO7ucVQD7aJCQ_3_5"/>
      <w:bookmarkStart w:id="903" w:name="Tc_33PE0WQgA0GywmR_lc2eVA_3_2"/>
      <w:bookmarkStart w:id="904" w:name="Tc_wNOqMcL7s06gMRbBGyDzww_3_0"/>
      <w:bookmarkStart w:id="905" w:name="Tc_snfTEkV6okKjchkKKjhlEQ_2_5"/>
      <w:bookmarkStart w:id="906" w:name="Tc_68cuAqMDOUahcrX86mfLBw_2_2"/>
      <w:bookmarkStart w:id="907" w:name="Tc_ALFIeYOaIkqopztU-6c5hg_1_5"/>
      <w:bookmarkStart w:id="908" w:name="Tc_TgQGN2Alp0KNTlAfS0A3lw_1_2"/>
      <w:bookmarkStart w:id="909" w:name="_a08c5c8b_bf12_44c7_b0a1_82b2ab5415a2"/>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r>
        <w:rPr>
          <w:rFonts w:ascii="Times New Roman;Times;serif" w:hAnsi="Times New Roman;Times;serif"/>
          <w:sz w:val="20"/>
        </w:rPr>
        <w:t>The balance sheet classification of the Company’s right-of-use asset and lease liabilities was as follows (in thousands):</w:t>
      </w:r>
    </w:p>
    <w:p>
      <w:pPr>
        <w:pStyle w:val="TextBody"/>
        <w:spacing w:before="0" w:after="200"/>
        <w:ind w:left="0" w:right="0" w:firstLine="547"/>
        <w:rPr/>
      </w:pPr>
      <w:r>
        <w:rPr/>
        <w:t>​</w:t>
      </w:r>
    </w:p>
    <w:tbl>
      <w:tblPr>
        <w:tblW w:w="7148" w:type="dxa"/>
        <w:jc w:val="left"/>
        <w:tblInd w:w="0" w:type="dxa"/>
        <w:tblCellMar>
          <w:top w:w="0" w:type="dxa"/>
          <w:left w:w="0" w:type="dxa"/>
          <w:bottom w:w="0" w:type="dxa"/>
          <w:right w:w="0" w:type="dxa"/>
        </w:tblCellMar>
      </w:tblPr>
      <w:tblGrid>
        <w:gridCol w:w="4411"/>
        <w:gridCol w:w="326"/>
        <w:gridCol w:w="214"/>
        <w:gridCol w:w="686"/>
        <w:gridCol w:w="326"/>
        <w:gridCol w:w="248"/>
        <w:gridCol w:w="937"/>
      </w:tblGrid>
      <w:tr>
        <w:trPr/>
        <w:tc>
          <w:tcPr>
            <w:tcW w:w="44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800985" cy="175260"/>
                      <wp:effectExtent l="0" t="0" r="0" b="0"/>
                      <wp:wrapNone/>
                      <wp:docPr id="134" name="Frame134"/>
                      <a:graphic xmlns:a="http://schemas.openxmlformats.org/drawingml/2006/main">
                        <a:graphicData uri="http://schemas.microsoft.com/office/word/2010/wordprocessingShape">
                          <wps:wsp>
                            <wps:cNvSpPr txBox="1"/>
                            <wps:spPr>
                              <a:xfrm>
                                <a:off x="0" y="0"/>
                                <a:ext cx="2800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5" name="Frame13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35890" cy="175260"/>
                      <wp:effectExtent l="0" t="0" r="0" b="0"/>
                      <wp:wrapNone/>
                      <wp:docPr id="136" name="Frame136"/>
                      <a:graphic xmlns:a="http://schemas.openxmlformats.org/drawingml/2006/main">
                        <a:graphicData uri="http://schemas.microsoft.com/office/word/2010/wordprocessingShape">
                          <wps:wsp>
                            <wps:cNvSpPr txBox="1"/>
                            <wps:spPr>
                              <a:xfrm>
                                <a:off x="0" y="0"/>
                                <a:ext cx="1358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435610" cy="175260"/>
                      <wp:effectExtent l="0" t="0" r="0" b="0"/>
                      <wp:wrapNone/>
                      <wp:docPr id="137" name="Frame137"/>
                      <a:graphic xmlns:a="http://schemas.openxmlformats.org/drawingml/2006/main">
                        <a:graphicData uri="http://schemas.microsoft.com/office/word/2010/wordprocessingShape">
                          <wps:wsp>
                            <wps:cNvSpPr txBox="1"/>
                            <wps:spPr>
                              <a:xfrm>
                                <a:off x="0" y="0"/>
                                <a:ext cx="435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8" name="Frame1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57480" cy="175260"/>
                      <wp:effectExtent l="0" t="0" r="0" b="0"/>
                      <wp:wrapNone/>
                      <wp:docPr id="139" name="Frame139"/>
                      <a:graphic xmlns:a="http://schemas.openxmlformats.org/drawingml/2006/main">
                        <a:graphicData uri="http://schemas.microsoft.com/office/word/2010/wordprocessingShape">
                          <wps:wsp>
                            <wps:cNvSpPr txBox="1"/>
                            <wps:spPr>
                              <a:xfrm>
                                <a:off x="0" y="0"/>
                                <a:ext cx="1574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594995" cy="175260"/>
                      <wp:effectExtent l="0" t="0" r="0" b="0"/>
                      <wp:wrapNone/>
                      <wp:docPr id="140" name="Frame140"/>
                      <a:graphic xmlns:a="http://schemas.openxmlformats.org/drawingml/2006/main">
                        <a:graphicData uri="http://schemas.microsoft.com/office/word/2010/wordprocessingShape">
                          <wps:wsp>
                            <wps:cNvSpPr txBox="1"/>
                            <wps:spPr>
                              <a:xfrm>
                                <a:off x="0" y="0"/>
                                <a:ext cx="5949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4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90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1"/>
              <w:ind w:left="0" w:right="0" w:hanging="0"/>
              <w:rPr/>
            </w:pPr>
            <w:r>
              <w:rPr/>
              <w:t>    </w:t>
            </w:r>
          </w:p>
        </w:tc>
        <w:tc>
          <w:tcPr>
            <w:tcW w:w="118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4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0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1"/>
              <w:ind w:left="0" w:right="0" w:hanging="0"/>
              <w:rPr/>
            </w:pPr>
            <w:r>
              <w:rPr/>
              <w:t>​</w:t>
            </w:r>
          </w:p>
        </w:tc>
        <w:tc>
          <w:tcPr>
            <w:tcW w:w="118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4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lease right-of-use assets</w:t>
            </w:r>
          </w:p>
        </w:tc>
        <w:tc>
          <w:tcPr>
            <w:tcW w:w="326" w:type="dxa"/>
            <w:tcBorders/>
            <w:shd w:fill="CCEEFF" w:val="clear"/>
            <w:vAlign w:val="center"/>
          </w:tcPr>
          <w:p>
            <w:pPr>
              <w:pStyle w:val="TableContents"/>
              <w:spacing w:before="0" w:after="1"/>
              <w:ind w:left="0" w:right="0" w:hanging="0"/>
              <w:rPr/>
            </w:pPr>
            <w:r>
              <w:rPr/>
              <w:t>​</w:t>
            </w:r>
          </w:p>
        </w:tc>
        <w:tc>
          <w:tcPr>
            <w:tcW w:w="214"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70,431</w:t>
            </w:r>
          </w:p>
        </w:tc>
        <w:tc>
          <w:tcPr>
            <w:tcW w:w="326" w:type="dxa"/>
            <w:tcBorders/>
            <w:shd w:fill="CCEEFF" w:val="clear"/>
            <w:vAlign w:val="center"/>
          </w:tcPr>
          <w:p>
            <w:pPr>
              <w:pStyle w:val="TableContents"/>
              <w:spacing w:before="0" w:after="1"/>
              <w:ind w:left="0" w:right="0" w:hanging="0"/>
              <w:rPr/>
            </w:pPr>
            <w:r>
              <w:rPr/>
              <w:t>​</w:t>
            </w:r>
          </w:p>
        </w:tc>
        <w:tc>
          <w:tcPr>
            <w:tcW w:w="248"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73,015</w:t>
            </w:r>
          </w:p>
        </w:tc>
      </w:tr>
      <w:tr>
        <w:trPr/>
        <w:tc>
          <w:tcPr>
            <w:tcW w:w="44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lease liabilities</w:t>
            </w:r>
          </w:p>
        </w:tc>
        <w:tc>
          <w:tcPr>
            <w:tcW w:w="326" w:type="dxa"/>
            <w:tcBorders/>
            <w:shd w:fill="auto" w:val="clear"/>
            <w:vAlign w:val="center"/>
          </w:tcPr>
          <w:p>
            <w:pPr>
              <w:pStyle w:val="TableContents"/>
              <w:spacing w:before="0" w:after="1"/>
              <w:ind w:left="0" w:right="0" w:hanging="0"/>
              <w:rPr/>
            </w:pPr>
            <w:r>
              <w:rPr/>
              <w:t>​</w:t>
            </w:r>
          </w:p>
        </w:tc>
        <w:tc>
          <w:tcPr>
            <w:tcW w:w="214" w:type="dxa"/>
            <w:tcBorders/>
            <w:shd w:fill="auto" w:val="clear"/>
            <w:vAlign w:val="center"/>
          </w:tcPr>
          <w:p>
            <w:pPr>
              <w:pStyle w:val="TableContents"/>
              <w:spacing w:before="0" w:after="1"/>
              <w:ind w:left="0" w:right="0" w:hanging="0"/>
              <w:rPr/>
            </w:pPr>
            <w:r>
              <w:rPr/>
              <w:t>​</w:t>
            </w:r>
          </w:p>
        </w:tc>
        <w:tc>
          <w:tcPr>
            <w:tcW w:w="686" w:type="dxa"/>
            <w:tcBorders/>
            <w:shd w:fill="auto" w:val="clear"/>
            <w:vAlign w:val="center"/>
          </w:tcPr>
          <w:p>
            <w:pPr>
              <w:pStyle w:val="TableContents"/>
              <w:spacing w:before="0" w:after="1"/>
              <w:ind w:left="0" w:right="0" w:hanging="0"/>
              <w:jc w:val="right"/>
              <w:rPr>
                <w:color w:val="FF0000"/>
              </w:rPr>
            </w:pPr>
            <w:r>
              <w:rPr>
                <w:color w:val="FF0000"/>
              </w:rPr>
              <w:t>​</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 </w:t>
            </w:r>
          </w:p>
        </w:tc>
        <w:tc>
          <w:tcPr>
            <w:tcW w:w="937" w:type="dxa"/>
            <w:tcBorders/>
            <w:shd w:fill="auto" w:val="clear"/>
            <w:vAlign w:val="center"/>
          </w:tcPr>
          <w:p>
            <w:pPr>
              <w:pStyle w:val="TableContents"/>
              <w:spacing w:before="0" w:after="1"/>
              <w:ind w:left="0" w:right="0" w:hanging="0"/>
              <w:jc w:val="right"/>
              <w:rPr/>
            </w:pPr>
            <w:r>
              <w:rPr/>
              <w:t>​</w:t>
            </w:r>
          </w:p>
        </w:tc>
      </w:tr>
      <w:tr>
        <w:trPr/>
        <w:tc>
          <w:tcPr>
            <w:tcW w:w="44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Current portion included in current liabilities</w:t>
            </w:r>
          </w:p>
        </w:tc>
        <w:tc>
          <w:tcPr>
            <w:tcW w:w="326" w:type="dxa"/>
            <w:tcBorders/>
            <w:shd w:fill="CCEEFF" w:val="clear"/>
            <w:vAlign w:val="center"/>
          </w:tcPr>
          <w:p>
            <w:pPr>
              <w:pStyle w:val="TableContents"/>
              <w:spacing w:before="0" w:after="1"/>
              <w:ind w:left="0" w:right="0" w:hanging="0"/>
              <w:rPr/>
            </w:pPr>
            <w:r>
              <w:rPr/>
              <w:t>​</w:t>
            </w:r>
          </w:p>
        </w:tc>
        <w:tc>
          <w:tcPr>
            <w:tcW w:w="214" w:type="dxa"/>
            <w:tcBorders/>
            <w:shd w:fill="CCEEFF" w:val="clear"/>
            <w:vAlign w:val="center"/>
          </w:tcPr>
          <w:p>
            <w:pPr>
              <w:pStyle w:val="TableContents"/>
              <w:spacing w:before="0" w:after="1"/>
              <w:ind w:left="0" w:right="0" w:hanging="0"/>
              <w:rPr/>
            </w:pPr>
            <w:r>
              <w:rPr/>
              <w:t>​</w:t>
            </w:r>
          </w:p>
        </w:tc>
        <w:tc>
          <w:tcPr>
            <w:tcW w:w="6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12,614</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pPr>
            <w:r>
              <w:rPr/>
              <w:t> </w:t>
            </w:r>
          </w:p>
        </w:tc>
        <w:tc>
          <w:tcPr>
            <w:tcW w:w="93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12,587</w:t>
            </w:r>
          </w:p>
        </w:tc>
      </w:tr>
      <w:tr>
        <w:trPr/>
        <w:tc>
          <w:tcPr>
            <w:tcW w:w="44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Long-term portion included in non-current liabilities</w:t>
            </w:r>
          </w:p>
        </w:tc>
        <w:tc>
          <w:tcPr>
            <w:tcW w:w="326" w:type="dxa"/>
            <w:tcBorders/>
            <w:shd w:fill="auto" w:val="clear"/>
            <w:vAlign w:val="center"/>
          </w:tcPr>
          <w:p>
            <w:pPr>
              <w:pStyle w:val="TableContents"/>
              <w:spacing w:before="0" w:after="1"/>
              <w:ind w:left="0" w:right="0" w:hanging="0"/>
              <w:rPr/>
            </w:pPr>
            <w:r>
              <w:rPr/>
              <w:t>​</w:t>
            </w:r>
          </w:p>
        </w:tc>
        <w:tc>
          <w:tcPr>
            <w:tcW w:w="214"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69,612</w:t>
            </w:r>
          </w:p>
        </w:tc>
        <w:tc>
          <w:tcPr>
            <w:tcW w:w="326" w:type="dxa"/>
            <w:tcBorders/>
            <w:shd w:fill="auto" w:val="clear"/>
            <w:vAlign w:val="center"/>
          </w:tcPr>
          <w:p>
            <w:pPr>
              <w:pStyle w:val="TableContents"/>
              <w:spacing w:before="0" w:after="1"/>
              <w:ind w:left="0" w:right="0" w:hanging="0"/>
              <w:rPr/>
            </w:pPr>
            <w:r>
              <w:rPr/>
              <w:t>​</w:t>
            </w:r>
          </w:p>
        </w:tc>
        <w:tc>
          <w:tcPr>
            <w:tcW w:w="248"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3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71,859</w:t>
            </w:r>
          </w:p>
        </w:tc>
      </w:tr>
      <w:tr>
        <w:trPr/>
        <w:tc>
          <w:tcPr>
            <w:tcW w:w="44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operating lease liabilities</w:t>
            </w:r>
          </w:p>
        </w:tc>
        <w:tc>
          <w:tcPr>
            <w:tcW w:w="326" w:type="dxa"/>
            <w:tcBorders/>
            <w:shd w:fill="CCEEFF" w:val="clear"/>
            <w:vAlign w:val="center"/>
          </w:tcPr>
          <w:p>
            <w:pPr>
              <w:pStyle w:val="TableContents"/>
              <w:spacing w:before="0" w:after="1"/>
              <w:ind w:left="0" w:right="0" w:hanging="0"/>
              <w:rPr/>
            </w:pPr>
            <w:r>
              <w:rPr/>
              <w:t>​</w:t>
            </w:r>
          </w:p>
        </w:tc>
        <w:tc>
          <w:tcPr>
            <w:tcW w:w="214"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82,226</w:t>
            </w:r>
          </w:p>
        </w:tc>
        <w:tc>
          <w:tcPr>
            <w:tcW w:w="326" w:type="dxa"/>
            <w:tcBorders/>
            <w:shd w:fill="CCEEFF" w:val="clear"/>
            <w:vAlign w:val="center"/>
          </w:tcPr>
          <w:p>
            <w:pPr>
              <w:pStyle w:val="TableContents"/>
              <w:spacing w:before="0" w:after="1"/>
              <w:ind w:left="0" w:right="0" w:hanging="0"/>
              <w:rPr/>
            </w:pPr>
            <w:r>
              <w:rPr/>
              <w:t>​</w:t>
            </w:r>
          </w:p>
        </w:tc>
        <w:tc>
          <w:tcPr>
            <w:tcW w:w="248"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shd w:fill="CCEEFF" w:val="clear"/>
            <w:tcMar>
              <w:bottom w:w="28" w:type="dxa"/>
            </w:tcMar>
            <w:vAlign w:val="center"/>
          </w:tcPr>
          <w:p>
            <w:pPr>
              <w:pStyle w:val="TableContents"/>
              <w:spacing w:before="0" w:after="1"/>
              <w:ind w:left="0" w:right="72" w:hanging="0"/>
              <w:jc w:val="right"/>
              <w:rPr>
                <w:rFonts w:ascii="Times New Roman;Times;serif" w:hAnsi="Times New Roman;Times;serif"/>
                <w:sz w:val="20"/>
              </w:rPr>
            </w:pPr>
            <w:r>
              <w:rPr>
                <w:rFonts w:ascii="Times New Roman;Times;serif" w:hAnsi="Times New Roman;Times;serif"/>
                <w:sz w:val="20"/>
              </w:rPr>
              <w:t>84,446</w:t>
            </w:r>
          </w:p>
        </w:tc>
      </w:tr>
    </w:tbl>
    <w:p>
      <w:pPr>
        <w:pStyle w:val="TextBody"/>
        <w:spacing w:before="0" w:after="200"/>
        <w:ind w:left="0" w:right="0" w:hanging="0"/>
        <w:rPr/>
      </w:pPr>
      <w:r>
        <w:rPr/>
        <w:t>​</w:t>
      </w:r>
    </w:p>
    <w:p>
      <w:pPr>
        <w:pStyle w:val="TextBody"/>
        <w:spacing w:before="0" w:after="0"/>
        <w:ind w:left="0" w:right="0" w:firstLine="547"/>
        <w:rPr>
          <w:rFonts w:ascii="Times New Roman;Times;serif" w:hAnsi="Times New Roman;Times;serif"/>
          <w:sz w:val="20"/>
        </w:rPr>
      </w:pPr>
      <w:r>
        <w:rPr>
          <w:rFonts w:ascii="Times New Roman;Times;serif" w:hAnsi="Times New Roman;Times;serif"/>
          <w:sz w:val="20"/>
        </w:rPr>
        <w:t>The following table summarizes components of lease expenses, which were included in Total costs and expenses in the Company’s Condensed Consolidated Statements of Operations, and other information related to its operating leases as follows (in thousands except weighted-average remaining lease terms and discount rates):</w:t>
      </w:r>
    </w:p>
    <w:p>
      <w:pPr>
        <w:pStyle w:val="TextBody"/>
        <w:spacing w:before="0" w:after="200"/>
        <w:ind w:left="0" w:right="0" w:firstLine="547"/>
        <w:rPr/>
      </w:pPr>
      <w:r>
        <w:rPr/>
        <w:t>​</w:t>
      </w:r>
    </w:p>
    <w:tbl>
      <w:tblPr>
        <w:tblW w:w="10205" w:type="dxa"/>
        <w:jc w:val="left"/>
        <w:tblInd w:w="0" w:type="dxa"/>
        <w:tblCellMar>
          <w:top w:w="0" w:type="dxa"/>
          <w:left w:w="0" w:type="dxa"/>
          <w:bottom w:w="0" w:type="dxa"/>
          <w:right w:w="0" w:type="dxa"/>
        </w:tblCellMar>
      </w:tblPr>
      <w:tblGrid>
        <w:gridCol w:w="7788"/>
        <w:gridCol w:w="326"/>
        <w:gridCol w:w="211"/>
        <w:gridCol w:w="571"/>
        <w:gridCol w:w="241"/>
        <w:gridCol w:w="211"/>
        <w:gridCol w:w="571"/>
        <w:gridCol w:w="286"/>
      </w:tblGrid>
      <w:tr>
        <w:trPr/>
        <w:tc>
          <w:tcPr>
            <w:tcW w:w="77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945380" cy="175260"/>
                      <wp:effectExtent l="0" t="0" r="0" b="0"/>
                      <wp:wrapNone/>
                      <wp:docPr id="141" name="Frame141"/>
                      <a:graphic xmlns:a="http://schemas.openxmlformats.org/drawingml/2006/main">
                        <a:graphicData uri="http://schemas.microsoft.com/office/word/2010/wordprocessingShape">
                          <wps:wsp>
                            <wps:cNvSpPr txBox="1"/>
                            <wps:spPr>
                              <a:xfrm>
                                <a:off x="0" y="0"/>
                                <a:ext cx="49453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2" name="Frame1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3985" cy="175260"/>
                      <wp:effectExtent l="0" t="0" r="0" b="0"/>
                      <wp:wrapNone/>
                      <wp:docPr id="143" name="Frame14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362585" cy="175260"/>
                      <wp:effectExtent l="0" t="0" r="0" b="0"/>
                      <wp:wrapNone/>
                      <wp:docPr id="144" name="Frame144"/>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53035" cy="175260"/>
                      <wp:effectExtent l="0" t="0" r="0" b="0"/>
                      <wp:wrapNone/>
                      <wp:docPr id="145" name="Frame145"/>
                      <a:graphic xmlns:a="http://schemas.openxmlformats.org/drawingml/2006/main">
                        <a:graphicData uri="http://schemas.microsoft.com/office/word/2010/wordprocessingShape">
                          <wps:wsp>
                            <wps:cNvSpPr txBox="1"/>
                            <wps:spPr>
                              <a:xfrm>
                                <a:off x="0" y="0"/>
                                <a:ext cx="1530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3985" cy="175260"/>
                      <wp:effectExtent l="0" t="0" r="0" b="0"/>
                      <wp:wrapNone/>
                      <wp:docPr id="146" name="Frame14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362585" cy="175260"/>
                      <wp:effectExtent l="0" t="0" r="0" b="0"/>
                      <wp:wrapNone/>
                      <wp:docPr id="147" name="Frame147"/>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81610" cy="175260"/>
                      <wp:effectExtent l="0" t="0" r="0" b="0"/>
                      <wp:wrapNone/>
                      <wp:docPr id="148" name="Frame148"/>
                      <a:graphic xmlns:a="http://schemas.openxmlformats.org/drawingml/2006/main">
                        <a:graphicData uri="http://schemas.microsoft.com/office/word/2010/wordprocessingShape">
                          <wps:wsp>
                            <wps:cNvSpPr txBox="1"/>
                            <wps:spPr>
                              <a:xfrm>
                                <a:off x="0" y="0"/>
                                <a:ext cx="181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7788"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805"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86" w:type="dxa"/>
            <w:tcBorders/>
            <w:shd w:fill="auto" w:val="clear"/>
            <w:vAlign w:val="center"/>
          </w:tcPr>
          <w:p>
            <w:pPr>
              <w:pStyle w:val="TableContents"/>
              <w:spacing w:before="0" w:after="1"/>
              <w:ind w:left="0" w:right="0" w:hanging="0"/>
              <w:jc w:val="center"/>
              <w:rPr/>
            </w:pPr>
            <w:r>
              <w:rPr/>
              <w:t> </w:t>
            </w:r>
          </w:p>
        </w:tc>
      </w:tr>
      <w:tr>
        <w:trPr/>
        <w:tc>
          <w:tcPr>
            <w:tcW w:w="7788"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80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286" w:type="dxa"/>
            <w:tcBorders/>
            <w:shd w:fill="auto" w:val="clear"/>
            <w:vAlign w:val="center"/>
          </w:tcPr>
          <w:p>
            <w:pPr>
              <w:pStyle w:val="TableContents"/>
              <w:spacing w:before="0" w:after="1"/>
              <w:ind w:left="0" w:right="0" w:hanging="0"/>
              <w:jc w:val="center"/>
              <w:rPr/>
            </w:pPr>
            <w:r>
              <w:rPr/>
              <w:t> </w:t>
            </w:r>
          </w:p>
        </w:tc>
      </w:tr>
      <w:tr>
        <w:trPr/>
        <w:tc>
          <w:tcPr>
            <w:tcW w:w="7788"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78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41" w:type="dxa"/>
            <w:tcBorders/>
            <w:shd w:fill="auto" w:val="clear"/>
            <w:vAlign w:val="center"/>
          </w:tcPr>
          <w:p>
            <w:pPr>
              <w:pStyle w:val="TableContents"/>
              <w:spacing w:before="0" w:after="1"/>
              <w:ind w:left="0" w:right="0" w:hanging="0"/>
              <w:rPr/>
            </w:pPr>
            <w:r>
              <w:rPr/>
              <w:t>​</w:t>
            </w:r>
          </w:p>
        </w:tc>
        <w:tc>
          <w:tcPr>
            <w:tcW w:w="78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286" w:type="dxa"/>
            <w:tcBorders/>
            <w:shd w:fill="auto" w:val="clear"/>
            <w:vAlign w:val="center"/>
          </w:tcPr>
          <w:p>
            <w:pPr>
              <w:pStyle w:val="TableContents"/>
              <w:spacing w:before="0" w:after="1"/>
              <w:ind w:left="0" w:right="0" w:hanging="0"/>
              <w:jc w:val="center"/>
              <w:rPr/>
            </w:pPr>
            <w:r>
              <w:rPr/>
              <w:t> </w:t>
            </w:r>
          </w:p>
        </w:tc>
      </w:tr>
      <w:tr>
        <w:trPr/>
        <w:tc>
          <w:tcPr>
            <w:tcW w:w="778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lease cost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4,524</w:t>
            </w:r>
          </w:p>
        </w:tc>
        <w:tc>
          <w:tcPr>
            <w:tcW w:w="241"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4,555</w:t>
            </w:r>
          </w:p>
        </w:tc>
        <w:tc>
          <w:tcPr>
            <w:tcW w:w="286" w:type="dxa"/>
            <w:tcBorders/>
            <w:shd w:fill="CCEEFF" w:val="clear"/>
            <w:vAlign w:val="center"/>
          </w:tcPr>
          <w:p>
            <w:pPr>
              <w:pStyle w:val="TableContents"/>
              <w:spacing w:before="0" w:after="1"/>
              <w:ind w:left="0" w:right="0" w:hanging="0"/>
              <w:rPr/>
            </w:pPr>
            <w:r>
              <w:rPr/>
              <w:t>​</w:t>
            </w:r>
          </w:p>
        </w:tc>
      </w:tr>
      <w:tr>
        <w:trPr/>
        <w:tc>
          <w:tcPr>
            <w:tcW w:w="778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Variable lease cost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1,694</w:t>
            </w:r>
          </w:p>
        </w:tc>
        <w:tc>
          <w:tcPr>
            <w:tcW w:w="241"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980</w:t>
            </w:r>
          </w:p>
        </w:tc>
        <w:tc>
          <w:tcPr>
            <w:tcW w:w="286" w:type="dxa"/>
            <w:tcBorders/>
            <w:shd w:fill="auto" w:val="clear"/>
            <w:vAlign w:val="center"/>
          </w:tcPr>
          <w:p>
            <w:pPr>
              <w:pStyle w:val="TableContents"/>
              <w:spacing w:before="0" w:after="1"/>
              <w:ind w:left="0" w:right="0" w:hanging="0"/>
              <w:rPr/>
            </w:pPr>
            <w:r>
              <w:rPr/>
              <w:t>​</w:t>
            </w:r>
          </w:p>
        </w:tc>
      </w:tr>
      <w:tr>
        <w:trPr/>
        <w:tc>
          <w:tcPr>
            <w:tcW w:w="778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Short-term lease cost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241"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286" w:type="dxa"/>
            <w:tcBorders/>
            <w:shd w:fill="CCEEFF" w:val="clear"/>
            <w:vAlign w:val="center"/>
          </w:tcPr>
          <w:p>
            <w:pPr>
              <w:pStyle w:val="TableContents"/>
              <w:spacing w:before="0" w:after="1"/>
              <w:ind w:left="0" w:right="0" w:hanging="0"/>
              <w:rPr/>
            </w:pPr>
            <w:r>
              <w:rPr/>
              <w:t>​</w:t>
            </w:r>
          </w:p>
        </w:tc>
      </w:tr>
      <w:tr>
        <w:trPr/>
        <w:tc>
          <w:tcPr>
            <w:tcW w:w="778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lease cost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6,263</w:t>
            </w:r>
          </w:p>
        </w:tc>
        <w:tc>
          <w:tcPr>
            <w:tcW w:w="241"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5,577</w:t>
            </w:r>
          </w:p>
        </w:tc>
        <w:tc>
          <w:tcPr>
            <w:tcW w:w="286" w:type="dxa"/>
            <w:tcBorders/>
            <w:shd w:fill="auto" w:val="clear"/>
            <w:vAlign w:val="center"/>
          </w:tcPr>
          <w:p>
            <w:pPr>
              <w:pStyle w:val="TableContents"/>
              <w:spacing w:before="0" w:after="1"/>
              <w:ind w:left="0" w:right="0" w:hanging="0"/>
              <w:rPr/>
            </w:pPr>
            <w:r>
              <w:rPr/>
              <w:t>​</w:t>
            </w:r>
          </w:p>
        </w:tc>
      </w:tr>
      <w:tr>
        <w:trPr/>
        <w:tc>
          <w:tcPr>
            <w:tcW w:w="7788"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color w:val="FF0000"/>
              </w:rPr>
            </w:pPr>
            <w:r>
              <w:rPr>
                <w:color w:val="FF0000"/>
              </w:rPr>
              <w:t>​</w:t>
            </w:r>
          </w:p>
        </w:tc>
        <w:tc>
          <w:tcPr>
            <w:tcW w:w="241"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pPr>
            <w:r>
              <w:rPr/>
              <w:t>​</w:t>
            </w:r>
          </w:p>
        </w:tc>
        <w:tc>
          <w:tcPr>
            <w:tcW w:w="286" w:type="dxa"/>
            <w:tcBorders/>
            <w:shd w:fill="CCEEFF" w:val="clear"/>
            <w:vAlign w:val="center"/>
          </w:tcPr>
          <w:p>
            <w:pPr>
              <w:pStyle w:val="TableContents"/>
              <w:spacing w:before="0" w:after="1"/>
              <w:ind w:left="0" w:right="0" w:hanging="0"/>
              <w:rPr/>
            </w:pPr>
            <w:r>
              <w:rPr/>
              <w:t>​</w:t>
            </w:r>
          </w:p>
        </w:tc>
      </w:tr>
      <w:tr>
        <w:trPr/>
        <w:tc>
          <w:tcPr>
            <w:tcW w:w="7788" w:type="dxa"/>
            <w:tcBorders/>
            <w:shd w:fill="auto" w:val="clear"/>
            <w:vAlign w:val="center"/>
          </w:tcPr>
          <w:p>
            <w:pPr>
              <w:pStyle w:val="TableContents"/>
              <w:spacing w:before="0" w:after="1"/>
              <w:ind w:left="0" w:right="0" w:hanging="0"/>
              <w:rPr>
                <w:rFonts w:ascii="Times New Roman;Times;serif" w:hAnsi="Times New Roman;Times;serif"/>
                <w:i/>
                <w:sz w:val="20"/>
              </w:rPr>
            </w:pPr>
            <w:r>
              <w:rPr>
                <w:rFonts w:ascii="Times New Roman;Times;serif" w:hAnsi="Times New Roman;Times;serif"/>
                <w:i/>
                <w:sz w:val="20"/>
              </w:rPr>
              <w:t>Other information</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color w:val="FF0000"/>
              </w:rPr>
            </w:pPr>
            <w:r>
              <w:rPr>
                <w:color w:val="FF0000"/>
              </w:rPr>
              <w:t>​</w:t>
            </w:r>
          </w:p>
        </w:tc>
        <w:tc>
          <w:tcPr>
            <w:tcW w:w="241"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pPr>
            <w:r>
              <w:rPr/>
              <w:t>​</w:t>
            </w:r>
          </w:p>
        </w:tc>
        <w:tc>
          <w:tcPr>
            <w:tcW w:w="286" w:type="dxa"/>
            <w:tcBorders/>
            <w:shd w:fill="auto" w:val="clear"/>
            <w:vAlign w:val="center"/>
          </w:tcPr>
          <w:p>
            <w:pPr>
              <w:pStyle w:val="TableContents"/>
              <w:spacing w:before="0" w:after="1"/>
              <w:ind w:left="0" w:right="0" w:hanging="0"/>
              <w:rPr/>
            </w:pPr>
            <w:r>
              <w:rPr/>
              <w:t>​</w:t>
            </w:r>
          </w:p>
        </w:tc>
      </w:tr>
      <w:tr>
        <w:trPr/>
        <w:tc>
          <w:tcPr>
            <w:tcW w:w="778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Cash paid for amounts included in the measurement of lease liabilities included in cash flows from operations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4,161</w:t>
            </w:r>
          </w:p>
        </w:tc>
        <w:tc>
          <w:tcPr>
            <w:tcW w:w="241"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3,811</w:t>
            </w:r>
          </w:p>
        </w:tc>
        <w:tc>
          <w:tcPr>
            <w:tcW w:w="286" w:type="dxa"/>
            <w:tcBorders/>
            <w:shd w:fill="CCEEFF" w:val="clear"/>
            <w:vAlign w:val="center"/>
          </w:tcPr>
          <w:p>
            <w:pPr>
              <w:pStyle w:val="TableContents"/>
              <w:spacing w:before="0" w:after="1"/>
              <w:ind w:left="0" w:right="0" w:hanging="0"/>
              <w:rPr/>
            </w:pPr>
            <w:r>
              <w:rPr/>
              <w:t>​</w:t>
            </w:r>
          </w:p>
        </w:tc>
      </w:tr>
      <w:tr>
        <w:trPr/>
        <w:tc>
          <w:tcPr>
            <w:tcW w:w="778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Tenant improvement allowance received for amounts included in the measurement of lease liabilities included in cash flows from operations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auto" w:val="clear"/>
            <w:vAlign w:val="center"/>
          </w:tcPr>
          <w:p>
            <w:pPr>
              <w:pStyle w:val="TableContents"/>
              <w:spacing w:before="0" w:after="1"/>
              <w:ind w:left="0" w:right="0" w:hanging="0"/>
              <w:jc w:val="right"/>
              <w:rPr/>
            </w:pPr>
            <w:r>
              <w:rPr/>
              <w:t>—</w:t>
            </w:r>
          </w:p>
        </w:tc>
        <w:tc>
          <w:tcPr>
            <w:tcW w:w="241"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3,115</w:t>
            </w:r>
          </w:p>
        </w:tc>
        <w:tc>
          <w:tcPr>
            <w:tcW w:w="286" w:type="dxa"/>
            <w:tcBorders/>
            <w:shd w:fill="auto" w:val="clear"/>
            <w:vAlign w:val="center"/>
          </w:tcPr>
          <w:p>
            <w:pPr>
              <w:pStyle w:val="TableContents"/>
              <w:spacing w:before="0" w:after="1"/>
              <w:ind w:left="0" w:right="0" w:hanging="0"/>
              <w:rPr/>
            </w:pPr>
            <w:r>
              <w:rPr/>
              <w:t>​</w:t>
            </w:r>
          </w:p>
        </w:tc>
      </w:tr>
      <w:tr>
        <w:trPr/>
        <w:tc>
          <w:tcPr>
            <w:tcW w:w="778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Increase in right-of-use assets from lease modifications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349</w:t>
            </w:r>
          </w:p>
        </w:tc>
        <w:tc>
          <w:tcPr>
            <w:tcW w:w="241"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7,673</w:t>
            </w:r>
          </w:p>
        </w:tc>
        <w:tc>
          <w:tcPr>
            <w:tcW w:w="286" w:type="dxa"/>
            <w:tcBorders/>
            <w:shd w:fill="CCEEFF" w:val="clear"/>
            <w:vAlign w:val="center"/>
          </w:tcPr>
          <w:p>
            <w:pPr>
              <w:pStyle w:val="TableContents"/>
              <w:spacing w:before="0" w:after="1"/>
              <w:ind w:left="0" w:right="0" w:hanging="0"/>
              <w:rPr/>
            </w:pPr>
            <w:r>
              <w:rPr/>
              <w:t>​</w:t>
            </w:r>
          </w:p>
        </w:tc>
      </w:tr>
      <w:tr>
        <w:trPr/>
        <w:tc>
          <w:tcPr>
            <w:tcW w:w="778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Weighted-average remaining lease terms (years)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12.90</w:t>
            </w:r>
          </w:p>
        </w:tc>
        <w:tc>
          <w:tcPr>
            <w:tcW w:w="241"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14.13</w:t>
            </w:r>
          </w:p>
        </w:tc>
        <w:tc>
          <w:tcPr>
            <w:tcW w:w="286" w:type="dxa"/>
            <w:tcBorders/>
            <w:shd w:fill="auto" w:val="clear"/>
            <w:vAlign w:val="center"/>
          </w:tcPr>
          <w:p>
            <w:pPr>
              <w:pStyle w:val="TableContents"/>
              <w:spacing w:before="0" w:after="1"/>
              <w:ind w:left="0" w:right="0" w:hanging="0"/>
              <w:rPr/>
            </w:pPr>
            <w:r>
              <w:rPr/>
              <w:t>​</w:t>
            </w:r>
          </w:p>
        </w:tc>
      </w:tr>
      <w:tr>
        <w:trPr/>
        <w:tc>
          <w:tcPr>
            <w:tcW w:w="778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Weighted-average discount rates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241" w:type="dxa"/>
            <w:tcBorders/>
            <w:shd w:fill="CCEEFF" w:val="clear"/>
            <w:vAlign w:val="center"/>
          </w:tcPr>
          <w:p>
            <w:pPr>
              <w:pStyle w:val="TableContents"/>
              <w:spacing w:before="0" w:after="1"/>
              <w:ind w:left="0" w:right="0" w:hanging="0"/>
              <w:rPr>
                <w:rFonts w:ascii="Calibri;Helvetica;sans-serif" w:hAnsi="Calibri;Helvetica;sans-serif"/>
                <w:sz w:val="20"/>
              </w:rPr>
            </w:pPr>
            <w:r>
              <w:rPr>
                <w:rFonts w:ascii="Calibri;Helvetica;sans-serif" w:hAnsi="Calibri;Helvetica;sans-serif"/>
                <w:sz w:val="20"/>
              </w:rPr>
              <w:t>%</w:t>
            </w:r>
          </w:p>
        </w:tc>
        <w:tc>
          <w:tcPr>
            <w:tcW w:w="211"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c>
          <w:tcPr>
            <w:tcW w:w="286" w:type="dxa"/>
            <w:tcBorders/>
            <w:shd w:fill="CCEEFF" w:val="clear"/>
            <w:vAlign w:val="center"/>
          </w:tcPr>
          <w:p>
            <w:pPr>
              <w:pStyle w:val="TableContents"/>
              <w:spacing w:before="0" w:after="1"/>
              <w:ind w:left="0" w:right="0" w:hanging="0"/>
              <w:rPr>
                <w:rFonts w:ascii="Calibri;Helvetica;sans-serif" w:hAnsi="Calibri;Helvetica;sans-serif"/>
                <w:sz w:val="20"/>
              </w:rPr>
            </w:pPr>
            <w:r>
              <w:rPr>
                <w:rFonts w:ascii="Calibri;Helvetica;sans-serif" w:hAnsi="Calibri;Helvetica;sans-serif"/>
                <w:sz w:val="20"/>
              </w:rPr>
              <w:t>%</w:t>
            </w:r>
          </w:p>
        </w:tc>
      </w:tr>
    </w:tbl>
    <w:p>
      <w:pPr>
        <w:pStyle w:val="TextBody"/>
        <w:spacing w:before="0" w:after="200"/>
        <w:ind w:left="0" w:right="0" w:hanging="0"/>
        <w:rPr/>
      </w:pPr>
      <w:r>
        <w:rPr/>
        <w:t>​</w:t>
      </w:r>
    </w:p>
    <w:p>
      <w:pPr>
        <w:pStyle w:val="TextBody"/>
        <w:spacing w:before="0" w:after="0"/>
        <w:ind w:left="0" w:right="0" w:firstLine="547"/>
        <w:rPr>
          <w:rFonts w:ascii="Times New Roman;Times;serif" w:hAnsi="Times New Roman;Times;serif"/>
          <w:sz w:val="20"/>
        </w:rPr>
      </w:pPr>
      <w:r>
        <w:rPr>
          <w:rFonts w:ascii="Times New Roman;Times;serif" w:hAnsi="Times New Roman;Times;serif"/>
          <w:sz w:val="20"/>
        </w:rPr>
        <w:t>As of March 31, 2023, the maturities of the Company’s operating lease liabilities were as follows (in thousands):</w:t>
      </w:r>
    </w:p>
    <w:p>
      <w:pPr>
        <w:pStyle w:val="TextBody"/>
        <w:spacing w:before="0" w:after="0"/>
        <w:ind w:left="0" w:right="0" w:hanging="0"/>
        <w:rPr/>
      </w:pPr>
      <w:r>
        <w:rPr/>
        <w:t>​</w:t>
      </w:r>
    </w:p>
    <w:tbl>
      <w:tblPr>
        <w:tblW w:w="6318" w:type="dxa"/>
        <w:jc w:val="left"/>
        <w:tblInd w:w="0" w:type="dxa"/>
        <w:tblCellMar>
          <w:top w:w="0" w:type="dxa"/>
          <w:left w:w="0" w:type="dxa"/>
          <w:bottom w:w="0" w:type="dxa"/>
          <w:right w:w="0" w:type="dxa"/>
        </w:tblCellMar>
      </w:tblPr>
      <w:tblGrid>
        <w:gridCol w:w="2611"/>
        <w:gridCol w:w="109"/>
        <w:gridCol w:w="211"/>
        <w:gridCol w:w="796"/>
        <w:gridCol w:w="326"/>
        <w:gridCol w:w="211"/>
        <w:gridCol w:w="676"/>
        <w:gridCol w:w="326"/>
        <w:gridCol w:w="211"/>
        <w:gridCol w:w="841"/>
      </w:tblGrid>
      <w:tr>
        <w:trPr/>
        <w:tc>
          <w:tcPr>
            <w:tcW w:w="26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657985" cy="175260"/>
                      <wp:effectExtent l="0" t="0" r="0" b="0"/>
                      <wp:wrapNone/>
                      <wp:docPr id="149" name="Frame149"/>
                      <a:graphic xmlns:a="http://schemas.openxmlformats.org/drawingml/2006/main">
                        <a:graphicData uri="http://schemas.microsoft.com/office/word/2010/wordprocessingShape">
                          <wps:wsp>
                            <wps:cNvSpPr txBox="1"/>
                            <wps:spPr>
                              <a:xfrm>
                                <a:off x="0" y="0"/>
                                <a:ext cx="1657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9215" cy="175260"/>
                      <wp:effectExtent l="0" t="0" r="0" b="0"/>
                      <wp:wrapNone/>
                      <wp:docPr id="150" name="Frame15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33985" cy="175260"/>
                      <wp:effectExtent l="0" t="0" r="0" b="0"/>
                      <wp:wrapNone/>
                      <wp:docPr id="151" name="Frame15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505460" cy="175260"/>
                      <wp:effectExtent l="0" t="0" r="0" b="0"/>
                      <wp:wrapNone/>
                      <wp:docPr id="152" name="Frame152"/>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3" name="Frame1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33985" cy="175260"/>
                      <wp:effectExtent l="0" t="0" r="0" b="0"/>
                      <wp:wrapNone/>
                      <wp:docPr id="154" name="Frame15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429260" cy="175260"/>
                      <wp:effectExtent l="0" t="0" r="0" b="0"/>
                      <wp:wrapNone/>
                      <wp:docPr id="155" name="Frame155"/>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56" name="Frame15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33985" cy="175260"/>
                      <wp:effectExtent l="0" t="0" r="0" b="0"/>
                      <wp:wrapNone/>
                      <wp:docPr id="157" name="Frame15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534035" cy="175260"/>
                      <wp:effectExtent l="0" t="0" r="0" b="0"/>
                      <wp:wrapNone/>
                      <wp:docPr id="158" name="Frame158"/>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61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7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88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CMO</w:t>
            </w:r>
          </w:p>
        </w:tc>
        <w:tc>
          <w:tcPr>
            <w:tcW w:w="326" w:type="dxa"/>
            <w:tcBorders/>
            <w:shd w:fill="auto" w:val="clear"/>
            <w:vAlign w:val="center"/>
          </w:tcPr>
          <w:p>
            <w:pPr>
              <w:pStyle w:val="TableContents"/>
              <w:spacing w:before="0" w:after="1"/>
              <w:ind w:left="0" w:right="0" w:hanging="0"/>
              <w:jc w:val="center"/>
              <w:rPr/>
            </w:pPr>
            <w:r>
              <w:rPr/>
              <w:t>    </w:t>
            </w:r>
          </w:p>
        </w:tc>
        <w:tc>
          <w:tcPr>
            <w:tcW w:w="211" w:type="dxa"/>
            <w:tcBorders/>
            <w:shd w:fill="auto" w:val="clear"/>
            <w:vAlign w:val="center"/>
          </w:tcPr>
          <w:p>
            <w:pPr>
              <w:pStyle w:val="TableContents"/>
              <w:spacing w:before="0" w:after="1"/>
              <w:ind w:left="0" w:right="0" w:hanging="0"/>
              <w:jc w:val="center"/>
              <w:rPr/>
            </w:pPr>
            <w:r>
              <w:rPr/>
              <w:t>​</w:t>
            </w:r>
          </w:p>
        </w:tc>
        <w:tc>
          <w:tcPr>
            <w:tcW w:w="841" w:type="dxa"/>
            <w:tcBorders/>
            <w:shd w:fill="auto" w:val="clear"/>
            <w:vAlign w:val="center"/>
          </w:tcPr>
          <w:p>
            <w:pPr>
              <w:pStyle w:val="TableContents"/>
              <w:spacing w:before="0" w:after="1"/>
              <w:ind w:left="0" w:right="0" w:hanging="0"/>
              <w:jc w:val="center"/>
              <w:rPr/>
            </w:pPr>
            <w:r>
              <w:rPr/>
              <w:t>​</w:t>
            </w:r>
          </w:p>
        </w:tc>
      </w:tr>
      <w:tr>
        <w:trPr/>
        <w:tc>
          <w:tcPr>
            <w:tcW w:w="261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100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Facility</w:t>
            </w:r>
          </w:p>
        </w:tc>
        <w:tc>
          <w:tcPr>
            <w:tcW w:w="326" w:type="dxa"/>
            <w:tcBorders/>
            <w:shd w:fill="auto" w:val="clear"/>
            <w:vAlign w:val="center"/>
          </w:tcPr>
          <w:p>
            <w:pPr>
              <w:pStyle w:val="TableContents"/>
              <w:spacing w:before="0" w:after="1"/>
              <w:ind w:left="0" w:right="0" w:hanging="0"/>
              <w:rPr/>
            </w:pPr>
            <w:r>
              <w:rPr/>
              <w:t>​</w:t>
            </w:r>
          </w:p>
        </w:tc>
        <w:tc>
          <w:tcPr>
            <w:tcW w:w="88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embedded</w:t>
            </w:r>
          </w:p>
        </w:tc>
        <w:tc>
          <w:tcPr>
            <w:tcW w:w="326"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841" w:type="dxa"/>
            <w:tcBorders/>
            <w:shd w:fill="auto" w:val="clear"/>
            <w:vAlign w:val="center"/>
          </w:tcPr>
          <w:p>
            <w:pPr>
              <w:pStyle w:val="TableContents"/>
              <w:spacing w:before="0" w:after="1"/>
              <w:ind w:left="0" w:right="0" w:hanging="0"/>
              <w:jc w:val="center"/>
              <w:rPr/>
            </w:pPr>
            <w:r>
              <w:rPr/>
              <w:t>​</w:t>
            </w:r>
          </w:p>
        </w:tc>
      </w:tr>
      <w:tr>
        <w:trPr/>
        <w:tc>
          <w:tcPr>
            <w:tcW w:w="261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 xml:space="preserve">Year Ending December 31, </w:t>
            </w:r>
          </w:p>
        </w:tc>
        <w:tc>
          <w:tcPr>
            <w:tcW w:w="109" w:type="dxa"/>
            <w:tcBorders/>
            <w:shd w:fill="auto" w:val="clear"/>
            <w:vAlign w:val="center"/>
          </w:tcPr>
          <w:p>
            <w:pPr>
              <w:pStyle w:val="TableContents"/>
              <w:spacing w:before="0" w:after="1"/>
              <w:ind w:left="0" w:right="0" w:hanging="0"/>
              <w:jc w:val="center"/>
              <w:rPr/>
            </w:pPr>
            <w:r>
              <w:rPr/>
              <w:t>​</w:t>
            </w:r>
          </w:p>
        </w:tc>
        <w:tc>
          <w:tcPr>
            <w:tcW w:w="100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26" w:type="dxa"/>
            <w:tcBorders/>
            <w:shd w:fill="auto" w:val="clear"/>
            <w:vAlign w:val="center"/>
          </w:tcPr>
          <w:p>
            <w:pPr>
              <w:pStyle w:val="TableContents"/>
              <w:spacing w:before="0" w:after="1"/>
              <w:ind w:left="0" w:right="0" w:hanging="0"/>
              <w:jc w:val="center"/>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26" w:type="dxa"/>
            <w:tcBorders/>
            <w:shd w:fill="auto" w:val="clear"/>
            <w:vAlign w:val="center"/>
          </w:tcPr>
          <w:p>
            <w:pPr>
              <w:pStyle w:val="TableContents"/>
              <w:spacing w:before="0" w:after="1"/>
              <w:ind w:left="0" w:right="0" w:hanging="0"/>
              <w:jc w:val="center"/>
              <w:rPr/>
            </w:pPr>
            <w:r>
              <w:rPr/>
              <w:t>    </w:t>
            </w:r>
          </w:p>
        </w:tc>
        <w:tc>
          <w:tcPr>
            <w:tcW w:w="105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6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Remainder of 2023</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6,183</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7,888</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14,071</w:t>
            </w:r>
          </w:p>
        </w:tc>
      </w:tr>
      <w:tr>
        <w:trPr/>
        <w:tc>
          <w:tcPr>
            <w:tcW w:w="26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2024</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8,424</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2,181</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10,605</w:t>
            </w:r>
          </w:p>
        </w:tc>
      </w:tr>
      <w:tr>
        <w:trPr/>
        <w:tc>
          <w:tcPr>
            <w:tcW w:w="26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2025</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8,240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8,240</w:t>
            </w:r>
          </w:p>
        </w:tc>
      </w:tr>
      <w:tr>
        <w:trPr/>
        <w:tc>
          <w:tcPr>
            <w:tcW w:w="26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2026</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7,989</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7,989</w:t>
            </w:r>
          </w:p>
        </w:tc>
      </w:tr>
      <w:tr>
        <w:trPr/>
        <w:tc>
          <w:tcPr>
            <w:tcW w:w="26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2027</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8,186</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8,186</w:t>
            </w:r>
          </w:p>
        </w:tc>
      </w:tr>
      <w:tr>
        <w:trPr/>
        <w:tc>
          <w:tcPr>
            <w:tcW w:w="26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Thereafter</w:t>
            </w:r>
          </w:p>
        </w:tc>
        <w:tc>
          <w:tcPr>
            <w:tcW w:w="109"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83,827</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83,827</w:t>
            </w:r>
          </w:p>
        </w:tc>
      </w:tr>
      <w:tr>
        <w:trPr/>
        <w:tc>
          <w:tcPr>
            <w:tcW w:w="26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lease payments</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122,849</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10,069</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132,918</w:t>
            </w:r>
          </w:p>
        </w:tc>
      </w:tr>
      <w:tr>
        <w:trPr/>
        <w:tc>
          <w:tcPr>
            <w:tcW w:w="26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Less: Present value adjustment</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(50,140)</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(552)</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(50,692)</w:t>
            </w:r>
          </w:p>
        </w:tc>
      </w:tr>
      <w:tr>
        <w:trPr/>
        <w:tc>
          <w:tcPr>
            <w:tcW w:w="26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lease liabilities</w:t>
            </w:r>
          </w:p>
        </w:tc>
        <w:tc>
          <w:tcPr>
            <w:tcW w:w="109"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72,709</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9,517</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spacing w:before="0" w:after="1"/>
              <w:ind w:left="0" w:right="72" w:hanging="0"/>
              <w:jc w:val="right"/>
              <w:rPr>
                <w:rFonts w:ascii="Times New Roman;Times;serif" w:hAnsi="Times New Roman;Times;serif"/>
                <w:sz w:val="20"/>
              </w:rPr>
            </w:pPr>
            <w:r>
              <w:rPr>
                <w:rFonts w:ascii="Times New Roman;Times;serif" w:hAnsi="Times New Roman;Times;serif"/>
                <w:sz w:val="20"/>
              </w:rPr>
              <w:t>82,226</w:t>
            </w:r>
          </w:p>
        </w:tc>
      </w:tr>
    </w:tbl>
    <w:p>
      <w:pPr>
        <w:pStyle w:val="TextBody"/>
        <w:spacing w:before="0" w:after="200"/>
        <w:ind w:left="0" w:right="0" w:firstLine="547"/>
        <w:rPr/>
      </w:pPr>
      <w:r>
        <w:rPr/>
        <w:t>​</w:t>
      </w:r>
    </w:p>
    <w:p>
      <w:pPr>
        <w:pStyle w:val="TextBody"/>
        <w:spacing w:before="0" w:after="200"/>
        <w:ind w:left="0" w:right="0" w:firstLine="547"/>
        <w:rPr/>
      </w:pPr>
      <w:r>
        <w:rPr/>
        <w:t>​</w:t>
      </w:r>
    </w:p>
    <w:p>
      <w:pPr>
        <w:pStyle w:val="TextBody"/>
        <w:spacing w:before="0" w:after="200"/>
        <w:ind w:left="0" w:right="0" w:firstLine="547"/>
        <w:rPr/>
      </w:pPr>
      <w:r>
        <w:rPr/>
        <w:t>​</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NOTE 9. LEGAL PROCEEDINGS</w:t>
      </w:r>
    </w:p>
    <w:p>
      <w:pPr>
        <w:pStyle w:val="TextBody"/>
        <w:spacing w:before="0" w:after="0"/>
        <w:ind w:left="0" w:right="0" w:firstLine="547"/>
        <w:rPr>
          <w:rFonts w:ascii="Times New Roman;Times;serif" w:hAnsi="Times New Roman;Times;serif"/>
          <w:sz w:val="20"/>
        </w:rPr>
      </w:pPr>
      <w:r>
        <w:rPr>
          <w:rFonts w:ascii="Times New Roman;Times;serif" w:hAnsi="Times New Roman;Times;serif"/>
          <w:sz w:val="20"/>
        </w:rPr>
        <w:t xml:space="preserve">Derivative Lawsuit. On December 11, 2020, a purported stockholder derivative complaint was filed by plaintiff Leo Shumacher against the Company, as nominal defendant, and then current directors, as defendants, in the Court of Chancery in the State of Delaware (the “Court”). The complaint alleges breach of fiduciary duty and a claim for unjust enrichment in connection with alleged excessive compensation of certain non-executive directors of the Company and seeks unspecified damages on behalf of the Company. The parties have agreed to a proposed settlement, which was submitted to the Court on June 15, 2022. After a hearing on November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17, 2022, the Court required the parties to take additional steps before it would approve the settlement. The Company, as nominal defendant, and its current directors, as defendants, answered the complaint on February 3, 2023.</w:t>
      </w:r>
    </w:p>
    <w:p>
      <w:pPr>
        <w:pStyle w:val="TextBody"/>
        <w:spacing w:before="0" w:after="0"/>
        <w:ind w:left="0" w:right="0" w:hanging="0"/>
        <w:rPr/>
      </w:pPr>
      <w:r>
        <w:rPr/>
        <w:t>​</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Solomon Capital, LLC. On April 8, 2016, a lawsuit (“the First Solomon Suit”) titled </w:t>
      </w:r>
      <w:r>
        <w:rPr>
          <w:rFonts w:ascii="Times New Roman;Times;serif" w:hAnsi="Times New Roman;Times;serif"/>
          <w:i/>
          <w:sz w:val="20"/>
        </w:rPr>
        <w:t>Solomon Capital, LLC, Solomon Capital 401(K) Trust, Solomon Sharbat and Shelhav Raff v. Lion Biotechnologies, Inc.</w:t>
      </w:r>
      <w:r>
        <w:rPr>
          <w:rFonts w:ascii="Times New Roman;Times;serif" w:hAnsi="Times New Roman;Times;serif"/>
          <w:sz w:val="20"/>
        </w:rPr>
        <w:t xml:space="preserve"> was filed by Solomon Capital, LLC, Solomon Capital 401(k) Trust, Solomon Sharbat and Shelhav Raff (“Solomon Plaintiffs”) against the Company in the Supreme Court of the State of New York, County of New York (index no. 651881/2016). The Solomon Plaintiffs allege that, between June and November 2012, they provided the Company $0.1 million and that they advanced and paid on behalf of the Company an additional $0.2 million. </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 xml:space="preserve">The complaint further alleges that the Company agreed to (i) provide them with promissory notes totaling $0.2 million, plus interest, (ii) issue a total of 1,110 shares to the Solomon Plaintiffs (after the </w:t>
      </w:r>
      <w:r>
        <w:rPr>
          <w:rFonts w:ascii="Times New Roman;Times;serif" w:hAnsi="Times New Roman;Times;serif"/>
          <w:b w:val="false"/>
          <w:i w:val="false"/>
          <w:caps w:val="false"/>
          <w:smallCaps w:val="false"/>
          <w:sz w:val="20"/>
        </w:rPr>
        <w:t>1-for-100</w:t>
      </w:r>
      <w:r>
        <w:rPr>
          <w:rFonts w:ascii="Times New Roman;Times;serif" w:hAnsi="Times New Roman;Times;serif"/>
          <w:sz w:val="20"/>
        </w:rPr>
        <w:t xml:space="preserve"> reverse split of the Company’s common stock effected in March 2013) (the “Equity Claim”), and (iii) allow the Solomon Plaintiffs to convert the foregoing funds into its securities in the next financing of the Company on the same terms offered to other investors, which Solomon Plaintiffs allege, should have given them the right to convert their advances and payments into shares of the Company's common stock in the restructuring that took effect in May 2013. Based on the foregoing, the Solomon Plaintiffs allege causes for breach of contract and unjust enrichment and demand judgment against the Company in an unspecified amount exceeding $1.5 million, plus interest. On June 3, 2016, the Company filed an answer and counterclaims in the lawsuits. The Company has asserted counterclaims for fraudulent inducement, fraudulent misrepresentation, fraudulent concealment, breach of fiduciary duty, and breach of contract, alleging principally that the counterclaim defendants misrepresented their qualifications and failed to disclose that Solomon Sharbat was the subject of an investigation by the Financial Industry Regulatory Authority (“FINRA”) that resulted in the loss of his FINRA license.</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In its counterclaims, the Company is seeking damages in an amount exceeding $0.5 million and an order rescinding any and all agreements that the Solomon Plaintiffs contend entitled them to obtain shares of Company stock. On May 12, 2020, the court granted the Company’s motion for summary judgment limiting the Solomon Plaintiffs’ damages for the Equity Claim to less than $0.1 million. The Solomon Plaintiffs filed a notice of appeal of this summary judgment on June 9, 2020. On July 2, 2020, the court granted the Company’s motion to dismiss the First Solomon Suit for want of prosecution. On January 4, 2021, the court granted the Solomon Plaintiffs motion for reconsideration, and reinstituted the case. On January 15, 2021, the Company filed a notice of appeal of the court’s grant of the Solomon Plaintiffs motion for reconsideration. On May 11, 2021, the Appellate Division upheld the court’s grant of the Solomon Plaintiffs’ motion for reconsideration of the dismissal of the First Solomon Suit for want of prosecution. On October 14, 2021, the Appellate Division upheld the court’s grant of the Company’s motion for summary judgment limiting the Solomon Plaintiffs’ damages for the Equity Claim to less than $0.1 million.</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On September 27, 2019, the Solomon Plaintiffs filed a new lawsuit (through new legal counsel) (“the Second Solomon Suit”) titled Solomon Capital, LLC, Solomon Capital 401(K) Trust, Solomon Sharbat and Shelhav Raff v. Iovance Biotherapeutics, Inc., f/k/a/ Lion Biotechnologies Inc. f/k/a/ Genesis Biopharma Inc., and Manish Singh in the Supreme Court of the State of New York, County of New York (index no. 655668/2019). In the Second Solomon Suit, the Solomon Plaintiffs allege that they are third party beneficiaries of a “finder’s fee agreement” that prior management entered into with a third party unlicensed entity in 2012 in connection with seeking financing, that an agreement or understanding existed between the Company and the plaintiffs that the plaintiffs would be paid fees and commissions (in cash and stock) if they obtained financing for the Company, and that they directly and indirectly introduced investors to the Company who invested in the Company, or were willing to invest in the Company. Finally, the Solomon Plaintiffs allege that they were promised a license to use the Company’s technology in Israel. The plaintiffs claim that the Company breached the foregoing understandings, promises and agreements and, as a result, they are entitled to certain damages. The Solomon Plaintiffs also allege that Manish Singh, the Company’s former Chief Executive Officer, committed fraud and took shares belonging to them. On February 18, 2020, the Company filed a removal petition and removed the Second Solomon Suit to the U.S. District Court for the Southern District of New York, where the case has been assigned case no. 1:20-cv-1391. On May 22, 2020, the Company moved to dismiss the Second Solomon Suit for lack of personal jurisdiction. On March 26, 2021, the Court denied the Company’s motion to dismiss for lack of personal jurisdiction. The Company filed a response to the complaint in the Second Solomon Suit on April 30, 2021. On May 26, 2021, the Company and Singh filed motions for judgment on the pleadings with respect to the second and third claims asserted against the Company and all claims asserted against Singh, respectively, in the Second Solomon Suit. On January 5, 2022, the Court granted the Company’s motions for judgement on the pleadings, dismissing the second and third claims against the Company and dismissing all claims against Singh. On January 4, 2023, the Court granted in part the Company’s motion for sanctions against Plaintiffs for violating Rule 11 of the Federal Rules of Civil Procedure, in a decision and order that dismissed Plaintiffs’ first claim against the Company, denied Plaintiffs’ motion for leave to amend the complaint, and ordered Plaintiffs to pay the Company’s attorneys’ fees incurred in connection with the Rule 11 motion. Following the Court’s decision and order on the Rule 11 motion, only Plaintiffs’ fifth and sixth claims, for unjust enrichment and indemnification, respectively, remain pending against the Company.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The Company intends to vigorously defend these complaints and pursue its counterclaims, as applicable. At the current stage of the litigation, in both the First Solomon Suit and the Second Solomon Suit, it is not possible to estimate the amount or range of possible loss that might result from an adverse judgment or a settlement of these matters.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The Company may be involved, from time to time, in legal proceedings and claims arising in the ordinary course of its business. Such matters are subject to many uncertainties and outcomes are not predictable with assurance. The Company accrues amounts, to the extent they can be reasonably estimated, that it believes are adequate to address any liabilities related to legal proceedings and other loss contingencies that it believes will result in a probable loss. While there can be no assurances as to the ultimate outcome of any legal proceeding or other loss contingency involving the Company, management does not believe any pending matter will be resolved in a manner that would have a material adverse effect on its financial position, results of operations or cash flows.</w:t>
      </w:r>
    </w:p>
    <w:p>
      <w:pPr>
        <w:pStyle w:val="TextBody"/>
        <w:spacing w:before="0" w:after="200"/>
        <w:ind w:left="0" w:right="0" w:firstLine="547"/>
        <w:rPr/>
      </w:pPr>
      <w:r>
        <w:rPr/>
        <w:t>​</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NOTE 10. INCOME TAXES</w:t>
      </w:r>
    </w:p>
    <w:p>
      <w:pPr>
        <w:pStyle w:val="TextBody"/>
        <w:spacing w:before="0" w:after="0"/>
        <w:ind w:left="0" w:right="0" w:firstLine="547"/>
        <w:rPr>
          <w:rFonts w:ascii="Times New Roman;Times;serif" w:hAnsi="Times New Roman;Times;serif"/>
          <w:sz w:val="20"/>
        </w:rPr>
      </w:pPr>
      <w:r>
        <w:rPr>
          <w:rFonts w:ascii="Times New Roman;Times;serif" w:hAnsi="Times New Roman;Times;serif"/>
          <w:sz w:val="20"/>
        </w:rPr>
        <w:t>The Company did not record income tax expense for the three months ended March 31, 2023 and 2022, respectively as the Company expected to be in a cumulative taxable loss position in 2023 and 2022, and the net deferred tax assets are fully offset by a valuation allowance as it is not more likely than not that the benefit will be realized.</w:t>
      </w:r>
      <w:r>
        <w:rPr>
          <w:rFonts w:ascii="Times New Roman;Times;serif" w:hAnsi="Times New Roman;Times;serif"/>
          <w:sz w:val="20"/>
          <w:highlight w:val="white"/>
        </w:rPr>
        <w:t xml:space="preserve">  As of March 31, 2023, the Company remains in a cumulative book loss position and does not have sufficient positive evidence to realize its net deferred tax assets. As such, the Company continues to maintain a full valuation allowance against its net deferred tax assets.</w:t>
      </w:r>
    </w:p>
    <w:p>
      <w:pPr>
        <w:pStyle w:val="TextBody"/>
        <w:spacing w:before="0" w:after="200"/>
        <w:ind w:left="0" w:right="0" w:firstLine="547"/>
        <w:rPr/>
      </w:pPr>
      <w:r>
        <w:rPr/>
        <w:t>​</w:t>
      </w:r>
    </w:p>
    <w:p>
      <w:pPr>
        <w:pStyle w:val="TextBody"/>
        <w:spacing w:before="0" w:after="200"/>
        <w:ind w:left="0" w:right="0" w:hanging="0"/>
        <w:rPr>
          <w:rFonts w:ascii="Times New Roman;Times;serif" w:hAnsi="Times New Roman;Times;serif"/>
          <w:sz w:val="20"/>
        </w:rPr>
      </w:pPr>
      <w:r>
        <w:rPr>
          <w:rFonts w:ascii="Times New Roman;Times;serif" w:hAnsi="Times New Roman;Times;serif"/>
          <w:b/>
          <w:sz w:val="20"/>
        </w:rPr>
        <w:t>NOTE 11. PROLEUKIN</w:t>
      </w:r>
      <w:r>
        <w:rPr>
          <w:rFonts w:ascii="Times New Roman;Times;serif" w:hAnsi="Times New Roman;Times;serif"/>
          <w:sz w:val="20"/>
        </w:rPr>
        <w:t xml:space="preserve">® </w:t>
      </w:r>
      <w:r>
        <w:rPr>
          <w:rFonts w:ascii="Times New Roman;Times;serif" w:hAnsi="Times New Roman;Times;serif"/>
          <w:b/>
          <w:sz w:val="20"/>
        </w:rPr>
        <w:t>ACQUISITION</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 xml:space="preserve">Pursuant to the Option Agreement entered into on January 23, 2023 (the “Option Agreement”) between the Company and Clinigen Holdings Limited, Clinigen Healthcare Limited and Clinigen, Inc. (collectively, “Clinigen”), the Company will acquire worldwide rights to Proleukin® (aldesleukin) (the “Product”), an interleukin-2 (“IL-2”) product used to promote T-cell activity following TIL infusion. </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 xml:space="preserve">Material terms of the Option Agreement include an upfront payment of £167.7 million, or approximately $200 million, a £41.7 million, or approximately $50 million, milestone payment upon first approval of lifileucel in advanced melanoma, and deferred consideration based on double-digit rates on global net sales of the Product payable from the Company to Clinigen following the completion of the transaction for the applicable deferred consideration term. </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Subject to the terms and conditions of the Option Agreement, the Company will purchase (i) all issued and outstanding shares of Clinigen SP Limited (the “Target”), (ii) the business of the Target and Clinigen comprising the manufacturing, supply, commercialization and the generation of income from the Product rights and the undertaking of an active role in the development, maintenance and exploitation of those rights (the “Operations”), and (iii) certain specified assets identified in the Option Agreement.</w:t>
      </w:r>
    </w:p>
    <w:p>
      <w:pPr>
        <w:pStyle w:val="TextBody"/>
        <w:spacing w:before="0" w:after="0"/>
        <w:ind w:left="0" w:right="0" w:firstLine="408"/>
        <w:rPr>
          <w:rFonts w:ascii="Times New Roman;Times;serif" w:hAnsi="Times New Roman;Times;serif"/>
          <w:sz w:val="20"/>
        </w:rPr>
      </w:pPr>
      <w:r>
        <w:rPr>
          <w:rFonts w:ascii="Times New Roman;Times;serif" w:hAnsi="Times New Roman;Times;serif"/>
          <w:sz w:val="20"/>
        </w:rPr>
        <w:t>The Option Agreement is subject to customary termination provisions, and the Company would be required to pay to Clinigen a reverse termination fee (less certain transaction fees and expenses incurred by the Company) upon certain events as described in the Option Agreement. The closing of the transaction is subject to required regulatory approvals and clearances and other customary closing conditions.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bookmarkStart w:id="910" w:name="Item2ManagementsDiscussionandAnalysisofF"/>
      <w:bookmarkStart w:id="911" w:name="_8a53b1a8_67ad_482e_9377_04b8e9314779"/>
      <w:bookmarkEnd w:id="910"/>
      <w:bookmarkEnd w:id="911"/>
      <w:r>
        <w:rPr>
          <w:rFonts w:ascii="Times New Roman;Times;serif" w:hAnsi="Times New Roman;Times;serif"/>
          <w:b/>
          <w:i w:val="false"/>
          <w:caps w:val="false"/>
          <w:smallCaps w:val="false"/>
          <w:sz w:val="20"/>
        </w:rPr>
        <w:t>Item 2.</w:t>
      </w:r>
      <w:r>
        <w:rPr>
          <w:rFonts w:ascii="Times New Roman;Times;serif" w:hAnsi="Times New Roman;Times;serif"/>
          <w:b/>
          <w:sz w:val="20"/>
        </w:rPr>
        <w:t>Management’s Discussion and Analysis of Financial Condition and Results of Operations.</w:t>
      </w:r>
    </w:p>
    <w:p>
      <w:pPr>
        <w:pStyle w:val="TextBody"/>
        <w:spacing w:before="0" w:after="240"/>
        <w:ind w:left="0" w:right="0" w:firstLine="540"/>
        <w:rPr>
          <w:rFonts w:ascii="Times New Roman;Times;serif" w:hAnsi="Times New Roman;Times;serif"/>
          <w:sz w:val="20"/>
        </w:rPr>
      </w:pPr>
      <w:r>
        <w:rPr>
          <w:rFonts w:ascii="Times New Roman;Times;serif" w:hAnsi="Times New Roman;Times;serif"/>
          <w:sz w:val="20"/>
        </w:rPr>
        <w:t xml:space="preserve">The following discussion and analysis of our financial condition as of March 31, 2023 and results of operations for the three months ended March 31, 2023, should be read in conjunction with management’s discussion and analysis of financial condition and results of operations included in our Annual Report on Form 10-K for the year ended December 31, 2022 which was filed with the Securities and Exchange Commission (the “SEC”) on February 28, 2023. Our discussion includes forward-looking statements based upon current expectations that involve risks and uncertainties, such as our plans, objectives, expectations and intentions. Actual results and the timing of events could differ materially from those anticipated in these forward-looking statements as a result of a number of factors, including those set forth under the “Business” section of our Annual Report on Form 10-K and elsewhere in this Quarterly Report on Form 10-Q </w:t>
      </w:r>
      <w:r>
        <w:rPr>
          <w:rFonts w:ascii="Times New Roman;Times;serif" w:hAnsi="Times New Roman;Times;serif"/>
          <w:sz w:val="20"/>
          <w:highlight w:val="white"/>
        </w:rPr>
        <w:t>and other reports we file with the SEC</w:t>
      </w:r>
      <w:r>
        <w:rPr>
          <w:rFonts w:ascii="Times New Roman;Times;serif" w:hAnsi="Times New Roman;Times;serif"/>
          <w:sz w:val="20"/>
        </w:rPr>
        <w:t>. We use words such as “may,” “will,” “might,” “could,” “would,” “should,” “expect,” “intend,” “plan,” “anticipate,” “believe,” “estimate,” “predict,” “project,” “aim,” “potential,” “continue,” “ongoing,” “goal,” “forecast,” “guidance,” “outlook,” or the negative of these terms or other similar expressions to identify forward-looking statements, although not all forward-looking statements contain these words. All forward-looking statements included in this report are based on information available to us on the date hereof and, except as required by law, we assume no obligation to update any such forward-looking statements.</w:t>
      </w:r>
      <w:r>
        <w:rPr>
          <w:rFonts w:ascii="Times New Roman;Times;serif" w:hAnsi="Times New Roman;Times;serif"/>
          <w:sz w:val="20"/>
          <w:highlight w:val="white"/>
        </w:rPr>
        <w:t xml:space="preserve"> Unless the context requires otherwise, references in this Quarterly Report on Form 10-Q to “Iovance,” “we,” “us” and “our” refer to Iovance Biotherapeutics, Inc. and our subsidiaries.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Overview</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We are a clinical-stage biopharmaceutical company pioneering a transformational approach to treating cancer by harnessing the human immune system’s ability to recognize and destroy diverse cancer cells using therapies personalized for each patient. We are preparing for potential U.S. regulatory approval and commercialization of the first autologous T-cell therapy to address a solid tumor cancer. Our mission is to be the global leader in innovating, developing and delivering tumor infiltrating lymphocyte, or TIL, therapies for patients with solid tumor cancers. Our autologous TIL therapy platform uses a centralized, scalable and proprietary 22-day manufacturing process to grow polyclonal T-cells unique to each patient and yields a cryopreserved, individualized therapy. We have applied multiple TIL therapy modalities in clinical trials in solid tumors, including TIL monotherapies for patients with later stage disease who have progressed on or after standard of care, as well as TIL combinations with standard of care therapies in patients who are earlier in their disease, to potentially improve outcomes compared to current standard(s) of care.</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Our lead product candidate, lifileucel, is being developed in advanced, or metastatic or unresectable, melanoma as well as in other indications. Lifileucel was investigated in two consecutive cohorts in a clinical trial of advanced melanoma patients post-anti-PD-1 therapy, including in a prospectively defined pivotal cohort. These patients had progressed on or after standard of care therapy, which is immune checkpoint inhibitors, or ICIs, and, targeted BRAF/MEK inhibitor therapy where appropriate. Based on the positive results of these cohorts, we completed a rolling Biologics License Application, or BLA, submission to the U.S. Food and Drug Administration, or FDA, for lifileucel in March 2023. Our Phase 3 clinical trial of lifileucel in combination with pembrolizumab, TILVANCE-301, is intended to be registrational in frontline advanced melanoma and serve as a confirmatory clinical trial to support full approval of lifileucel monotherapy in post-anti-PD-1 advanced melanoma.</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We are also pursuing registrational strategies for lifileucel in advanced cervical cancer and for our TIL therapy, LN-145, in metastatic non-small cell lung cancer, or NSCLC. To continuously innovate and maintain our global leadership within the field, we are investigating next generation approaches to optimize TIL products, manufacturing processes and treatment regimens, including a first-in-human clinical trial of our lead genetically modified TIL therapy, IOV-4001. We are also exploring a 16-day manufacturing process, tumor tissue procurement via core biopsy, additional genetically modified TIL therapies including multiple immune checkpoint gene edits and cytokine-tethered TIL therapies, and a novel interleukin-2, or IL-2, analog, designated IOV-3001, as potential avenues to improve manufacturing timelines, sample collection and supportive treatments involved in the overall TIL therapy process and treatment regimen.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Highlights of our current development pipeline are presented in the figure below:</w:t>
      </w:r>
    </w:p>
    <w:p>
      <w:pPr>
        <w:pStyle w:val="TextBody"/>
        <w:spacing w:before="0" w:after="200"/>
        <w:ind w:left="0" w:right="0" w:hanging="0"/>
        <w:jc w:val="center"/>
        <w:rPr/>
      </w:pPr>
      <w:r>
        <w:rPr/>
        <w:drawing>
          <wp:inline distT="0" distB="0" distL="0" distR="0">
            <wp:extent cx="6141720" cy="3126105"/>
            <wp:effectExtent l="0" t="0" r="0" b="0"/>
            <wp:docPr id="15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 descr=""/>
                    <pic:cNvPicPr>
                      <a:picLocks noChangeAspect="1" noChangeArrowheads="1"/>
                    </pic:cNvPicPr>
                  </pic:nvPicPr>
                  <pic:blipFill>
                    <a:blip r:embed="rId2"/>
                    <a:stretch>
                      <a:fillRect/>
                    </a:stretch>
                  </pic:blipFill>
                  <pic:spPr bwMode="auto">
                    <a:xfrm>
                      <a:off x="0" y="0"/>
                      <a:ext cx="6141720" cy="3126105"/>
                    </a:xfrm>
                    <a:prstGeom prst="rect">
                      <a:avLst/>
                    </a:prstGeom>
                  </pic:spPr>
                </pic:pic>
              </a:graphicData>
            </a:graphic>
          </wp:inline>
        </w:drawing>
      </w:r>
    </w:p>
    <w:p>
      <w:pPr>
        <w:pStyle w:val="TextBody"/>
        <w:spacing w:before="100" w:after="200"/>
        <w:ind w:left="0" w:right="0" w:hanging="0"/>
        <w:rPr>
          <w:rFonts w:ascii="Times New Roman;Times;serif" w:hAnsi="Times New Roman;Times;serif"/>
          <w:i/>
          <w:sz w:val="20"/>
        </w:rPr>
      </w:pPr>
      <w:r>
        <w:rPr>
          <w:rFonts w:ascii="Times New Roman;Times;serif" w:hAnsi="Times New Roman;Times;serif"/>
          <w:i/>
          <w:sz w:val="20"/>
        </w:rPr>
        <w:t xml:space="preserve">Platform Technologies and Manufacturing </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Our T-cell-based immunotherapy technology platforms are potentially applicable to many solid tumor types and blood cancers. Each platform is focused on leveraging patient-specific cells to recognize and attack diverse cancer cells that are unique to each patient. Unlike other cell therapies that act on a single or small number of shared antigen targets common to certain tumors, our polyclonal T-cells are personalized therapies designed to target a variety of neoantigens that are unique to the patient or tumor. The majority of solid tumor immune targets are patient-specific, with fewer than 1% shared among patients. TIL therapy is our lead T-cell-based immunotherapy platform in multiple advanced solid tumor cancers. For blood cancers, our peripheral blood lymphocyte, or PBL, therapy platform is based on polyclonal T-cells that are collected from a patient’s blood sample, and then amplified and reinvigorated.</w:t>
      </w:r>
    </w:p>
    <w:p>
      <w:pPr>
        <w:pStyle w:val="TextBody"/>
        <w:spacing w:before="0" w:after="200"/>
        <w:ind w:left="0" w:right="0" w:hanging="0"/>
        <w:rPr>
          <w:rFonts w:ascii="Times New Roman;Times;serif" w:hAnsi="Times New Roman;Times;serif"/>
          <w:i/>
          <w:sz w:val="20"/>
        </w:rPr>
      </w:pPr>
      <w:r>
        <w:rPr>
          <w:rFonts w:ascii="Times New Roman;Times;serif" w:hAnsi="Times New Roman;Times;serif"/>
          <w:i/>
          <w:sz w:val="20"/>
        </w:rPr>
        <w:t>TIL Clinical Development in Advanced, Metastatic or Unresectable Solid Tumor Cancers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Building on the prior TIL therapy clinical trials conducted at single academic centers, including the National Cancer Institute, or NCI, we have investigated TIL therapy in global, multi-center Phase 2 clinical trials in advanced melanoma, cervical cancer, NSCLC, and head and neck squamous cell carcinoma, or HNSCC. Additional information about our clinical trials is summarized below.</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 xml:space="preserve">In post-anti-PD-1 advanced melanoma, we are investigating lifileucel in our C-144-01 clinical trial that supports our BLA submission and potential approval of lifileucel. </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In frontline advanced melanoma patients who are naïve to anti-PD-1 therapy, we are investigating lifileucel in combination with pembrolizumab in the IOV-COM-202 clinical trial and the Phase 3 TILVANCE-301 clinical trial. TILVANCE-301 is a randomized Phase 3 clinical trial intended to support registration in advanced frontline melanoma as well as to serve as a confirmatory trial for full approval in post-anti-PD-1 advanced melanoma.</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We are also executing a registrational strategy for lifileucel in advanced cervical cancer. C-145-04 is a multicenter Phase 2 clinical trial that is currently enrolling a pivotal cohort to support a BLA in cervical cancer following progression on or after chemotherapy and pembrolizumab.</w:t>
      </w:r>
    </w:p>
    <w:p>
      <w:pPr>
        <w:pStyle w:val="TextBody"/>
        <w:spacing w:before="0" w:after="200"/>
        <w:ind w:left="0" w:right="0" w:firstLine="547"/>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In NSCLC, we are investigating our TIL therapy, LN-145, in two clinical trials in several NSCLC patient populations with significant unmet need. IOV-LUN-202 is a clinical trial of LN-145 in advanced NSCLC patients who have progressed following chemotherapy and anti-PD-1 therapy. IOV-COM-202 also includes cohorts of NSCLC patients treated with LN-145 monotherapy and combination therapy.</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 xml:space="preserve">Our first genetically modified, PD-1 inactivated TIL therapy, IOV-4001, entered a first-in-human Phase 1/2 clinical trial, IOV-GM1-201, in 2022 in patients with previously treated advanced melanoma and NSCLC. IOV-4001 utilizes the gene-editing TALEN® technology, licensed from Cellectis S.A., or Cellectis, to inactivate the gene coding for the programmed cell death protein-1, or PD-1. </w:t>
      </w:r>
    </w:p>
    <w:p>
      <w:pPr>
        <w:pStyle w:val="TextBody"/>
        <w:spacing w:before="0" w:after="0"/>
        <w:ind w:left="0" w:right="0" w:firstLine="547"/>
        <w:rPr>
          <w:rFonts w:ascii="Times New Roman;Times;serif" w:hAnsi="Times New Roman;Times;serif"/>
          <w:sz w:val="20"/>
        </w:rPr>
      </w:pPr>
      <w:bookmarkStart w:id="912" w:name="_Hlk77724615"/>
      <w:bookmarkEnd w:id="912"/>
      <w:r>
        <w:rPr>
          <w:rFonts w:ascii="Times New Roman;Times;serif" w:hAnsi="Times New Roman;Times;serif"/>
          <w:sz w:val="20"/>
        </w:rPr>
        <w:t>In metastatic head and neck cancer squamous cell carcinoma, or HNSCC, we are evaluating LN-145 as monotherapy and in combination with pembrolizumab. The Phase 2 C-145-03 trial began in June 2017 and closed in January 2021 after reaching its pre-specified enrollment target to investigate LN-145 using various manufacturing processes. Cohort 2A in IOV-COM-202 is evaluating LN-145 in combination with pembrolizumab in patients with HNSCC who are naïve to anti-PD-1 therapy.</w:t>
      </w:r>
    </w:p>
    <w:p>
      <w:pPr>
        <w:pStyle w:val="TextBody"/>
        <w:spacing w:before="0" w:after="0"/>
        <w:ind w:left="0" w:right="0" w:firstLine="547"/>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PBL Therapy in Blood Cancers</w:t>
      </w:r>
    </w:p>
    <w:p>
      <w:pPr>
        <w:pStyle w:val="TextBody"/>
        <w:spacing w:before="0" w:after="0"/>
        <w:ind w:left="0" w:right="0" w:firstLine="547"/>
        <w:rPr/>
      </w:pPr>
      <w:r>
        <w:rPr/>
        <w:t>​</w:t>
      </w:r>
    </w:p>
    <w:p>
      <w:pPr>
        <w:pStyle w:val="TextBody"/>
        <w:spacing w:before="0" w:after="0"/>
        <w:ind w:left="0" w:right="0" w:firstLine="547"/>
        <w:rPr>
          <w:rFonts w:ascii="Times New Roman;Times;serif" w:hAnsi="Times New Roman;Times;serif"/>
          <w:sz w:val="20"/>
        </w:rPr>
      </w:pPr>
      <w:r>
        <w:rPr>
          <w:rFonts w:ascii="Times New Roman;Times;serif" w:hAnsi="Times New Roman;Times;serif"/>
          <w:sz w:val="20"/>
        </w:rPr>
        <w:t xml:space="preserve">In blood cancers, our clinical trial IOV-CLL-01 is a Phase 1/2 clinical trial evaluating the safety and efficacy of IOV-2001, our polyclonal PBL therapy, in patients with relapsed or refractory chronic lymphocytic leukemia, or CLL, and small lymphocytic lymphoma, or SLL, to receive IOV-2001. </w:t>
      </w:r>
    </w:p>
    <w:p>
      <w:pPr>
        <w:pStyle w:val="TextBody"/>
        <w:spacing w:before="0" w:after="0"/>
        <w:ind w:left="0" w:right="0" w:firstLine="547"/>
        <w:rPr/>
      </w:pPr>
      <w:r>
        <w:rPr/>
        <w:t>​</w:t>
      </w:r>
    </w:p>
    <w:p>
      <w:pPr>
        <w:pStyle w:val="TextBody"/>
        <w:spacing w:before="0" w:after="0"/>
        <w:ind w:left="0" w:right="0" w:firstLine="547"/>
        <w:rPr>
          <w:rFonts w:ascii="Times New Roman;Times;serif" w:hAnsi="Times New Roman;Times;serif"/>
          <w:sz w:val="20"/>
        </w:rPr>
      </w:pPr>
      <w:r>
        <w:rPr>
          <w:rFonts w:ascii="Times New Roman;Times;serif" w:hAnsi="Times New Roman;Times;serif"/>
          <w:sz w:val="20"/>
        </w:rPr>
        <w:t xml:space="preserve">Beyond our Iovance-sponsored clinical trials, we have academic collaborations with leading cancer research centers to investigate TIL therapy, including next-generation processes and technologies, in other cancers and treatment settings. </w:t>
      </w:r>
    </w:p>
    <w:p>
      <w:pPr>
        <w:pStyle w:val="TextBody"/>
        <w:spacing w:before="0" w:after="0"/>
        <w:ind w:left="0" w:right="0" w:firstLine="547"/>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 xml:space="preserve">Next-Generation Therapeutic and Manufacturing Approaches </w:t>
      </w:r>
    </w:p>
    <w:p>
      <w:pPr>
        <w:pStyle w:val="TextBody"/>
        <w:spacing w:before="0" w:after="0"/>
        <w:ind w:left="0" w:right="0" w:hanging="0"/>
        <w:rPr/>
      </w:pPr>
      <w:r>
        <w:rPr/>
        <w:t>​</w:t>
      </w:r>
    </w:p>
    <w:p>
      <w:pPr>
        <w:pStyle w:val="TextBody"/>
        <w:spacing w:before="0" w:after="0"/>
        <w:ind w:left="0" w:right="0" w:firstLine="547"/>
        <w:rPr>
          <w:rFonts w:ascii="Times New Roman;Times;serif" w:hAnsi="Times New Roman;Times;serif"/>
          <w:sz w:val="20"/>
        </w:rPr>
      </w:pPr>
      <w:r>
        <w:rPr>
          <w:rFonts w:ascii="Times New Roman;Times;serif" w:hAnsi="Times New Roman;Times;serif"/>
          <w:sz w:val="20"/>
        </w:rPr>
        <w:t>Our current next-generation technology platforms are designed to optimize TIL therapy, as well as TIL treatment regimen and manufacturing processes, across four key initiatives: genetic modifications, potency, process optimization and new treatment regimens.</w:t>
      </w:r>
    </w:p>
    <w:p>
      <w:pPr>
        <w:pStyle w:val="TextBody"/>
        <w:spacing w:before="0" w:after="0"/>
        <w:ind w:left="0" w:right="0" w:firstLine="547"/>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Genetic modifications:</w:t>
            </w:r>
            <w:r>
              <w:rPr>
                <w:caps w:val="false"/>
                <w:smallCaps w:val="false"/>
              </w:rPr>
              <w:t xml:space="preserve"> </w:t>
            </w:r>
            <w:r>
              <w:rPr>
                <w:rFonts w:ascii="Times New Roman;Times;serif" w:hAnsi="Times New Roman;Times;serif"/>
                <w:b w:val="false"/>
                <w:i w:val="false"/>
                <w:caps w:val="false"/>
                <w:smallCaps w:val="false"/>
                <w:sz w:val="20"/>
              </w:rPr>
              <w:t xml:space="preserve">We are pursuing several targets for genetic modification that utilize the gene-editing TALEN® platform licensed from the clinical-stage biotechnology company, Cellectis. Programs include single- and double- knockout candidates to further harness the immune system response to cancer and potentially increase the efficiency, potency and application of TIL therapy. Preclinical development is also ongoing with cytokine-tethered TIL products and additional TIL products and TIL-cell lines using transient and stable gene insertion and inactivation. Additional transient and permanent genetic modifications of TIL, such as cytokine-tethered TIL, may expand and activate TIL to achieve better efficacy while avoiding systemic side effects of cytokines. </w:t>
            </w:r>
          </w:p>
        </w:tc>
      </w:tr>
    </w:tbl>
    <w:p>
      <w:pPr>
        <w:pStyle w:val="TextBody"/>
        <w:spacing w:before="0" w:after="0"/>
        <w:ind w:left="0" w:right="0" w:hanging="0"/>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Potency:</w:t>
            </w:r>
            <w:r>
              <w:rPr>
                <w:caps w:val="false"/>
                <w:smallCaps w:val="false"/>
              </w:rPr>
              <w:t xml:space="preserve"> </w:t>
            </w:r>
            <w:r>
              <w:rPr>
                <w:rFonts w:ascii="Times New Roman;Times;serif" w:hAnsi="Times New Roman;Times;serif"/>
                <w:b w:val="false"/>
                <w:i w:val="false"/>
                <w:caps w:val="false"/>
                <w:smallCaps w:val="false"/>
                <w:sz w:val="20"/>
              </w:rPr>
              <w:t xml:space="preserve">Potential approaches to increase potency of the final TIL product include the sorting and selection of specific TIL, such as PD-1+ selected TIL and CD39/69 double-negative TIL, and the use of certain inhibitors or other reagents in TIL expansion cultures. Our TIL candidate LN-145-S1 is manufactured from TIL selected for PD-1 expression and has been investigated in post-anti-PD-1 advanced melanoma and post-anti-PD-1 HNSCC patient cohorts in our clinical trials. </w:t>
            </w:r>
          </w:p>
        </w:tc>
      </w:tr>
    </w:tbl>
    <w:p>
      <w:pPr>
        <w:pStyle w:val="TextBody"/>
        <w:spacing w:before="0" w:after="0"/>
        <w:ind w:left="0" w:right="0" w:hanging="0"/>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Process optimization:</w:t>
            </w:r>
            <w:r>
              <w:rPr>
                <w:caps w:val="false"/>
                <w:smallCaps w:val="false"/>
              </w:rPr>
              <w:t xml:space="preserve"> </w:t>
            </w:r>
            <w:r>
              <w:rPr>
                <w:rFonts w:ascii="Times New Roman;Times;serif" w:hAnsi="Times New Roman;Times;serif"/>
                <w:b w:val="false"/>
                <w:i w:val="false"/>
                <w:caps w:val="false"/>
                <w:smallCaps w:val="false"/>
                <w:sz w:val="20"/>
              </w:rPr>
              <w:t>We are committed to further optimizing and streamlining the processes for manufacturing TIL therapy and collecting tumor samples. We are investigating a 16-day manufacturing process, or Gen 3, in patient cohorts included in the C-145-03 clinical trial in HNSCC and the IOV-COM-202 clinical trial. We are also exploring our Gen 3 process to manufacture TIL from core biopsy as a less-invasive collection of tumor samples in a cohort of patients with NSCLC in our IOV-LUN-202 clinical trial.</w:t>
            </w:r>
          </w:p>
        </w:tc>
      </w:tr>
    </w:tbl>
    <w:p>
      <w:pPr>
        <w:pStyle w:val="TextBody"/>
        <w:spacing w:before="0" w:after="0"/>
        <w:ind w:left="0" w:right="0" w:hanging="0"/>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New treatment regimens:</w:t>
            </w:r>
            <w:r>
              <w:rPr>
                <w:caps w:val="false"/>
                <w:smallCaps w:val="false"/>
              </w:rPr>
              <w:t xml:space="preserve"> </w:t>
            </w:r>
            <w:r>
              <w:rPr>
                <w:rFonts w:ascii="Times New Roman;Times;serif" w:hAnsi="Times New Roman;Times;serif"/>
                <w:b w:val="false"/>
                <w:i w:val="false"/>
                <w:caps w:val="false"/>
                <w:smallCaps w:val="false"/>
                <w:sz w:val="20"/>
              </w:rPr>
              <w:t>We are exploring potential avenues to improve aspects of the TIL treatment regimen. In 2020, we licensed an antibody cytokine-engrafted protein, or IL-2 analog, which we refer to as IOV-3001, from Novartis. IOV-4001 is in IND-enabling studies supporting its use as part of the TIL treatment regimen following TIL infusion.</w:t>
            </w:r>
          </w:p>
        </w:tc>
      </w:tr>
    </w:tbl>
    <w:p>
      <w:pPr>
        <w:pStyle w:val="TextBody"/>
        <w:spacing w:before="0" w:after="0"/>
        <w:ind w:left="0" w:right="0" w:hanging="0"/>
        <w:rPr/>
      </w:pPr>
      <w:r>
        <w:rPr/>
        <w:t>​</w:t>
      </w:r>
    </w:p>
    <w:p>
      <w:pPr>
        <w:pStyle w:val="TextBody"/>
        <w:spacing w:before="0" w:after="0"/>
        <w:ind w:left="72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i/>
          <w:sz w:val="20"/>
        </w:rPr>
      </w:pPr>
      <w:r>
        <w:rPr>
          <w:rFonts w:ascii="Times New Roman;Times;serif" w:hAnsi="Times New Roman;Times;serif"/>
          <w:i/>
          <w:sz w:val="20"/>
        </w:rPr>
        <w:t>Intellectual Property</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We have established a leading intellectual property portfolio developed internally and licensed from third parties. We currently own more than 60 U.S. patents related to TIL therapy, including patents directed to compositions and methods of treatment in a broad range of cancers, such as U.S. Patent Nos. 10,130,659; 10,166,257; 10,272,113; 10,363,273; 10,398,734; 10,420,799; 10,463,697; 10,517,894; 10,537,595; 10,639,330; 10,646,517; 10,653,723; 10,695,372; 10,894,063; 10,905,718; 10,918,666; 10,925,900; 10,933,094; 10,946,044; 10,946,045; 10,953,046; 10,953,047; 11,007,225; 11,007,226; 11,013,770; 11,026,974; 11,040,070; 11,052,115; 11,052,116; 11,058,728; 11,083,752; 11,123,371; 11,141,438 11,168,303; 11,168,304; 11,179,419; 11,202,803; 11,202,804; 11,241,456; 11,254,913; 11,266,694; 11,273,180; 11,273,181; 11,291,687; 11,304,979; 11,304,980; 11,311,578; 11,337,998; 11,344,579; 11,344,580; 11,344,581; 11,351,197; 11,351,198; 11,351,199; 11,364,266; 11,369,637; 11,384,637; 1,433,097; 11,529,372; and 11,541,077. More than 35 of these patents are related to our Gen 2 TIL manufacturing processes and have terms that we anticipate will extend to January 2038, not including any patent term extensions or adjustments that may be available. Our owned and licensed intellectual property portfolio also includes patents and patent applications relating to TIL, MIL, and PBL therapies; frozen tumor-based TIL technologies; remnant TIL and digest TIL compositions, methods and processes; methods of manufacturing TIL, MIL, and PBL therapies; the use of costimulatory and T-cell modulating molecules in TIL therapy and manufacturing; stable and transient genetically-modified TIL therapies, including genetic knockouts of immune checkpoints; cytokine-tethered TIL therapies; methods of using ICIs in combination with TIL therapies; TIL selection technologies; and methods of treating patient subpopulations.</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Impact of COVID-19 on our Business</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Operations and Liquidity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full impact of the novel strain of coronavirus, or COVID-19, pandemic is unknown and continuously evolving. While the potential economic impact brought by and over the duration of the COVID-19 pandemic may be difficult to assess or predict, the COVID-19 pandemic has resulted in significant disruption of global financial markets, which could in the future negatively affect our liquidity. In addition, a recession or market volatility resulting from the COVID-19 pandemic could affect our business. We have taken proactive, aggressive action throughout the COVID-19 pandemic to protect the health and safety of our employees and expect to continue to implement these measures until we determine that the COVID-19 pandemic is adequately contained for purposes of our business. We may take further actions as government authorities require or recommend or as we determine to be in the best interests of our employees. We do not believe that the COVID-19 pandemic had a material impact on our liquidity or results of operations for the three months ended March 31, 2023. Further, to date, the COVID-19 pandemic has not had significant effects on our clinical trial enrollment. Given the nature and type of our short-term investments in U.S. government securities, we do not believe that the COVID-19 pandemic will have a material impact on our current investment liquidity.</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Outlook</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Although there is uncertainty related to the anticipated impact of the recent COVID-19 pandemic on our future results, we believe our current cash reserves leave us well positioned to manage our business in light of the COVID-19 pandemic. However, the impacts of the COVID-19 pandemic are broad-reaching and continuing and the financial impacts associated with the COVID-19 pandemic are still uncertain.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COVID-19 pandemic is ongoing, and its dynamic nature, including uncertainties relating to the ultimate geographic spread of the virus, the severity of the disease, the duration of the pandemic, and actions that would be taken by governmental authorities to contain the pandemic or to treat its impact, makes it difficult to forecast any effects on our results for future periods.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economic uncertainty resulting from the COVID-19 pandemic, we intend to continue to focus on the development of our product candidates. We continue to monitor the rapidly evolving situation and guidance from international and domestic authorities, including federal, state and local public health authorities and may take additional actions based on their recommendations. In these circumstances, there may be developments outside our control requiring us to adjust our operating plan. As such, given the dynamic nature of this situation, we cannot reasonably estimate the impacts of COVID-19 on our financial condition, results of operations or cash flows in the future.</w:t>
      </w:r>
    </w:p>
    <w:p>
      <w:pPr>
        <w:pStyle w:val="TextBody"/>
        <w:spacing w:before="0" w:after="20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spacing w:before="0" w:after="200"/>
        <w:ind w:left="0" w:right="0" w:hanging="0"/>
        <w:rPr>
          <w:rFonts w:ascii="Times New Roman;Times;serif" w:hAnsi="Times New Roman;Times;serif"/>
          <w:b w:val="false"/>
          <w:i/>
          <w:sz w:val="20"/>
        </w:rPr>
      </w:pPr>
      <w:r>
        <w:rPr>
          <w:rFonts w:ascii="Times New Roman;Times;serif" w:hAnsi="Times New Roman;Times;serif"/>
          <w:b w:val="false"/>
          <w:i/>
          <w:sz w:val="20"/>
        </w:rPr>
        <w:t>Revenues</w:t>
      </w:r>
    </w:p>
    <w:p>
      <w:pPr>
        <w:pStyle w:val="TextBody"/>
        <w:spacing w:before="0" w:after="20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yet generated any revenues since our formation. With the submission of the rolling BLA for lifileucel for advanced melanoma and our expected completion of the closing of the acquisition of the worldwide rights to Proleukin® in the second quarter of 2023, we anticipate generating revenues from the sale of products during the 12 months from the date these financial statements are issued, however, such revenues may not be material. Our ability to generate revenues in the future will depend on our ability to complete the development of our product candidates and to obtain regulatory approval for them.</w:t>
      </w:r>
    </w:p>
    <w:p>
      <w:pPr>
        <w:pStyle w:val="TextBody"/>
        <w:spacing w:before="0" w:after="20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Research and Development</w:t>
      </w:r>
    </w:p>
    <w:p>
      <w:pPr>
        <w:pStyle w:val="TextBody"/>
        <w:spacing w:before="0" w:after="0"/>
        <w:ind w:left="0" w:right="0" w:hanging="0"/>
        <w:rPr/>
      </w:pPr>
      <w:r>
        <w:rPr/>
        <w:t>​</w:t>
      </w:r>
    </w:p>
    <w:p>
      <w:pPr>
        <w:pStyle w:val="TextBody"/>
        <w:spacing w:before="0" w:after="0"/>
        <w:ind w:left="0" w:right="0" w:firstLine="547"/>
        <w:rPr>
          <w:rFonts w:ascii="Times New Roman;Times;serif" w:hAnsi="Times New Roman;Times;serif"/>
          <w:sz w:val="20"/>
        </w:rPr>
      </w:pPr>
      <w:r>
        <w:rPr>
          <w:rFonts w:ascii="Times New Roman;Times;serif" w:hAnsi="Times New Roman;Times;serif"/>
          <w:sz w:val="20"/>
        </w:rPr>
        <w:t>Research and development expenses include personnel and facility-related expenses, outside contracted services including clinical trial costs, manufacturing and process development costs, research costs and other consulting services.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w:t>
      </w:r>
    </w:p>
    <w:p>
      <w:pPr>
        <w:pStyle w:val="TextBody"/>
        <w:spacing w:before="0" w:after="0"/>
        <w:ind w:left="0" w:right="0" w:firstLine="547"/>
        <w:rPr/>
      </w:pPr>
      <w:r>
        <w:rPr/>
        <w:t>​</w:t>
      </w:r>
    </w:p>
    <w:p>
      <w:pPr>
        <w:pStyle w:val="TextBody"/>
        <w:spacing w:before="0" w:after="0"/>
        <w:ind w:left="0" w:right="0" w:firstLine="547"/>
        <w:rPr>
          <w:rFonts w:ascii="Times New Roman;Times;serif" w:hAnsi="Times New Roman;Times;serif"/>
          <w:sz w:val="20"/>
        </w:rPr>
      </w:pPr>
      <w:r>
        <w:rPr>
          <w:rFonts w:ascii="Times New Roman;Times;serif" w:hAnsi="Times New Roman;Times;serif"/>
          <w:sz w:val="20"/>
        </w:rPr>
        <w:t xml:space="preserve">Clinical development costs are a significant component of research and development expenses. We have a history of contracting with third parties that perform various clinical trial activities on our behalf in connection with the ongoing development of our product candidates. The financial terms of these contracts are subject to negotiations and may vary from contract to contract and may result in uneven payment flow. We accrue and expense costs for clinical trial activities performed by third parties based upon estimates of work completed to date of the individual trial in accordance with agreements established with contract research organizations and clinical trial sites. The duration, costs and timing of our clinical trials and development of our product candidates will depend on a number of factors that include, but are not limited to, the number of patients that enroll in the trial, per patient trial costs, number of sites included in the trial, discontinuation rates of patients, duration of patient follow-up, efficacy and safety profile of the product candidate, and the length of time required to enroll eligible patients. </w:t>
      </w:r>
    </w:p>
    <w:p>
      <w:pPr>
        <w:pStyle w:val="TextBody"/>
        <w:spacing w:before="0" w:after="0"/>
        <w:ind w:left="0" w:right="0" w:firstLine="547"/>
        <w:rPr/>
      </w:pPr>
      <w:r>
        <w:rPr/>
        <w:t>​</w:t>
      </w:r>
    </w:p>
    <w:p>
      <w:pPr>
        <w:pStyle w:val="TextBody"/>
        <w:spacing w:before="0" w:after="0"/>
        <w:ind w:left="0" w:right="0" w:firstLine="547"/>
        <w:rPr>
          <w:rFonts w:ascii="Times New Roman;Times;serif" w:hAnsi="Times New Roman;Times;serif"/>
          <w:sz w:val="20"/>
        </w:rPr>
      </w:pPr>
      <w:r>
        <w:rPr>
          <w:rFonts w:ascii="Times New Roman;Times;serif" w:hAnsi="Times New Roman;Times;serif"/>
          <w:sz w:val="20"/>
        </w:rPr>
        <w:t>We expect our research and development expenses to continue to increase as we prepare for commercial manufacturing of our products and continue to conduct our clinical trials for other indications. However, it is difficult to determine with certainty the duration and completion costs of our current or future preclinical programs and clinical trials of our product candidates.</w:t>
      </w:r>
    </w:p>
    <w:p>
      <w:pPr>
        <w:pStyle w:val="TextBody"/>
        <w:spacing w:before="0" w:after="0"/>
        <w:ind w:left="0" w:right="0" w:firstLine="547"/>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General and Administrative</w:t>
      </w:r>
    </w:p>
    <w:p>
      <w:pPr>
        <w:pStyle w:val="TextBody"/>
        <w:spacing w:before="0" w:after="0"/>
        <w:ind w:left="0" w:right="0" w:hanging="0"/>
        <w:rPr/>
      </w:pPr>
      <w:r>
        <w:rPr/>
        <w:t>​</w:t>
      </w:r>
    </w:p>
    <w:p>
      <w:pPr>
        <w:pStyle w:val="TextBody"/>
        <w:spacing w:before="0" w:after="0"/>
        <w:ind w:left="0" w:right="0" w:firstLine="547"/>
        <w:rPr>
          <w:rFonts w:ascii="Times New Roman;Times;serif" w:hAnsi="Times New Roman;Times;serif"/>
          <w:sz w:val="20"/>
        </w:rPr>
      </w:pPr>
      <w:r>
        <w:rPr>
          <w:rFonts w:ascii="Times New Roman;Times;serif" w:hAnsi="Times New Roman;Times;serif"/>
          <w:sz w:val="20"/>
        </w:rPr>
        <w:t>General and administrative expenses consist primarily of salaries and other related costs, including stock-based compensation, for personnel in executive, finance, procurement, legal, investor relations, facilities, business development, marketing, commercial, information technology and human resources functions. Other significant costs include facility costs not otherwise included in research and development expenses, legal fees relating to corporate matters and intellectual property, insurance, public company expenses relating to maintaining compliance with Nasdaq listing rules and SEC requirements, investor relations costs, and fees for accounting and consulting services. General and administrative costs are expensed as incurred, and we accrue for services provided by third parties related to the above expenses by monitoring the status of services provided and receiving estimates from its service providers and adjusting its accruals as actual costs become known.</w:t>
      </w:r>
    </w:p>
    <w:p>
      <w:pPr>
        <w:pStyle w:val="TextBody"/>
        <w:spacing w:before="0" w:after="0"/>
        <w:ind w:left="0" w:right="0" w:firstLine="547"/>
        <w:rPr/>
      </w:pPr>
      <w:r>
        <w:rPr/>
        <w:t>​</w:t>
      </w:r>
    </w:p>
    <w:p>
      <w:pPr>
        <w:pStyle w:val="TextBody"/>
        <w:spacing w:before="0" w:after="0"/>
        <w:ind w:left="0" w:right="0" w:firstLine="547"/>
        <w:rPr>
          <w:rFonts w:ascii="Times New Roman;Times;serif" w:hAnsi="Times New Roman;Times;serif"/>
          <w:sz w:val="20"/>
        </w:rPr>
      </w:pPr>
      <w:r>
        <w:rPr>
          <w:rFonts w:ascii="Times New Roman;Times;serif" w:hAnsi="Times New Roman;Times;serif"/>
          <w:sz w:val="20"/>
        </w:rPr>
        <w:t>We anticipate general and administrative expenses will increase as we continue to prepare for commercialization and support an expected growth of the internal general and administrative team.</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Interest income, net</w:t>
      </w:r>
    </w:p>
    <w:p>
      <w:pPr>
        <w:pStyle w:val="TextBody"/>
        <w:spacing w:before="0" w:after="0"/>
        <w:ind w:left="0" w:right="0" w:hanging="0"/>
        <w:rPr/>
      </w:pPr>
      <w:r>
        <w:rPr/>
        <w:t>​</w:t>
      </w:r>
    </w:p>
    <w:p>
      <w:pPr>
        <w:pStyle w:val="TextBody"/>
        <w:spacing w:before="0" w:after="0"/>
        <w:ind w:left="0" w:right="0" w:firstLine="547"/>
        <w:rPr>
          <w:rFonts w:ascii="Times New Roman;Times;serif" w:hAnsi="Times New Roman;Times;serif"/>
          <w:sz w:val="20"/>
        </w:rPr>
      </w:pPr>
      <w:r>
        <w:rPr>
          <w:rFonts w:ascii="Times New Roman;Times;serif" w:hAnsi="Times New Roman;Times;serif"/>
          <w:sz w:val="20"/>
        </w:rPr>
        <w:t>Interest income, net results from our interest-bearing cash and investment balances.</w:t>
      </w:r>
    </w:p>
    <w:p>
      <w:pPr>
        <w:pStyle w:val="TextBody"/>
        <w:spacing w:before="0" w:after="0"/>
        <w:ind w:left="0" w:right="0" w:firstLine="547"/>
        <w:rPr/>
      </w:pPr>
      <w:r>
        <w:rPr/>
        <w:t>​</w:t>
      </w:r>
    </w:p>
    <w:p>
      <w:pPr>
        <w:pStyle w:val="TextBody"/>
        <w:spacing w:before="0" w:after="20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for the Three Months Ended March 31, 2023 and 2022</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Research and development activities are central to our business model. Product candidates in later stage of clinical development generally have higher development costs than those in earlier stages of clinical development, primarily due to the increased size and duration of later-stage clinical trials. As a clinical stage company that is currently engaged in the development of novel cancer immunotherapy products, we have not yet generated any revenues from our biotechnology business or otherwise since our formation. Our ability to generate revenues in the future will depend on our ability to complete the development of our product candidates and to obtain regulatory approval for them. Our major sources of funding to date have been proceeds from various public and private offerings of our equity securities (both common stock and preferred stock), option and warrant exercises, and interest income. Since 2017 our primary source of funds has been from the public sale of our common stock.</w:t>
      </w:r>
    </w:p>
    <w:p>
      <w:pPr>
        <w:pStyle w:val="TextBody"/>
        <w:spacing w:before="0" w:after="0"/>
        <w:ind w:left="0" w:right="0" w:firstLine="720"/>
        <w:rPr/>
      </w:pPr>
      <w:r>
        <w:rPr/>
        <w:t>​</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Costs and Expenses</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Research and development expense (in thousands)</w:t>
      </w:r>
    </w:p>
    <w:p>
      <w:pPr>
        <w:pStyle w:val="TextBody"/>
        <w:spacing w:before="0" w:after="200"/>
        <w:ind w:left="0" w:right="0" w:firstLine="547"/>
        <w:rPr/>
      </w:pPr>
      <w:r>
        <w:rPr/>
        <w:t>​</w:t>
      </w:r>
    </w:p>
    <w:tbl>
      <w:tblPr>
        <w:tblW w:w="10205" w:type="dxa"/>
        <w:jc w:val="left"/>
        <w:tblInd w:w="0" w:type="dxa"/>
        <w:tblCellMar>
          <w:top w:w="0" w:type="dxa"/>
          <w:left w:w="0" w:type="dxa"/>
          <w:bottom w:w="0" w:type="dxa"/>
          <w:right w:w="0" w:type="dxa"/>
        </w:tblCellMar>
      </w:tblPr>
      <w:tblGrid>
        <w:gridCol w:w="6332"/>
        <w:gridCol w:w="206"/>
        <w:gridCol w:w="211"/>
        <w:gridCol w:w="676"/>
        <w:gridCol w:w="206"/>
        <w:gridCol w:w="211"/>
        <w:gridCol w:w="676"/>
        <w:gridCol w:w="206"/>
        <w:gridCol w:w="109"/>
        <w:gridCol w:w="689"/>
        <w:gridCol w:w="206"/>
        <w:gridCol w:w="477"/>
      </w:tblGrid>
      <w:tr>
        <w:trPr/>
        <w:tc>
          <w:tcPr>
            <w:tcW w:w="63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4020820" cy="175260"/>
                      <wp:effectExtent l="0" t="0" r="0" b="0"/>
                      <wp:wrapNone/>
                      <wp:docPr id="160" name="Frame159"/>
                      <a:graphic xmlns:a="http://schemas.openxmlformats.org/drawingml/2006/main">
                        <a:graphicData uri="http://schemas.microsoft.com/office/word/2010/wordprocessingShape">
                          <wps:wsp>
                            <wps:cNvSpPr txBox="1"/>
                            <wps:spPr>
                              <a:xfrm>
                                <a:off x="0" y="0"/>
                                <a:ext cx="40208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30810" cy="175260"/>
                      <wp:effectExtent l="0" t="0" r="0" b="0"/>
                      <wp:wrapNone/>
                      <wp:docPr id="161" name="Frame160"/>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33985" cy="175260"/>
                      <wp:effectExtent l="0" t="0" r="0" b="0"/>
                      <wp:wrapNone/>
                      <wp:docPr id="162" name="Frame16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429260" cy="175260"/>
                      <wp:effectExtent l="0" t="0" r="0" b="0"/>
                      <wp:wrapNone/>
                      <wp:docPr id="163" name="Frame162"/>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30810" cy="175260"/>
                      <wp:effectExtent l="0" t="0" r="0" b="0"/>
                      <wp:wrapNone/>
                      <wp:docPr id="164" name="Frame163"/>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33985" cy="175260"/>
                      <wp:effectExtent l="0" t="0" r="0" b="0"/>
                      <wp:wrapNone/>
                      <wp:docPr id="165" name="Frame16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429260" cy="175260"/>
                      <wp:effectExtent l="0" t="0" r="0" b="0"/>
                      <wp:wrapNone/>
                      <wp:docPr id="166" name="Frame165"/>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30810" cy="175260"/>
                      <wp:effectExtent l="0" t="0" r="0" b="0"/>
                      <wp:wrapNone/>
                      <wp:docPr id="167" name="Frame166"/>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9215" cy="175260"/>
                      <wp:effectExtent l="0" t="0" r="0" b="0"/>
                      <wp:wrapNone/>
                      <wp:docPr id="168" name="Frame16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8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437515" cy="175260"/>
                      <wp:effectExtent l="0" t="0" r="0" b="0"/>
                      <wp:wrapNone/>
                      <wp:docPr id="169" name="Frame168"/>
                      <a:graphic xmlns:a="http://schemas.openxmlformats.org/drawingml/2006/main">
                        <a:graphicData uri="http://schemas.microsoft.com/office/word/2010/wordprocessingShape">
                          <wps:wsp>
                            <wps:cNvSpPr txBox="1"/>
                            <wps:spPr>
                              <a:xfrm>
                                <a:off x="0" y="0"/>
                                <a:ext cx="4375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30810" cy="175260"/>
                      <wp:effectExtent l="0" t="0" r="0" b="0"/>
                      <wp:wrapNone/>
                      <wp:docPr id="170" name="Frame169"/>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302895" cy="175260"/>
                      <wp:effectExtent l="0" t="0" r="0" b="0"/>
                      <wp:wrapNone/>
                      <wp:docPr id="171" name="Frame170"/>
                      <a:graphic xmlns:a="http://schemas.openxmlformats.org/drawingml/2006/main">
                        <a:graphicData uri="http://schemas.microsoft.com/office/word/2010/wordprocessingShape">
                          <wps:wsp>
                            <wps:cNvSpPr txBox="1"/>
                            <wps:spPr>
                              <a:xfrm>
                                <a:off x="0" y="0"/>
                                <a:ext cx="3028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332"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jc w:val="center"/>
              <w:rPr/>
            </w:pPr>
            <w:r>
              <w:rPr/>
              <w:t>​</w:t>
            </w:r>
          </w:p>
        </w:tc>
        <w:tc>
          <w:tcPr>
            <w:tcW w:w="198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06" w:type="dxa"/>
            <w:tcBorders/>
            <w:shd w:fill="auto" w:val="clear"/>
            <w:vAlign w:val="center"/>
          </w:tcPr>
          <w:p>
            <w:pPr>
              <w:pStyle w:val="TableContents"/>
              <w:spacing w:before="0" w:after="0"/>
              <w:ind w:left="0" w:right="0" w:hanging="0"/>
              <w:jc w:val="center"/>
              <w:rPr/>
            </w:pPr>
            <w:r>
              <w:rPr/>
              <w:t>​</w:t>
            </w:r>
          </w:p>
        </w:tc>
        <w:tc>
          <w:tcPr>
            <w:tcW w:w="1481" w:type="dxa"/>
            <w:gridSpan w:val="4"/>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 </w:t>
            </w:r>
          </w:p>
        </w:tc>
      </w:tr>
      <w:tr>
        <w:trPr/>
        <w:tc>
          <w:tcPr>
            <w:tcW w:w="6332"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198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206" w:type="dxa"/>
            <w:tcBorders/>
            <w:shd w:fill="auto" w:val="clear"/>
            <w:vAlign w:val="center"/>
          </w:tcPr>
          <w:p>
            <w:pPr>
              <w:pStyle w:val="TableContents"/>
              <w:spacing w:before="0" w:after="0"/>
              <w:ind w:left="0" w:right="0" w:hanging="0"/>
              <w:jc w:val="center"/>
              <w:rPr/>
            </w:pPr>
            <w:r>
              <w:rPr/>
              <w:t>​</w:t>
            </w:r>
          </w:p>
        </w:tc>
        <w:tc>
          <w:tcPr>
            <w:tcW w:w="1481"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r>
      <w:tr>
        <w:trPr/>
        <w:tc>
          <w:tcPr>
            <w:tcW w:w="6332"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0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206" w:type="dxa"/>
            <w:tcBorders/>
            <w:shd w:fill="auto" w:val="clear"/>
            <w:vAlign w:val="center"/>
          </w:tcPr>
          <w:p>
            <w:pPr>
              <w:pStyle w:val="TableContents"/>
              <w:spacing w:before="0" w:after="0"/>
              <w:ind w:left="0" w:right="0" w:hanging="0"/>
              <w:jc w:val="center"/>
              <w:rPr/>
            </w:pPr>
            <w:r>
              <w:rPr/>
              <w:t>  </w:t>
            </w:r>
          </w:p>
        </w:tc>
        <w:tc>
          <w:tcPr>
            <w:tcW w:w="79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06" w:type="dxa"/>
            <w:tcBorders/>
            <w:shd w:fill="auto" w:val="clear"/>
            <w:vAlign w:val="center"/>
          </w:tcPr>
          <w:p>
            <w:pPr>
              <w:pStyle w:val="TableContents"/>
              <w:spacing w:before="0" w:after="0"/>
              <w:ind w:left="0" w:right="0" w:hanging="0"/>
              <w:jc w:val="center"/>
              <w:rPr/>
            </w:pPr>
            <w:r>
              <w:rPr/>
              <w:t>  </w:t>
            </w:r>
          </w:p>
        </w:tc>
        <w:tc>
          <w:tcPr>
            <w:tcW w:w="477"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633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Research and development expense</w:t>
            </w:r>
          </w:p>
        </w:tc>
        <w:tc>
          <w:tcPr>
            <w:tcW w:w="20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82,734</w:t>
            </w:r>
          </w:p>
        </w:tc>
        <w:tc>
          <w:tcPr>
            <w:tcW w:w="20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68,300</w:t>
            </w:r>
          </w:p>
        </w:tc>
        <w:tc>
          <w:tcPr>
            <w:tcW w:w="20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68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14,434</w:t>
            </w:r>
          </w:p>
        </w:tc>
        <w:tc>
          <w:tcPr>
            <w:tcW w:w="206" w:type="dxa"/>
            <w:tcBorders/>
            <w:shd w:fill="CCEEFF" w:val="clear"/>
            <w:vAlign w:val="center"/>
          </w:tcPr>
          <w:p>
            <w:pPr>
              <w:pStyle w:val="TableContents"/>
              <w:spacing w:before="0" w:after="0"/>
              <w:ind w:left="0" w:right="0" w:hanging="0"/>
              <w:jc w:val="right"/>
              <w:rPr/>
            </w:pPr>
            <w:r>
              <w:rPr/>
              <w:t>​</w:t>
            </w:r>
          </w:p>
        </w:tc>
        <w:tc>
          <w:tcPr>
            <w:tcW w:w="47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633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Stock-based compensation expense included in research and development expense</w:t>
            </w:r>
          </w:p>
        </w:tc>
        <w:tc>
          <w:tcPr>
            <w:tcW w:w="20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8,859</w:t>
            </w:r>
          </w:p>
        </w:tc>
        <w:tc>
          <w:tcPr>
            <w:tcW w:w="20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13,651</w:t>
            </w:r>
          </w:p>
        </w:tc>
        <w:tc>
          <w:tcPr>
            <w:tcW w:w="20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68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(4,792)</w:t>
            </w:r>
          </w:p>
        </w:tc>
        <w:tc>
          <w:tcPr>
            <w:tcW w:w="206" w:type="dxa"/>
            <w:tcBorders/>
            <w:shd w:fill="auto" w:val="clear"/>
            <w:vAlign w:val="center"/>
          </w:tcPr>
          <w:p>
            <w:pPr>
              <w:pStyle w:val="TableContents"/>
              <w:spacing w:before="0" w:after="0"/>
              <w:ind w:left="0" w:right="0" w:hanging="0"/>
              <w:jc w:val="right"/>
              <w:rPr/>
            </w:pPr>
            <w:r>
              <w:rPr/>
              <w:t>​</w:t>
            </w:r>
          </w:p>
        </w:tc>
        <w:tc>
          <w:tcPr>
            <w:tcW w:w="47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Research and development expense for the three months ended March 31, 2023 increased by $14.4 million, or 21%, compared to the same period in 2022. The increase was primarily attributable to (i) a $10.0 million increase in payroll and related expenses, driven by increased hiring of research and development employees to support our ongoing and planned clinical development activities, (ii) a $4.0 million increase in clinical trial costs driven primarily by the initiation of our Phase 3 TILVANCE-301 clinical trial, (iii) a $2.6 million increase in manufacturing costs driven by activities associated with qualifying </w:t>
      </w:r>
      <w:r>
        <w:rPr>
          <w:rFonts w:ascii="Times New Roman;Times;serif" w:hAnsi="Times New Roman;Times;serif"/>
          <w:i/>
          <w:sz w:val="20"/>
        </w:rPr>
        <w:t>i</w:t>
      </w:r>
      <w:r>
        <w:rPr>
          <w:rFonts w:ascii="Times New Roman;Times;serif" w:hAnsi="Times New Roman;Times;serif"/>
          <w:sz w:val="20"/>
        </w:rPr>
        <w:t xml:space="preserve">CTC suites for commercial manufacturing readiness, and (iv) a $2.6 million increase in other costs, including facility and related costs associated with the second phase of the </w:t>
      </w:r>
      <w:r>
        <w:rPr>
          <w:rFonts w:ascii="Times New Roman;Times;serif" w:hAnsi="Times New Roman;Times;serif"/>
          <w:i/>
          <w:sz w:val="20"/>
        </w:rPr>
        <w:t>i</w:t>
      </w:r>
      <w:r>
        <w:rPr>
          <w:rFonts w:ascii="Times New Roman;Times;serif" w:hAnsi="Times New Roman;Times;serif"/>
          <w:sz w:val="20"/>
        </w:rPr>
        <w:t>CTC build-out intended to expand manufacturing capacity, research alliance activities, costs associated with travel, and license costs related to the expansion of our information technology infrastructure to support our clinical activities. These expenses were partially offset by a $4.8 million decrease in stock-based compensation expenses primarily driven by lower average stock price.</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General and administrative expense (in thousands)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6301"/>
        <w:gridCol w:w="206"/>
        <w:gridCol w:w="211"/>
        <w:gridCol w:w="676"/>
        <w:gridCol w:w="206"/>
        <w:gridCol w:w="211"/>
        <w:gridCol w:w="676"/>
        <w:gridCol w:w="206"/>
        <w:gridCol w:w="146"/>
        <w:gridCol w:w="684"/>
        <w:gridCol w:w="206"/>
        <w:gridCol w:w="476"/>
      </w:tblGrid>
      <w:tr>
        <w:trPr/>
        <w:tc>
          <w:tcPr>
            <w:tcW w:w="63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4001135" cy="175260"/>
                      <wp:effectExtent l="0" t="0" r="0" b="0"/>
                      <wp:wrapNone/>
                      <wp:docPr id="172" name="Frame171"/>
                      <a:graphic xmlns:a="http://schemas.openxmlformats.org/drawingml/2006/main">
                        <a:graphicData uri="http://schemas.microsoft.com/office/word/2010/wordprocessingShape">
                          <wps:wsp>
                            <wps:cNvSpPr txBox="1"/>
                            <wps:spPr>
                              <a:xfrm>
                                <a:off x="0" y="0"/>
                                <a:ext cx="4001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30810" cy="175260"/>
                      <wp:effectExtent l="0" t="0" r="0" b="0"/>
                      <wp:wrapNone/>
                      <wp:docPr id="173" name="Frame172"/>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33985" cy="175260"/>
                      <wp:effectExtent l="0" t="0" r="0" b="0"/>
                      <wp:wrapNone/>
                      <wp:docPr id="174" name="Frame17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429260" cy="175260"/>
                      <wp:effectExtent l="0" t="0" r="0" b="0"/>
                      <wp:wrapNone/>
                      <wp:docPr id="175" name="Frame174"/>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30810" cy="175260"/>
                      <wp:effectExtent l="0" t="0" r="0" b="0"/>
                      <wp:wrapNone/>
                      <wp:docPr id="176" name="Frame175"/>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33985" cy="175260"/>
                      <wp:effectExtent l="0" t="0" r="0" b="0"/>
                      <wp:wrapNone/>
                      <wp:docPr id="177" name="Frame17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429260" cy="175260"/>
                      <wp:effectExtent l="0" t="0" r="0" b="0"/>
                      <wp:wrapNone/>
                      <wp:docPr id="178" name="Frame177"/>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30810" cy="175260"/>
                      <wp:effectExtent l="0" t="0" r="0" b="0"/>
                      <wp:wrapNone/>
                      <wp:docPr id="179" name="Frame178"/>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92710" cy="175260"/>
                      <wp:effectExtent l="0" t="0" r="0" b="0"/>
                      <wp:wrapNone/>
                      <wp:docPr id="180" name="Frame179"/>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434340" cy="175260"/>
                      <wp:effectExtent l="0" t="0" r="0" b="0"/>
                      <wp:wrapNone/>
                      <wp:docPr id="181" name="Frame180"/>
                      <a:graphic xmlns:a="http://schemas.openxmlformats.org/drawingml/2006/main">
                        <a:graphicData uri="http://schemas.microsoft.com/office/word/2010/wordprocessingShape">
                          <wps:wsp>
                            <wps:cNvSpPr txBox="1"/>
                            <wps:spPr>
                              <a:xfrm>
                                <a:off x="0" y="0"/>
                                <a:ext cx="4343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30810" cy="175260"/>
                      <wp:effectExtent l="0" t="0" r="0" b="0"/>
                      <wp:wrapNone/>
                      <wp:docPr id="182" name="Frame181"/>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302260" cy="175260"/>
                      <wp:effectExtent l="0" t="0" r="0" b="0"/>
                      <wp:wrapNone/>
                      <wp:docPr id="183" name="Frame182"/>
                      <a:graphic xmlns:a="http://schemas.openxmlformats.org/drawingml/2006/main">
                        <a:graphicData uri="http://schemas.microsoft.com/office/word/2010/wordprocessingShape">
                          <wps:wsp>
                            <wps:cNvSpPr txBox="1"/>
                            <wps:spPr>
                              <a:xfrm>
                                <a:off x="0" y="0"/>
                                <a:ext cx="302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301"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jc w:val="center"/>
              <w:rPr/>
            </w:pPr>
            <w:r>
              <w:rPr/>
              <w:t>​</w:t>
            </w:r>
          </w:p>
        </w:tc>
        <w:tc>
          <w:tcPr>
            <w:tcW w:w="198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06" w:type="dxa"/>
            <w:tcBorders/>
            <w:shd w:fill="auto" w:val="clear"/>
            <w:vAlign w:val="center"/>
          </w:tcPr>
          <w:p>
            <w:pPr>
              <w:pStyle w:val="TableContents"/>
              <w:spacing w:before="0" w:after="0"/>
              <w:ind w:left="0" w:right="0" w:hanging="0"/>
              <w:jc w:val="center"/>
              <w:rPr/>
            </w:pPr>
            <w:r>
              <w:rPr/>
              <w:t>​</w:t>
            </w:r>
          </w:p>
        </w:tc>
        <w:tc>
          <w:tcPr>
            <w:tcW w:w="1512" w:type="dxa"/>
            <w:gridSpan w:val="4"/>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 </w:t>
            </w:r>
          </w:p>
        </w:tc>
      </w:tr>
      <w:tr>
        <w:trPr/>
        <w:tc>
          <w:tcPr>
            <w:tcW w:w="6301"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jc w:val="center"/>
              <w:rPr/>
            </w:pPr>
            <w:r>
              <w:rPr/>
              <w:t>​</w:t>
            </w:r>
          </w:p>
        </w:tc>
        <w:tc>
          <w:tcPr>
            <w:tcW w:w="198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206" w:type="dxa"/>
            <w:tcBorders/>
            <w:shd w:fill="auto" w:val="clear"/>
            <w:vAlign w:val="center"/>
          </w:tcPr>
          <w:p>
            <w:pPr>
              <w:pStyle w:val="TableContents"/>
              <w:spacing w:before="0" w:after="0"/>
              <w:ind w:left="0" w:right="0" w:hanging="0"/>
              <w:jc w:val="center"/>
              <w:rPr/>
            </w:pPr>
            <w:r>
              <w:rPr/>
              <w:t>​</w:t>
            </w:r>
          </w:p>
        </w:tc>
        <w:tc>
          <w:tcPr>
            <w:tcW w:w="1512"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r>
      <w:tr>
        <w:trPr/>
        <w:tc>
          <w:tcPr>
            <w:tcW w:w="6301"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0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206" w:type="dxa"/>
            <w:tcBorders/>
            <w:shd w:fill="auto" w:val="clear"/>
            <w:vAlign w:val="center"/>
          </w:tcPr>
          <w:p>
            <w:pPr>
              <w:pStyle w:val="TableContents"/>
              <w:spacing w:before="0" w:after="0"/>
              <w:ind w:left="0" w:right="0" w:hanging="0"/>
              <w:jc w:val="center"/>
              <w:rPr/>
            </w:pPr>
            <w:r>
              <w:rPr/>
              <w:t>  </w:t>
            </w:r>
          </w:p>
        </w:tc>
        <w:tc>
          <w:tcPr>
            <w:tcW w:w="83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06" w:type="dxa"/>
            <w:tcBorders/>
            <w:shd w:fill="auto" w:val="clear"/>
            <w:vAlign w:val="center"/>
          </w:tcPr>
          <w:p>
            <w:pPr>
              <w:pStyle w:val="TableContents"/>
              <w:spacing w:before="0" w:after="0"/>
              <w:ind w:left="0" w:right="0" w:hanging="0"/>
              <w:jc w:val="center"/>
              <w:rPr/>
            </w:pPr>
            <w:r>
              <w:rPr/>
              <w:t>  </w:t>
            </w:r>
          </w:p>
        </w:tc>
        <w:tc>
          <w:tcPr>
            <w:tcW w:w="4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63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General and administrative expense</w:t>
            </w:r>
          </w:p>
        </w:tc>
        <w:tc>
          <w:tcPr>
            <w:tcW w:w="20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28,122</w:t>
            </w:r>
          </w:p>
        </w:tc>
        <w:tc>
          <w:tcPr>
            <w:tcW w:w="20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23,413</w:t>
            </w:r>
          </w:p>
        </w:tc>
        <w:tc>
          <w:tcPr>
            <w:tcW w:w="206"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68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4,709</w:t>
            </w:r>
          </w:p>
        </w:tc>
        <w:tc>
          <w:tcPr>
            <w:tcW w:w="206" w:type="dxa"/>
            <w:tcBorders/>
            <w:shd w:fill="CCEEFF" w:val="clear"/>
            <w:vAlign w:val="center"/>
          </w:tcPr>
          <w:p>
            <w:pPr>
              <w:pStyle w:val="TableContents"/>
              <w:spacing w:before="0" w:after="0"/>
              <w:ind w:left="0" w:right="0" w:hanging="0"/>
              <w:jc w:val="right"/>
              <w:rPr/>
            </w:pPr>
            <w:r>
              <w:rPr/>
              <w:t>​</w:t>
            </w:r>
          </w:p>
        </w:tc>
        <w:tc>
          <w:tcPr>
            <w:tcW w:w="4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63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Stock-based compensation expense included in general and administrative expense</w:t>
            </w:r>
          </w:p>
        </w:tc>
        <w:tc>
          <w:tcPr>
            <w:tcW w:w="20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6,806</w:t>
            </w:r>
          </w:p>
        </w:tc>
        <w:tc>
          <w:tcPr>
            <w:tcW w:w="20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8,614</w:t>
            </w:r>
          </w:p>
        </w:tc>
        <w:tc>
          <w:tcPr>
            <w:tcW w:w="20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 </w:t>
            </w:r>
          </w:p>
        </w:tc>
        <w:tc>
          <w:tcPr>
            <w:tcW w:w="68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(1,808)</w:t>
            </w:r>
          </w:p>
        </w:tc>
        <w:tc>
          <w:tcPr>
            <w:tcW w:w="206" w:type="dxa"/>
            <w:tcBorders/>
            <w:shd w:fill="auto" w:val="clear"/>
            <w:vAlign w:val="center"/>
          </w:tcPr>
          <w:p>
            <w:pPr>
              <w:pStyle w:val="TableContents"/>
              <w:spacing w:before="0" w:after="0"/>
              <w:ind w:left="0" w:right="0" w:hanging="0"/>
              <w:jc w:val="right"/>
              <w:rPr/>
            </w:pPr>
            <w:r>
              <w:rPr/>
              <w:t>​</w:t>
            </w:r>
          </w:p>
        </w:tc>
        <w:tc>
          <w:tcPr>
            <w:tcW w:w="4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bl>
    <w:p>
      <w:pPr>
        <w:pStyle w:val="TextBody"/>
        <w:spacing w:before="0" w:after="0"/>
        <w:ind w:left="0" w:right="0" w:hanging="0"/>
        <w:jc w:val="both"/>
        <w:rPr/>
      </w:pPr>
      <w:r>
        <w:rPr/>
        <w:t>​</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 xml:space="preserve">General and administrative expenses for the three months ended March 31, 2023 increased by $4.7 million, or 20%, compared to the same period in 2022. The increase was primarily attributable to (i) a $5.2 million increase in payroll and related expenses, resulting from increases in headcount to support the growth in the overall business and related corporate infrastructure, as well as the growth of our commercial organization to support our commercial readiness activities, and (ii) a $2.0 million increase in legal and other professional fees to support the Proleukin® acquisition. These expenses were partially offset by a $1.8 million decrease in stock-based compensation expenses, primarily driven by lower average stock price, and a $0.7 million decrease in marketing and advertising due to the timing of spend to align with the expected timing of the BLA approval.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Interest income, net (in thousands)</w:t>
      </w:r>
    </w:p>
    <w:p>
      <w:pPr>
        <w:pStyle w:val="TextBody"/>
        <w:spacing w:before="0" w:after="0"/>
        <w:ind w:left="0" w:right="0" w:hanging="0"/>
        <w:rPr/>
      </w:pPr>
      <w:r>
        <w:rPr/>
        <w:t>​</w:t>
      </w:r>
    </w:p>
    <w:tbl>
      <w:tblPr>
        <w:tblW w:w="5346" w:type="dxa"/>
        <w:jc w:val="left"/>
        <w:tblInd w:w="0" w:type="dxa"/>
        <w:tblCellMar>
          <w:top w:w="0" w:type="dxa"/>
          <w:left w:w="0" w:type="dxa"/>
          <w:bottom w:w="0" w:type="dxa"/>
          <w:right w:w="0" w:type="dxa"/>
        </w:tblCellMar>
      </w:tblPr>
      <w:tblGrid>
        <w:gridCol w:w="1711"/>
        <w:gridCol w:w="206"/>
        <w:gridCol w:w="215"/>
        <w:gridCol w:w="581"/>
        <w:gridCol w:w="209"/>
        <w:gridCol w:w="215"/>
        <w:gridCol w:w="429"/>
        <w:gridCol w:w="206"/>
        <w:gridCol w:w="109"/>
        <w:gridCol w:w="571"/>
        <w:gridCol w:w="206"/>
        <w:gridCol w:w="688"/>
      </w:tblGrid>
      <w:tr>
        <w:trPr/>
        <w:tc>
          <w:tcPr>
            <w:tcW w:w="17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086485" cy="175260"/>
                      <wp:effectExtent l="0" t="0" r="0" b="0"/>
                      <wp:wrapNone/>
                      <wp:docPr id="184" name="Frame183"/>
                      <a:graphic xmlns:a="http://schemas.openxmlformats.org/drawingml/2006/main">
                        <a:graphicData uri="http://schemas.microsoft.com/office/word/2010/wordprocessingShape">
                          <wps:wsp>
                            <wps:cNvSpPr txBox="1"/>
                            <wps:spPr>
                              <a:xfrm>
                                <a:off x="0" y="0"/>
                                <a:ext cx="1086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30810" cy="175260"/>
                      <wp:effectExtent l="0" t="0" r="0" b="0"/>
                      <wp:wrapNone/>
                      <wp:docPr id="185" name="Frame184"/>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36525" cy="175260"/>
                      <wp:effectExtent l="0" t="0" r="0" b="0"/>
                      <wp:wrapNone/>
                      <wp:docPr id="186" name="Frame185"/>
                      <a:graphic xmlns:a="http://schemas.openxmlformats.org/drawingml/2006/main">
                        <a:graphicData uri="http://schemas.microsoft.com/office/word/2010/wordprocessingShape">
                          <wps:wsp>
                            <wps:cNvSpPr txBox="1"/>
                            <wps:spPr>
                              <a:xfrm>
                                <a:off x="0" y="0"/>
                                <a:ext cx="1365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368935" cy="175260"/>
                      <wp:effectExtent l="0" t="0" r="0" b="0"/>
                      <wp:wrapNone/>
                      <wp:docPr id="187" name="Frame186"/>
                      <a:graphic xmlns:a="http://schemas.openxmlformats.org/drawingml/2006/main">
                        <a:graphicData uri="http://schemas.microsoft.com/office/word/2010/wordprocessingShape">
                          <wps:wsp>
                            <wps:cNvSpPr txBox="1"/>
                            <wps:spPr>
                              <a:xfrm>
                                <a:off x="0" y="0"/>
                                <a:ext cx="368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32715" cy="175260"/>
                      <wp:effectExtent l="0" t="0" r="0" b="0"/>
                      <wp:wrapNone/>
                      <wp:docPr id="188" name="Frame187"/>
                      <a:graphic xmlns:a="http://schemas.openxmlformats.org/drawingml/2006/main">
                        <a:graphicData uri="http://schemas.microsoft.com/office/word/2010/wordprocessingShape">
                          <wps:wsp>
                            <wps:cNvSpPr txBox="1"/>
                            <wps:spPr>
                              <a:xfrm>
                                <a:off x="0" y="0"/>
                                <a:ext cx="1327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36525" cy="175260"/>
                      <wp:effectExtent l="0" t="0" r="0" b="0"/>
                      <wp:wrapNone/>
                      <wp:docPr id="189" name="Frame188"/>
                      <a:graphic xmlns:a="http://schemas.openxmlformats.org/drawingml/2006/main">
                        <a:graphicData uri="http://schemas.microsoft.com/office/word/2010/wordprocessingShape">
                          <wps:wsp>
                            <wps:cNvSpPr txBox="1"/>
                            <wps:spPr>
                              <a:xfrm>
                                <a:off x="0" y="0"/>
                                <a:ext cx="1365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72415" cy="175260"/>
                      <wp:effectExtent l="0" t="0" r="0" b="0"/>
                      <wp:wrapNone/>
                      <wp:docPr id="190" name="Frame189"/>
                      <a:graphic xmlns:a="http://schemas.openxmlformats.org/drawingml/2006/main">
                        <a:graphicData uri="http://schemas.microsoft.com/office/word/2010/wordprocessingShape">
                          <wps:wsp>
                            <wps:cNvSpPr txBox="1"/>
                            <wps:spPr>
                              <a:xfrm>
                                <a:off x="0" y="0"/>
                                <a:ext cx="2724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0810" cy="175260"/>
                      <wp:effectExtent l="0" t="0" r="0" b="0"/>
                      <wp:wrapNone/>
                      <wp:docPr id="191" name="Frame190"/>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9215" cy="175260"/>
                      <wp:effectExtent l="0" t="0" r="0" b="0"/>
                      <wp:wrapNone/>
                      <wp:docPr id="192" name="Frame19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362585" cy="175260"/>
                      <wp:effectExtent l="0" t="0" r="0" b="0"/>
                      <wp:wrapNone/>
                      <wp:docPr id="193" name="Frame192"/>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30810" cy="175260"/>
                      <wp:effectExtent l="0" t="0" r="0" b="0"/>
                      <wp:wrapNone/>
                      <wp:docPr id="194" name="Frame193"/>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436880" cy="175260"/>
                      <wp:effectExtent l="0" t="0" r="0" b="0"/>
                      <wp:wrapNone/>
                      <wp:docPr id="195" name="Frame194"/>
                      <a:graphic xmlns:a="http://schemas.openxmlformats.org/drawingml/2006/main">
                        <a:graphicData uri="http://schemas.microsoft.com/office/word/2010/wordprocessingShape">
                          <wps:wsp>
                            <wps:cNvSpPr txBox="1"/>
                            <wps:spPr>
                              <a:xfrm>
                                <a:off x="0" y="0"/>
                                <a:ext cx="4368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711"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jc w:val="center"/>
              <w:rPr/>
            </w:pPr>
            <w:r>
              <w:rPr/>
              <w:t>​</w:t>
            </w:r>
          </w:p>
        </w:tc>
        <w:tc>
          <w:tcPr>
            <w:tcW w:w="1649"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06" w:type="dxa"/>
            <w:tcBorders/>
            <w:shd w:fill="auto" w:val="clear"/>
            <w:vAlign w:val="center"/>
          </w:tcPr>
          <w:p>
            <w:pPr>
              <w:pStyle w:val="TableContents"/>
              <w:spacing w:before="0" w:after="0"/>
              <w:ind w:left="0" w:right="0" w:hanging="0"/>
              <w:jc w:val="center"/>
              <w:rPr/>
            </w:pPr>
            <w:r>
              <w:rPr/>
              <w:t>​</w:t>
            </w:r>
          </w:p>
        </w:tc>
        <w:tc>
          <w:tcPr>
            <w:tcW w:w="1574" w:type="dxa"/>
            <w:gridSpan w:val="4"/>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 </w:t>
            </w:r>
          </w:p>
        </w:tc>
      </w:tr>
      <w:tr>
        <w:trPr/>
        <w:tc>
          <w:tcPr>
            <w:tcW w:w="1711"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jc w:val="center"/>
              <w:rPr/>
            </w:pPr>
            <w:r>
              <w:rPr/>
              <w:t>​</w:t>
            </w:r>
          </w:p>
        </w:tc>
        <w:tc>
          <w:tcPr>
            <w:tcW w:w="1649"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206" w:type="dxa"/>
            <w:tcBorders/>
            <w:shd w:fill="auto" w:val="clear"/>
            <w:vAlign w:val="center"/>
          </w:tcPr>
          <w:p>
            <w:pPr>
              <w:pStyle w:val="TableContents"/>
              <w:spacing w:before="0" w:after="0"/>
              <w:ind w:left="0" w:right="0" w:hanging="0"/>
              <w:jc w:val="center"/>
              <w:rPr/>
            </w:pPr>
            <w:r>
              <w:rPr/>
              <w:t>​</w:t>
            </w:r>
          </w:p>
        </w:tc>
        <w:tc>
          <w:tcPr>
            <w:tcW w:w="1574"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r>
      <w:tr>
        <w:trPr/>
        <w:tc>
          <w:tcPr>
            <w:tcW w:w="1711"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jc w:val="center"/>
              <w:rPr/>
            </w:pPr>
            <w:r>
              <w:rPr/>
              <w:t>  </w:t>
            </w:r>
          </w:p>
        </w:tc>
        <w:tc>
          <w:tcPr>
            <w:tcW w:w="79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09" w:type="dxa"/>
            <w:tcBorders/>
            <w:shd w:fill="auto" w:val="clear"/>
            <w:vAlign w:val="center"/>
          </w:tcPr>
          <w:p>
            <w:pPr>
              <w:pStyle w:val="TableContents"/>
              <w:spacing w:before="0" w:after="0"/>
              <w:ind w:left="0" w:right="0" w:hanging="0"/>
              <w:jc w:val="center"/>
              <w:rPr/>
            </w:pPr>
            <w:r>
              <w:rPr/>
              <w:t>  </w:t>
            </w:r>
          </w:p>
        </w:tc>
        <w:tc>
          <w:tcPr>
            <w:tcW w:w="64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206" w:type="dxa"/>
            <w:tcBorders/>
            <w:shd w:fill="auto" w:val="clear"/>
            <w:vAlign w:val="center"/>
          </w:tcPr>
          <w:p>
            <w:pPr>
              <w:pStyle w:val="TableContents"/>
              <w:spacing w:before="0" w:after="0"/>
              <w:ind w:left="0" w:right="0" w:hanging="0"/>
              <w:jc w:val="center"/>
              <w:rPr/>
            </w:pPr>
            <w:r>
              <w:rPr/>
              <w:t>  </w:t>
            </w:r>
          </w:p>
        </w:tc>
        <w:tc>
          <w:tcPr>
            <w:tcW w:w="6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06" w:type="dxa"/>
            <w:tcBorders/>
            <w:shd w:fill="auto" w:val="clear"/>
            <w:vAlign w:val="center"/>
          </w:tcPr>
          <w:p>
            <w:pPr>
              <w:pStyle w:val="TableContents"/>
              <w:spacing w:before="0" w:after="0"/>
              <w:ind w:left="0" w:right="0" w:hanging="0"/>
              <w:jc w:val="center"/>
              <w:rPr/>
            </w:pPr>
            <w:r>
              <w:rPr/>
              <w:t>  </w:t>
            </w:r>
          </w:p>
        </w:tc>
        <w:tc>
          <w:tcPr>
            <w:tcW w:w="68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7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income, net</w:t>
            </w:r>
          </w:p>
        </w:tc>
        <w:tc>
          <w:tcPr>
            <w:tcW w:w="206"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3,486</w:t>
            </w:r>
          </w:p>
        </w:tc>
        <w:tc>
          <w:tcPr>
            <w:tcW w:w="209"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20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3,380</w:t>
            </w:r>
          </w:p>
        </w:tc>
        <w:tc>
          <w:tcPr>
            <w:tcW w:w="206" w:type="dxa"/>
            <w:tcBorders/>
            <w:shd w:fill="CCEEFF" w:val="clear"/>
            <w:vAlign w:val="center"/>
          </w:tcPr>
          <w:p>
            <w:pPr>
              <w:pStyle w:val="TableContents"/>
              <w:spacing w:before="0" w:after="0"/>
              <w:ind w:left="0" w:right="0" w:hanging="0"/>
              <w:jc w:val="right"/>
              <w:rPr/>
            </w:pPr>
            <w:r>
              <w:rPr/>
              <w:t>​</w:t>
            </w:r>
          </w:p>
        </w:tc>
        <w:tc>
          <w:tcPr>
            <w:tcW w:w="688" w:type="dxa"/>
            <w:tcBorders/>
            <w:shd w:fill="CCEEFF" w:val="cle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3,189</w:t>
            </w:r>
          </w:p>
        </w:tc>
      </w:tr>
    </w:tbl>
    <w:p>
      <w:pPr>
        <w:pStyle w:val="TextBody"/>
        <w:spacing w:before="0" w:after="0"/>
        <w:ind w:left="0" w:right="0" w:hanging="0"/>
        <w:rPr/>
      </w:pPr>
      <w:r>
        <w:rPr/>
        <w:t>​</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Interest income, net for the three months ended March 31, 2023 and 2022 increased by $3.4 million, or 3,189%, primarily due to a recent increase in interest rates and higher interest received on our cash, cash equivalents and investment portfolio.</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Net loss (in thousands)</w:t>
      </w:r>
    </w:p>
    <w:p>
      <w:pPr>
        <w:pStyle w:val="TextBody"/>
        <w:spacing w:before="0" w:after="0"/>
        <w:ind w:left="0" w:right="0" w:hanging="0"/>
        <w:jc w:val="both"/>
        <w:rPr/>
      </w:pPr>
      <w:r>
        <w:rPr/>
        <w:t>​</w:t>
      </w:r>
    </w:p>
    <w:tbl>
      <w:tblPr>
        <w:tblW w:w="5047" w:type="dxa"/>
        <w:jc w:val="left"/>
        <w:tblInd w:w="0" w:type="dxa"/>
        <w:tblCellMar>
          <w:top w:w="0" w:type="dxa"/>
          <w:left w:w="0" w:type="dxa"/>
          <w:bottom w:w="0" w:type="dxa"/>
          <w:right w:w="0" w:type="dxa"/>
        </w:tblCellMar>
      </w:tblPr>
      <w:tblGrid>
        <w:gridCol w:w="766"/>
        <w:gridCol w:w="206"/>
        <w:gridCol w:w="211"/>
        <w:gridCol w:w="901"/>
        <w:gridCol w:w="206"/>
        <w:gridCol w:w="211"/>
        <w:gridCol w:w="796"/>
        <w:gridCol w:w="206"/>
        <w:gridCol w:w="109"/>
        <w:gridCol w:w="796"/>
        <w:gridCol w:w="206"/>
        <w:gridCol w:w="433"/>
      </w:tblGrid>
      <w:tr>
        <w:trPr/>
        <w:tc>
          <w:tcPr>
            <w:tcW w:w="7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486410" cy="175260"/>
                      <wp:effectExtent l="0" t="0" r="0" b="0"/>
                      <wp:wrapNone/>
                      <wp:docPr id="196" name="Frame195"/>
                      <a:graphic xmlns:a="http://schemas.openxmlformats.org/drawingml/2006/main">
                        <a:graphicData uri="http://schemas.microsoft.com/office/word/2010/wordprocessingShape">
                          <wps:wsp>
                            <wps:cNvSpPr txBox="1"/>
                            <wps:spPr>
                              <a:xfrm>
                                <a:off x="0" y="0"/>
                                <a:ext cx="486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30810" cy="175260"/>
                      <wp:effectExtent l="0" t="0" r="0" b="0"/>
                      <wp:wrapNone/>
                      <wp:docPr id="197" name="Frame196"/>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33985" cy="175260"/>
                      <wp:effectExtent l="0" t="0" r="0" b="0"/>
                      <wp:wrapNone/>
                      <wp:docPr id="198" name="Frame19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572135" cy="175260"/>
                      <wp:effectExtent l="0" t="0" r="0" b="0"/>
                      <wp:wrapNone/>
                      <wp:docPr id="199" name="Frame198"/>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30810" cy="175260"/>
                      <wp:effectExtent l="0" t="0" r="0" b="0"/>
                      <wp:wrapNone/>
                      <wp:docPr id="200" name="Frame199"/>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33985" cy="175260"/>
                      <wp:effectExtent l="0" t="0" r="0" b="0"/>
                      <wp:wrapNone/>
                      <wp:docPr id="201" name="Frame20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505460" cy="175260"/>
                      <wp:effectExtent l="0" t="0" r="0" b="0"/>
                      <wp:wrapNone/>
                      <wp:docPr id="202" name="Frame201"/>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30810" cy="175260"/>
                      <wp:effectExtent l="0" t="0" r="0" b="0"/>
                      <wp:wrapNone/>
                      <wp:docPr id="203" name="Frame202"/>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9215" cy="175260"/>
                      <wp:effectExtent l="0" t="0" r="0" b="0"/>
                      <wp:wrapNone/>
                      <wp:docPr id="204" name="Frame20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505460" cy="175260"/>
                      <wp:effectExtent l="0" t="0" r="0" b="0"/>
                      <wp:wrapNone/>
                      <wp:docPr id="205" name="Frame204"/>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30810" cy="175260"/>
                      <wp:effectExtent l="0" t="0" r="0" b="0"/>
                      <wp:wrapNone/>
                      <wp:docPr id="206" name="Frame205"/>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74955" cy="175260"/>
                      <wp:effectExtent l="0" t="0" r="0" b="0"/>
                      <wp:wrapNone/>
                      <wp:docPr id="207" name="Frame206"/>
                      <a:graphic xmlns:a="http://schemas.openxmlformats.org/drawingml/2006/main">
                        <a:graphicData uri="http://schemas.microsoft.com/office/word/2010/wordprocessingShape">
                          <wps:wsp>
                            <wps:cNvSpPr txBox="1"/>
                            <wps:spPr>
                              <a:xfrm>
                                <a:off x="0" y="0"/>
                                <a:ext cx="2749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6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jc w:val="center"/>
              <w:rPr/>
            </w:pPr>
            <w:r>
              <w:rPr/>
              <w:t>​</w:t>
            </w:r>
          </w:p>
        </w:tc>
        <w:tc>
          <w:tcPr>
            <w:tcW w:w="232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06" w:type="dxa"/>
            <w:tcBorders/>
            <w:shd w:fill="auto" w:val="clear"/>
            <w:vAlign w:val="center"/>
          </w:tcPr>
          <w:p>
            <w:pPr>
              <w:pStyle w:val="TableContents"/>
              <w:spacing w:before="0" w:after="0"/>
              <w:ind w:left="0" w:right="0" w:hanging="0"/>
              <w:jc w:val="center"/>
              <w:rPr/>
            </w:pPr>
            <w:r>
              <w:rPr/>
              <w:t>​</w:t>
            </w:r>
          </w:p>
        </w:tc>
        <w:tc>
          <w:tcPr>
            <w:tcW w:w="1544" w:type="dxa"/>
            <w:gridSpan w:val="4"/>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r>
      <w:tr>
        <w:trPr/>
        <w:tc>
          <w:tcPr>
            <w:tcW w:w="76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jc w:val="center"/>
              <w:rPr/>
            </w:pPr>
            <w:r>
              <w:rPr/>
              <w:t>​</w:t>
            </w:r>
          </w:p>
        </w:tc>
        <w:tc>
          <w:tcPr>
            <w:tcW w:w="232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206" w:type="dxa"/>
            <w:tcBorders/>
            <w:shd w:fill="auto" w:val="clear"/>
            <w:vAlign w:val="center"/>
          </w:tcPr>
          <w:p>
            <w:pPr>
              <w:pStyle w:val="TableContents"/>
              <w:spacing w:before="0" w:after="0"/>
              <w:ind w:left="0" w:right="0" w:hanging="0"/>
              <w:jc w:val="center"/>
              <w:rPr/>
            </w:pPr>
            <w:r>
              <w:rPr/>
              <w:t>​</w:t>
            </w:r>
          </w:p>
        </w:tc>
        <w:tc>
          <w:tcPr>
            <w:tcW w:w="1544"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r>
      <w:tr>
        <w:trPr/>
        <w:tc>
          <w:tcPr>
            <w:tcW w:w="76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jc w:val="center"/>
              <w:rPr/>
            </w:pPr>
            <w:r>
              <w:rPr/>
              <w:t>  </w:t>
            </w:r>
          </w:p>
        </w:tc>
        <w:tc>
          <w:tcPr>
            <w:tcW w:w="111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06" w:type="dxa"/>
            <w:tcBorders/>
            <w:shd w:fill="auto" w:val="clear"/>
            <w:vAlign w:val="center"/>
          </w:tcPr>
          <w:p>
            <w:pPr>
              <w:pStyle w:val="TableContents"/>
              <w:spacing w:before="0" w:after="0"/>
              <w:ind w:left="0" w:right="0" w:hanging="0"/>
              <w:jc w:val="center"/>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206" w:type="dxa"/>
            <w:tcBorders/>
            <w:shd w:fill="auto" w:val="clear"/>
            <w:vAlign w:val="center"/>
          </w:tcPr>
          <w:p>
            <w:pPr>
              <w:pStyle w:val="TableContents"/>
              <w:spacing w:before="0" w:after="0"/>
              <w:ind w:left="0" w:right="0" w:hanging="0"/>
              <w:jc w:val="center"/>
              <w:rPr/>
            </w:pPr>
            <w:r>
              <w:rPr/>
              <w:t>  </w:t>
            </w:r>
          </w:p>
        </w:tc>
        <w:tc>
          <w:tcPr>
            <w:tcW w:w="9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06" w:type="dxa"/>
            <w:tcBorders/>
            <w:shd w:fill="auto" w:val="clear"/>
            <w:vAlign w:val="center"/>
          </w:tcPr>
          <w:p>
            <w:pPr>
              <w:pStyle w:val="TableContents"/>
              <w:spacing w:before="0" w:after="0"/>
              <w:ind w:left="0" w:right="0" w:hanging="0"/>
              <w:jc w:val="center"/>
              <w:rPr/>
            </w:pPr>
            <w:r>
              <w:rPr/>
              <w:t>  </w:t>
            </w:r>
          </w:p>
        </w:tc>
        <w:tc>
          <w:tcPr>
            <w:tcW w:w="433"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7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w:t>
            </w:r>
          </w:p>
        </w:tc>
        <w:tc>
          <w:tcPr>
            <w:tcW w:w="20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(107,370)</w:t>
            </w:r>
          </w:p>
        </w:tc>
        <w:tc>
          <w:tcPr>
            <w:tcW w:w="20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(91,607)</w:t>
            </w:r>
          </w:p>
        </w:tc>
        <w:tc>
          <w:tcPr>
            <w:tcW w:w="20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(15,763)</w:t>
            </w:r>
          </w:p>
        </w:tc>
        <w:tc>
          <w:tcPr>
            <w:tcW w:w="206" w:type="dxa"/>
            <w:tcBorders/>
            <w:shd w:fill="CCEEFF" w:val="clear"/>
            <w:vAlign w:val="center"/>
          </w:tcPr>
          <w:p>
            <w:pPr>
              <w:pStyle w:val="TableContents"/>
              <w:spacing w:before="0" w:after="0"/>
              <w:ind w:left="0" w:right="0" w:hanging="0"/>
              <w:jc w:val="right"/>
              <w:rPr/>
            </w:pPr>
            <w:r>
              <w:rPr/>
              <w:t>​</w:t>
            </w:r>
          </w:p>
        </w:tc>
        <w:tc>
          <w:tcPr>
            <w:tcW w:w="433" w:type="dxa"/>
            <w:tcBorders/>
            <w:shd w:fill="CCEEFF" w:val="cle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17</w:t>
            </w:r>
          </w:p>
        </w:tc>
      </w:tr>
    </w:tbl>
    <w:p>
      <w:pPr>
        <w:pStyle w:val="TextBody"/>
        <w:spacing w:before="0" w:after="0"/>
        <w:ind w:left="0" w:right="0" w:hanging="0"/>
        <w:rPr/>
      </w:pPr>
      <w:r>
        <w:rPr/>
        <w:t>​</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Net loss for the three months ended March 31, 2023 increased by $15.8 million, or 17%, compared to the same period in 2022. The increase in our net loss was due to the continued expansion of our research and development activities and the overall growth of our corporate infrastructure, as well as our pre-commercialization activities. We anticipate that we will continue to incur net losses in the future as we further invest in our research and development activities, including our commercial readiness and both clinical and internal development programs.</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Liquidity and Capital Resources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 xml:space="preserve">We have incurred losses and generated negative cash flows from operations since inception. Historically, we have funded our operations from various public and private offerings of our equity securities, both common stock and preferred stock, from option and warrant exercises, and from interest income. Since 2017, our primary source of funds has been from the public sale of our common stock. With the submission of the rolling BLA for lifileucel for advanced melanoma being completed in March 2023 and our expected completion of the closing of the acquisition of the worldwide rights to Proleukin® in the second quarter of 2023, we anticipate generating revenue from the sale of products during the 12 months from the date these Condensed Consolidated Financial Statements are issued, however such revenues may not be material. We expect to continue to incur significant expenses to support our research and development activities, on-going commercial readiness activities and completion of tenant improvements constructed for the </w:t>
      </w:r>
      <w:r>
        <w:rPr>
          <w:rFonts w:ascii="Times New Roman;Times;serif" w:hAnsi="Times New Roman;Times;serif"/>
          <w:i/>
          <w:sz w:val="20"/>
        </w:rPr>
        <w:t>i</w:t>
      </w:r>
      <w:r>
        <w:rPr>
          <w:rFonts w:ascii="Times New Roman;Times;serif" w:hAnsi="Times New Roman;Times;serif"/>
          <w:sz w:val="20"/>
        </w:rPr>
        <w:t xml:space="preserve">CTC facility during the remainder of 2023 and beyond. Specifically, we expect increased spending on clinical trials, research and development, and payroll as we grow our professional and scientific staff and continue our expansion of manufacturing, including the build-out of the second-phase of the </w:t>
      </w:r>
      <w:r>
        <w:rPr>
          <w:rFonts w:ascii="Times New Roman;Times;serif" w:hAnsi="Times New Roman;Times;serif"/>
          <w:i/>
          <w:sz w:val="20"/>
        </w:rPr>
        <w:t>i</w:t>
      </w:r>
      <w:r>
        <w:rPr>
          <w:rFonts w:ascii="Times New Roman;Times;serif" w:hAnsi="Times New Roman;Times;serif"/>
          <w:sz w:val="20"/>
        </w:rPr>
        <w:t>CTC. Based on the funds we have available as of the date of our consolidated financial statements, we believe that we have sufficient capital to fund our anticipated operating expenses and capital expenditures, and the Proleukin® acquisition, as planned for at least the next twelve months from the date these Condensed Consolidated Financial Statements are issued.</w:t>
      </w:r>
    </w:p>
    <w:p>
      <w:pPr>
        <w:pStyle w:val="TextBody"/>
        <w:spacing w:before="0" w:after="200"/>
        <w:ind w:left="0" w:right="0" w:hanging="0"/>
        <w:rPr>
          <w:rFonts w:ascii="Times New Roman;Times;serif" w:hAnsi="Times New Roman;Times;serif"/>
          <w:i/>
          <w:sz w:val="20"/>
        </w:rPr>
      </w:pPr>
      <w:r>
        <w:rPr>
          <w:rFonts w:ascii="Times New Roman;Times;serif" w:hAnsi="Times New Roman;Times;serif"/>
          <w:i/>
          <w:sz w:val="20"/>
        </w:rPr>
        <w:t xml:space="preserve">Corporate Capitalization </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As of March 31, 2023, we had outstanding 224,358,979 shares of our $0.000041666 par value common stock, 194 shares of our $0.001 par value Series A Convertible Preferred Stock, and 2,842,158 shares of our $0.001 par value Series B Convertible Preferred Stock. The outstanding shares of Series A Convertible Preferred Stock are currently convertible into 97,000 shares of our common stock, and the outstanding shares of Series B Convertible Preferred Stock are currently convertible into 2,842,158 shares of our common stock. The shares of Series A Convertible Preferred Stock and Series B Convertible Preferred Stock do not have voting rights or accrue dividends.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 xml:space="preserve">On May 27, 2020, we filed an automatic shelf registration statement with the SEC for the issuance of an indeterminate amount of Shelf Securities, or the 2020 Automatic Shelf Registration Statement, which was immediately effective upon filing with the SEC. </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 xml:space="preserve">On February 8, 2021, we entered into an Open Market Sale Agreement, or the First Sales Agreement, with Jefferies LLC, or Jefferies, with respect to an “at the market” offering program, under which we may, from time to time, in our sole discretion, issue and sell through Jefferies, acting as sales agent, up to $350.0 million of shares of our common stock. </w:t>
      </w:r>
    </w:p>
    <w:p>
      <w:pPr>
        <w:pStyle w:val="TextBody"/>
        <w:spacing w:before="0" w:after="0"/>
        <w:ind w:left="0" w:right="0" w:firstLine="547"/>
        <w:rPr>
          <w:rFonts w:ascii="Times New Roman;Times;serif" w:hAnsi="Times New Roman;Times;serif"/>
          <w:sz w:val="20"/>
          <w:highlight w:val="white"/>
        </w:rPr>
      </w:pPr>
      <w:r>
        <w:rPr>
          <w:rFonts w:ascii="Times New Roman;Times;serif" w:hAnsi="Times New Roman;Times;serif"/>
          <w:sz w:val="20"/>
          <w:highlight w:val="white"/>
        </w:rPr>
        <w:t xml:space="preserve">On November 18, 2022, we entered into a new Open Market Sales Agreement, or the Second Sales Agreement (collectively with the First Sales Agreement, the Sales Agreements) with Jefferies, which superseded and replaced the First Sales Agreement dated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highlight w:val="white"/>
        </w:rPr>
        <w:t>February 8, 2021. Pursuant to the terms of the Second Sales Agreement, we may, from time to time, in our sole discretion, issue and sell through Jefferies, acting as sales agent, up to $500.0 million of shares of our common stock. The issuance and sale, if any, of shares of our common stock under the First Sales Agreement and the Second Sales Agreement will be made pursuant to a prospectus supplement, dated February 8, 2021, and November 18, 2022, respectively, to the 2020 Automatic Shelf Registration Statement. </w:t>
      </w:r>
      <w:r>
        <w:rPr>
          <w:rFonts w:ascii="Times New Roman;Times;serif" w:hAnsi="Times New Roman;Times;serif"/>
          <w:sz w:val="20"/>
        </w:rPr>
        <w:t>For the three months ended March 31, 2023, the Company received approximately $260.1 million in net proceeds, net of offering costs, through the sale of 36,080,226 shares of its common stock through the Sales Agreements at a weighted average price per share of $7.35. No sales were made pursuant to the Sales Agreements during the three months ended March 31, 2022.</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In the future, we may periodically offer one or more of these securities in amounts, prices and terms to be announced when and if the securities are offered. If any of the securities covered by the 2020 Shelf Registration Statement are offered for sale, a prospectus supplement will be prepared and filed with the SEC containing specific information about the terms of such offering at that time.</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Cash Flows</w:t>
      </w:r>
    </w:p>
    <w:p>
      <w:pPr>
        <w:pStyle w:val="TextBody"/>
        <w:spacing w:before="0" w:after="0"/>
        <w:ind w:left="0" w:right="0" w:firstLine="540"/>
        <w:rPr/>
      </w:pPr>
      <w:r>
        <w:rPr/>
        <w:t>​</w:t>
      </w:r>
    </w:p>
    <w:p>
      <w:pPr>
        <w:pStyle w:val="TextBody"/>
        <w:spacing w:before="0" w:after="0"/>
        <w:ind w:left="0" w:right="0" w:firstLine="540"/>
        <w:rPr>
          <w:rFonts w:ascii="Times New Roman;Times;serif" w:hAnsi="Times New Roman;Times;serif"/>
          <w:sz w:val="20"/>
        </w:rPr>
      </w:pPr>
      <w:r>
        <w:rPr>
          <w:rFonts w:ascii="Times New Roman;Times;serif" w:hAnsi="Times New Roman;Times;serif"/>
          <w:sz w:val="20"/>
        </w:rPr>
        <w:t>The following table summarizes our cash flows for the periods indicated (in thousands):</w:t>
      </w:r>
    </w:p>
    <w:p>
      <w:pPr>
        <w:pStyle w:val="TextBody"/>
        <w:spacing w:before="0" w:after="0"/>
        <w:ind w:left="0" w:right="0" w:firstLine="540"/>
        <w:rPr/>
      </w:pPr>
      <w:r>
        <w:rPr/>
        <w:t>​</w:t>
      </w:r>
    </w:p>
    <w:tbl>
      <w:tblPr>
        <w:tblW w:w="7526" w:type="dxa"/>
        <w:jc w:val="left"/>
        <w:tblInd w:w="0" w:type="dxa"/>
        <w:tblCellMar>
          <w:top w:w="0" w:type="dxa"/>
          <w:left w:w="0" w:type="dxa"/>
          <w:bottom w:w="0" w:type="dxa"/>
          <w:right w:w="0" w:type="dxa"/>
        </w:tblCellMar>
      </w:tblPr>
      <w:tblGrid>
        <w:gridCol w:w="4711"/>
        <w:gridCol w:w="326"/>
        <w:gridCol w:w="220"/>
        <w:gridCol w:w="831"/>
        <w:gridCol w:w="340"/>
        <w:gridCol w:w="220"/>
        <w:gridCol w:w="878"/>
      </w:tblGrid>
      <w:tr>
        <w:trPr/>
        <w:tc>
          <w:tcPr>
            <w:tcW w:w="47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991485" cy="175260"/>
                      <wp:effectExtent l="0" t="0" r="0" b="0"/>
                      <wp:wrapNone/>
                      <wp:docPr id="208" name="Frame207"/>
                      <a:graphic xmlns:a="http://schemas.openxmlformats.org/drawingml/2006/main">
                        <a:graphicData uri="http://schemas.microsoft.com/office/word/2010/wordprocessingShape">
                          <wps:wsp>
                            <wps:cNvSpPr txBox="1"/>
                            <wps:spPr>
                              <a:xfrm>
                                <a:off x="0" y="0"/>
                                <a:ext cx="2991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07010" cy="175260"/>
                      <wp:effectExtent l="0" t="0" r="0" b="0"/>
                      <wp:wrapNone/>
                      <wp:docPr id="209" name="Frame20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39700" cy="175260"/>
                      <wp:effectExtent l="0" t="0" r="0" b="0"/>
                      <wp:wrapNone/>
                      <wp:docPr id="210" name="Frame209"/>
                      <a:graphic xmlns:a="http://schemas.openxmlformats.org/drawingml/2006/main">
                        <a:graphicData uri="http://schemas.microsoft.com/office/word/2010/wordprocessingShape">
                          <wps:wsp>
                            <wps:cNvSpPr txBox="1"/>
                            <wps:spPr>
                              <a:xfrm>
                                <a:off x="0" y="0"/>
                                <a:ext cx="1397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527685" cy="175260"/>
                      <wp:effectExtent l="0" t="0" r="0" b="0"/>
                      <wp:wrapNone/>
                      <wp:docPr id="211" name="Frame210"/>
                      <a:graphic xmlns:a="http://schemas.openxmlformats.org/drawingml/2006/main">
                        <a:graphicData uri="http://schemas.microsoft.com/office/word/2010/wordprocessingShape">
                          <wps:wsp>
                            <wps:cNvSpPr txBox="1"/>
                            <wps:spPr>
                              <a:xfrm>
                                <a:off x="0" y="0"/>
                                <a:ext cx="527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15900" cy="175260"/>
                      <wp:effectExtent l="0" t="0" r="0" b="0"/>
                      <wp:wrapNone/>
                      <wp:docPr id="212" name="Frame211"/>
                      <a:graphic xmlns:a="http://schemas.openxmlformats.org/drawingml/2006/main">
                        <a:graphicData uri="http://schemas.microsoft.com/office/word/2010/wordprocessingShape">
                          <wps:wsp>
                            <wps:cNvSpPr txBox="1"/>
                            <wps:spPr>
                              <a:xfrm>
                                <a:off x="0" y="0"/>
                                <a:ext cx="2159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39700" cy="175260"/>
                      <wp:effectExtent l="0" t="0" r="0" b="0"/>
                      <wp:wrapNone/>
                      <wp:docPr id="213" name="Frame212"/>
                      <a:graphic xmlns:a="http://schemas.openxmlformats.org/drawingml/2006/main">
                        <a:graphicData uri="http://schemas.microsoft.com/office/word/2010/wordprocessingShape">
                          <wps:wsp>
                            <wps:cNvSpPr txBox="1"/>
                            <wps:spPr>
                              <a:xfrm>
                                <a:off x="0" y="0"/>
                                <a:ext cx="1397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557530" cy="175260"/>
                      <wp:effectExtent l="0" t="0" r="0" b="0"/>
                      <wp:wrapNone/>
                      <wp:docPr id="214" name="Frame213"/>
                      <a:graphic xmlns:a="http://schemas.openxmlformats.org/drawingml/2006/main">
                        <a:graphicData uri="http://schemas.microsoft.com/office/word/2010/wordprocessingShape">
                          <wps:wsp>
                            <wps:cNvSpPr txBox="1"/>
                            <wps:spPr>
                              <a:xfrm>
                                <a:off x="0" y="0"/>
                                <a:ext cx="5575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7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489"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47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5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0" w:type="dxa"/>
            <w:tcBorders/>
            <w:shd w:fill="auto" w:val="clear"/>
            <w:vAlign w:val="center"/>
          </w:tcPr>
          <w:p>
            <w:pPr>
              <w:pStyle w:val="TableContents"/>
              <w:spacing w:before="0" w:after="0"/>
              <w:ind w:left="0" w:right="0" w:hanging="0"/>
              <w:jc w:val="center"/>
              <w:rPr/>
            </w:pPr>
            <w:r>
              <w:rPr/>
              <w:t>    </w:t>
            </w:r>
          </w:p>
        </w:tc>
        <w:tc>
          <w:tcPr>
            <w:tcW w:w="109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7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(used in) provided by:</w:t>
            </w:r>
          </w:p>
        </w:tc>
        <w:tc>
          <w:tcPr>
            <w:tcW w:w="326" w:type="dxa"/>
            <w:tcBorders/>
            <w:shd w:fill="CCEEFF" w:val="clear"/>
            <w:vAlign w:val="center"/>
          </w:tcPr>
          <w:p>
            <w:pPr>
              <w:pStyle w:val="TableContents"/>
              <w:spacing w:before="0" w:after="0"/>
              <w:ind w:left="0" w:right="0" w:hanging="0"/>
              <w:rPr/>
            </w:pPr>
            <w:r>
              <w:rPr/>
              <w:t> </w:t>
            </w:r>
          </w:p>
        </w:tc>
        <w:tc>
          <w:tcPr>
            <w:tcW w:w="220" w:type="dxa"/>
            <w:tcBorders/>
            <w:shd w:fill="CCEEFF" w:val="clear"/>
            <w:vAlign w:val="center"/>
          </w:tcPr>
          <w:p>
            <w:pPr>
              <w:pStyle w:val="TableContents"/>
              <w:spacing w:before="0" w:after="0"/>
              <w:ind w:left="0" w:right="0" w:hanging="0"/>
              <w:rPr/>
            </w:pPr>
            <w:r>
              <w:rPr/>
              <w:t>​</w:t>
            </w:r>
          </w:p>
        </w:tc>
        <w:tc>
          <w:tcPr>
            <w:tcW w:w="831" w:type="dxa"/>
            <w:tcBorders/>
            <w:shd w:fill="CCEEFF" w:val="clear"/>
            <w:vAlign w:val="center"/>
          </w:tcPr>
          <w:p>
            <w:pPr>
              <w:pStyle w:val="TableContents"/>
              <w:spacing w:before="0" w:after="0"/>
              <w:ind w:left="0" w:right="0" w:hanging="0"/>
              <w:jc w:val="right"/>
              <w:rPr/>
            </w:pPr>
            <w:r>
              <w:rPr/>
              <w:t>  </w:t>
            </w:r>
          </w:p>
        </w:tc>
        <w:tc>
          <w:tcPr>
            <w:tcW w:w="340" w:type="dxa"/>
            <w:tcBorders/>
            <w:shd w:fill="CCEEFF" w:val="clear"/>
            <w:vAlign w:val="center"/>
          </w:tcPr>
          <w:p>
            <w:pPr>
              <w:pStyle w:val="TableContents"/>
              <w:spacing w:before="0" w:after="0"/>
              <w:ind w:left="0" w:right="0" w:hanging="0"/>
              <w:rPr/>
            </w:pPr>
            <w:r>
              <w:rPr/>
              <w:t> </w:t>
            </w:r>
          </w:p>
        </w:tc>
        <w:tc>
          <w:tcPr>
            <w:tcW w:w="220" w:type="dxa"/>
            <w:tcBorders/>
            <w:shd w:fill="CCEEFF" w:val="clear"/>
            <w:vAlign w:val="center"/>
          </w:tcPr>
          <w:p>
            <w:pPr>
              <w:pStyle w:val="TableContents"/>
              <w:spacing w:before="0" w:after="0"/>
              <w:ind w:left="0" w:right="0" w:hanging="0"/>
              <w:rPr/>
            </w:pPr>
            <w:r>
              <w:rPr/>
              <w:t>​</w:t>
            </w:r>
          </w:p>
        </w:tc>
        <w:tc>
          <w:tcPr>
            <w:tcW w:w="878" w:type="dxa"/>
            <w:tcBorders/>
            <w:shd w:fill="CCEEFF" w:val="clear"/>
            <w:vAlign w:val="center"/>
          </w:tcPr>
          <w:p>
            <w:pPr>
              <w:pStyle w:val="TableContents"/>
              <w:spacing w:before="0" w:after="0"/>
              <w:ind w:left="0" w:right="0" w:hanging="0"/>
              <w:jc w:val="right"/>
              <w:rPr/>
            </w:pPr>
            <w:r>
              <w:rPr/>
              <w:t>  </w:t>
            </w:r>
          </w:p>
        </w:tc>
      </w:tr>
      <w:tr>
        <w:trPr/>
        <w:tc>
          <w:tcPr>
            <w:tcW w:w="47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activities</w:t>
            </w:r>
          </w:p>
        </w:tc>
        <w:tc>
          <w:tcPr>
            <w:tcW w:w="326" w:type="dxa"/>
            <w:tcBorders/>
            <w:shd w:fill="auto" w:val="clear"/>
            <w:vAlign w:val="center"/>
          </w:tcPr>
          <w:p>
            <w:pPr>
              <w:pStyle w:val="TableContents"/>
              <w:spacing w:before="0" w:after="0"/>
              <w:ind w:left="0" w:right="0" w:hanging="0"/>
              <w:rPr/>
            </w:pPr>
            <w:r>
              <w:rPr/>
              <w:t>​</w:t>
            </w:r>
          </w:p>
        </w:tc>
        <w:tc>
          <w:tcPr>
            <w:tcW w:w="22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(99,815)</w:t>
            </w:r>
          </w:p>
        </w:tc>
        <w:tc>
          <w:tcPr>
            <w:tcW w:w="340" w:type="dxa"/>
            <w:tcBorders/>
            <w:shd w:fill="auto" w:val="clear"/>
            <w:vAlign w:val="center"/>
          </w:tcPr>
          <w:p>
            <w:pPr>
              <w:pStyle w:val="TableContents"/>
              <w:spacing w:before="0" w:after="0"/>
              <w:ind w:left="0" w:right="0" w:hanging="0"/>
              <w:rPr/>
            </w:pPr>
            <w:r>
              <w:rPr/>
              <w:t>​</w:t>
            </w:r>
          </w:p>
        </w:tc>
        <w:tc>
          <w:tcPr>
            <w:tcW w:w="22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7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(73,802)</w:t>
            </w:r>
          </w:p>
        </w:tc>
      </w:tr>
      <w:tr>
        <w:trPr/>
        <w:tc>
          <w:tcPr>
            <w:tcW w:w="47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Investing activities</w:t>
            </w:r>
          </w:p>
        </w:tc>
        <w:tc>
          <w:tcPr>
            <w:tcW w:w="326" w:type="dxa"/>
            <w:tcBorders/>
            <w:shd w:fill="CCEEFF" w:val="clear"/>
            <w:vAlign w:val="center"/>
          </w:tcPr>
          <w:p>
            <w:pPr>
              <w:pStyle w:val="TableContents"/>
              <w:spacing w:before="0" w:after="0"/>
              <w:ind w:left="0" w:right="0" w:hanging="0"/>
              <w:rPr/>
            </w:pPr>
            <w:r>
              <w:rPr/>
              <w:t>​</w:t>
            </w:r>
          </w:p>
        </w:tc>
        <w:tc>
          <w:tcPr>
            <w:tcW w:w="220" w:type="dxa"/>
            <w:tcBorders/>
            <w:shd w:fill="CCEEFF" w:val="clear"/>
            <w:vAlign w:val="center"/>
          </w:tcPr>
          <w:p>
            <w:pPr>
              <w:pStyle w:val="TableContents"/>
              <w:spacing w:before="0" w:after="0"/>
              <w:ind w:left="0" w:right="0" w:hanging="0"/>
              <w:rPr/>
            </w:pPr>
            <w:r>
              <w:rPr/>
              <w:t> </w:t>
            </w:r>
          </w:p>
        </w:tc>
        <w:tc>
          <w:tcPr>
            <w:tcW w:w="8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153,396</w:t>
            </w:r>
          </w:p>
        </w:tc>
        <w:tc>
          <w:tcPr>
            <w:tcW w:w="340" w:type="dxa"/>
            <w:tcBorders/>
            <w:shd w:fill="CCEEFF" w:val="clear"/>
            <w:vAlign w:val="center"/>
          </w:tcPr>
          <w:p>
            <w:pPr>
              <w:pStyle w:val="TableContents"/>
              <w:spacing w:before="0" w:after="0"/>
              <w:ind w:left="0" w:right="0" w:hanging="0"/>
              <w:rPr/>
            </w:pPr>
            <w:r>
              <w:rPr/>
              <w:t>​</w:t>
            </w:r>
          </w:p>
        </w:tc>
        <w:tc>
          <w:tcPr>
            <w:tcW w:w="220" w:type="dxa"/>
            <w:tcBorders/>
            <w:shd w:fill="CCEEFF" w:val="clear"/>
            <w:vAlign w:val="center"/>
          </w:tcPr>
          <w:p>
            <w:pPr>
              <w:pStyle w:val="TableContents"/>
              <w:spacing w:before="0" w:after="0"/>
              <w:ind w:left="0" w:right="0" w:hanging="0"/>
              <w:rPr/>
            </w:pPr>
            <w:r>
              <w:rPr/>
              <w:t> </w:t>
            </w:r>
          </w:p>
        </w:tc>
        <w:tc>
          <w:tcPr>
            <w:tcW w:w="87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86,516</w:t>
            </w:r>
          </w:p>
        </w:tc>
      </w:tr>
      <w:tr>
        <w:trPr/>
        <w:tc>
          <w:tcPr>
            <w:tcW w:w="47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Financing activities</w:t>
            </w:r>
          </w:p>
        </w:tc>
        <w:tc>
          <w:tcPr>
            <w:tcW w:w="326" w:type="dxa"/>
            <w:tcBorders/>
            <w:shd w:fill="auto" w:val="clear"/>
            <w:vAlign w:val="center"/>
          </w:tcPr>
          <w:p>
            <w:pPr>
              <w:pStyle w:val="TableContents"/>
              <w:spacing w:before="0" w:after="0"/>
              <w:ind w:left="0" w:right="0" w:hanging="0"/>
              <w:rPr/>
            </w:pPr>
            <w:r>
              <w:rPr/>
              <w:t>​</w:t>
            </w:r>
          </w:p>
        </w:tc>
        <w:tc>
          <w:tcPr>
            <w:tcW w:w="22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258,172</w:t>
            </w:r>
          </w:p>
        </w:tc>
        <w:tc>
          <w:tcPr>
            <w:tcW w:w="340" w:type="dxa"/>
            <w:tcBorders/>
            <w:shd w:fill="auto" w:val="clear"/>
            <w:vAlign w:val="center"/>
          </w:tcPr>
          <w:p>
            <w:pPr>
              <w:pStyle w:val="TableContents"/>
              <w:spacing w:before="0" w:after="0"/>
              <w:ind w:left="0" w:right="0" w:hanging="0"/>
              <w:rPr/>
            </w:pPr>
            <w:r>
              <w:rPr/>
              <w:t>​</w:t>
            </w:r>
          </w:p>
        </w:tc>
        <w:tc>
          <w:tcPr>
            <w:tcW w:w="22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7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1,417</w:t>
            </w:r>
          </w:p>
        </w:tc>
      </w:tr>
      <w:tr>
        <w:trPr/>
        <w:tc>
          <w:tcPr>
            <w:tcW w:w="47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increase in cash, cash equivalents and restricted cash</w:t>
            </w:r>
          </w:p>
        </w:tc>
        <w:tc>
          <w:tcPr>
            <w:tcW w:w="326" w:type="dxa"/>
            <w:tcBorders/>
            <w:shd w:fill="CCEEFF" w:val="clear"/>
            <w:vAlign w:val="center"/>
          </w:tcPr>
          <w:p>
            <w:pPr>
              <w:pStyle w:val="TableContents"/>
              <w:spacing w:before="0" w:after="0"/>
              <w:ind w:left="0" w:right="0" w:hanging="0"/>
              <w:rPr/>
            </w:pPr>
            <w:r>
              <w:rPr/>
              <w:t>​</w:t>
            </w:r>
          </w:p>
        </w:tc>
        <w:tc>
          <w:tcPr>
            <w:tcW w:w="22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311,753</w:t>
            </w:r>
          </w:p>
        </w:tc>
        <w:tc>
          <w:tcPr>
            <w:tcW w:w="340" w:type="dxa"/>
            <w:tcBorders/>
            <w:shd w:fill="CCEEFF" w:val="clear"/>
            <w:vAlign w:val="center"/>
          </w:tcPr>
          <w:p>
            <w:pPr>
              <w:pStyle w:val="TableContents"/>
              <w:spacing w:before="0" w:after="0"/>
              <w:ind w:left="0" w:right="0" w:hanging="0"/>
              <w:rPr/>
            </w:pPr>
            <w:r>
              <w:rPr/>
              <w:t>​</w:t>
            </w:r>
          </w:p>
        </w:tc>
        <w:tc>
          <w:tcPr>
            <w:tcW w:w="22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78" w:type="dxa"/>
            <w:tcBorders>
              <w:bottom w:val="double" w:sz="6" w:space="0" w:color="000000"/>
            </w:tcBorders>
            <w:shd w:fill="CCEEFF"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14,131</w:t>
            </w:r>
          </w:p>
        </w:tc>
      </w:tr>
    </w:tbl>
    <w:p>
      <w:pPr>
        <w:pStyle w:val="TextBody"/>
        <w:spacing w:before="0" w:after="0"/>
        <w:ind w:left="0" w:right="0" w:firstLine="540"/>
        <w:rPr/>
      </w:pPr>
      <w:r>
        <w:rPr/>
        <w:t>​</w:t>
      </w:r>
    </w:p>
    <w:p>
      <w:pPr>
        <w:pStyle w:val="TextBody"/>
        <w:spacing w:before="0" w:after="200"/>
        <w:ind w:left="0" w:right="0" w:hanging="0"/>
        <w:rPr>
          <w:rFonts w:ascii="Times New Roman;Times;serif" w:hAnsi="Times New Roman;Times;serif"/>
          <w:i/>
          <w:sz w:val="20"/>
        </w:rPr>
      </w:pPr>
      <w:r>
        <w:rPr>
          <w:rFonts w:ascii="Times New Roman;Times;serif" w:hAnsi="Times New Roman;Times;serif"/>
          <w:i/>
          <w:sz w:val="20"/>
        </w:rPr>
        <w:t>Operating Activities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Net cash used in operating activities represents cash disbursements related to all of our activities other than investing and financing activities. Operating cash flow is derived by adjusting our net loss for non-cash items and changes in operating assets and liabilities. Net cash used in operating activities for the three months ended March 31, 2023 was $99.8 million as compared to $73.8 million for the same period in 2022. The $26.0 million increase in cash used in operating activities was driven by a $15.8 million increase in net loss related to increased costs in research and development, including the overall expansion of our clinical trials for new TIL therapies, as well as our commercial readiness activities.</w:t>
      </w:r>
      <w:r>
        <w:rPr>
          <w:rFonts w:ascii="Times New Roman;Times;serif" w:hAnsi="Times New Roman;Times;serif"/>
          <w:color w:val="FF0000"/>
          <w:sz w:val="20"/>
        </w:rPr>
        <w:t xml:space="preserve"> </w:t>
      </w:r>
      <w:r>
        <w:rPr>
          <w:rFonts w:ascii="Times New Roman;Times;serif" w:hAnsi="Times New Roman;Times;serif"/>
          <w:sz w:val="20"/>
          <w:highlight w:val="white"/>
        </w:rPr>
        <w:t>In addition, it reflects a decrease in non-cash charges of $7.7 million primarily driven by lower stock-based compensation expenses and accretion of discount on investments, partially offset by an increase in depreciation expenses.</w:t>
      </w:r>
      <w:r>
        <w:rPr>
          <w:rFonts w:ascii="Times New Roman;Times;serif" w:hAnsi="Times New Roman;Times;serif"/>
          <w:sz w:val="20"/>
        </w:rPr>
        <w:t xml:space="preserve"> Cash used by assets and liabilities also decreased by $2.5 million, driven primarily by a net decrease in our operating lease liabilities associated with payments on lease arrangements and changes in accruals, and prepaid assets, resulting from an increased workforce, overall growth in business and operations, and the timing of vendor invoicing and related payments.</w:t>
      </w:r>
    </w:p>
    <w:p>
      <w:pPr>
        <w:pStyle w:val="TextBody"/>
        <w:spacing w:before="0" w:after="200"/>
        <w:ind w:left="0" w:right="0" w:hanging="0"/>
        <w:rPr>
          <w:rFonts w:ascii="Times New Roman;Times;serif" w:hAnsi="Times New Roman;Times;serif"/>
          <w:i/>
          <w:sz w:val="20"/>
        </w:rPr>
      </w:pPr>
      <w:r>
        <w:rPr>
          <w:rFonts w:ascii="Times New Roman;Times;serif" w:hAnsi="Times New Roman;Times;serif"/>
          <w:i/>
          <w:sz w:val="20"/>
        </w:rPr>
        <w:t>Investing Activities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Net cash provided by investing activities for the periods presented primarily relates to the purchase and maturity of investments and capital expenditures. Net cash provided by investing activities for the three months ended March 31, 2023 was $153.4 million compared to net cash provided by investing activities of $86.5 million for the same period in 2022. The increase in cash provided by investing activities of $66.9 million was primarily due to the timing of maturities and purchases of investments, partially offset by a decrease in capital expenditures.</w:t>
      </w:r>
    </w:p>
    <w:p>
      <w:pPr>
        <w:pStyle w:val="TextBody"/>
        <w:spacing w:before="0" w:after="200"/>
        <w:ind w:left="0" w:right="0" w:hanging="0"/>
        <w:rPr>
          <w:rFonts w:ascii="Times New Roman;Times;serif" w:hAnsi="Times New Roman;Times;serif"/>
          <w:i/>
          <w:sz w:val="20"/>
        </w:rPr>
      </w:pPr>
      <w:r>
        <w:rPr>
          <w:rFonts w:ascii="Times New Roman;Times;serif" w:hAnsi="Times New Roman;Times;serif"/>
          <w:i/>
          <w:sz w:val="20"/>
        </w:rPr>
        <w:t>Financing Activities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 xml:space="preserve">Net cash used provided by financing activities for the three months ended March 31, 2023 was $258.2 million compared to $1.4 million cash provided for the same period in 2022. The net cash provided by financing activities for the three months ended March 31, 2023 related to net proceeds of $260.1 million received from sales of common shares through the “at the market” offering program, offset by $1.9 million of tax payments related to shares withheld for vested restricted stock units. The net cash provided by financing activities for the same period in 2022 was from the proceeds from the issuance of common stock upon exercise of stock options during the period.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Contractual Obligations and Commitments</w:t>
      </w:r>
    </w:p>
    <w:p>
      <w:pPr>
        <w:pStyle w:val="TextBody"/>
        <w:spacing w:before="0" w:after="0"/>
        <w:ind w:left="0" w:right="0" w:firstLine="540"/>
        <w:rPr>
          <w:rFonts w:ascii="Times New Roman;Times;serif" w:hAnsi="Times New Roman;Times;serif"/>
          <w:sz w:val="20"/>
        </w:rPr>
      </w:pPr>
      <w:bookmarkStart w:id="913" w:name="_Hlk106979625"/>
      <w:bookmarkEnd w:id="913"/>
      <w:r>
        <w:rPr>
          <w:rFonts w:ascii="Times New Roman;Times;serif" w:hAnsi="Times New Roman;Times;serif"/>
          <w:sz w:val="20"/>
        </w:rPr>
        <w:t>There have been no material changes to our contractual obligations as of March 31, 2023, as compared to those disclosed in the Annual Report on Form 10-K for the year ended December 31, 2022. Details of our future lease obligations as of March 31, 2023 can be found in Note 8 of the Condensed Consolidated Financial Statements.</w:t>
      </w:r>
    </w:p>
    <w:p>
      <w:pPr>
        <w:pStyle w:val="TextBody"/>
        <w:spacing w:before="0" w:after="0"/>
        <w:ind w:left="0" w:right="0" w:firstLine="540"/>
        <w:rPr/>
      </w:pPr>
      <w:r>
        <w:rPr/>
        <w:t>​</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Off-Balance Sheet Arrangements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As of March 31, 2023, we had no obligations that would require disclosure as off-balance sheet arrangements.</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Significant Accounting Policies and Recent Accounting Standards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See Note 2 of the Condensed Consolidated Financial Statements for a discussion of our significant accounting policies. There were no recently issued accounting standards applicable to us and we did not adopt any accounting standards during the three months ended March 31, 2023.</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Inflation</w:t>
      </w:r>
    </w:p>
    <w:p>
      <w:pPr>
        <w:pStyle w:val="TextBody"/>
        <w:spacing w:before="0" w:after="0"/>
        <w:ind w:left="0" w:right="0" w:firstLine="540"/>
        <w:rPr>
          <w:rFonts w:ascii="Times New Roman;Times;serif" w:hAnsi="Times New Roman;Times;serif"/>
          <w:sz w:val="20"/>
        </w:rPr>
      </w:pPr>
      <w:r>
        <w:rPr>
          <w:rFonts w:ascii="Times New Roman;Times;serif" w:hAnsi="Times New Roman;Times;serif"/>
          <w:sz w:val="20"/>
        </w:rPr>
        <w:t>Inflation has not had a material effect on our business, financial condition, or results of operations over our two most recent fiscal years.</w:t>
      </w:r>
    </w:p>
    <w:p>
      <w:pPr>
        <w:pStyle w:val="TextBody"/>
        <w:spacing w:before="0" w:after="0"/>
        <w:ind w:left="0" w:right="0" w:firstLine="720"/>
        <w:jc w:val="both"/>
        <w:rPr/>
      </w:pPr>
      <w:r>
        <w:rPr/>
        <w:t>​</w:t>
      </w:r>
    </w:p>
    <w:p>
      <w:pPr>
        <w:pStyle w:val="TextBody"/>
        <w:spacing w:before="0" w:after="0"/>
        <w:ind w:left="0" w:right="0" w:hanging="0"/>
        <w:rPr>
          <w:rFonts w:ascii="Times New Roman;Times;serif" w:hAnsi="Times New Roman;Times;serif"/>
          <w:sz w:val="20"/>
        </w:rPr>
      </w:pPr>
      <w:bookmarkStart w:id="914" w:name="Item3QuantitativeandQualitativeDisclosur"/>
      <w:bookmarkStart w:id="915" w:name="_ba319462_457b_4107_afbd_5e73cc712947"/>
      <w:bookmarkEnd w:id="914"/>
      <w:bookmarkEnd w:id="915"/>
      <w:r>
        <w:rPr>
          <w:rFonts w:ascii="Times New Roman;Times;serif" w:hAnsi="Times New Roman;Times;serif"/>
          <w:b/>
          <w:i w:val="false"/>
          <w:caps w:val="false"/>
          <w:smallCaps w:val="false"/>
          <w:sz w:val="20"/>
        </w:rPr>
        <w:t>Item 3.</w:t>
      </w:r>
      <w:r>
        <w:rPr>
          <w:rFonts w:ascii="Times New Roman;Times;serif" w:hAnsi="Times New Roman;Times;serif"/>
          <w:b/>
          <w:sz w:val="20"/>
        </w:rPr>
        <w:t>Quantitative and Qualitative Disclosures About Market Risk</w:t>
      </w:r>
    </w:p>
    <w:p>
      <w:pPr>
        <w:pStyle w:val="TextBody"/>
        <w:spacing w:before="0" w:after="0"/>
        <w:ind w:left="0" w:right="0" w:firstLine="720"/>
        <w:jc w:val="both"/>
        <w:rPr/>
      </w:pPr>
      <w:r>
        <w:rPr/>
        <w:t>​</w:t>
      </w:r>
    </w:p>
    <w:p>
      <w:pPr>
        <w:pStyle w:val="TextBody"/>
        <w:spacing w:before="0" w:after="0"/>
        <w:ind w:left="0" w:right="0" w:firstLine="547"/>
        <w:jc w:val="both"/>
        <w:rPr>
          <w:rFonts w:ascii="Times New Roman;Times;serif" w:hAnsi="Times New Roman;Times;serif"/>
          <w:sz w:val="20"/>
        </w:rPr>
      </w:pPr>
      <w:r>
        <w:rPr>
          <w:rFonts w:ascii="Times New Roman;Times;serif" w:hAnsi="Times New Roman;Times;serif"/>
          <w:sz w:val="20"/>
        </w:rPr>
        <w:t>Our exposure to market risk is limited primarily to interest income sensitivity, which is affected by changes in the general level of U.S. interest rates, particularly because a significant portion of our investments are in interest bearing cash accounts consisting of short-term debt securities issued by the U.S. government. The primary objective of our investment activities is to preserve principal. We adhere to an investment policy that requires us to limit amounts invested in securities based on credit rating, maturity, industry group and investment type and issuer, except for securities issued by the U.S. government. We do not have any derivative financial instruments or foreign currency instruments. As of March 31, 2023, we had $368.3</w:t>
      </w:r>
      <w:r>
        <w:rPr>
          <w:rFonts w:ascii="Times New Roman;Times;serif" w:hAnsi="Times New Roman;Times;serif"/>
          <w:color w:val="FF0000"/>
          <w:sz w:val="20"/>
        </w:rPr>
        <w:t xml:space="preserve"> </w:t>
      </w:r>
      <w:r>
        <w:rPr>
          <w:rFonts w:ascii="Times New Roman;Times;serif" w:hAnsi="Times New Roman;Times;serif"/>
          <w:sz w:val="20"/>
        </w:rPr>
        <w:t>million invested in marketable securities with a maturity date of less than one year. As such, we believe that we are not exposed to any material market risk. If interest rates had varied by 1% as of March 31, 2023, the fair value of our investment portfolio would increase or decrease by approximately $0.1</w:t>
      </w:r>
      <w:r>
        <w:rPr>
          <w:rFonts w:ascii="Times New Roman;Times;serif" w:hAnsi="Times New Roman;Times;serif"/>
          <w:color w:val="FF0000"/>
          <w:sz w:val="20"/>
        </w:rPr>
        <w:t xml:space="preserve"> </w:t>
      </w:r>
      <w:r>
        <w:rPr>
          <w:rFonts w:ascii="Times New Roman;Times;serif" w:hAnsi="Times New Roman;Times;serif"/>
          <w:sz w:val="20"/>
        </w:rPr>
        <w:t>million.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bookmarkStart w:id="916" w:name="Item4ControlsandProcedures_270789"/>
      <w:bookmarkStart w:id="917" w:name="_e3d6780a_46d3_4d8b_97be_3cf2119399d2"/>
      <w:bookmarkEnd w:id="916"/>
      <w:bookmarkEnd w:id="917"/>
      <w:r>
        <w:rPr>
          <w:rFonts w:ascii="Times New Roman;Times;serif" w:hAnsi="Times New Roman;Times;serif"/>
          <w:b/>
          <w:i w:val="false"/>
          <w:caps w:val="false"/>
          <w:smallCaps w:val="false"/>
          <w:sz w:val="20"/>
        </w:rPr>
        <w:t>Item 4.</w:t>
      </w:r>
      <w:r>
        <w:rPr>
          <w:rFonts w:ascii="Times New Roman;Times;serif" w:hAnsi="Times New Roman;Times;serif"/>
          <w:b/>
          <w:sz w:val="20"/>
        </w:rPr>
        <w:t>Controls and Procedures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Conclusion Regarding the Effectiveness of Disclosure Controls and Procedures</w:t>
      </w:r>
    </w:p>
    <w:p>
      <w:pPr>
        <w:pStyle w:val="TextBody"/>
        <w:spacing w:before="0" w:after="0"/>
        <w:ind w:left="0" w:right="0" w:hanging="0"/>
        <w:rPr/>
      </w:pPr>
      <w:r>
        <w:rPr/>
        <w:t>​</w:t>
      </w:r>
    </w:p>
    <w:p>
      <w:pPr>
        <w:pStyle w:val="TextBody"/>
        <w:spacing w:before="0" w:after="0"/>
        <w:ind w:left="0" w:right="0" w:firstLine="540"/>
        <w:rPr>
          <w:rFonts w:ascii="Times New Roman;Times;serif" w:hAnsi="Times New Roman;Times;serif"/>
          <w:sz w:val="20"/>
        </w:rPr>
      </w:pPr>
      <w:r>
        <w:rPr>
          <w:rFonts w:ascii="Times New Roman;Times;serif" w:hAnsi="Times New Roman;Times;serif"/>
          <w:sz w:val="20"/>
        </w:rPr>
        <w:t>Under the supervision and with the participation of our management, including our principal executive officer and principal financial officer, we conducted an evaluation of our disclosure controls and procedures, as such term is defined under Rule 13a-15(e) promulgated under the Exchange Act as of the end of the period covered by this Quarterly Report on Form 10-Q. Based on this evaluation, our principal executive officer and our principal financial officer concluded that our disclosure controls and procedures were effective as of the end of the period covered by this Quarterly Report on Form 10-Q.</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Changes in Internal Controls Over Financial Reporting</w:t>
      </w:r>
    </w:p>
    <w:p>
      <w:pPr>
        <w:pStyle w:val="TextBody"/>
        <w:spacing w:before="0" w:after="0"/>
        <w:ind w:left="0" w:right="0" w:hanging="0"/>
        <w:rPr/>
      </w:pPr>
      <w:r>
        <w:rPr/>
        <w:t>​</w:t>
      </w:r>
    </w:p>
    <w:p>
      <w:pPr>
        <w:pStyle w:val="TextBody"/>
        <w:spacing w:before="0" w:after="0"/>
        <w:ind w:left="0" w:right="0" w:firstLine="547"/>
        <w:rPr>
          <w:rFonts w:ascii="Times New Roman;Times;serif" w:hAnsi="Times New Roman;Times;serif"/>
          <w:sz w:val="20"/>
        </w:rPr>
      </w:pPr>
      <w:r>
        <w:rPr>
          <w:rFonts w:ascii="Times New Roman;Times;serif" w:hAnsi="Times New Roman;Times;serif"/>
          <w:sz w:val="20"/>
        </w:rPr>
        <w:t>There have not been any changes in our internal control over financial reporting (as such term is defined in Rules 13a-15(f) and 15d-15(f) under the Exchange Act) during the quarter ended March 31,2023 that have materially affected, or are reasonably likely to materially affect, our internal control over financial reporting.</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200"/>
        <w:ind w:left="0" w:right="0" w:hanging="0"/>
        <w:jc w:val="both"/>
        <w:rPr>
          <w:rFonts w:ascii="Times New Roman;Times;serif" w:hAnsi="Times New Roman;Times;serif"/>
          <w:b/>
          <w:sz w:val="20"/>
        </w:rPr>
      </w:pPr>
      <w:bookmarkStart w:id="918" w:name="PARTIIOTHERINFORMATION_407750"/>
      <w:bookmarkStart w:id="919" w:name="_7a1d2d80_0af7_43cc_8c61_358dadb1ce37"/>
      <w:bookmarkEnd w:id="918"/>
      <w:bookmarkEnd w:id="919"/>
      <w:r>
        <w:rPr>
          <w:rFonts w:ascii="Times New Roman;Times;serif" w:hAnsi="Times New Roman;Times;serif"/>
          <w:b/>
          <w:sz w:val="20"/>
        </w:rPr>
        <w:t>PART II. OTHER INFORMATION</w:t>
      </w:r>
    </w:p>
    <w:p>
      <w:pPr>
        <w:pStyle w:val="TextBody"/>
        <w:spacing w:before="0" w:after="200"/>
        <w:ind w:left="0" w:right="0" w:hanging="0"/>
        <w:rPr>
          <w:rFonts w:ascii="Times New Roman;Times;serif" w:hAnsi="Times New Roman;Times;serif"/>
          <w:sz w:val="20"/>
        </w:rPr>
      </w:pPr>
      <w:bookmarkStart w:id="920" w:name="Item1LegalProceedings_444925"/>
      <w:bookmarkEnd w:id="920"/>
      <w:r>
        <w:rPr>
          <w:rFonts w:ascii="Times New Roman;Times;serif" w:hAnsi="Times New Roman;Times;serif"/>
          <w:b/>
          <w:i w:val="false"/>
          <w:caps w:val="false"/>
          <w:smallCaps w:val="false"/>
          <w:sz w:val="20"/>
        </w:rPr>
        <w:t>Item 1.</w:t>
      </w:r>
      <w:r>
        <w:rPr>
          <w:rFonts w:ascii="Times New Roman;Times;serif" w:hAnsi="Times New Roman;Times;serif"/>
          <w:b/>
          <w:sz w:val="20"/>
        </w:rPr>
        <w:t>Legal Proceedings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The information in Note 9 to the Condensed Consolidated Financial Statements contained in Part I, Item 1 of this Quarterly Report on Form 10-Q is incorporated herein by reference. There are no matters which constitute material pending legal proceedings to which we are a party other than those incorporated into this item by reference from Note 9 to our Condensed Consolidated Financial Statements for the quarter ended March 31, 2023 contained in this Quarterly Report on Form 10-Q.</w:t>
      </w:r>
    </w:p>
    <w:p>
      <w:pPr>
        <w:pStyle w:val="TextBody"/>
        <w:spacing w:before="0" w:after="200"/>
        <w:ind w:left="0" w:right="0" w:hanging="0"/>
        <w:rPr>
          <w:rFonts w:ascii="Times New Roman;Times;serif" w:hAnsi="Times New Roman;Times;serif"/>
          <w:sz w:val="20"/>
        </w:rPr>
      </w:pPr>
      <w:bookmarkStart w:id="921" w:name="Item1ARiskFactors_493740"/>
      <w:bookmarkStart w:id="922" w:name="_31fccfb0_bd6d_4b29_983c_57eb0d6e092a"/>
      <w:bookmarkEnd w:id="921"/>
      <w:bookmarkEnd w:id="922"/>
      <w:r>
        <w:rPr>
          <w:rFonts w:ascii="Times New Roman;Times;serif" w:hAnsi="Times New Roman;Times;serif"/>
          <w:b/>
          <w:i w:val="false"/>
          <w:caps w:val="false"/>
          <w:smallCaps w:val="false"/>
          <w:sz w:val="20"/>
        </w:rPr>
        <w:t>Item 1A.</w:t>
      </w:r>
      <w:r>
        <w:rPr>
          <w:rFonts w:ascii="Times New Roman;Times;serif" w:hAnsi="Times New Roman;Times;serif"/>
          <w:b/>
          <w:sz w:val="20"/>
        </w:rPr>
        <w:t>Risk Factors</w:t>
      </w:r>
    </w:p>
    <w:p>
      <w:pPr>
        <w:pStyle w:val="TextBody"/>
        <w:spacing w:before="0" w:after="200"/>
        <w:ind w:left="0" w:right="0" w:firstLine="547"/>
        <w:rPr>
          <w:rFonts w:ascii="Times New Roman;Times;serif" w:hAnsi="Times New Roman;Times;serif"/>
          <w:i/>
          <w:sz w:val="20"/>
        </w:rPr>
      </w:pPr>
      <w:r>
        <w:rPr>
          <w:rFonts w:ascii="Times New Roman;Times;serif" w:hAnsi="Times New Roman;Times;serif"/>
          <w:i/>
          <w:sz w:val="20"/>
        </w:rPr>
        <w:t>The risks described below may not be the only ones relating to our company. Additional risks that we currently believe are immaterial may also impair our business operations. Our business, financial conditions and future prospects and the trading price of our common stock could be harmed as a result of any of these risks. Investors should also refer to the other information contained or incorporated by reference in this Quarterly Report on Form 10-Q, including our financial statements and related notes, and our other filings from time to time with the Securities and Exchange Commission, or SEC.</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Risk Factors Summary</w:t>
      </w:r>
    </w:p>
    <w:p>
      <w:pPr>
        <w:pStyle w:val="TextBody"/>
        <w:spacing w:before="0" w:after="200"/>
        <w:ind w:left="0" w:right="0" w:firstLine="547"/>
        <w:rPr>
          <w:rFonts w:ascii="Times New Roman;Times;serif" w:hAnsi="Times New Roman;Times;serif"/>
          <w:i/>
          <w:sz w:val="20"/>
          <w:highlight w:val="white"/>
        </w:rPr>
      </w:pPr>
      <w:r>
        <w:rPr>
          <w:rFonts w:ascii="Times New Roman;Times;serif" w:hAnsi="Times New Roman;Times;serif"/>
          <w:i/>
          <w:sz w:val="20"/>
          <w:highlight w:val="white"/>
        </w:rPr>
        <w:t>We have marked with an asterisk (*) those risk factors below that reflect a substantive change from the risk factors included in our Annual Report on Form 10-K filed with the SEC on February 28, 2023.</w:t>
      </w:r>
    </w:p>
    <w:p>
      <w:pPr>
        <w:pStyle w:val="TextBody"/>
        <w:spacing w:before="0" w:after="0"/>
        <w:ind w:left="0" w:right="0" w:firstLine="547"/>
        <w:rPr>
          <w:rFonts w:ascii="Times New Roman;Times;serif" w:hAnsi="Times New Roman;Times;serif"/>
          <w:sz w:val="20"/>
        </w:rPr>
      </w:pPr>
      <w:bookmarkStart w:id="923" w:name="_cp_text_1_484"/>
      <w:bookmarkEnd w:id="923"/>
      <w:r>
        <w:rPr>
          <w:rFonts w:ascii="Times New Roman;Times;serif" w:hAnsi="Times New Roman;Times;serif"/>
          <w:sz w:val="20"/>
        </w:rPr>
        <w:t>Our business is subject to a number of risks and uncertainties, including those risks discussed at length below. These risks include, among others, the brief bulleted list of our principal risk factors set forth below that make an investment in our company speculative or risky. You are encouraged to carefully review our full discussion of the material risk factors relevant to an investment in our business, which follows the brief bulleted list of our principal risk factors set forth below.</w:t>
      </w:r>
    </w:p>
    <w:p>
      <w:pPr>
        <w:pStyle w:val="TextBody"/>
        <w:spacing w:before="0" w:after="200"/>
        <w:ind w:left="0" w:right="0" w:hanging="0"/>
        <w:rPr/>
      </w:pPr>
      <w:r>
        <w:rPr/>
        <w:t>​</w:t>
      </w:r>
    </w:p>
    <w:p>
      <w:pPr>
        <w:pStyle w:val="TextBody"/>
        <w:spacing w:before="0" w:after="200"/>
        <w:ind w:left="0" w:right="0" w:hanging="0"/>
        <w:rPr>
          <w:rFonts w:ascii="Times New Roman;Times;serif" w:hAnsi="Times New Roman;Times;serif"/>
          <w:i/>
          <w:sz w:val="20"/>
        </w:rPr>
      </w:pPr>
      <w:r>
        <w:rPr>
          <w:rFonts w:ascii="Times New Roman;Times;serif" w:hAnsi="Times New Roman;Times;serif"/>
          <w:i/>
          <w:sz w:val="20"/>
        </w:rPr>
        <w:t>Risks Related to Our Business: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substantially dependent on the success of our product candidates and cannot guarantee that these product candidates will successfully complete development, receive regulatory approval, or be successfully commercialized;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encounter substantial delays in our clinical trials or may not be able to conduct our clinical trials on the timelines we expect and we may be required to conduct additional clinical trials or modify current or future clinical trials based on feedback we receive from the FDA;*</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may take longer and cost more to complete our clinical trials than we project, or we may not be able to complete them at all;</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clinical trials may fail to demonstrate adequately the safety and efficacy of our product candidates, which would prevent or delay regulatory approval and commercialization;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manufacture of our product candidates is complex, and we may encounter difficulties in production, particularly with respect to process development, quality control, or scaling-up of our manufacturing capabilities. If we, or any of our third-party manufacturers encounter such difficulties, our ability to provide supply of our product candidates for clinical trials or our products for patients, if approved, could be delayed or stopped, or we may be unable to maintain a commercially viable cost structure;*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Cell-based therapies and biologics rely on the availability of reagents, specialized equipment, and other specialty materials, which may not be available to us on acceptable terms or at all. For some of these reagents, equipment, and materials, we rely or may rely on sole source vendors or a limited number of vendors, which could impair our ability to manufacture and supply our products;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collaborate with governmental, academic and corporate partners to improve and develop TIL therapies for new indications for use in combination with other therapies and to evaluate new TIL manufacturing methods, the results of which, because the manufacturing processes are not within our control, may be incorrect or unreliable;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need additional financing to fund our operations and complete the development and commercialization of our various product candidates, and if we are unable to obtain such financing, we may be unable to complete the development </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109"/>
        <w:gridCol w:w="997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2"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commercialization of our product candidates. Raising additional capital may cause dilution to our existing stockholders, restrict our operations or require us to relinquish rights to our technologies or product candidates;*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extensive regulation, which can be costly, time consuming and can subject us to unanticipated delays; even if we obtain regulatory approval for some of our products, those products may still face regulatory difficulties;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pay substantial royalties and lump sum benchmark payments under our license agreements with the NIH, Moffitt, Novartis, and Cellectis, and we must meet certain milestones to maintain our license rights;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our current products represent, and our other potential product candidates will represent novel approaches to the treatment of disease, there are many uncertainties regarding the development, the market acceptance, third-party reimbursement coverage and the commercial potential of our product candidates;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assurance can be given that the Gen 2 manufacturing process we have selected will be FDA-compliant, more efficient and lower the cost to manufacture TIL products;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significant competition from other biotechnology and pharmaceutical companies and from non-profit institutions;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of a product candidate intended for use in combination with an already approved product may present more or different challenges than development of a product candidate for use as a single agent;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Fast Track product designation, Breakthrough Therapy designation or other designation to facilitate product candidate development may not lead to faster development or a faster regulatory review or approval process, and it does not increase the likelihood that our product candidates will receive marketing approval;</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lifileucel has received Orphan Drug Designation, or ODD, for melanoma stages IIB-IV and for cervical cancer patients with tumors greater than 2 cm, there is no guarantee that we will be able to maintain this designation, receive these designations for any of our other product candidates, or receive or maintain any corresponding benefits, including periods of exclusivity;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condition of approval, the FDA may require that we implement various post-marketing requirements and conduct post-marketing studies, any of which would require a substantial investment of time, effort, and money, and which may limit our commercial prospects;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establish effective marketing and sales capabilities or enter into agreements with third parties to market and sell our product candidates, if they are approved, and as a result, we may be unable to generate product revenues;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product candidates do not achieve broad market acceptance, the revenues that we generate from their sales will be limited;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business could be adversely affected by the effects of health epidemics, including the recent spread of the COVID-19 pandemic, in regions where we or third parties on which we rely have significant manufacturing facilities, concentrations of clinical trial sites or other business operations. The COVID-19 pandemic could materially affect our operations, including at our headquarters in San Carlos, California and at our manufacturing facility in Philadelphia, Pennsylvania, which are currently subject to state executive orders and shelter-in-place orders, and at our clinical trial sites, as well as the business or operations of our other manufacturers, CROs or other third parties with whom we conduct business;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will need to grow the size and capabilities of our organization, and we may experience difficulties in managing this growth;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operating in a period of economic uncertainty and capital markets disruption, which has been significantly impacted by geopolitical instability, an ongoing military conflict between Russia and Ukraine and record inflation. Our business, financial condition and results of operations could be materially adversely affected by any negative impact on the global economy and capital markets resulting from the conflict in Ukraine, geopolitical tensions or record inflation;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Climate change or legal, regulatory or market measures to address climate change may negatively affect our business, results of operations, cash flows and prospects;</w:t>
            </w:r>
          </w:p>
        </w:tc>
      </w:tr>
    </w:tbl>
    <w:tbl>
      <w:tblPr>
        <w:tblW w:w="7956" w:type="dxa"/>
        <w:jc w:val="left"/>
        <w:tblInd w:w="0" w:type="dxa"/>
        <w:tblCellMar>
          <w:top w:w="28" w:type="dxa"/>
          <w:left w:w="28" w:type="dxa"/>
          <w:bottom w:w="28" w:type="dxa"/>
          <w:right w:w="28" w:type="dxa"/>
        </w:tblCellMar>
      </w:tblPr>
      <w:tblGrid>
        <w:gridCol w:w="124"/>
        <w:gridCol w:w="256"/>
        <w:gridCol w:w="75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5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social and governance matters may impact our business and reputation;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rely on third parties to perform many essential services for any products that we commercialize, including services related to distribution, government price reporting, customer service, accounts receivable management, cash collection, and adverse event reporting. If these third parties fail to perform as expected or to comply with legal and regulatory requirements, our ability to commercialize our current or future product candidates will be significantly impacted and we may be subject to regulatory sanctions.</w:t>
            </w:r>
          </w:p>
        </w:tc>
      </w:tr>
    </w:tbl>
    <w:p>
      <w:pPr>
        <w:pStyle w:val="TextBody"/>
        <w:spacing w:before="40" w:after="0"/>
        <w:ind w:left="36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both"/>
        <w:rPr>
          <w:rFonts w:ascii="Times New Roman;Times;serif" w:hAnsi="Times New Roman;Times;serif"/>
          <w:i/>
          <w:sz w:val="20"/>
        </w:rPr>
      </w:pPr>
      <w:r>
        <w:rPr>
          <w:rFonts w:ascii="Times New Roman;Times;serif" w:hAnsi="Times New Roman;Times;serif"/>
          <w:i/>
          <w:sz w:val="20"/>
        </w:rPr>
        <w:t>Risks Related to Government Regulation:</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regulatory approval process is lengthy and time-consuming, and we may experience significant delays in the clinical development and regulatory approval of our product candidates;*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maintaining regulatory approval of our product candidates in one jurisdiction does not mean that we will be successful in obtaining regulatory approval of our product candidates in other jurisdictions;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Coverage and reimbursement may be limited or unavailable in certain market segments for our product candidates, which could make it difficult for us to sell our product candidates profitably; and</w:t>
            </w:r>
          </w:p>
        </w:tc>
      </w:tr>
    </w:tbl>
    <w:tbl>
      <w:tblPr>
        <w:tblW w:w="9756" w:type="dxa"/>
        <w:jc w:val="left"/>
        <w:tblInd w:w="0" w:type="dxa"/>
        <w:tblCellMar>
          <w:top w:w="28" w:type="dxa"/>
          <w:left w:w="28" w:type="dxa"/>
          <w:bottom w:w="28" w:type="dxa"/>
          <w:right w:w="28" w:type="dxa"/>
        </w:tblCellMar>
      </w:tblPr>
      <w:tblGrid>
        <w:gridCol w:w="124"/>
        <w:gridCol w:w="256"/>
        <w:gridCol w:w="93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3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Governments outside the U.S. tend to impose strict price controls, which may adversely affect our revenues, if any.</w:t>
            </w:r>
          </w:p>
        </w:tc>
      </w:tr>
    </w:tbl>
    <w:p>
      <w:pPr>
        <w:pStyle w:val="TextBody"/>
        <w:spacing w:before="40" w:after="0"/>
        <w:ind w:left="720" w:right="0" w:hanging="0"/>
        <w:rPr/>
      </w:pPr>
      <w:r>
        <w:rPr/>
        <w:t>​</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Risks Related to Our Business</w:t>
      </w:r>
    </w:p>
    <w:p>
      <w:pPr>
        <w:pStyle w:val="TextBody"/>
        <w:spacing w:before="0" w:after="180"/>
        <w:ind w:left="0" w:right="0" w:firstLine="547"/>
        <w:rPr>
          <w:rFonts w:ascii="Times New Roman;Times;serif" w:hAnsi="Times New Roman;Times;serif"/>
          <w:b/>
          <w:i/>
          <w:sz w:val="20"/>
        </w:rPr>
      </w:pPr>
      <w:r>
        <w:rPr>
          <w:rFonts w:ascii="Times New Roman;Times;serif" w:hAnsi="Times New Roman;Times;serif"/>
          <w:b/>
          <w:i/>
          <w:sz w:val="20"/>
        </w:rPr>
        <w:t>We have a history of operating losses; we expect to continue to incur losses and we may never be profitable.*</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We are a clinical-stage biotechnology company focused on the development and commercialization of novel cancer immunotherapy products designed to harness the power of a patient's own immune system to eradicate cancer. We do not have products approved for commercial sale and have not generated revenue from operations. As of March 31, 2023, we had an accumulated deficit of $1.7 billion. In addition, during the three months ended March 31, 2023, we incurred a net loss of $107.4 million. Since our inception we have not generated any revenues from operations. We are preparing for the commercial launch of our product, lifileucel, if approved, in 2023. We do not expect to generate any meaningful product sales or royalty revenues until we have a product approved. We expect to incur significant additional operating losses in the future as we expand our development and clinical trial activities in support of demonstrating the effectiveness of our products.</w:t>
      </w:r>
    </w:p>
    <w:p>
      <w:pPr>
        <w:pStyle w:val="TextBody"/>
        <w:spacing w:before="0" w:after="180"/>
        <w:ind w:left="0" w:right="0" w:firstLine="547"/>
        <w:rPr>
          <w:rFonts w:ascii="Times New Roman;Times;serif" w:hAnsi="Times New Roman;Times;serif"/>
          <w:sz w:val="20"/>
        </w:rPr>
      </w:pPr>
      <w:r>
        <w:rPr>
          <w:rFonts w:ascii="Times New Roman;Times;serif" w:hAnsi="Times New Roman;Times;serif"/>
          <w:sz w:val="20"/>
        </w:rPr>
        <w:t>Our ability to achieve long-term profitability is dependent upon obtaining regulatory approvals for our products and successfully commercializing our products alone or with third parties. However, our operations may not be profitable even if any of our products under development are successfully developed and produced and thereafter commercialized.</w:t>
      </w:r>
    </w:p>
    <w:p>
      <w:pPr>
        <w:pStyle w:val="TextBody"/>
        <w:spacing w:before="0" w:after="180"/>
        <w:ind w:left="0" w:right="0" w:firstLine="547"/>
        <w:rPr>
          <w:rFonts w:ascii="Times New Roman;Times;serif" w:hAnsi="Times New Roman;Times;serif"/>
          <w:b/>
          <w:i/>
          <w:sz w:val="20"/>
        </w:rPr>
      </w:pPr>
      <w:r>
        <w:rPr>
          <w:rFonts w:ascii="Times New Roman;Times;serif" w:hAnsi="Times New Roman;Times;serif"/>
          <w:b/>
          <w:i/>
          <w:sz w:val="20"/>
        </w:rPr>
        <w:t>Our current line of business, and the biotechnology industry in which we operate, makes it difficult to evaluate our business plan and our prospects.</w:t>
      </w:r>
    </w:p>
    <w:p>
      <w:pPr>
        <w:pStyle w:val="TextBody"/>
        <w:spacing w:before="0" w:after="180"/>
        <w:ind w:left="0" w:right="0" w:firstLine="547"/>
        <w:rPr>
          <w:rFonts w:ascii="Times New Roman;Times;serif" w:hAnsi="Times New Roman;Times;serif"/>
          <w:sz w:val="20"/>
        </w:rPr>
      </w:pPr>
      <w:r>
        <w:rPr>
          <w:rFonts w:ascii="Times New Roman;Times;serif" w:hAnsi="Times New Roman;Times;serif"/>
          <w:sz w:val="20"/>
        </w:rPr>
        <w:t>We have only a limited operating history in our current line of business on which a decision to invest in our company can be based. The future of our company currently is dependent upon our ability to implement our business plan, as that business plan may be modified from time to time by our management and Board of Directors. While we believe that we have a reasonable business plan and research and development strategy, we have only a limited operating history against which we can test our plans and assumptions, and investors therefore cannot evaluate the likelihood of our success.</w:t>
      </w:r>
    </w:p>
    <w:p>
      <w:pPr>
        <w:pStyle w:val="TextBody"/>
        <w:spacing w:before="0" w:after="180"/>
        <w:ind w:left="0" w:right="0" w:firstLine="547"/>
        <w:rPr>
          <w:rFonts w:ascii="Times New Roman;Times;serif" w:hAnsi="Times New Roman;Times;serif"/>
          <w:sz w:val="20"/>
        </w:rPr>
      </w:pPr>
      <w:r>
        <w:rPr>
          <w:rFonts w:ascii="Times New Roman;Times;serif" w:hAnsi="Times New Roman;Times;serif"/>
          <w:sz w:val="20"/>
        </w:rPr>
        <w:t>We face the problems, expenses, difficulties, complications and delays normally associated with a pre-commercial biotechnology company, many of which are beyond our control. Accordingly, our prospects should be considered in light of the risks, expenses and difficulties frequently encountered in the establishment of a new business developing technologies in an industry that is characterized by a number of market entrants and intense competition. Because of our size and limited resources, we may not possess the ability to successfully overcome many of the risks and uncertainties frequently encountered by pre-commercial companies involved in the rapidly evolving field of immunotherapy. If our research and development efforts are successful, we may also face the risks associated with the shift from development to commercialization of new products based on innovative technologies. There can be no assurance that we will be successful in developing our business.</w:t>
      </w:r>
    </w:p>
    <w:p>
      <w:pPr>
        <w:pStyle w:val="TextBody"/>
        <w:spacing w:before="0" w:after="180"/>
        <w:ind w:left="0" w:right="0" w:firstLine="547"/>
        <w:rPr>
          <w:rFonts w:ascii="Times New Roman;Times;serif" w:hAnsi="Times New Roman;Times;serif"/>
          <w:b/>
          <w:i/>
          <w:sz w:val="20"/>
        </w:rPr>
      </w:pPr>
      <w:r>
        <w:rPr>
          <w:rFonts w:ascii="Times New Roman;Times;serif" w:hAnsi="Times New Roman;Times;serif"/>
          <w:b/>
          <w:i/>
          <w:sz w:val="20"/>
        </w:rPr>
        <w:t>We are substantially dependent on the success of our product candidates and cannot guarantee that these product candidates will successfully complete development, receive regulatory approval, or be successfully commercialized.</w:t>
      </w:r>
    </w:p>
    <w:p>
      <w:pPr>
        <w:pStyle w:val="TextBody"/>
        <w:spacing w:before="0" w:after="180"/>
        <w:ind w:left="0" w:right="0" w:firstLine="547"/>
        <w:rPr>
          <w:rFonts w:ascii="Times New Roman;Times;serif" w:hAnsi="Times New Roman;Times;serif"/>
          <w:sz w:val="20"/>
        </w:rPr>
      </w:pPr>
      <w:r>
        <w:rPr>
          <w:rFonts w:ascii="Times New Roman;Times;serif" w:hAnsi="Times New Roman;Times;serif"/>
          <w:sz w:val="20"/>
        </w:rPr>
        <w:t>We currently have no products approved for commercial sale. We have invested a significant portion of our efforts and financial resources in the development of our current product candidates, including lifileucel, LN-145, IOV-4001, IOV-2001, and IOV-3001, and expect that we will continue to invest heavily in our current product candidates, as well as in any future product candidates we may develop. Our business depends entirely on the successful development and commercialization of our product candidates, which may never occur. Our ability to generate revenues in the future is substantially dependent on our ability to develop, obtain regulatory approval for, and then successfully commercialize our product candidates. We currently generate no revenue from the sale of any products, and we may never be able to develop or commercialize a marketable product.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80"/>
        <w:ind w:left="0" w:right="0" w:firstLine="547"/>
        <w:rPr>
          <w:rFonts w:ascii="Times New Roman;Times;serif" w:hAnsi="Times New Roman;Times;serif"/>
          <w:sz w:val="20"/>
        </w:rPr>
      </w:pPr>
      <w:r>
        <w:rPr>
          <w:rFonts w:ascii="Times New Roman;Times;serif" w:hAnsi="Times New Roman;Times;serif"/>
          <w:sz w:val="20"/>
        </w:rPr>
        <w:t>Our product candidates will require additional clinical and non-clinical development, regulatory approval, commercial manufacturing arrangements, establishment of a commercial organization, significant marketing efforts, and further investment before we generate any revenue from product sales. We cannot assure you that we will meet our timelines for our current or future clinical trials, which may be delayed or not completed for a number of reasons, including the negative impact of the COVID-19 pandemic.</w:t>
      </w:r>
    </w:p>
    <w:p>
      <w:pPr>
        <w:pStyle w:val="TextBody"/>
        <w:spacing w:before="0" w:after="180"/>
        <w:ind w:left="0" w:right="0" w:firstLine="547"/>
        <w:rPr>
          <w:rFonts w:ascii="Times New Roman;Times;serif" w:hAnsi="Times New Roman;Times;serif"/>
          <w:sz w:val="20"/>
        </w:rPr>
      </w:pPr>
      <w:r>
        <w:rPr>
          <w:rFonts w:ascii="Times New Roman;Times;serif" w:hAnsi="Times New Roman;Times;serif"/>
          <w:sz w:val="20"/>
        </w:rPr>
        <w:t>We are not permitted to market or promote any of our product candidates before we receive regulatory approval from the FDA or comparable foreign regulatory authorities, and we may never receive such regulatory approval for any of our product candidates or regulatory approval that will allow us to successfully commercialize our product candidates. If we do not receive FDA approval with the necessary conditions to allow successful commercialization, and then successfully commercialize our product candidates, we will not be able to generate revenue from those product candidates in the U.S. in the foreseeable future, or at all. Any significant delays in obtaining approval for and commercializing our product candidates will have a material adverse impact on our business and financial condition.</w:t>
      </w:r>
    </w:p>
    <w:p>
      <w:pPr>
        <w:pStyle w:val="TextBody"/>
        <w:spacing w:before="0" w:after="180"/>
        <w:ind w:left="0" w:right="0" w:firstLine="547"/>
        <w:rPr>
          <w:rFonts w:ascii="Times New Roman;Times;serif" w:hAnsi="Times New Roman;Times;serif"/>
          <w:sz w:val="20"/>
        </w:rPr>
      </w:pPr>
      <w:r>
        <w:rPr>
          <w:rFonts w:ascii="Times New Roman;Times;serif" w:hAnsi="Times New Roman;Times;serif"/>
          <w:sz w:val="20"/>
        </w:rPr>
        <w:t>Prior to our completion of a rolling BLA for lifileucel, we have not previously submitted a BLA to the FDA, or similar marketing application to comparable foreign authorities, for any product candidate, and we cannot be certain that our current or any future product candidates will be successful in clinical trials or receive regulatory approval. Furthermore, although we have not submitted our BLA with comparisons to existing or more established therapies and likewise do not expect the FDA to base its determination with respect to product approval on such comparisons, the FDA may factor these comparisons into its decision whether to approve our TIL therapies, including lifileucel for advanced melanoma. The FDA may also consider its approvals of competing products, which may alter the treatment landscape concurrently with their review of our BLA filings, and which may lead to changes in the FDA’s review requirements that have been previously communicated to us and our interpretation thereof, including changes to requirements for clinical data or clinical trial design. Such changes could delay approval or necessitate withdrawal of our BLA filings.</w:t>
      </w:r>
    </w:p>
    <w:p>
      <w:pPr>
        <w:pStyle w:val="TextBody"/>
        <w:spacing w:before="0" w:after="180"/>
        <w:ind w:left="0" w:right="0" w:firstLine="547"/>
        <w:rPr>
          <w:rFonts w:ascii="Times New Roman;Times;serif" w:hAnsi="Times New Roman;Times;serif"/>
          <w:sz w:val="20"/>
        </w:rPr>
      </w:pPr>
      <w:r>
        <w:rPr>
          <w:rFonts w:ascii="Times New Roman;Times;serif" w:hAnsi="Times New Roman;Times;serif"/>
          <w:sz w:val="20"/>
        </w:rPr>
        <w:t>Our product candidates are susceptible to the risks of failure inherent at any stage of product development, including the appearance of unexpected adverse events or failure to achieve primary endpoints in clinical trials. Further, our product candidates may not receive regulatory approval even if they are successful in clinical trials.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If approved for marketing by applicable regulatory authorities, our ability to generate revenues from our product candidates will depend on our ability to:</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our product candidates competitively such that third-party and government reimbursement leads to broad product adoption;</w:t>
            </w:r>
          </w:p>
        </w:tc>
      </w:tr>
    </w:tbl>
    <w:tbl>
      <w:tblPr>
        <w:tblW w:w="6516" w:type="dxa"/>
        <w:jc w:val="left"/>
        <w:tblInd w:w="0" w:type="dxa"/>
        <w:tblCellMar>
          <w:top w:w="28" w:type="dxa"/>
          <w:left w:w="28" w:type="dxa"/>
          <w:bottom w:w="28" w:type="dxa"/>
          <w:right w:w="28" w:type="dxa"/>
        </w:tblCellMar>
      </w:tblPr>
      <w:tblGrid>
        <w:gridCol w:w="124"/>
        <w:gridCol w:w="256"/>
        <w:gridCol w:w="61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1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prepare a broad network of clinical sites for administration of our product;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 market demand for our product candidates through our own marketing and sales activities, and any other arrangements to promote these product candidates that we may otherwise establish;</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receive regulatory approval for the targeted patient population(s) and claims that are necessary or desirable for successful marketing;</w:t>
            </w:r>
          </w:p>
        </w:tc>
      </w:tr>
    </w:tbl>
    <w:tbl>
      <w:tblPr>
        <w:tblW w:w="3756" w:type="dxa"/>
        <w:jc w:val="left"/>
        <w:tblInd w:w="0" w:type="dxa"/>
        <w:tblCellMar>
          <w:top w:w="28" w:type="dxa"/>
          <w:left w:w="28" w:type="dxa"/>
          <w:bottom w:w="28" w:type="dxa"/>
          <w:right w:w="28" w:type="dxa"/>
        </w:tblCellMar>
      </w:tblPr>
      <w:tblGrid>
        <w:gridCol w:w="124"/>
        <w:gridCol w:w="256"/>
        <w:gridCol w:w="33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3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effectively commercialize our products;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manufacture product candidates through CMOs or in our own manufacturing facility in sufficient quantities and at acceptable quality and manufacturing cost to meet commercial demand at launch and thereafter;</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and maintain agreements with wholesalers, distributors, pharmacies, and group purchasing organizations on commercially reasonable terms;</w:t>
            </w:r>
          </w:p>
        </w:tc>
      </w:tr>
    </w:tbl>
    <w:tbl>
      <w:tblPr>
        <w:tblW w:w="8421" w:type="dxa"/>
        <w:jc w:val="left"/>
        <w:tblInd w:w="0" w:type="dxa"/>
        <w:tblCellMar>
          <w:top w:w="28" w:type="dxa"/>
          <w:left w:w="28" w:type="dxa"/>
          <w:bottom w:w="28" w:type="dxa"/>
          <w:right w:w="28" w:type="dxa"/>
        </w:tblCellMar>
      </w:tblPr>
      <w:tblGrid>
        <w:gridCol w:w="124"/>
        <w:gridCol w:w="256"/>
        <w:gridCol w:w="80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0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patent and trade secret protection and regulatory exclusivity for our product candidates;</w:t>
            </w:r>
          </w:p>
        </w:tc>
      </w:tr>
    </w:tbl>
    <w:tbl>
      <w:tblPr>
        <w:tblW w:w="4686" w:type="dxa"/>
        <w:jc w:val="left"/>
        <w:tblInd w:w="0" w:type="dxa"/>
        <w:tblCellMar>
          <w:top w:w="28" w:type="dxa"/>
          <w:left w:w="28" w:type="dxa"/>
          <w:bottom w:w="28" w:type="dxa"/>
          <w:right w:w="28" w:type="dxa"/>
        </w:tblCellMar>
      </w:tblPr>
      <w:tblGrid>
        <w:gridCol w:w="124"/>
        <w:gridCol w:w="256"/>
        <w:gridCol w:w="43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3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launch commercial sales of our product candidates;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compliance with applicable laws, regulations, and guidance specific to commercialization including interactions with health care professionals, patient advocacy groups, and communication of health care economic information to payors and formularies;</w:t>
            </w:r>
          </w:p>
        </w:tc>
      </w:tr>
    </w:tbl>
    <w:tbl>
      <w:tblPr>
        <w:tblW w:w="9726" w:type="dxa"/>
        <w:jc w:val="left"/>
        <w:tblInd w:w="0" w:type="dxa"/>
        <w:tblCellMar>
          <w:top w:w="28" w:type="dxa"/>
          <w:left w:w="28" w:type="dxa"/>
          <w:bottom w:w="28" w:type="dxa"/>
          <w:right w:w="28" w:type="dxa"/>
        </w:tblCellMar>
      </w:tblPr>
      <w:tblGrid>
        <w:gridCol w:w="124"/>
        <w:gridCol w:w="256"/>
        <w:gridCol w:w="93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3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achieve market acceptance of our product candidates by patients, the medical community, and third-party payors;</w:t>
            </w:r>
          </w:p>
        </w:tc>
      </w:tr>
    </w:tbl>
    <w:tbl>
      <w:tblPr>
        <w:tblW w:w="5616" w:type="dxa"/>
        <w:jc w:val="left"/>
        <w:tblInd w:w="0" w:type="dxa"/>
        <w:tblCellMar>
          <w:top w:w="28" w:type="dxa"/>
          <w:left w:w="28" w:type="dxa"/>
          <w:bottom w:w="28" w:type="dxa"/>
          <w:right w:w="28" w:type="dxa"/>
        </w:tblCellMar>
      </w:tblPr>
      <w:tblGrid>
        <w:gridCol w:w="124"/>
        <w:gridCol w:w="256"/>
        <w:gridCol w:w="52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2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achieve appropriate reimbursement for our product candidates;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a distribution and logistics network capable of product storage within our specifications and regulatory guidelines, and further capable of timely product delivery to commercial clinical sites;</w:t>
            </w:r>
          </w:p>
        </w:tc>
      </w:tr>
    </w:tbl>
    <w:tbl>
      <w:tblPr>
        <w:tblW w:w="5406" w:type="dxa"/>
        <w:jc w:val="left"/>
        <w:tblInd w:w="0" w:type="dxa"/>
        <w:tblCellMar>
          <w:top w:w="28" w:type="dxa"/>
          <w:left w:w="28" w:type="dxa"/>
          <w:bottom w:w="28" w:type="dxa"/>
          <w:right w:w="28" w:type="dxa"/>
        </w:tblCellMar>
      </w:tblPr>
      <w:tblGrid>
        <w:gridCol w:w="124"/>
        <w:gridCol w:w="256"/>
        <w:gridCol w:w="50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0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effectively compete with other therapies or competitors;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launch, ensure that our product will be used as directed and that additional unexpected safety risks will not arise.</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547"/>
        <w:rPr/>
      </w:pPr>
      <w:r>
        <w:rPr/>
        <w:t>​</w:t>
      </w:r>
    </w:p>
    <w:p>
      <w:pPr>
        <w:pStyle w:val="TextBody"/>
        <w:spacing w:before="0" w:after="200"/>
        <w:ind w:left="0" w:right="0" w:firstLine="547"/>
        <w:rPr>
          <w:rFonts w:ascii="Times New Roman;Times;serif" w:hAnsi="Times New Roman;Times;serif"/>
          <w:b/>
          <w:i/>
          <w:sz w:val="20"/>
        </w:rPr>
      </w:pPr>
      <w:r>
        <w:rPr>
          <w:rFonts w:ascii="Times New Roman;Times;serif" w:hAnsi="Times New Roman;Times;serif"/>
          <w:b/>
          <w:i/>
          <w:sz w:val="20"/>
        </w:rPr>
        <w:t>We may face risks due to the need to rely on third parties, including clinical trial sites.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We are heavily reliant on third parties to conduct our clinical trials. We have a limited history of conducting clinical trials and have no experience as a company in filing and supporting the applications necessary to gain marketing approvals. Securing marketing approval requires the submission of extensive preclinical and clinical data and supporting information to regulatory authorities for each therapeutic indication to establish the product candidate’s safety, purity, and potency for that indication. Securing marketing approval also requires the submission of information about the product manufacturing process to, and inspection of manufacturing facilities and clinical trial sites by, applicable regulatory authorities. Clinical testing is expensive and can take many years to complete, and its outcome is inherently uncertain. Failure can occur at any time during the clinical trial process. As a result of the COVID-19 pandemic, institutions and research sites that currently conduct clinical trials may not be able to return to normal clinical trial operations for some time or may no longer choose to participate in studies in the future. Furthermore, clinical trials may be delayed or otherwise may be more difficult to execute in the future.</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We have recruited a team that has experience with clinical trials and in the development of preclinical assets for translation into clinical trials; however, we as a company have limited experience completing pivotal clinical trials for cell therapy products or developing preclinical immunotherapy products. In part because of this lack of experience, we cannot be certain that our ongoing pivotal clinical trials will be completed on time, if at all, will progress according to our plans or expectations, or that our planned clinical trials will be initiated or initiated in a timely manner, progress according to our plans or expectations, or be completed on time, if they are completed at all.</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 xml:space="preserve">Large-scale clinical trials require significant financial and management resources, and reliance on third-party clinical investigators, Contract Research Organizations, or CROs, Contract Manufacturing Organizations, or CMOs, or consultants. Relying on third-party clinical investigators, CROs or CMOs may force us to encounter delays and challenges that are outside of our control. In addition to manufacturing TIL at the </w:t>
      </w:r>
      <w:r>
        <w:rPr>
          <w:rFonts w:ascii="Times New Roman;Times;serif" w:hAnsi="Times New Roman;Times;serif"/>
          <w:i/>
          <w:sz w:val="20"/>
        </w:rPr>
        <w:t>i</w:t>
      </w:r>
      <w:r>
        <w:rPr>
          <w:rFonts w:ascii="Times New Roman;Times;serif" w:hAnsi="Times New Roman;Times;serif"/>
          <w:sz w:val="20"/>
        </w:rPr>
        <w:t>CTC, we rely on CMOs in the U.S. and Europe to manufacture TIL for use in our clinical trials and commercial use upon approval. We may not be able to demonstrate sufficient comparability between products manufactured at different facilities to allow for inclusion of the clinical results from patients treated with products from these different facilities, or with our own manufacturing facility, in our product registrations. Further, our CMOs may not be able to manufacture TIL or otherwise fulfill their obligations to us because of interruptions to their business, including the loss of their key staff or interruptions to their raw material supply.</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We rely on third party CROs and clinical trial sites to conduct, supervise, and monitor our clinical trials for our product candidates. We expect to continue to rely on third parties, such as CROs, clinical data management organizations, medical institutions, independent review organizations and clinical investigators, to conduct our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be delayed in completing or unable to complete the clinical trials required to support future approval of our product candidates, or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could delay our product development activities and adversely affect our business.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the CROs, clinical trial sites, and other third parties do not relieve us of these oversight responsibilities. For example, we will remain responsible for ensuring that each of our clinical trials is conducted in accordance with the general investigational plan and protocols for the clinical trial and for ensuring that our preclinical studies are conducted in accordance with Good Laboratory Practices, or GLPs, as appropriate. Moreover, the FDA and comparable foreign regulatory authorities require us to comply with GCPs for conducting, recording, and reporting the results of clinical trials to assure that data and reported results are credible and accurate and that the rights, integrity, and confidentiality of clinical trial participants are protected. Regulatory authorities enforce these requirements through periodic inspections (including pre-approval inspections upon completion of a BLA filing with the FDA) of clinical trial sponsors, clinical investigators, clinical trial sites and certain third parties including CMOs. If we, our CROs, clinical trial sites, or other third parties fail to comply with Good Clinical Practices, or applicable GCPs,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We cannot assure you that upon inspection by a given regulatory authority, such regulatory authority will determine that any of our clinical trials comply with GCP regulations.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that are determined to have conflicts of interest.</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In addition, our clinical trials must be conducted with product candidates that were produced under cGMP regulations. Our failure to comply or our CMOs’ failure to comply with these regulations may require us to repeat clinical trials, which would delay the regulatory approval process. We also are required to register certain clinical trials and post the results of certain completed clinical trials on a government sponsored database, ClinicalTrials.gov, within specified timeframes. Failure to do so could result in enforcement actions and adverse publicity.</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Our CROs, clinical trial sites, and other third parties may also have relationships with other entities, some of which may be our competitors, for whom they may also be conducting clinical trials or other therapeutic development activities that could harm our competitive position. In addition, these third parties are not our employees, and except for remedies available to us under our agreements with them, we cannot control whether or not they devote sufficient time and resources to our ongoing clinical, non-clinical, and preclinical programs. If these third parties do not successfully carry out their contractual duties, meet expected deadlines or conduct our clinical trials in accordance with regulatory requirements or our stated protocols, if they need to be replaced or if the quality or accuracy of the data they obtain is compromised due to the failure to adhere to our protocols, regulatory requirements or for other reasons, our clinical trials may be repeated,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may be materially and adversely affected.</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If any of our relationships with these third parties terminate, we may not be able to enter into alternative arrangements or do so on commercially reasonable terms. Switching or adding additional contractors involves additional cost and requires management time and focus. In addition, there is a natural transition period when a new third party commences work. As a result, delays could occur, which could compromise our ability to meet our desired development timelines. Though we carefully manage our relationships with our third-party service providers, there can be no assurance that we will not encounter similar challenges or delays in the future or that these delays or challenges will not have a material adverse impact on our business, financial condition and prospects or results of operations.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We also rely on other third parties to manufacture and ship our products for the clinical trials that we conduct. Any performance failure on the part of these third parties could delay clinical development or marketing approval of our product candidates or any additional product candidates or commercialization of our product candidates, if approved, producing additional losses and depriving us of potential product revenue.</w:t>
      </w:r>
    </w:p>
    <w:p>
      <w:pPr>
        <w:pStyle w:val="TextBody"/>
        <w:spacing w:before="0" w:after="200"/>
        <w:ind w:left="0" w:right="0" w:firstLine="547"/>
        <w:rPr>
          <w:rFonts w:ascii="Times New Roman;Times;serif" w:hAnsi="Times New Roman;Times;serif"/>
          <w:sz w:val="20"/>
        </w:rPr>
      </w:pPr>
      <w:r>
        <w:rPr>
          <w:rFonts w:ascii="Times New Roman;Times;serif" w:hAnsi="Times New Roman;Times;serif"/>
          <w:b/>
          <w:i/>
          <w:sz w:val="20"/>
        </w:rPr>
        <w:t>We may encounter substantial delays in our clinical trials or may not be able to conduct our</w:t>
      </w:r>
      <w:r>
        <w:rPr>
          <w:rFonts w:ascii="Times New Roman;Times;serif" w:hAnsi="Times New Roman;Times;serif"/>
          <w:sz w:val="20"/>
        </w:rPr>
        <w:t xml:space="preserve"> </w:t>
      </w:r>
      <w:r>
        <w:rPr>
          <w:rFonts w:ascii="Times New Roman;Times;serif" w:hAnsi="Times New Roman;Times;serif"/>
          <w:b/>
          <w:i/>
          <w:sz w:val="20"/>
        </w:rPr>
        <w:t>clinical trials on the timelines we expect and we may be required to conduct additional clinical trials or modify current or future clinical trials based on feedback we receive from the FDA.*</w:t>
      </w:r>
    </w:p>
    <w:p>
      <w:pPr>
        <w:pStyle w:val="TextBody"/>
        <w:spacing w:before="0" w:after="0"/>
        <w:ind w:left="0" w:right="0" w:firstLine="547"/>
        <w:rPr>
          <w:rFonts w:ascii="Times New Roman;Times;serif" w:hAnsi="Times New Roman;Times;serif"/>
          <w:sz w:val="20"/>
        </w:rPr>
      </w:pPr>
      <w:r>
        <w:rPr>
          <w:rFonts w:ascii="Times New Roman;Times;serif" w:hAnsi="Times New Roman;Times;serif"/>
          <w:sz w:val="20"/>
        </w:rPr>
        <w:t>Clinical testing is expensive, time consuming, and subject to uncertainty. We cannot guarantee that any current or future clinical trials will be conducted as planned or completed on schedule, if at all, or that any of our product candidates will receive regulatory approval. We initiated clinical trials in patients with metastatic melanoma, cervical, head and neck and non-small cell lung cancers, and in other indications in collaboration with third parties. We have completed enrollment in the pivotal clinical trial for melanoma, C-144-01. In June 2022, we announced that initial Cohort 4 data read by the independent review committee, or IRC, met the primary endpoint in this clinical trial. In March 2023, we completed submission of our BLA to the FDA for the treatment of adult patients with metastatic melanoma for approval. We plan to initiate clinical trials in new indications, and new cohorts in existing clinical trials. Even as these clinical trials progress, issues may arise that could require us to suspend or terminate such clinical trials or could cause the results of one cohort to differ from a prior cohort. For example, we may experience slower than anticipated enrollment in our additional pivotal clinical trials, which may consequently delay BLA submission to the FDA or permit competitors to obtain approvals that may alter our BLA filing strategy. A failure of one or more clinical trials can occur at any stage of testing, and our future clinical studies may not be successful. Events that may prevent successful or timely initiation or completion of clinical development, or product approval include: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547" w:right="0" w:hanging="0"/>
        <w:rPr/>
      </w:pPr>
      <w:r>
        <w:rPr/>
        <w:t>●</w:t>
      </w:r>
      <w:r>
        <w:rPr>
          <w:rFonts w:ascii="Times New Roman;Times;serif" w:hAnsi="Times New Roman;Times;serif"/>
          <w:sz w:val="20"/>
        </w:rPr>
        <w:t>regulators or IRBs may not authorize us or our investigators to commence a clinical trial, conduct a clinical trial at a prospective clinical trial site, or amend clinical trial protocols, or regulators or IRBs may require that we modify or amend our clinical trial protocols;</w:t>
      </w:r>
    </w:p>
    <w:p>
      <w:pPr>
        <w:pStyle w:val="TextBody"/>
        <w:spacing w:before="0" w:after="0"/>
        <w:ind w:left="547" w:right="0" w:hanging="0"/>
        <w:rPr/>
      </w:pPr>
      <w:r>
        <w:rPr/>
        <w:t>●</w:t>
      </w:r>
      <w:r>
        <w:rPr>
          <w:rFonts w:ascii="Times New Roman;Times;serif" w:hAnsi="Times New Roman;Times;serif"/>
          <w:sz w:val="20"/>
        </w:rPr>
        <w:t>delays in reaching a consensus or inability to obtain agreement with regulatory agencies on clinical trial design;</w:t>
      </w:r>
    </w:p>
    <w:p>
      <w:pPr>
        <w:pStyle w:val="TextBody"/>
        <w:spacing w:before="0" w:after="0"/>
        <w:ind w:left="547" w:right="0" w:hanging="0"/>
        <w:rPr/>
      </w:pPr>
      <w:r>
        <w:rPr/>
        <w:t>●</w:t>
      </w:r>
      <w:r>
        <w:rPr>
          <w:rFonts w:ascii="Times New Roman;Times;serif" w:hAnsi="Times New Roman;Times;serif"/>
          <w:sz w:val="20"/>
        </w:rPr>
        <w:t>the FDA or comparable foreign regulatory authorities may disagree with our intended indications, clinical trial design or our interpretation of data from preclinical studies and clinical trials or find that a product candidate’s benefits do not outweigh its safety risks;</w:t>
      </w:r>
    </w:p>
    <w:p>
      <w:pPr>
        <w:pStyle w:val="TextBody"/>
        <w:spacing w:before="0" w:after="0"/>
        <w:ind w:left="547" w:right="0" w:hanging="0"/>
        <w:rPr/>
      </w:pPr>
      <w:r>
        <w:rPr/>
        <w:t>●</w:t>
      </w:r>
      <w:r>
        <w:rPr>
          <w:rFonts w:ascii="Times New Roman;Times;serif" w:hAnsi="Times New Roman;Times;serif"/>
          <w:sz w:val="20"/>
        </w:rPr>
        <w:t>the FDA or comparable foreign regulatory authorities may not accept data from studies with clinical trial sites in foreign countries;</w:t>
      </w:r>
    </w:p>
    <w:p>
      <w:pPr>
        <w:pStyle w:val="TextBody"/>
        <w:spacing w:before="0" w:after="0"/>
        <w:ind w:left="547" w:right="0" w:hanging="0"/>
        <w:rPr/>
      </w:pPr>
      <w:r>
        <w:rPr/>
        <w:t>●</w:t>
      </w:r>
      <w:r>
        <w:rPr>
          <w:rFonts w:ascii="Times New Roman;Times;serif" w:hAnsi="Times New Roman;Times;serif"/>
          <w:sz w:val="20"/>
        </w:rPr>
        <w:t>the FDA may not allow us to use the clinical trial data from a research institution to support an IND if we cannot demonstrate the comparability of our product candidates with the product candidate used by the relevant research institution in its clinical trials;</w:t>
      </w:r>
    </w:p>
    <w:p>
      <w:pPr>
        <w:pStyle w:val="TextBody"/>
        <w:spacing w:before="0" w:after="0"/>
        <w:ind w:left="547" w:right="0" w:hanging="0"/>
        <w:rPr/>
      </w:pPr>
      <w:r>
        <w:rPr/>
        <w:t>●</w:t>
      </w:r>
      <w:r>
        <w:rPr>
          <w:rFonts w:ascii="Times New Roman;Times;serif" w:hAnsi="Times New Roman;Times;serif"/>
          <w:sz w:val="20"/>
        </w:rPr>
        <w:t>delays in or failure to reach an agreement on acceptable terms with prospective CROs and clinical trial sites, the terms of which can be subject to extensive negotiation and may vary significantly among different CROs and clinical trial sites;</w:t>
      </w:r>
    </w:p>
    <w:p>
      <w:pPr>
        <w:pStyle w:val="TextBody"/>
        <w:spacing w:before="0" w:after="0"/>
        <w:ind w:left="547" w:right="0" w:hanging="0"/>
        <w:rPr/>
      </w:pPr>
      <w:r>
        <w:rPr/>
        <w:t>●</w:t>
      </w:r>
      <w:r>
        <w:rPr>
          <w:rFonts w:ascii="Times New Roman;Times;serif" w:hAnsi="Times New Roman;Times;serif"/>
          <w:sz w:val="20"/>
        </w:rPr>
        <w:t>delays in obtaining required IRB approval at each clinical trial site;</w:t>
      </w:r>
    </w:p>
    <w:p>
      <w:pPr>
        <w:pStyle w:val="TextBody"/>
        <w:spacing w:before="0" w:after="0"/>
        <w:ind w:left="547" w:right="0" w:hanging="0"/>
        <w:rPr/>
      </w:pPr>
      <w:r>
        <w:rPr/>
        <w:t>●</w:t>
      </w:r>
      <w:r>
        <w:rPr>
          <w:rFonts w:ascii="Times New Roman;Times;serif" w:hAnsi="Times New Roman;Times;serif"/>
          <w:sz w:val="20"/>
        </w:rPr>
        <w:t>imposition of a temporary or permanent clinical hold, suspensions or terminations by regulatory agencies, IRBs, or us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biologically or mechanistically similar therapeutic or therapeutic candidate;</w:t>
      </w:r>
    </w:p>
    <w:p>
      <w:pPr>
        <w:pStyle w:val="TextBody"/>
        <w:spacing w:before="0" w:after="0"/>
        <w:ind w:left="547" w:right="0" w:hanging="0"/>
        <w:rPr/>
      </w:pPr>
      <w:r>
        <w:rPr/>
        <w:t>●</w:t>
      </w:r>
      <w:r>
        <w:rPr>
          <w:rFonts w:ascii="Times New Roman;Times;serif" w:hAnsi="Times New Roman;Times;serif"/>
          <w:sz w:val="20"/>
        </w:rPr>
        <w:t>delays in recruiting suitable patients to participate in our clinical trials;</w:t>
      </w:r>
    </w:p>
    <w:p>
      <w:pPr>
        <w:pStyle w:val="TextBody"/>
        <w:spacing w:before="0" w:after="0"/>
        <w:ind w:left="547" w:right="0" w:hanging="0"/>
        <w:rPr/>
      </w:pPr>
      <w:r>
        <w:rPr/>
        <w:t>●</w:t>
      </w:r>
      <w:r>
        <w:rPr>
          <w:rFonts w:ascii="Times New Roman;Times;serif" w:hAnsi="Times New Roman;Times;serif"/>
          <w:sz w:val="20"/>
        </w:rPr>
        <w:t>delay in adding new investigators or clinical trial sites, or withdrawal of clinical trial sites from a clinical trial;</w:t>
      </w:r>
    </w:p>
    <w:p>
      <w:pPr>
        <w:pStyle w:val="TextBody"/>
        <w:spacing w:before="0" w:after="0"/>
        <w:ind w:left="547" w:right="0" w:hanging="0"/>
        <w:rPr/>
      </w:pPr>
      <w:r>
        <w:rPr/>
        <w:t>●</w:t>
      </w:r>
      <w:r>
        <w:rPr>
          <w:rFonts w:ascii="Times New Roman;Times;serif" w:hAnsi="Times New Roman;Times;serif"/>
          <w:sz w:val="20"/>
        </w:rPr>
        <w:t>delay or change in strategic direction for an indication resulting from differences in results between cohorts in a clinical trial, such as Cohort 2 and Cohort 4 of the C-144-01 clinical trial or the previously disclosed preliminary results for the C-145-04 clinical trial and the final patient population and results, including differences in patient population, such as differences that might arise due to the impact of the existing immunotherapy treatment landscape, or from different interpretations of investigator results by IRC;</w:t>
      </w:r>
    </w:p>
    <w:p>
      <w:pPr>
        <w:pStyle w:val="TextBody"/>
        <w:spacing w:before="0" w:after="0"/>
        <w:ind w:left="547" w:right="0" w:hanging="0"/>
        <w:rPr/>
      </w:pPr>
      <w:r>
        <w:rPr/>
        <w:t>●</w:t>
      </w:r>
      <w:r>
        <w:rPr>
          <w:rFonts w:ascii="Times New Roman;Times;serif" w:hAnsi="Times New Roman;Times;serif"/>
          <w:sz w:val="20"/>
        </w:rPr>
        <w:t>failure by our CROs, clinical trial sites, patients, or other third parties, or us to adhere to clinical trial requirements, including regulatory, contractual or protocol requirements;</w:t>
      </w:r>
    </w:p>
    <w:p>
      <w:pPr>
        <w:pStyle w:val="TextBody"/>
        <w:spacing w:before="0" w:after="0"/>
        <w:ind w:left="547" w:right="0" w:hanging="0"/>
        <w:rPr/>
      </w:pPr>
      <w:r>
        <w:rPr/>
        <w:t>●</w:t>
      </w:r>
      <w:r>
        <w:rPr>
          <w:rFonts w:ascii="Times New Roman;Times;serif" w:hAnsi="Times New Roman;Times;serif"/>
          <w:sz w:val="20"/>
        </w:rPr>
        <w:t>failure to perform in accordance with the FDA’s cGCP requirements, or applicable regulatory guidelines in other countries;</w:t>
      </w:r>
    </w:p>
    <w:p>
      <w:pPr>
        <w:pStyle w:val="TextBody"/>
        <w:spacing w:before="0" w:after="0"/>
        <w:ind w:left="547" w:right="0" w:hanging="0"/>
        <w:rPr/>
      </w:pPr>
      <w:r>
        <w:rPr/>
        <w:t>●</w:t>
      </w:r>
      <w:r>
        <w:rPr>
          <w:rFonts w:ascii="Times New Roman;Times;serif" w:hAnsi="Times New Roman;Times;serif"/>
          <w:sz w:val="20"/>
        </w:rPr>
        <w:t>the number of patients required for clinical trials of our product candidates may be larger than we anticipate or enrollment in these clinical trials may be slower than we anticipate, potentially affecting our timelines for approval of our product candidates;</w:t>
      </w:r>
    </w:p>
    <w:p>
      <w:pPr>
        <w:pStyle w:val="TextBody"/>
        <w:spacing w:before="0" w:after="0"/>
        <w:ind w:left="547" w:right="0" w:hanging="0"/>
        <w:rPr/>
      </w:pPr>
      <w:r>
        <w:rPr/>
        <w:t>●</w:t>
      </w:r>
      <w:r>
        <w:rPr>
          <w:rFonts w:ascii="Times New Roman;Times;serif" w:hAnsi="Times New Roman;Times;serif"/>
          <w:sz w:val="20"/>
        </w:rPr>
        <w:t>patients that enroll in our studies may misrepresent their eligibility or may otherwise not comply with the clinical trial protocol, resulting in the need to drop such patients from the clinical trial, increase the needed enrollment size for the clinical trial or extend the clinical trial’s duration;</w:t>
      </w:r>
    </w:p>
    <w:p>
      <w:pPr>
        <w:pStyle w:val="TextBody"/>
        <w:spacing w:before="0" w:after="0"/>
        <w:ind w:left="547" w:right="0" w:hanging="0"/>
        <w:rPr/>
      </w:pPr>
      <w:r>
        <w:rPr/>
        <w:t>●</w:t>
      </w:r>
      <w:r>
        <w:rPr>
          <w:rFonts w:ascii="Times New Roman;Times;serif" w:hAnsi="Times New Roman;Times;serif"/>
          <w:sz w:val="20"/>
        </w:rPr>
        <w:t>patients dropping out of a clinical trial;</w:t>
      </w:r>
    </w:p>
    <w:p>
      <w:pPr>
        <w:pStyle w:val="TextBody"/>
        <w:spacing w:before="0" w:after="0"/>
        <w:ind w:left="547" w:right="0" w:hanging="0"/>
        <w:rPr/>
      </w:pPr>
      <w:r>
        <w:rPr/>
        <w:t>●</w:t>
      </w:r>
      <w:r>
        <w:rPr>
          <w:rFonts w:ascii="Times New Roman;Times;serif" w:hAnsi="Times New Roman;Times;serif"/>
          <w:sz w:val="20"/>
        </w:rPr>
        <w:t>occurrence of adverse events associated with the product candidate that are viewed to outweigh its potential benefits;</w:t>
      </w:r>
    </w:p>
    <w:p>
      <w:pPr>
        <w:pStyle w:val="TextBody"/>
        <w:spacing w:before="0" w:after="0"/>
        <w:ind w:left="547" w:right="0" w:hanging="0"/>
        <w:rPr/>
      </w:pPr>
      <w:r>
        <w:rPr/>
        <w:t>●</w:t>
      </w:r>
      <w:r>
        <w:rPr>
          <w:rFonts w:ascii="Times New Roman;Times;serif" w:hAnsi="Times New Roman;Times;serif"/>
          <w:sz w:val="20"/>
        </w:rPr>
        <w:t>changes in regulatory requirements and guidance that require amending or submitting new clinical protocols to regulatory authorities and IRBs, and which may cause delays in our development programs, or changes to regulatory review times;</w:t>
      </w:r>
    </w:p>
    <w:p>
      <w:pPr>
        <w:pStyle w:val="TextBody"/>
        <w:spacing w:before="0" w:after="0"/>
        <w:ind w:left="547" w:right="0" w:hanging="0"/>
        <w:rPr/>
      </w:pPr>
      <w:r>
        <w:rPr/>
        <w:t>●</w:t>
      </w:r>
      <w:r>
        <w:rPr>
          <w:rFonts w:ascii="Times New Roman;Times;serif" w:hAnsi="Times New Roman;Times;serif"/>
          <w:sz w:val="20"/>
        </w:rPr>
        <w:t>there may be regulatory questions or disagreements regarding interpretations of data and results, or new information may emerge regarding our product candidates;</w:t>
      </w:r>
    </w:p>
    <w:p>
      <w:pPr>
        <w:pStyle w:val="TextBody"/>
        <w:spacing w:before="0" w:after="0"/>
        <w:ind w:left="547" w:right="0" w:hanging="0"/>
        <w:rPr/>
      </w:pPr>
      <w:r>
        <w:rPr/>
        <w:t>●</w:t>
      </w:r>
      <w:r>
        <w:rPr>
          <w:rFonts w:ascii="Times New Roman;Times;serif" w:hAnsi="Times New Roman;Times;serif"/>
          <w:sz w:val="20"/>
        </w:rPr>
        <w:t>changes in the standard of care on which a clinical development plan was based, which may require new or additional clinical trials;</w:t>
      </w:r>
    </w:p>
    <w:p>
      <w:pPr>
        <w:pStyle w:val="TextBody"/>
        <w:spacing w:before="0" w:after="0"/>
        <w:ind w:left="547" w:right="0" w:hanging="0"/>
        <w:rPr/>
      </w:pPr>
      <w:r>
        <w:rPr/>
        <w:t>●</w:t>
      </w:r>
      <w:r>
        <w:rPr>
          <w:rFonts w:ascii="Times New Roman;Times;serif" w:hAnsi="Times New Roman;Times;serif"/>
          <w:sz w:val="20"/>
        </w:rPr>
        <w:t>the cost of clinical trials of our product candidates being greater than we anticipate, or we may have insufficient funds for a clinical trial or to pay the substantial user fees required by the FDA upon the filing of a BLA;</w:t>
      </w:r>
    </w:p>
    <w:p>
      <w:pPr>
        <w:pStyle w:val="TextBody"/>
        <w:spacing w:before="0" w:after="0"/>
        <w:ind w:left="547" w:right="0" w:hanging="0"/>
        <w:rPr/>
      </w:pPr>
      <w:r>
        <w:rPr/>
        <w:t>●</w:t>
      </w:r>
      <w:r>
        <w:rPr>
          <w:rFonts w:ascii="Times New Roman;Times;serif" w:hAnsi="Times New Roman;Times;serif"/>
          <w:sz w:val="20"/>
        </w:rPr>
        <w:t>clinical trials of our product candidates producing negative or inconclusive results may fail to provide sufficient data and information to support product approval, or our studies may fail to reach the necessary level of statistical or clinical significance, which may result in our deciding, or regulators requiring us, to conduct additional clinical trials studies, or preclinical studies, or abandon product development programs;</w:t>
      </w:r>
    </w:p>
    <w:p>
      <w:pPr>
        <w:pStyle w:val="TextBody"/>
        <w:ind w:left="547" w:right="0" w:hanging="0"/>
        <w:rPr/>
      </w:pPr>
      <w:r>
        <w:rPr/>
        <w:t>●</w:t>
      </w:r>
      <w:r>
        <w:rPr>
          <w:rFonts w:ascii="Times New Roman;Times;serif" w:hAnsi="Times New Roman;Times;serif"/>
          <w:sz w:val="20"/>
        </w:rPr>
        <w:t>early results from our clinical trials of our product candidates may be negatively affected by changes in efficacy measures such as overall response rate and duration of response as more patients are enrolled in our clinical trials or as new cohorts of our clinical trials are tested, and overall response rate and duration of response may be negatively affected by the inclusion of unconfirmed responses in preliminary results that we report if such responses are not later confirmed;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547" w:right="0" w:hanging="0"/>
        <w:rPr/>
      </w:pPr>
      <w:r>
        <w:rPr/>
        <w:t>●</w:t>
      </w:r>
      <w:r>
        <w:rPr>
          <w:rFonts w:ascii="Times New Roman;Times;serif" w:hAnsi="Times New Roman;Times;serif"/>
          <w:sz w:val="20"/>
        </w:rPr>
        <w:t>we may not be able to demonstrate that a product candidate provides an advantage over current standards of care or current or future competitive therapies in development;</w:t>
      </w:r>
    </w:p>
    <w:p>
      <w:pPr>
        <w:pStyle w:val="TextBody"/>
        <w:spacing w:before="0" w:after="0"/>
        <w:ind w:left="547" w:right="0" w:hanging="0"/>
        <w:rPr/>
      </w:pPr>
      <w:r>
        <w:rPr/>
        <w:t>●</w:t>
      </w:r>
      <w:r>
        <w:rPr>
          <w:rFonts w:ascii="Times New Roman;Times;serif" w:hAnsi="Times New Roman;Times;serif"/>
          <w:sz w:val="20"/>
        </w:rPr>
        <w:t>there may be changes to the therapeutics or their regulatory status which we are administering in combination with our product candidates;</w:t>
      </w:r>
    </w:p>
    <w:tbl>
      <w:tblPr>
        <w:tblW w:w="6216" w:type="dxa"/>
        <w:jc w:val="left"/>
        <w:tblInd w:w="0" w:type="dxa"/>
        <w:tblCellMar>
          <w:top w:w="28" w:type="dxa"/>
          <w:left w:w="28" w:type="dxa"/>
          <w:bottom w:w="28" w:type="dxa"/>
          <w:right w:w="28" w:type="dxa"/>
        </w:tblCellMar>
      </w:tblPr>
      <w:tblGrid>
        <w:gridCol w:w="124"/>
        <w:gridCol w:w="256"/>
        <w:gridCol w:w="58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8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patient enrollment due to the ongoing COVID-19 pandemic;</w:t>
            </w:r>
          </w:p>
        </w:tc>
      </w:tr>
    </w:tbl>
    <w:p>
      <w:pPr>
        <w:pStyle w:val="TextBody"/>
        <w:spacing w:before="0" w:after="0"/>
        <w:ind w:left="547" w:right="0" w:hanging="0"/>
        <w:rPr/>
      </w:pPr>
      <w:r>
        <w:rPr/>
        <w:t>●</w:t>
      </w:r>
      <w:r>
        <w:rPr>
          <w:rFonts w:ascii="Times New Roman;Times;serif" w:hAnsi="Times New Roman;Times;serif"/>
          <w:sz w:val="20"/>
        </w:rPr>
        <w:t>the FDA or comparable foreign regulatory authorities may fail to approve or subsequently find fault with the manufacturing processes or our manufacturing facilities for clinical and future commercial supplies;</w:t>
      </w:r>
    </w:p>
    <w:p>
      <w:pPr>
        <w:pStyle w:val="TextBody"/>
        <w:spacing w:before="0" w:after="0"/>
        <w:ind w:left="547" w:right="0" w:hanging="0"/>
        <w:rPr/>
      </w:pPr>
      <w:r>
        <w:rPr/>
        <w:t>●</w:t>
      </w:r>
      <w:r>
        <w:rPr>
          <w:rFonts w:ascii="Times New Roman;Times;serif" w:hAnsi="Times New Roman;Times;serif"/>
          <w:sz w:val="20"/>
        </w:rPr>
        <w:t>the FDA or comparable regulatory authorities may take longer than we anticipate making a decision on our product candidates;</w:t>
      </w:r>
    </w:p>
    <w:p>
      <w:pPr>
        <w:pStyle w:val="TextBody"/>
        <w:spacing w:before="0" w:after="0"/>
        <w:ind w:left="547" w:right="0" w:hanging="0"/>
        <w:rPr/>
      </w:pPr>
      <w:r>
        <w:rPr/>
        <w:t>●</w:t>
      </w:r>
      <w:r>
        <w:rPr>
          <w:rFonts w:ascii="Times New Roman;Times;serif" w:hAnsi="Times New Roman;Times;serif"/>
          <w:sz w:val="20"/>
        </w:rPr>
        <w:t>transfer of our manufacturing processes to our CMOs or other larger-scale facilities operated by a CMO or by us and delays or failure by our CMOs or us to make any necessary changes to such manufacturing process;</w:t>
      </w:r>
    </w:p>
    <w:p>
      <w:pPr>
        <w:pStyle w:val="TextBody"/>
        <w:spacing w:before="0" w:after="0"/>
        <w:ind w:left="547" w:right="0" w:hanging="0"/>
        <w:rPr/>
      </w:pPr>
      <w:r>
        <w:rPr/>
        <w:t>●</w:t>
      </w:r>
      <w:r>
        <w:rPr>
          <w:rFonts w:ascii="Times New Roman;Times;serif" w:hAnsi="Times New Roman;Times;serif"/>
          <w:sz w:val="20"/>
        </w:rPr>
        <w:t>our use of different manufacturing processes within our clinical trials, including our Gen 1 and Gen 2 manufacturing processes, and any effects that may result from the use of different processes on the clinical data that we have reported and will report in the future; and</w:t>
      </w:r>
    </w:p>
    <w:p>
      <w:pPr>
        <w:pStyle w:val="TextBody"/>
        <w:ind w:left="547" w:right="0" w:hanging="0"/>
        <w:rPr/>
      </w:pPr>
      <w:r>
        <w:rPr/>
        <w:t>●</w:t>
      </w:r>
      <w:r>
        <w:rPr>
          <w:rFonts w:ascii="Times New Roman;Times;serif" w:hAnsi="Times New Roman;Times;serif"/>
          <w:sz w:val="20"/>
        </w:rPr>
        <w:t>delays in manufacturing, testing, releasing, validating, or importing/exporting sufficient stable quantities of our product candidates for use in clinical trials or the inability to do any of the foregoing, including as a result of any quality issues associated with the contract manufacturer.</w:t>
      </w:r>
    </w:p>
    <w:p>
      <w:pPr>
        <w:pStyle w:val="TextBody"/>
        <w:spacing w:before="0" w:after="180"/>
        <w:ind w:left="0" w:right="0" w:firstLine="547"/>
        <w:rPr>
          <w:rFonts w:ascii="Times New Roman;Times;serif" w:hAnsi="Times New Roman;Times;serif"/>
          <w:sz w:val="20"/>
        </w:rPr>
      </w:pPr>
      <w:r>
        <w:rPr>
          <w:rFonts w:ascii="Times New Roman;Times;serif" w:hAnsi="Times New Roman;Times;serif"/>
          <w:sz w:val="20"/>
        </w:rPr>
        <w:t>We also may conduct clinical and preclinical research in collaboration with other academic, pharmaceutical, biotechnology and biologics entities in which we combine our technologies with those of our collaborators. Such collaborations may be subject to additional delays because of the management of the clinical trials, contract negotiations, the need to obtain agreement from multiple parties, and the necessity of obtaining additional approvals for therapeutics used in the combination clinical trials. These combination therapies will require additional testing and clinical trials will require additional FDA regulatory approval and will increase our future cost of expenses.</w:t>
      </w:r>
    </w:p>
    <w:p>
      <w:pPr>
        <w:pStyle w:val="TextBody"/>
        <w:spacing w:before="0" w:after="180"/>
        <w:ind w:left="0" w:right="0" w:firstLine="547"/>
        <w:rPr>
          <w:rFonts w:ascii="Times New Roman;Times;serif" w:hAnsi="Times New Roman;Times;serif"/>
          <w:sz w:val="20"/>
        </w:rPr>
      </w:pPr>
      <w:r>
        <w:rPr>
          <w:rFonts w:ascii="Times New Roman;Times;serif" w:hAnsi="Times New Roman;Times;serif"/>
          <w:sz w:val="20"/>
        </w:rPr>
        <w:t>Any inability to successfully complete preclinical and clinical development could result in additional costs to us or impair our ability to generate revenue. In addition, if we make manufacturing changes to our product candidates, we may be required to, or we may elect to, conduct additional studies to bridge our modified product candidates to earlier versions. These changes may require FDA approval or notification, may not have their desired effect, or the FDA may not accept data from prior versions of the product to support an application, delaying our clinical trials or programs or necessitating additional clinical trials or preclinical studies. For example, while our first BLA submission includes our Gen 2 manufacturing process, in the future we may seek to commercialize other manufacturing processes, such as our Gen 3 manufacturing process or our PD-1 selected TIL manufacturing process. We may find that commercialization of these manufacturing processes has unintended consequences that necessitate additional development and manufacturing work or additional clinical trials and preclinical studies, or results in non-approval of a BLA.</w:t>
      </w:r>
    </w:p>
    <w:p>
      <w:pPr>
        <w:pStyle w:val="TextBody"/>
        <w:spacing w:before="0" w:after="180"/>
        <w:ind w:left="0" w:right="0" w:firstLine="547"/>
        <w:rPr>
          <w:rFonts w:ascii="Times New Roman;Times;serif" w:hAnsi="Times New Roman;Times;serif"/>
          <w:sz w:val="20"/>
        </w:rPr>
      </w:pPr>
      <w:r>
        <w:rPr>
          <w:rFonts w:ascii="Times New Roman;Times;serif" w:hAnsi="Times New Roman;Times;serif"/>
          <w:sz w:val="20"/>
        </w:rPr>
        <w:t>Clinical trial delays could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pStyle w:val="TextBody"/>
        <w:spacing w:before="0" w:after="180"/>
        <w:ind w:left="0" w:right="0" w:firstLine="547"/>
        <w:rPr>
          <w:rFonts w:ascii="Times New Roman;Times;serif" w:hAnsi="Times New Roman;Times;serif"/>
          <w:sz w:val="20"/>
        </w:rPr>
      </w:pPr>
      <w:r>
        <w:rPr>
          <w:rFonts w:ascii="Times New Roman;Times;serif" w:hAnsi="Times New Roman;Times;serif"/>
          <w:sz w:val="20"/>
        </w:rPr>
        <w:t>Regulatory authorities have substantial discretion in the approval process and may refuse to accept any application or may decide that our data are insufficient for approval and require additional preclinical, clinical or other studies. The number and types of preclinical studies and clinical trials that will be required for regulatory approval also varies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It is possible that any product candidates we may seek to develop in the future will never obtain the appropriate regulatory approvals necessary for us or any future collaborators to commence product sales. Any delay in completing development, obtaining or failure to obtain required approvals could also materially adversely affect our ability or that of any of our collaborators to generate revenue from any such product candidate, which likely would result in significant harm to our financial position and adversely impact our stock price.</w:t>
      </w:r>
    </w:p>
    <w:p>
      <w:pPr>
        <w:pStyle w:val="TextBody"/>
        <w:spacing w:before="0" w:after="180"/>
        <w:ind w:left="0" w:right="0" w:firstLine="547"/>
        <w:rPr>
          <w:rFonts w:ascii="Times New Roman;Times;serif" w:hAnsi="Times New Roman;Times;serif"/>
          <w:b/>
          <w:i/>
          <w:sz w:val="20"/>
        </w:rPr>
      </w:pPr>
      <w:r>
        <w:rPr>
          <w:rFonts w:ascii="Times New Roman;Times;serif" w:hAnsi="Times New Roman;Times;serif"/>
          <w:b/>
          <w:i/>
          <w:sz w:val="20"/>
        </w:rPr>
        <w:t xml:space="preserve">It may take longer and cost more to complete our clinical trials than we project, or we may not be able to complete them at all. </w:t>
      </w:r>
    </w:p>
    <w:p>
      <w:pPr>
        <w:pStyle w:val="TextBody"/>
        <w:spacing w:before="0" w:after="0"/>
        <w:ind w:left="0" w:right="0" w:firstLine="547"/>
        <w:rPr>
          <w:rFonts w:ascii="Times New Roman;Times;serif" w:hAnsi="Times New Roman;Times;serif"/>
          <w:sz w:val="20"/>
        </w:rPr>
      </w:pPr>
      <w:r>
        <w:rPr>
          <w:rFonts w:ascii="Times New Roman;Times;serif" w:hAnsi="Times New Roman;Times;serif"/>
          <w:sz w:val="20"/>
        </w:rPr>
        <w:t xml:space="preserve">For budgeting and planning purposes, we have projected the date for the commencement of future clinical trials, and continuation and completion of our ongoing clinical trials. However, a number of factors, including scheduling conflicts with participating clinicians and clinical institutions, difficulties in identifying and enrolling patients who meet clinical trial eligibility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80"/>
        <w:ind w:left="0" w:right="0" w:hanging="0"/>
        <w:rPr>
          <w:rFonts w:ascii="Times New Roman;Times;serif" w:hAnsi="Times New Roman;Times;serif"/>
          <w:sz w:val="20"/>
        </w:rPr>
      </w:pPr>
      <w:r>
        <w:rPr>
          <w:rFonts w:ascii="Times New Roman;Times;serif" w:hAnsi="Times New Roman;Times;serif"/>
          <w:sz w:val="20"/>
        </w:rPr>
        <w:t>criteria, and the ongoing COVID-19 pandemic, may cause significant delays. We may not commence or complete clinical trials involving any of our products as projected or may not conduct them successfully.</w:t>
      </w:r>
    </w:p>
    <w:p>
      <w:pPr>
        <w:pStyle w:val="TextBody"/>
        <w:spacing w:before="0" w:after="180"/>
        <w:ind w:left="0" w:right="0" w:firstLine="547"/>
        <w:rPr>
          <w:rFonts w:ascii="Times New Roman;Times;serif" w:hAnsi="Times New Roman;Times;serif"/>
          <w:sz w:val="20"/>
        </w:rPr>
      </w:pPr>
      <w:r>
        <w:rPr>
          <w:rFonts w:ascii="Times New Roman;Times;serif" w:hAnsi="Times New Roman;Times;serif"/>
          <w:sz w:val="20"/>
        </w:rPr>
        <w:t xml:space="preserve">We are currently enrolling six company-sponsored clinical trials to assess the overall safety and efficacy of Iovance TIL monotherapy and TIL combinations in patients with melanoma, cervical, head and neck and lung cancers across late-line and early treatment settings, as well as our genetically modified TIL therapy IOV-4001 and our peripheral blood lymphocyte, or PBL, technology for hematological malignancies. However, we may experience difficulties in patient enrollment in our clinical trials for a variety of reasons. Our ability to enroll or treat patients in our other studies, or the duration or costs of those studies, could be affected by multiple factors, including, preliminary clinical results, which may include efficacy and safety results from our ongoing Phase 2 studies, but may not be reflected in the final analyses of these clinical trials. </w:t>
      </w:r>
    </w:p>
    <w:p>
      <w:pPr>
        <w:pStyle w:val="TextBody"/>
        <w:spacing w:before="0" w:after="180"/>
        <w:ind w:left="0" w:right="0" w:firstLine="547"/>
        <w:rPr>
          <w:rFonts w:ascii="Times New Roman;Times;serif" w:hAnsi="Times New Roman;Times;serif"/>
          <w:sz w:val="20"/>
        </w:rPr>
      </w:pPr>
      <w:r>
        <w:rPr>
          <w:rFonts w:ascii="Times New Roman;Times;serif" w:hAnsi="Times New Roman;Times;serif"/>
          <w:sz w:val="20"/>
        </w:rPr>
        <w:t>For example, our current clinical trials utilize an “open-label” trial design. An open-label trial is one where both the patient and investigator know whether the patient is receiving the test article or either an existing approved drug or placebo, which has the potential to create selection bias in the investigators. In our Phase 2 open-label studies, the investigators have significant discretion over the selection of patient participants. Although preliminary data from certain clinical trials were generally positive, that data may not necessarily be representative of interim or final results, as new patients are cycled through the applicable treatment regimes. As the clinical trials continue, the investigators may prioritize patients with more progressed forms of cancer than the initial patient population, based on the success or perceived success of that initial population. Patients with more progressed forms of cancer may be less responsive to treatment, and accordingly, interim efficacy data may show a decline in patient response rate or other assessment metrics. As the trials continue, investigators may shift their approach to the patient population, which may ultimately result in a decline in both interim and final efficacy data from the preliminary data, or conversely, an increase in final efficacy data following a decline in the interim efficacy data, as patients with more progressed forms of cancer are cycled out of the clinical trials and replaced by patients with less advanced forms of cancer. This opportunity for investigator selection bias in our clinical trials as a result of open-label design may not be adequately handled and may cause a decline in or distortion of clinical trial data from our preliminary results. Depending on the outcome of our open-label studies, we may need to conduct one or more follow-up or supporting studies in order to successfully develop our products for FDA approval. Many companies in the biotechnology, pharmaceutical and medical device industries have suffered significant setbacks in late-stage clinical trials after achieving positive results in earlier development, and we cannot be certain that we will not face such setbacks.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Furthermore, the timely completion of clinical trials in accordance with their protocols depends, among other things, on our ability to enroll a sufficient number of patients who remain in the clinical trial until its conclusion, including the ability of us or our collaborators to conduct clinical trials under the constraints of the COVID-19 pandemic.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clinical trials may instead opt to enroll in a clinical trial being conducted by one of our competitors. Accordingly, we cannot guarantee that the clinical trial will progress as planned or as scheduled. Delays in patient enrollment may result in increased costs or may affect the timing or outcome of our ongoing clinical trial and planned clinical trials, which could prevent completion of these clinical trials and adversely affect our ability to advance the development of our product candidates.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We expect to rely on medical institutions, academic institutions or CROs to conduct, supervise or monitor some or all aspects of clinical trials involving our products. We will have less control over the timing and other aspects of these clinical trials than if we conducted them entirely on our own. If we fail to commence or complete, or experience delays in, any of our planned clinical trials, our stock price and our ability to conduct our business as currently planned could be harmed.</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 xml:space="preserve">We currently anticipate that we will have to rely on our CMOs to supplement the manufacturing capacity at the </w:t>
      </w:r>
      <w:r>
        <w:rPr>
          <w:rFonts w:ascii="Times New Roman;Times;serif" w:hAnsi="Times New Roman;Times;serif"/>
          <w:i/>
          <w:sz w:val="20"/>
        </w:rPr>
        <w:t>i</w:t>
      </w:r>
      <w:r>
        <w:rPr>
          <w:rFonts w:ascii="Times New Roman;Times;serif" w:hAnsi="Times New Roman;Times;serif"/>
          <w:sz w:val="20"/>
        </w:rPr>
        <w:t>CTC in manufacturing our adoptive cell therapy and biologic products for clinical trials. If they fail to commence or complete, or experiences delays in, manufacturing our adoptive cell therapy and other biologic products, our planned clinical trials will be delayed, which will adversely affect our stock price and our ability to conduct our business as currently planned.</w:t>
      </w:r>
    </w:p>
    <w:p>
      <w:pPr>
        <w:pStyle w:val="TextBody"/>
        <w:spacing w:before="0" w:after="200"/>
        <w:ind w:left="0" w:right="0" w:firstLine="547"/>
        <w:rPr>
          <w:rFonts w:ascii="Times New Roman;Times;serif" w:hAnsi="Times New Roman;Times;serif"/>
          <w:b/>
          <w:i/>
          <w:sz w:val="20"/>
        </w:rPr>
      </w:pPr>
      <w:r>
        <w:rPr>
          <w:rFonts w:ascii="Times New Roman;Times;serif" w:hAnsi="Times New Roman;Times;serif"/>
          <w:b/>
          <w:i/>
          <w:sz w:val="20"/>
        </w:rPr>
        <w:t>Clinical trials are expensive, time-consuming and difficult to design and implement, and our clinical trial costs may be higher than for more conventional therapeutic technologies or drug products.</w:t>
      </w:r>
    </w:p>
    <w:p>
      <w:pPr>
        <w:pStyle w:val="TextBody"/>
        <w:spacing w:before="0" w:after="0"/>
        <w:ind w:left="0" w:right="0" w:firstLine="547"/>
        <w:rPr>
          <w:rFonts w:ascii="Times New Roman;Times;serif" w:hAnsi="Times New Roman;Times;serif"/>
          <w:sz w:val="20"/>
        </w:rPr>
      </w:pPr>
      <w:r>
        <w:rPr>
          <w:rFonts w:ascii="Times New Roman;Times;serif" w:hAnsi="Times New Roman;Times;serif"/>
          <w:sz w:val="20"/>
        </w:rPr>
        <w:t xml:space="preserve">Clinical trials are expensive and difficult to design and implement, in part because they are subject to rigorous regulatory requirements. Because our product candidates include candidates based on new cell therapy technologies and manufactured on a patient-by-patient basis, we expect that they will require extensive research and development and have substantial manufacturing costs. In addition, costs to treat patients with relapsed/refractory cancer and to treat potential side effects that may result from our product candidates can be significant. Some clinical trial sites may not bill, or obtain coverage from Medicare, Medicaid, or other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third-party payors for some or all of these costs for patients enrolled in our clinical trials, and we may be required by those clinical trial sites to pay such costs. Accordingly, our clinical trial costs are likely to be significantly higher per patient than those of more conventional therapeutic technologies or drug products. In addition, our proposed personalized product candidates involve several complex and costly manufacturing and processing steps, the costs of which will be borne by us. We are also responsible for the manufacturing costs of products for patients that may have a tumor resection but ultimately do not receive an infusion. Depending on the number of patients that we ultimately screen and enroll in our clinical trials, and the number of clinical trials that we may need to conduct, our overall clinical trial costs may be higher than for more conventional treatments.</w:t>
      </w:r>
    </w:p>
    <w:p>
      <w:pPr>
        <w:pStyle w:val="TextBody"/>
        <w:spacing w:before="0" w:after="200"/>
        <w:ind w:left="0" w:right="0" w:firstLine="547"/>
        <w:rPr>
          <w:rFonts w:ascii="Times New Roman;Times;serif" w:hAnsi="Times New Roman;Times;serif"/>
          <w:b/>
          <w:i/>
          <w:sz w:val="20"/>
        </w:rPr>
      </w:pPr>
      <w:r>
        <w:rPr>
          <w:rFonts w:ascii="Times New Roman;Times;serif" w:hAnsi="Times New Roman;Times;serif"/>
          <w:b/>
          <w:i/>
          <w:sz w:val="20"/>
        </w:rPr>
        <w:t>Our clinical trials may fail to demonstrate adequately the safety and efficacy of our product candidates, which would prevent or delay regulatory approval and commercialization.</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The clinical trials of our product candidates are, and the manufacturing and marketing of our products will be, subject to extensive and rigorous review and regulation by numerous government authorities in the U.S.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Because our product candidates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The risk/benefit profile required for product licensure will vary depending on these factors and may include not only the ability to show tumor shrinkage, but also adequate duration of response, a delay in the progression of the disease, and/or an improvement in survival. For example, response rates from the use of our product candidates may not be sufficient to obtain regulatory approval unless we can also show an adequate duration of response. Regulatory authorities may ultimately disagree with our chosen endpoints or may find that our studies or clinical trial results do not support product approval. Clinical testing is expensive and can take many years to complete, and its outcome is inherently uncertain. Failure can occur at any time during the clinical trial process. The results of preclinical studies and early clinical trials of our product candidates with small patient populations may not be predictive of the results of later-stage clinical trials or the results once the applicable clinical trials are completed. Preliminary, single cohort, or top-line results from clinical trials may not be representative of the final clinical trial results. The results of studies in one set of patients or line of treatment may not be predictive of those obtained in another and the results in various human clinical trials reported in scientific and medical literature may not be indicative of results we obtain in our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We expect there may be greater variability in results for products processed and administered on a patient-by-patient basis, as anticipated for our product candidates, than for “off-the-shelf” products, like many other drugs.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Many companies in the biopharmaceutical industry have suffered significant setbacks in advanced clinical trials due to lack of efficacy or unacceptable safety issues, notwithstanding promising results in earlier clinical trials. Most product candidates that begin clinical trials are never approved by regulatory authorities for commercialization.</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In some instances, there can be significant variability in safety or efficacy results between different clinical trials of the same product candidate due to numerous factors, including changes in clinical trial procedures set forth in protocols, differences in the size and type of the patient populations, changes in and adherence to the clinical trial protocols and the rate of dropout among clinical trial participants. Our current and future clinical trial results may not be successful. Moreover, should there be a flaw in a clinical trial, it may not become apparent until the clinical trial is well advanced. Further, because we currently plan to test our product candidates for use with other oncology products, the design, implementation, and interpretation of the clinical trials necessary for marketing approval may be more complex than if we were developing our product candidates alone.</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In addition, even if such clinical trials are successfully completed, we cannot guarantee that the FDA or foreign regulatory authorities will interpret the results as we do, and more clinical trials could be required before we submit our product candidates for approval. To the extent that the results of the clinical trials are not satisfactory to the FDA or foreign regulatory authorities for support of a marketing application, we may be required to expend significant resources, which may not be available to us, to conduct additional clinical trials in support of potential approval of our product candidates.</w:t>
      </w:r>
    </w:p>
    <w:p>
      <w:pPr>
        <w:pStyle w:val="TextBody"/>
        <w:spacing w:before="0" w:after="0"/>
        <w:ind w:left="0" w:right="0" w:firstLine="547"/>
        <w:rPr>
          <w:rFonts w:ascii="Times New Roman;Times;serif" w:hAnsi="Times New Roman;Times;serif"/>
          <w:sz w:val="20"/>
        </w:rPr>
      </w:pPr>
      <w:r>
        <w:rPr>
          <w:rFonts w:ascii="Times New Roman;Times;serif" w:hAnsi="Times New Roman;Times;serif"/>
          <w:sz w:val="20"/>
        </w:rPr>
        <w:t xml:space="preserve">We have reported preliminary results for clinical trials of our product candidates, including TIL for the treatment of metastatic melanoma, non-small cell lung cancer, cervical cancer, and head and neck cancers. These preliminary results, which include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assessments of efficacy such as ORR, are subject to substantial risk of change due to small sample sizes and may change as patients are evaluated or as additional patients are enrolled in these clinical trials. These outcomes may be unfavorable, deviate from our earlier reports, and/or delay or prevent regulatory approval or commercialization of our product candidates, including candidates for which we have reported preliminary efficacy results. In clinical trials where a staged expansion is expected, such as studies using a Simon’s two stage design, these outcomes may result in the failure to meet an initial efficacy threshold for the first stage. Furthermore, other measures of efficacy for these clinical trials and product candidates may not be as favorable.</w:t>
      </w:r>
    </w:p>
    <w:p>
      <w:pPr>
        <w:pStyle w:val="TextBody"/>
        <w:spacing w:before="0" w:after="200"/>
        <w:ind w:left="0" w:right="0" w:firstLine="547"/>
        <w:rPr>
          <w:rFonts w:ascii="Times New Roman;Times;serif" w:hAnsi="Times New Roman;Times;serif"/>
          <w:b/>
          <w:i/>
          <w:sz w:val="20"/>
        </w:rPr>
      </w:pPr>
      <w:r>
        <w:rPr>
          <w:rFonts w:ascii="Times New Roman;Times;serif" w:hAnsi="Times New Roman;Times;serif"/>
          <w:b/>
          <w:i/>
          <w:sz w:val="20"/>
        </w:rPr>
        <w:t>If we encounter difficulties enrolling patients in our clinical trials, our clinical development activities could be delayed or otherwise adversely affected.</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The timely completion of clinical trials in accordance with their protocols depends, among other things, on our ability to enroll a sufficient number of patients, or similar patients from a Phase 2 clinical trial to a pivotal program, who remain in the clinical trial until its conclusion. We may experience difficulties or delays in patient enrollment in our clinical trials for a variety of reasons, including:</w:t>
      </w:r>
    </w:p>
    <w:p>
      <w:pPr>
        <w:pStyle w:val="TextBody"/>
        <w:spacing w:before="0" w:after="96"/>
        <w:ind w:left="547" w:right="0" w:hanging="0"/>
        <w:rPr/>
      </w:pPr>
      <w:r>
        <w:rPr/>
        <w:t>●</w:t>
      </w:r>
      <w:r>
        <w:rPr>
          <w:rFonts w:ascii="Times New Roman;Times;serif" w:hAnsi="Times New Roman;Times;serif"/>
          <w:sz w:val="20"/>
        </w:rPr>
        <w:t>the size and nature of the patient population;</w:t>
      </w:r>
    </w:p>
    <w:p>
      <w:pPr>
        <w:pStyle w:val="TextBody"/>
        <w:spacing w:before="0" w:after="96"/>
        <w:ind w:left="547" w:right="0" w:hanging="0"/>
        <w:rPr/>
      </w:pPr>
      <w:r>
        <w:rPr/>
        <w:t>●</w:t>
      </w:r>
      <w:r>
        <w:rPr>
          <w:rFonts w:ascii="Times New Roman;Times;serif" w:hAnsi="Times New Roman;Times;serif"/>
          <w:sz w:val="20"/>
        </w:rPr>
        <w:t>the severity of the disease under investigation;</w:t>
      </w:r>
    </w:p>
    <w:p>
      <w:pPr>
        <w:pStyle w:val="TextBody"/>
        <w:spacing w:before="0" w:after="96"/>
        <w:ind w:left="547" w:right="0" w:hanging="0"/>
        <w:rPr/>
      </w:pPr>
      <w:r>
        <w:rPr/>
        <w:t>●</w:t>
      </w:r>
      <w:r>
        <w:rPr>
          <w:rFonts w:ascii="Times New Roman;Times;serif" w:hAnsi="Times New Roman;Times;serif"/>
          <w:sz w:val="20"/>
        </w:rPr>
        <w:t>the patient eligibility criteria defined in the protocol;</w:t>
      </w:r>
    </w:p>
    <w:p>
      <w:pPr>
        <w:pStyle w:val="TextBody"/>
        <w:spacing w:before="0" w:after="96"/>
        <w:ind w:left="547" w:right="0" w:hanging="0"/>
        <w:rPr/>
      </w:pPr>
      <w:r>
        <w:rPr/>
        <w:t>●</w:t>
      </w:r>
      <w:r>
        <w:rPr>
          <w:rFonts w:ascii="Times New Roman;Times;serif" w:hAnsi="Times New Roman;Times;serif"/>
          <w:sz w:val="20"/>
        </w:rPr>
        <w:t>the size of the clinical trial population required for analysis of the clinical trial’s primary endpoints;</w:t>
      </w:r>
    </w:p>
    <w:p>
      <w:pPr>
        <w:pStyle w:val="TextBody"/>
        <w:spacing w:before="0" w:after="96"/>
        <w:ind w:left="547" w:right="0" w:hanging="0"/>
        <w:rPr/>
      </w:pPr>
      <w:r>
        <w:rPr/>
        <w:t>●</w:t>
      </w:r>
      <w:r>
        <w:rPr>
          <w:rFonts w:ascii="Times New Roman;Times;serif" w:hAnsi="Times New Roman;Times;serif"/>
          <w:sz w:val="20"/>
        </w:rPr>
        <w:t>the proximity of patients to clinical trial sites;</w:t>
      </w:r>
    </w:p>
    <w:p>
      <w:pPr>
        <w:pStyle w:val="TextBody"/>
        <w:spacing w:before="0" w:after="96"/>
        <w:ind w:left="547" w:right="0" w:hanging="0"/>
        <w:rPr/>
      </w:pPr>
      <w:r>
        <w:rPr/>
        <w:t>●</w:t>
      </w:r>
      <w:r>
        <w:rPr>
          <w:rFonts w:ascii="Times New Roman;Times;serif" w:hAnsi="Times New Roman;Times;serif"/>
          <w:sz w:val="20"/>
        </w:rPr>
        <w:t>the design of the clinical trial;</w:t>
      </w:r>
    </w:p>
    <w:p>
      <w:pPr>
        <w:pStyle w:val="TextBody"/>
        <w:spacing w:before="0" w:after="96"/>
        <w:ind w:left="547" w:right="0" w:hanging="0"/>
        <w:rPr/>
      </w:pPr>
      <w:r>
        <w:rPr/>
        <w:t>●</w:t>
      </w:r>
      <w:r>
        <w:rPr>
          <w:rFonts w:ascii="Times New Roman;Times;serif" w:hAnsi="Times New Roman;Times;serif"/>
          <w:sz w:val="20"/>
        </w:rPr>
        <w:t>our ability to recruit clinical trial investigators with the appropriate competencies and experience;</w:t>
      </w:r>
    </w:p>
    <w:p>
      <w:pPr>
        <w:pStyle w:val="TextBody"/>
        <w:spacing w:before="0" w:after="96"/>
        <w:ind w:left="547" w:right="0" w:hanging="0"/>
        <w:rPr/>
      </w:pPr>
      <w:r>
        <w:rPr/>
        <w:t>●</w:t>
      </w:r>
      <w:r>
        <w:rPr>
          <w:rFonts w:ascii="Times New Roman;Times;serif" w:hAnsi="Times New Roman;Times;serif"/>
          <w:sz w:val="20"/>
        </w:rPr>
        <w:t>the efforts to facilitate timely enrollment in clinical trials and the effectiveness of recruiting publicity;</w:t>
      </w:r>
    </w:p>
    <w:p>
      <w:pPr>
        <w:pStyle w:val="TextBody"/>
        <w:spacing w:before="0" w:after="96"/>
        <w:ind w:left="547" w:right="0" w:hanging="0"/>
        <w:rPr/>
      </w:pPr>
      <w:r>
        <w:rPr/>
        <w:t>●</w:t>
      </w:r>
      <w:r>
        <w:rPr>
          <w:rFonts w:ascii="Times New Roman;Times;serif" w:hAnsi="Times New Roman;Times;serif"/>
          <w:sz w:val="20"/>
        </w:rPr>
        <w:t>the patient referral practices of physicians;</w:t>
      </w:r>
    </w:p>
    <w:p>
      <w:pPr>
        <w:pStyle w:val="TextBody"/>
        <w:spacing w:before="0" w:after="96"/>
        <w:ind w:left="547" w:right="0" w:hanging="0"/>
        <w:rPr/>
      </w:pPr>
      <w:r>
        <w:rPr/>
        <w:t>●</w:t>
      </w:r>
      <w:r>
        <w:rPr>
          <w:rFonts w:ascii="Times New Roman;Times;serif" w:hAnsi="Times New Roman;Times;serif"/>
          <w:sz w:val="20"/>
        </w:rPr>
        <w:t>competing clinical trials for similar therapies or other new therapeutics not involving cell-based immunotherapy;</w:t>
      </w:r>
    </w:p>
    <w:p>
      <w:pPr>
        <w:pStyle w:val="TextBody"/>
        <w:spacing w:before="0" w:after="96"/>
        <w:ind w:left="547" w:right="0" w:hanging="0"/>
        <w:rPr/>
      </w:pPr>
      <w:r>
        <w:rPr/>
        <w:t>●</w:t>
      </w:r>
      <w:r>
        <w:rPr>
          <w:rFonts w:ascii="Times New Roman;Times;serif" w:hAnsi="Times New Roman;Times;serif"/>
          <w:sz w:val="20"/>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p>
      <w:pPr>
        <w:pStyle w:val="TextBody"/>
        <w:spacing w:before="0" w:after="0"/>
        <w:ind w:left="547" w:right="0" w:hanging="0"/>
        <w:rPr/>
      </w:pPr>
      <w:r>
        <w:rPr/>
        <w:t>●</w:t>
      </w:r>
      <w:r>
        <w:rPr>
          <w:rFonts w:ascii="Times New Roman;Times;serif" w:hAnsi="Times New Roman;Times;serif"/>
          <w:sz w:val="20"/>
        </w:rPr>
        <w:t>clinical investigators enrolling patients who do not meet the enrollment criteria, requiring the inclusion of additional patients in the clinical trial;</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ongoing COVID-19 pandemic limiting our access to patients who would otherwise be eligible for enrollment, including treatment-naïve patients who may be more likely to seek standard of care therapies available at local treatment centers rather than enroll in a clinical trial at a larger hospital;</w:t>
            </w:r>
          </w:p>
        </w:tc>
      </w:tr>
    </w:tbl>
    <w:p>
      <w:pPr>
        <w:pStyle w:val="TextBody"/>
        <w:spacing w:before="0" w:after="96"/>
        <w:ind w:left="547" w:right="0" w:hanging="0"/>
        <w:rPr/>
      </w:pPr>
      <w:r>
        <w:rPr/>
        <w:t>●</w:t>
      </w:r>
      <w:r>
        <w:rPr>
          <w:rFonts w:ascii="Times New Roman;Times;serif" w:hAnsi="Times New Roman;Times;serif"/>
          <w:sz w:val="20"/>
        </w:rPr>
        <w:t>approval of new indications for existing therapies or approval of new therapies in general;</w:t>
      </w:r>
    </w:p>
    <w:p>
      <w:pPr>
        <w:pStyle w:val="TextBody"/>
        <w:spacing w:before="0" w:after="96"/>
        <w:ind w:left="547" w:right="0" w:hanging="0"/>
        <w:rPr/>
      </w:pPr>
      <w:r>
        <w:rPr/>
        <w:t>●</w:t>
      </w:r>
      <w:r>
        <w:rPr>
          <w:rFonts w:ascii="Times New Roman;Times;serif" w:hAnsi="Times New Roman;Times;serif"/>
          <w:sz w:val="20"/>
        </w:rPr>
        <w:t>our ability to obtain and maintain patient consents; and</w:t>
      </w:r>
    </w:p>
    <w:p>
      <w:pPr>
        <w:pStyle w:val="TextBody"/>
        <w:ind w:left="547" w:right="0" w:hanging="0"/>
        <w:rPr/>
      </w:pPr>
      <w:r>
        <w:rPr/>
        <w:t>●</w:t>
      </w:r>
      <w:r>
        <w:rPr>
          <w:rFonts w:ascii="Times New Roman;Times;serif" w:hAnsi="Times New Roman;Times;serif"/>
          <w:sz w:val="20"/>
        </w:rPr>
        <w:t>the risk that patients enrolled in clinical trials will not complete a clinical trial, return for post-treatment follow-up, or follow the required clinical trial procedures. For instance, patients, including patients in any control groups, may withdraw from the clinical trial if they are not experiencing improvement in their underlying disease or condition. Withdrawal of patients from our clinical trials may compromise the quality of our data.</w:t>
      </w:r>
    </w:p>
    <w:p>
      <w:pPr>
        <w:pStyle w:val="TextBody"/>
        <w:spacing w:before="0" w:after="0"/>
        <w:ind w:left="0" w:right="0" w:firstLine="547"/>
        <w:rPr>
          <w:rFonts w:ascii="Times New Roman;Times;serif" w:hAnsi="Times New Roman;Times;serif"/>
          <w:sz w:val="20"/>
        </w:rPr>
      </w:pPr>
      <w:r>
        <w:rPr>
          <w:rFonts w:ascii="Times New Roman;Times;serif" w:hAnsi="Times New Roman;Times;serif"/>
          <w:sz w:val="20"/>
        </w:rPr>
        <w:t xml:space="preserve">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clinical trials may instead opt to enroll in a trial being conducted by one of our competitors. Because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use conventional therapies, such as chemotherapy and approved immunotherapies, rather than enroll patients in any future clinical trial. In addition, potential enrollees may opt to participate in other clinical trials because of the length of time between the time that their tumor is resected and the TIL is infused back into the patient.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Amendments to our clinical protocols may affect enrollment in, or results of, our trials, including amendments we have made to further define the patient population to be studied.</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Even if we are able to enroll a sufficient number of patients in our clinical trials, delays in patient enrollment or small population size may result in increased costs or may affect the timing or outcome of the planned clinical trials, which could prevent completion of these clinical trials and adversely affect our ability to advance the development of our product candidates.</w:t>
      </w:r>
    </w:p>
    <w:p>
      <w:pPr>
        <w:pStyle w:val="TextBody"/>
        <w:spacing w:before="0" w:after="200"/>
        <w:ind w:left="0" w:right="0" w:firstLine="540"/>
        <w:rPr>
          <w:rFonts w:ascii="Times New Roman;Times;serif" w:hAnsi="Times New Roman;Times;serif"/>
          <w:b/>
          <w:i/>
          <w:sz w:val="20"/>
        </w:rPr>
      </w:pPr>
      <w:r>
        <w:rPr>
          <w:rFonts w:ascii="Times New Roman;Times;serif" w:hAnsi="Times New Roman;Times;serif"/>
          <w:b/>
          <w:i/>
          <w:sz w:val="20"/>
        </w:rPr>
        <w:t>Our product candidates may cause undesirable side effects or have other properties that could halt their clinical development, prevent their regulatory approval, limit their commercial potential or result in significant negative consequences.</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Results of our clinical trials could reveal a high and unacceptable severity and prevalence of side effects or unexpected characteristics. Undesirable side effects caused by our product candidates could cause us, IRBs, DSMBs, or regulatory authorities to interrupt, delay or halt clinical trials and could result in a more restrictive label or the delay or denial of regulatory approval by the FDA or other comparable foreign regulatory authorities. Even if we were to receive product approval, such approval could be contingent on inclusion of unfavorable information in our product labeling, such as limitations on the indications for use for which the products may be marketed or distributed, a label with significant safety warnings, including boxed warnings, contraindications, and precautions, a label without statements necessary or desirable for successful commercialization, or requirements for costly post marketing testing and surveillance, or other requirements, including a Risk Evaluation and Mitigations Strategy or REMS, to monitor the safety or efficacy of the products, and in turn prevent us from commercializing and generating revenues from the sale of our current or future product candidates.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If unacceptable toxicities or side effects arise in the development of our product candidates, we, an IRB, DSMB or the FDA or comparable foreign regulatory authorities could order us to cease clinical trials, order our clinical trials to be placed on clinical hold, or deny approval of our product candidates for any or all targeted indications. The FDA or comparable foreign regulatory authorities may also require additional data, clinical, or preclinical studies should unacceptable toxicities arise. We may need to abandon development or limit development of that product candidate to certain uses or subpopulations in which the undesirable side effects or other characteristics are less prevalent, less severe or more acceptable from a risk/benefit perspective. Toxicities associated with our clinical trials and products may also negatively impact our ability to conduct clinical trials using TIL therapy in larger patient populations, such as in patients that have not yet been treated with other therapies or have not yet progressed on other therapies.</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Treatment-related side effects could also affect patient recruitment or the ability of enrolled subjects to complete our clinical trials or result in potential product liability claims. Such toxicities, which may arise from TIL therapy in general, including co-therapies, may include, for example, thrombocytopenia, chills, anemia, pyrexia, febrile neutropenia, diarrhea, neutropenia, vomiting, hypotension, and dyspnea. For example, the update in October 2018 from the C-144-01 clinical trial included two grade 5 treatment emergent adverse events. In addition, these side effects and deaths may not be appropriately recognized or managed by the treating medical staff, as toxicities resulting from personalized cell therapy are not normally encountered in the general patient population and by medical personnel. Any of these occurrences may harm our business, financial condition and prospects significantly.</w:t>
      </w:r>
    </w:p>
    <w:p>
      <w:pPr>
        <w:pStyle w:val="TextBody"/>
        <w:spacing w:before="0" w:after="200"/>
        <w:ind w:left="0" w:right="0" w:firstLine="540"/>
        <w:rPr>
          <w:rFonts w:ascii="Times New Roman;Times;serif" w:hAnsi="Times New Roman;Times;serif"/>
          <w:b/>
          <w:i/>
          <w:sz w:val="20"/>
        </w:rPr>
      </w:pPr>
      <w:r>
        <w:rPr>
          <w:rFonts w:ascii="Times New Roman;Times;serif" w:hAnsi="Times New Roman;Times;serif"/>
          <w:b/>
          <w:i/>
          <w:sz w:val="20"/>
        </w:rPr>
        <w:t>The manufacture of our product candidates is complex, and we may encounter difficulties in production, particularly with respect to process development, quality control, or scaling-up of our manufacturing capabilities. If we, or any of our third-party manufacturers encounter such difficulties, our ability to provide supply of our product candidates for clinical trials or our products for patients, if approved, could be delayed or stopped, or we may be unable to maintain a commercially viable cost structure.*</w:t>
      </w:r>
    </w:p>
    <w:p>
      <w:pPr>
        <w:pStyle w:val="TextBody"/>
        <w:spacing w:before="0" w:after="0"/>
        <w:ind w:left="0" w:right="0" w:firstLine="547"/>
        <w:rPr>
          <w:rFonts w:ascii="Times New Roman;Times;serif" w:hAnsi="Times New Roman;Times;serif"/>
          <w:sz w:val="20"/>
        </w:rPr>
      </w:pPr>
      <w:r>
        <w:rPr>
          <w:rFonts w:ascii="Times New Roman;Times;serif" w:hAnsi="Times New Roman;Times;serif"/>
          <w:sz w:val="20"/>
        </w:rPr>
        <w:t xml:space="preserve">Our product candidates are biologics and the process of manufacturing our products is complex, highly regulated and subject to multiple risks. The manufacture of our product candidates involves complex processes, including harvesting tumor fragments from patients, isolating the T-cells from the tumor fragments, multiplying the T-cells to obtain the desired dose, and ultimately infusing the T-cells back into a patient. As a result of the complexities, the cost to manufacture biologics is generally higher than traditional small molecule chemical compounds, and the manufacturing process is less reliable and is more difficult to reproduce. Our manufacturing process will be susceptible to product loss or failure due to logistical issues associated with the collection of tumor fragments, or starting material, from the patient, shipping such material to the manufacturing site, shipping the final product back to the patient, and infusing the patient with the product, manufacturing issues associated with the differences in patient starting material, interruptions in the manufacturing process, contamination, equipment failure, assay failures, improper installation or operation of equipment, vendor or operator error, inconsistency in cell growth, meeting pre-specified release criteria, and variability in product characteristics. Even minor deviations from normal manufacturing processes could result in reduced production yields, product defects, and other supply disruptions. If for any reason we lose a patient’s starting material, or later-developed product at any point in the process, or if any product does not meet the applicable specifications, the manufacturing process for that patient will need to be restarted, including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resection of the proper amount of tumor fragment and the resulting delay may adversely affect that patient’s outcome. If microbial, viral, environmental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Because our product candidates are manufactured specifically for each individual patient, we will be required to maintain a chain of identity with respect to the patient’s tumor as it moves from the patient to the manufacturing facility, through the manufacturing process, and back to the patient. Maintaining such a chain of identity is difficult and complex, and failure to do so could result in adverse patient outcomes, loss of product, or regulatory action including withdrawal of our products from the market. Further, as product candidates are developed through preclinical studies to late-stage clinical trials towards approval and commercialization, it is common that various aspects of the development program, such as manufacturing methods, are altered along the way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or otherwise necessitate the conduct of additional studies.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 xml:space="preserve">Currently, our product candidates are manufactured using processes developed or modified by us or by our third-party research institution collaborators that we may not intend to use for more advanced clinical trials or commercialization. We have selected Gen 2 as the manufacturing process for product registration, and all ongoing and future company-sponsored clinical trials. Although we believe Gen 2 is a commercially viable process, there are risks associated with scaling to the level required for advanced clinical trials or commercialization, including, among others, cost overruns, potential problems with process scale-up, process reproducibility, stability issues, lot consistency, and timely availability of raw materials. This includes potential risks associated with the FDA not agreeing with all of the details of our validation data or other aspects of our potency assay or assays for Cohort 4 of our C-144-01 clinical trial. For example, on October 5, 2020, we announced that we and the FDA were not able to agree on the required potency assays to fully define our TIL therapy, which is required as part of a BLA submission, and that as a result of these developments, our BLA submission was not expected by the end of 2020 and was anticipated instead to occur in 2021. Previously, we reported the submission of assay data to the FDA, and on May 18, 2021, we announced that we had received regulatory feedback from the FDA regarding our potency assays for lifileucel. Following FDA feedback regarding the potency assays for lifileucel, we continued work developing and validating our potency assays and engaged in discussions with the FDA during the second half of 2021 and first quarter of 2022. Based on feedback received from these discussions, we held a pre-BLA meeting in July 2022. We initiated a rolling BLA for lifileucel in metastatic melanoma in August 2022, and completed in March 2023. In addition, as previously disclosed, we have begun a confirmatory Phase 3 clinical trial of lifileucel in combination with pembrolizumab in frontline advanced melanoma in late 2022 which we expect to utilize significant manufacturing capacity. </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As a result of these challenges, we may experience delays in our clinical development and/or commercialization plans. Furthermore, we may ultimately be unable to reduce the cost of goods for our product candidates to levels that will allow for an attractive return on investment if and when those product candidates are commercialized.</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 xml:space="preserve">In May 2019 we entered into a lease agreement to build a commercial-scale manufacturing facility, the </w:t>
      </w:r>
      <w:r>
        <w:rPr>
          <w:rFonts w:ascii="Times New Roman;Times;serif" w:hAnsi="Times New Roman;Times;serif"/>
          <w:i/>
          <w:sz w:val="20"/>
        </w:rPr>
        <w:t>i</w:t>
      </w:r>
      <w:r>
        <w:rPr>
          <w:rFonts w:ascii="Times New Roman;Times;serif" w:hAnsi="Times New Roman;Times;serif"/>
          <w:sz w:val="20"/>
        </w:rPr>
        <w:t xml:space="preserve">CTC, in Philadelphia, Pennsylvania for commercial and clinical production of autologous TIL products, including our product candidate lifileucel. The </w:t>
      </w:r>
      <w:r>
        <w:rPr>
          <w:rFonts w:ascii="Times New Roman;Times;serif" w:hAnsi="Times New Roman;Times;serif"/>
          <w:i/>
          <w:sz w:val="20"/>
        </w:rPr>
        <w:t>i</w:t>
      </w:r>
      <w:r>
        <w:rPr>
          <w:rFonts w:ascii="Times New Roman;Times;serif" w:hAnsi="Times New Roman;Times;serif"/>
          <w:sz w:val="20"/>
        </w:rPr>
        <w:t xml:space="preserve">CTC is currently manufacturing TIL for our ongoing clinical trials and preparing to provide commercial supply upon potential BLA approval; as of the end of 2021, we had completed the commissioning activities at the </w:t>
      </w:r>
      <w:r>
        <w:rPr>
          <w:rFonts w:ascii="Times New Roman;Times;serif" w:hAnsi="Times New Roman;Times;serif"/>
          <w:i/>
          <w:sz w:val="20"/>
        </w:rPr>
        <w:t>i</w:t>
      </w:r>
      <w:r>
        <w:rPr>
          <w:rFonts w:ascii="Times New Roman;Times;serif" w:hAnsi="Times New Roman;Times;serif"/>
          <w:sz w:val="20"/>
        </w:rPr>
        <w:t>CTC and successfully initiated manufacturing of clinical batches of lifileucel and LN-145, representing our first internally manufactured TIL product, as we continue our launch readiness activities to supply commercial TIL upon potential BLA approval. We expect our manufacturing facility will provide us with enhanced control of material supply for both clinical trials and the commercial market, enable the more rapid implementation of process changes, and allow for better long-term margins. We are building capacity to treat thousands of cancer patients annually. However, we may not be successful in finalizing the development of our own manufacturing facility or capability. We may establish multiple manufacturing facilities as we expand our commercial footprint to multiple geographies, which may lead to regulatory delays or prove costly. Even if we are successful, our manufacturing capabilities could be affected by cost-overruns, unexpected delays, equipment failures, labor shortages, natural disasters, power failures, and numerous other factors that could prevent us from realizing the intended benefits of our manufacturing strategy and have a material adverse effect on our business.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The manufacture of cell therapy products requires significant expertise and capital investment, including the development of advanced manufacturing techniques and process controls. Manufacturers of cell therapy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local and foreign regulations.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 xml:space="preserve">Our current manufacturing strategy involves the use of CMOs to supplement the manufacturing capacity at the </w:t>
      </w:r>
      <w:r>
        <w:rPr>
          <w:rFonts w:ascii="Times New Roman;Times;serif" w:hAnsi="Times New Roman;Times;serif"/>
          <w:i/>
          <w:sz w:val="20"/>
        </w:rPr>
        <w:t>i</w:t>
      </w:r>
      <w:r>
        <w:rPr>
          <w:rFonts w:ascii="Times New Roman;Times;serif" w:hAnsi="Times New Roman;Times;serif"/>
          <w:sz w:val="20"/>
        </w:rPr>
        <w:t xml:space="preserve">CTC. Currently our product candidates are also manufactured by WuXi and Moffitt. Any problems or delays we or our CMOs experience in preparing for commercial scale manufacturing of a product candidate or component may result in a delay in the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Furthermore, if we or our commercial manufacturers fail to deliver the required commercial quantities of our product candidates on a timely basis and at reasonable costs, we would likely be unable to meet demand for our products and we would lose potential revenues. </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Moreover, should we continue to use CMOs, we may not succeed in maintaining our relationships with our current CMOs or establishing relationships with additional or alternative CMOs. Our product candidates may compete with other products and product candidates for access to manufacturing facilities. There are a limited number of manufacturers that operate under cGMP regulations and that are both capable of manufacturing for us and willing to do so. If our CMOs should cease manufacturing for us, we would experience delays in obtaining sufficient quantities of our product candidates for clinical trials and, if approved, commercial supply. Further, our CMOs may breach, terminate, or not renew these agreements. If we were to need to find alternative manufacturing facilities it would significantly impact our ability to develop, obtain regulatory approval for or market our product candidates, if approved. The commercial terms of any new arrangement could be less favorable than our existing arrangements and the expenses relating to the transfer of necessary technology and processes could be significant.</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Reliance on third-party manufacturers entails exposure to risks to which we would not be subject if we manufactured the product candidate ourselves, including:</w:t>
      </w:r>
    </w:p>
    <w:p>
      <w:pPr>
        <w:pStyle w:val="TextBody"/>
        <w:spacing w:before="0" w:after="0"/>
        <w:ind w:left="547" w:right="0" w:hanging="0"/>
        <w:rPr/>
      </w:pPr>
      <w:r>
        <w:rPr/>
        <w:t>●</w:t>
      </w:r>
      <w:r>
        <w:rPr>
          <w:rFonts w:ascii="Times New Roman;Times;serif" w:hAnsi="Times New Roman;Times;serif"/>
          <w:sz w:val="20"/>
        </w:rPr>
        <w:t>inability to negotiate manufacturing and quality agreements with third parties under commercially reasonable terms;</w:t>
      </w:r>
    </w:p>
    <w:p>
      <w:pPr>
        <w:pStyle w:val="TextBody"/>
        <w:spacing w:before="0" w:after="96"/>
        <w:ind w:left="547" w:right="0" w:hanging="0"/>
        <w:rPr/>
      </w:pPr>
      <w:r>
        <w:rPr/>
        <w:t>●</w:t>
      </w:r>
      <w:r>
        <w:rPr>
          <w:rFonts w:ascii="Times New Roman;Times;serif" w:hAnsi="Times New Roman;Times;serif"/>
          <w:sz w:val="20"/>
        </w:rPr>
        <w:t>reduced day-to-day control over the manufacturing process for our product candidates as a result of using third-party manufacturers for all aspects of manufacturing activities;</w:t>
      </w:r>
    </w:p>
    <w:p>
      <w:pPr>
        <w:pStyle w:val="TextBody"/>
        <w:spacing w:before="0" w:after="96"/>
        <w:ind w:left="547" w:right="0" w:hanging="0"/>
        <w:rPr/>
      </w:pPr>
      <w:r>
        <w:rPr/>
        <w:t>●</w:t>
      </w:r>
      <w:r>
        <w:rPr>
          <w:rFonts w:ascii="Times New Roman;Times;serif" w:hAnsi="Times New Roman;Times;serif"/>
          <w:sz w:val="20"/>
        </w:rPr>
        <w:t>reduced control over the protection of our trade secrets and know-how from misappropriation or inadvertent disclosure;</w:t>
      </w:r>
    </w:p>
    <w:p>
      <w:pPr>
        <w:pStyle w:val="TextBody"/>
        <w:spacing w:before="0" w:after="96"/>
        <w:ind w:left="547" w:right="0" w:hanging="0"/>
        <w:rPr/>
      </w:pPr>
      <w:r>
        <w:rPr/>
        <w:t>●</w:t>
      </w:r>
      <w:r>
        <w:rPr>
          <w:rFonts w:ascii="Times New Roman;Times;serif" w:hAnsi="Times New Roman;Times;serif"/>
          <w:sz w:val="20"/>
        </w:rPr>
        <w:t>termination or nonrenewal of manufacturing agreements with third parties in a manner or at a time that may be costly or damaging to us or result in delays in the development or commercialization of our product candidates; and</w:t>
      </w:r>
    </w:p>
    <w:p>
      <w:pPr>
        <w:pStyle w:val="TextBody"/>
        <w:ind w:left="547" w:right="0" w:hanging="0"/>
        <w:rPr/>
      </w:pPr>
      <w:r>
        <w:rPr/>
        <w:t>●</w:t>
      </w:r>
      <w:r>
        <w:rPr>
          <w:rFonts w:ascii="Times New Roman;Times;serif" w:hAnsi="Times New Roman;Times;serif"/>
          <w:sz w:val="20"/>
        </w:rPr>
        <w:t>disruptions to the operations of our third-party manufacturers or suppliers caused by conditions unrelated to our business or operations, including the bankruptcy of the manufacturer or supplier.</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 xml:space="preserve">In addition, the manufacturing process and facilities for any products that we may develop at the </w:t>
      </w:r>
      <w:r>
        <w:rPr>
          <w:rFonts w:ascii="Times New Roman;Times;serif" w:hAnsi="Times New Roman;Times;serif"/>
          <w:i/>
          <w:sz w:val="20"/>
        </w:rPr>
        <w:t>i</w:t>
      </w:r>
      <w:r>
        <w:rPr>
          <w:rFonts w:ascii="Times New Roman;Times;serif" w:hAnsi="Times New Roman;Times;serif"/>
          <w:sz w:val="20"/>
        </w:rPr>
        <w:t>CTC and or our CMOs is subject to FDA and foreign regulatory authority approval processes, and we or our CMOs will need to meet all applicable FDA and foreign regulatory authority requirements, including cGMPs, on an ongoing basis. The cGMP requirements include quality control, quality assurance, and the maintenance of records and documentation. The FDA and other regulatory authorities enforce these requirements through facility inspections. Manufacturing facilities must submit to pre-approval inspections by the FDA that will be conducted after we submit our marketing applications, including our BLAs, to the FDA. Manufacturers are also subject to continuing regulatory oversight by FDA and other regulatory authorities, including inspections following marketing approval. Further, we, in cooperation with our CMOs, must supply all necessary chemistry, manufacturing, and control documentation for a pre-approval inspection in support of a BLA on a timely basis. There is no guarantee that we or our CMOs will be able to successfully pass all aspects of a pre-approval inspection by the FDA or other foreign regulatory authorities.</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Our or our CMOs’ manufacturing facilities may be unable to comply with our specifications, cGMPs, and with other FDA, state, and foreign regulatory requirements. Poor control of production processes can lead to the introduction of adventitious agents or other contaminants, or to inadvertent changes in the properties or stability of product candidate that may not be detectable in final product testing. If we or our CMOs are unable to reliably produce products to specifications acceptable to the FDA or other regulatory authorities, or in accordance with the strict regulatory requirements,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or other regulatory authorities, to produce it in sufficient quantities to meet the requirements for the potential launch of the product, or to meet potential future demand. Deviations from manufacturing requirements may further require remedial measures that may be costly and/or time-consuming for us or a third party to implement and may include the temporary or permanent suspension of a clinical trial or commercial sales or the temporary or permanent closure of a facility. Any such remedial measures imposed upon us or third parties with whom we contract could materially harm our business.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Even to the extent we use and continue to use CMOs, we are ultimately responsible for the manufacture of our products and product candidates. A failure to comply with these requirements may result in regulatory enforcement actions against our manufacturers or us, including fines and civil and criminal penalties, which could result in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biologic, refusal to permit the import or export of the products, product seizure, detention, or recall, operating restrictions, suits under the civil False Claims Act, corporate integrity agreements, consent decrees, or withdrawal of product approval.</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pStyle w:val="TextBody"/>
        <w:spacing w:before="0" w:after="200"/>
        <w:ind w:left="0" w:right="0" w:firstLine="547"/>
        <w:rPr>
          <w:rFonts w:ascii="Times New Roman;Times;serif" w:hAnsi="Times New Roman;Times;serif"/>
          <w:b/>
          <w:i/>
          <w:sz w:val="20"/>
        </w:rPr>
      </w:pPr>
      <w:r>
        <w:rPr>
          <w:rFonts w:ascii="Times New Roman;Times;serif" w:hAnsi="Times New Roman;Times;serif"/>
          <w:b/>
          <w:i/>
          <w:sz w:val="20"/>
        </w:rPr>
        <w:t>Cell-based therapies and biologics rely on the availability of reagents, specialized equipment, and other specialty materials, which may not be available to us on acceptable terms or at all. For some of these reagents, equipment, and materials, we rely or may rely on sole source vendors or a limited number of vendors, which could impair our ability to manufacture and supply our products.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Manufacturing our product candidates requires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We currently depend on a limited number of vendors for certain materials and equipment used in the manufacture of our product candidates. Some of these suppliers may not have the capacity to support clinical trials and commercial products manufactured under cGMP by biopharmaceutical firms or may otherwise be ill-equipped to support our needs. We also do not have supply contracts with many of these suppliers and may not be able to obtain supply contracts with them on acceptable terms or at all. Accordingly, we may experience delays in receiving key materials and equipment to support clinical or commercial manufacturing.</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For some of these reagents, equipment, and materials, we rely and may in the future rely on sole source vendors or a limited number of vendors. An inability to continue to source product from any of these suppliers, which could be due to a number of issues, including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As we continue to develop and scale our manufacturing process, we expect that we will need to obtain rights to and supplies of certain materials and equipment to be used as part of that process. We may not be able to obtain rights to such materials on commercially reasonable terms, or at all, and if we are unable to alter our process in a commercially viable manner to avoid the use of such materials or find a suitable substitute, it would have a material adverse effect on our business. Even if we are able to alter our process so as to use other materials or equipment, such a change may lead to a delay in our clinical development and/or commercialization plans. If such a change occurs for product candidate that is already in clinical testing, the change may require us to perform both </w:t>
      </w:r>
      <w:r>
        <w:rPr>
          <w:rFonts w:ascii="Times New Roman;Times;serif" w:hAnsi="Times New Roman;Times;serif"/>
          <w:i/>
          <w:sz w:val="20"/>
        </w:rPr>
        <w:t xml:space="preserve">ex vivo </w:t>
      </w:r>
      <w:r>
        <w:rPr>
          <w:rFonts w:ascii="Times New Roman;Times;serif" w:hAnsi="Times New Roman;Times;serif"/>
          <w:sz w:val="20"/>
        </w:rPr>
        <w:t>comparability studies and to collect additional data from patients prior to undertaking more advanced clinical trials.</w:t>
      </w:r>
    </w:p>
    <w:p>
      <w:pPr>
        <w:pStyle w:val="TextBody"/>
        <w:spacing w:before="0" w:after="200"/>
        <w:ind w:left="0" w:right="0" w:firstLine="547"/>
        <w:rPr>
          <w:rFonts w:ascii="Times New Roman;Times;serif" w:hAnsi="Times New Roman;Times;serif"/>
          <w:b/>
          <w:i/>
          <w:sz w:val="20"/>
        </w:rPr>
      </w:pPr>
      <w:r>
        <w:rPr>
          <w:rFonts w:ascii="Times New Roman;Times;serif" w:hAnsi="Times New Roman;Times;serif"/>
          <w:b/>
          <w:i/>
          <w:sz w:val="20"/>
        </w:rPr>
        <w:t>We will be unable to commercialize our products if our trials are not successful.</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With the exception of lifileucel currently undergoing human clinical trials for advanced melanoma, cervical cancer and metastatic non-small cell lung cancer, or NSCLC, our research and development programs are at various stages of clinical development, including several at an early stage. We must demonstrate our products’ safety and efficacy in humans through extensive clinical testing. We may experience numerous unforeseen events during, or as a result of, the testing process that could delay or prevent commercialization of our products, including but not limited to the following:</w:t>
      </w:r>
    </w:p>
    <w:p>
      <w:pPr>
        <w:pStyle w:val="TextBody"/>
        <w:spacing w:before="0" w:after="0"/>
        <w:ind w:left="547" w:right="0" w:hanging="0"/>
        <w:rPr/>
      </w:pPr>
      <w:r>
        <w:rPr/>
        <w:t>●</w:t>
      </w:r>
      <w:r>
        <w:rPr>
          <w:rFonts w:ascii="Times New Roman;Times;serif" w:hAnsi="Times New Roman;Times;serif"/>
          <w:sz w:val="20"/>
        </w:rPr>
        <w:t>safety and efficacy results in various human clinical trials reported in scientific and medical literature may not be indicative of results we obtain in our clinical trials;</w:t>
      </w:r>
    </w:p>
    <w:p>
      <w:pPr>
        <w:pStyle w:val="TextBody"/>
        <w:spacing w:before="0" w:after="0"/>
        <w:ind w:left="547" w:right="0" w:hanging="0"/>
        <w:rPr/>
      </w:pPr>
      <w:r>
        <w:rPr/>
        <w:t>●</w:t>
      </w:r>
      <w:r>
        <w:rPr>
          <w:rFonts w:ascii="Times New Roman;Times;serif" w:hAnsi="Times New Roman;Times;serif"/>
          <w:sz w:val="20"/>
        </w:rPr>
        <w:t>after reviewing test results, we or our collaborators may abandon projects that we might previously have believed to be promising;</w:t>
      </w:r>
    </w:p>
    <w:p>
      <w:pPr>
        <w:pStyle w:val="TextBody"/>
        <w:ind w:left="547" w:right="0" w:hanging="0"/>
        <w:rPr/>
      </w:pPr>
      <w:r>
        <w:rPr/>
        <w:t>●</w:t>
      </w:r>
      <w:r>
        <w:rPr>
          <w:rFonts w:ascii="Times New Roman;Times;serif" w:hAnsi="Times New Roman;Times;serif"/>
          <w:sz w:val="20"/>
        </w:rPr>
        <w:t>we, our collaborators or regulators, may suspend or terminate clinical trials if the participating subjects or patients are being exposed to unacceptable health risks;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547" w:right="0" w:hanging="0"/>
        <w:rPr/>
      </w:pPr>
      <w:r>
        <w:rPr/>
        <w:t>●</w:t>
      </w:r>
      <w:r>
        <w:rPr>
          <w:rFonts w:ascii="Times New Roman;Times;serif" w:hAnsi="Times New Roman;Times;serif"/>
          <w:sz w:val="20"/>
        </w:rPr>
        <w:t>the effects our potential products have may not be the desired effects or may include undesirable side effects or other characteristics that preclude regulatory approval or limit their commercial use if approved;</w:t>
      </w:r>
    </w:p>
    <w:p>
      <w:pPr>
        <w:pStyle w:val="TextBody"/>
        <w:spacing w:before="0" w:after="0"/>
        <w:ind w:left="547" w:right="0" w:hanging="0"/>
        <w:rPr/>
      </w:pPr>
      <w:r>
        <w:rPr/>
        <w:t>●</w:t>
      </w:r>
      <w:r>
        <w:rPr>
          <w:rFonts w:ascii="Times New Roman;Times;serif" w:hAnsi="Times New Roman;Times;serif"/>
          <w:sz w:val="20"/>
        </w:rPr>
        <w:t>manufacturers may not meet the necessary standards for the production of the product candidates or may not be able to supply the product candidates in a sufficient quantity; and</w:t>
      </w:r>
    </w:p>
    <w:p>
      <w:pPr>
        <w:pStyle w:val="TextBody"/>
        <w:ind w:left="547" w:right="0" w:hanging="0"/>
        <w:rPr/>
      </w:pPr>
      <w:r>
        <w:rPr/>
        <w:t>●</w:t>
      </w:r>
      <w:r>
        <w:rPr>
          <w:rFonts w:ascii="Times New Roman;Times;serif" w:hAnsi="Times New Roman;Times;serif"/>
          <w:sz w:val="20"/>
        </w:rPr>
        <w:t>regulatory authorities may find that our clinical trial design or conduct does not meet the applicable approval requirements.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Clinical testing is very expensive, can take many years, and the outcome is uncertain. It could take as much as 12 months or more before we learn the results from any clinical trial using our adoptive cell therapy with TIL. The data collected from our clinical trials may not be sufficient to support approval by the FDA of our TIL-based product candidates for the treatment of solid tumors. The clinical trials for our products under development may not be completed on schedule and the FDA may not ultimately approve any of our product candidates for commercial sale. If we fail to adequately demonstrate the safety and efficacy of any product candidate under development, we may not receive regulatory approval for those products, which would prevent us from generating revenues or achieving profitability.</w:t>
      </w:r>
    </w:p>
    <w:p>
      <w:pPr>
        <w:pStyle w:val="TextBody"/>
        <w:spacing w:before="0" w:after="200"/>
        <w:ind w:left="0" w:right="0" w:firstLine="540"/>
        <w:rPr>
          <w:rFonts w:ascii="Times New Roman;Times;serif" w:hAnsi="Times New Roman;Times;serif"/>
          <w:b/>
          <w:i/>
          <w:sz w:val="20"/>
        </w:rPr>
      </w:pPr>
      <w:r>
        <w:rPr>
          <w:rFonts w:ascii="Times New Roman;Times;serif" w:hAnsi="Times New Roman;Times;serif"/>
          <w:b/>
          <w:i/>
          <w:sz w:val="20"/>
        </w:rPr>
        <w:t>Even if our lead product lifileucel is approved and commercialized, we may not become profitable.</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Our lead product, lifileucel, is initially targeting a small population of refractory patients that suffer from metastatic melanoma and metastatic cervical cancer. Even if the FDA approves these new therapies, and even if we obtain significant market share for each product candidate, because the potential target population for lifileucel in refractory patients may be small, we may never achieve profitability without obtaining regulatory approval for additional indications. The FDA often approves new therapies initially only for use in patients with relapsed or refractory metastatic disease. We expect to initially seek approval of our product candidates in this setting and are currently conducting clinical trials on these patient populations.</w:t>
      </w:r>
    </w:p>
    <w:p>
      <w:pPr>
        <w:pStyle w:val="TextBody"/>
        <w:spacing w:before="0" w:after="200"/>
        <w:ind w:left="0" w:right="0" w:firstLine="540"/>
        <w:rPr>
          <w:rFonts w:ascii="Times New Roman;Times;serif" w:hAnsi="Times New Roman;Times;serif"/>
          <w:b/>
          <w:i/>
          <w:sz w:val="20"/>
        </w:rPr>
      </w:pPr>
      <w:r>
        <w:rPr>
          <w:rFonts w:ascii="Times New Roman;Times;serif" w:hAnsi="Times New Roman;Times;serif"/>
          <w:b/>
          <w:i/>
          <w:sz w:val="20"/>
        </w:rPr>
        <w:t>We collaborate with governmental, academic and corporate partners to improve and develop TIL therapies for new indications for use in combination with other therapies and to evaluate new TIL manufacturing methods, the results of which, because the manufacturing processes are not within our control, may be incorrect or unreliable.</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In addition to our own research and process development efforts, we seek to collaborate with government, academic research institutions and corporate partners to improve TIL manufacturing and to develop TIL therapies for new indications. In 2017-2020, we announced our continued collaborations with Moffitt, MDACC, and The Ohio State University to evaluate several new solid tumor and hematologic indications for TIL therapy in clinical trials and preclinical studies as well as, in some cases, new TIL manufacturing approaches. The results of these collaborations may be used to support our filing with the FDA of INDs to conduct more advanced clinical trials of our product candidates, or to otherwise analyze or make predictions or decisions with respect to our current or future product candidates. However, because the majority of our collaborations are conducted at outside laboratories and we do not have complete control over how the studies are conducted or reported or over the manufacturing methods used to manufacture TIL product, the results of such studies, which we may use as the basis for our conclusions, projections or decisions with respect to our current or future product candidates, may be incorrect or unreliable, or may have a negative impact on us if the results of such studies are imputed to our products or proposed indications, even if such imputation is improper. For example, we have entered into collaborations with Moffitt, and MDACC to perform clinical trials using TIL products that differ from our products, but the results of these clinical trials, if negative, may adversely impact our stock price and our development plans for our products. Additionally, we may use third party data to analyze, reach conclusions or make predictions or decisions with respect to our product candidates that may be incomplete, inaccurate or otherwise unreliable.</w:t>
      </w:r>
    </w:p>
    <w:p>
      <w:pPr>
        <w:pStyle w:val="TextBody"/>
        <w:spacing w:before="0" w:after="200"/>
        <w:ind w:left="0" w:right="0" w:firstLine="540"/>
        <w:rPr>
          <w:rFonts w:ascii="Times New Roman;Times;serif" w:hAnsi="Times New Roman;Times;serif"/>
          <w:b/>
          <w:i/>
          <w:sz w:val="20"/>
        </w:rPr>
      </w:pPr>
      <w:r>
        <w:rPr>
          <w:rFonts w:ascii="Times New Roman;Times;serif" w:hAnsi="Times New Roman;Times;serif"/>
          <w:b/>
          <w:i/>
          <w:sz w:val="20"/>
        </w:rPr>
        <w:t>We may need additional financing to fund our operations and complete the development and commercialization of our various product candidates, and if we are unable to obtain such financing, we may be unable to complete the development and commercialization of our product candidates. Raising additional capital may cause dilution to our existing stockholders, restrict our operations or require us to relinquish rights to our technologies or product candidates.*</w:t>
      </w:r>
    </w:p>
    <w:p>
      <w:pPr>
        <w:pStyle w:val="TextBody"/>
        <w:spacing w:before="0" w:after="0"/>
        <w:ind w:left="0" w:right="0" w:firstLine="547"/>
        <w:rPr>
          <w:rFonts w:ascii="Times New Roman;Times;serif" w:hAnsi="Times New Roman;Times;serif"/>
          <w:sz w:val="20"/>
        </w:rPr>
      </w:pPr>
      <w:r>
        <w:rPr>
          <w:rFonts w:ascii="Times New Roman;Times;serif" w:hAnsi="Times New Roman;Times;serif"/>
          <w:sz w:val="20"/>
        </w:rPr>
        <w:t xml:space="preserve">Our operations have consumed substantial amounts of cash since inception. From our inception to March 31, 2023, we have an accumulated deficit of $1.7 billion. In addition, our research and development and our operating costs have also been substantial and are expected to increase. For example, in October 2018, we closed an underwritten public offering of our common stock. The net proceeds from the offering, after deducting the underwriting discounts and commissions and other offering expenses payable by us, were $236.7 million. In June 2020, we closed another underwritten offering of our common stock. The net proceeds from the offering, after deducting the underwriting discounts and commissions and other offering expenses payable by us, were $567.0 million. In February 2021 we entered into an open market sale agreement, or the First Sales Agreement, with Jefferies LLC, which provided for the sale of up to $350.0 million of our common stock from time to time, which was subsequently increased to $500.0 million in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November 2022 upon the execution of an updated open market sale agreement, or the Second Sales Agreement, with Jefferies LLC. As of March 31, 2023, we had $632.7 million in cash, cash equivalents and investments ($543.5 million of cash and cash equivalents, $82.8 million in short-term investments, and restricted cash of $6.4 million).</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Accordingly, we believe that our existing cash, cash equivalents and investments will be sufficient to fund our operations for at least the next twelve months from the date this Quarterly Report on Form 10-Q is issued. However, in order to complete the development of our current product candidates, and in order to affect our business plan, including establishing our own manufacturing facility, we anticipate that we will have to spend more than the funds currently available to us. Furthermore, changing circumstances may cause us to increase our spending significantly faster than we currently anticipate, and we may require additional capital for the further development and commercialization of our product candidates and may need to raise additional funds sooner if we choose to expand more rapidly than we presently anticipate. Moreover, our fixed expenses such as rent, minimum payments to our contract manufacturers, and other contractual commitments, including those for our research collaborations, are substantial and are expected to increase in the future.</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We will need to obtain additional financing to fund our future operations, including completing the development and commercialization of our product candidates. Our future funding requirements will depend on many factors, including, but not limited to:</w:t>
      </w:r>
    </w:p>
    <w:p>
      <w:pPr>
        <w:pStyle w:val="TextBody"/>
        <w:spacing w:before="0" w:after="0"/>
        <w:ind w:left="547" w:right="0" w:hanging="0"/>
        <w:rPr/>
      </w:pPr>
      <w:r>
        <w:rPr/>
        <w:t>●</w:t>
      </w:r>
      <w:r>
        <w:rPr>
          <w:rFonts w:ascii="Times New Roman;Times;serif" w:hAnsi="Times New Roman;Times;serif"/>
          <w:sz w:val="20"/>
        </w:rPr>
        <w:t>progress, timing, scope and costs of our clinical trials, including the ability to timely initiate clinical sites, enroll subjects and manufacture TIL for treatment for patients in our ongoing, planned and potential future clinical trials;</w:t>
      </w:r>
    </w:p>
    <w:p>
      <w:pPr>
        <w:pStyle w:val="TextBody"/>
        <w:spacing w:before="0" w:after="0"/>
        <w:ind w:left="547" w:right="0" w:hanging="0"/>
        <w:rPr/>
      </w:pPr>
      <w:r>
        <w:rPr/>
        <w:t>●</w:t>
      </w:r>
      <w:r>
        <w:rPr>
          <w:rFonts w:ascii="Times New Roman;Times;serif" w:hAnsi="Times New Roman;Times;serif"/>
          <w:sz w:val="20"/>
        </w:rPr>
        <w:t>time and cost necessary to obtain regulatory approvals that may be required by regulatory authorities to execute clinical trials or commercialize our product;</w:t>
      </w:r>
    </w:p>
    <w:p>
      <w:pPr>
        <w:pStyle w:val="TextBody"/>
        <w:spacing w:before="0" w:after="0"/>
        <w:ind w:left="547" w:right="0" w:hanging="0"/>
        <w:rPr/>
      </w:pPr>
      <w:r>
        <w:rPr/>
        <w:t>●</w:t>
      </w:r>
      <w:r>
        <w:rPr>
          <w:rFonts w:ascii="Times New Roman;Times;serif" w:hAnsi="Times New Roman;Times;serif"/>
          <w:sz w:val="20"/>
        </w:rPr>
        <w:t>our ability to successfully commercialize our product candidates, if approved;</w:t>
      </w:r>
    </w:p>
    <w:p>
      <w:pPr>
        <w:pStyle w:val="TextBody"/>
        <w:spacing w:before="0" w:after="0"/>
        <w:ind w:left="547" w:right="0" w:hanging="0"/>
        <w:rPr/>
      </w:pPr>
      <w:r>
        <w:rPr/>
        <w:t>●</w:t>
      </w:r>
      <w:r>
        <w:rPr>
          <w:rFonts w:ascii="Times New Roman;Times;serif" w:hAnsi="Times New Roman;Times;serif"/>
          <w:sz w:val="20"/>
        </w:rPr>
        <w:t>our ability to have clinical and commercial product successfully manufactured consistent with FDA and European Medicines Agency, or EMA, regulations;</w:t>
      </w:r>
    </w:p>
    <w:p>
      <w:pPr>
        <w:pStyle w:val="TextBody"/>
        <w:spacing w:before="0" w:after="0"/>
        <w:ind w:left="547" w:right="0" w:hanging="0"/>
        <w:rPr/>
      </w:pPr>
      <w:r>
        <w:rPr/>
        <w:t>●</w:t>
      </w:r>
      <w:r>
        <w:rPr>
          <w:rFonts w:ascii="Times New Roman;Times;serif" w:hAnsi="Times New Roman;Times;serif"/>
          <w:sz w:val="20"/>
        </w:rPr>
        <w:t>amount of sales and other revenues from product candidates that we may commercialize, if any, including the selling prices for such potential products and the availability of adequate third-party coverage and reimbursement for patients;</w:t>
      </w:r>
    </w:p>
    <w:p>
      <w:pPr>
        <w:pStyle w:val="TextBody"/>
        <w:spacing w:before="0" w:after="0"/>
        <w:ind w:left="547" w:right="0" w:hanging="0"/>
        <w:rPr/>
      </w:pPr>
      <w:r>
        <w:rPr/>
        <w:t>●</w:t>
      </w:r>
      <w:r>
        <w:rPr>
          <w:rFonts w:ascii="Times New Roman;Times;serif" w:hAnsi="Times New Roman;Times;serif"/>
          <w:sz w:val="20"/>
        </w:rPr>
        <w:t>sales and marketing costs associated with commercializing our products, if approved, including the cost and timing of building our marketing and sales capabilities;</w:t>
      </w:r>
    </w:p>
    <w:p>
      <w:pPr>
        <w:pStyle w:val="TextBody"/>
        <w:spacing w:before="0" w:after="0"/>
        <w:ind w:left="547" w:right="0" w:hanging="0"/>
        <w:rPr/>
      </w:pPr>
      <w:r>
        <w:rPr/>
        <w:t>●</w:t>
      </w:r>
      <w:r>
        <w:rPr>
          <w:rFonts w:ascii="Times New Roman;Times;serif" w:hAnsi="Times New Roman;Times;serif"/>
          <w:sz w:val="20"/>
        </w:rPr>
        <w:t>cost of building, staffing and validating our own manufacturing facility in the U.S.;</w:t>
      </w:r>
    </w:p>
    <w:p>
      <w:pPr>
        <w:pStyle w:val="TextBody"/>
        <w:spacing w:before="0" w:after="0"/>
        <w:ind w:left="547" w:right="0" w:hanging="0"/>
        <w:rPr/>
      </w:pPr>
      <w:r>
        <w:rPr/>
        <w:t>●</w:t>
      </w:r>
      <w:r>
        <w:rPr>
          <w:rFonts w:ascii="Times New Roman;Times;serif" w:hAnsi="Times New Roman;Times;serif"/>
          <w:sz w:val="20"/>
        </w:rPr>
        <w:t>terms and timing of our current and any potential future collaborations, licensing or other arrangements that we have established or may establish;</w:t>
      </w:r>
    </w:p>
    <w:p>
      <w:pPr>
        <w:pStyle w:val="TextBody"/>
        <w:spacing w:before="0" w:after="0"/>
        <w:ind w:left="547" w:right="0" w:hanging="0"/>
        <w:rPr/>
      </w:pPr>
      <w:r>
        <w:rPr/>
        <w:t>●</w:t>
      </w:r>
      <w:r>
        <w:rPr>
          <w:rFonts w:ascii="Times New Roman;Times;serif" w:hAnsi="Times New Roman;Times;serif"/>
          <w:sz w:val="20"/>
        </w:rPr>
        <w:t>cash requirements of any future acquisitions or the development of other product candidates;</w:t>
      </w:r>
    </w:p>
    <w:p>
      <w:pPr>
        <w:pStyle w:val="TextBody"/>
        <w:spacing w:before="0" w:after="0"/>
        <w:ind w:left="547" w:right="0" w:hanging="0"/>
        <w:rPr/>
      </w:pPr>
      <w:r>
        <w:rPr/>
        <w:t>●</w:t>
      </w:r>
      <w:r>
        <w:rPr>
          <w:rFonts w:ascii="Times New Roman;Times;serif" w:hAnsi="Times New Roman;Times;serif"/>
          <w:sz w:val="20"/>
        </w:rPr>
        <w:t>costs of operating as a public company;</w:t>
      </w:r>
    </w:p>
    <w:p>
      <w:pPr>
        <w:pStyle w:val="TextBody"/>
        <w:spacing w:before="0" w:after="0"/>
        <w:ind w:left="547" w:right="0" w:hanging="0"/>
        <w:rPr/>
      </w:pPr>
      <w:r>
        <w:rPr/>
        <w:t>●</w:t>
      </w:r>
      <w:r>
        <w:rPr>
          <w:rFonts w:ascii="Times New Roman;Times;serif" w:hAnsi="Times New Roman;Times;serif"/>
          <w:sz w:val="20"/>
        </w:rPr>
        <w:t>time and cost necessary to respond to technological, regulatory, political and market developments;</w:t>
      </w:r>
    </w:p>
    <w:p>
      <w:pPr>
        <w:pStyle w:val="TextBody"/>
        <w:spacing w:before="0" w:after="0"/>
        <w:ind w:left="547" w:right="0" w:hanging="0"/>
        <w:rPr/>
      </w:pPr>
      <w:r>
        <w:rPr/>
        <w:t>●</w:t>
      </w:r>
      <w:r>
        <w:rPr>
          <w:rFonts w:ascii="Times New Roman;Times;serif" w:hAnsi="Times New Roman;Times;serif"/>
          <w:sz w:val="20"/>
        </w:rPr>
        <w:t>costs of filing, prosecuting, defending and enforcing any patent claims and other intellectual property rights; and</w:t>
      </w:r>
    </w:p>
    <w:p>
      <w:pPr>
        <w:pStyle w:val="TextBody"/>
        <w:ind w:left="547" w:right="0" w:hanging="0"/>
        <w:rPr/>
      </w:pPr>
      <w:r>
        <w:rPr/>
        <w:t>●</w:t>
      </w:r>
      <w:r>
        <w:rPr>
          <w:rFonts w:ascii="Times New Roman;Times;serif" w:hAnsi="Times New Roman;Times;serif"/>
          <w:sz w:val="20"/>
        </w:rPr>
        <w:t>costs associated with any potential business or product acquisitions (such as the anticipated acquisition of Proleukin®), strategic collaborations, licensing agreements or other arrangements that we may establish.</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Unless and until we can generate a sufficient amount of revenue, we may finance future cash needs through public or private equity offerings, license agreements, debt financings, collaborations, strategic alliances and marketing or distribution arrangements. Additional funds may not be available when we need them on terms that are acceptable to us, or at all. We have no committed source of additional capital and if we are unable to raise additional capital in sufficient amounts or on terms acceptable to us, we may be required to delay or reduce the scope of or eliminate one or more of our research or development programs or our commercialization efforts. Our current license and collaboration agreements may also be terminated if we are unable to meet the payment obligations under those agreements. As a result, we may seek to access the public or private capital markets whenever conditions are favorable, even if we do not have an immediate need for additional capital at that time.</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540"/>
        <w:rPr>
          <w:rFonts w:ascii="Times New Roman;Times;serif" w:hAnsi="Times New Roman;Times;serif"/>
          <w:b/>
          <w:i/>
          <w:sz w:val="20"/>
        </w:rPr>
      </w:pPr>
      <w:r>
        <w:rPr>
          <w:rFonts w:ascii="Times New Roman;Times;serif" w:hAnsi="Times New Roman;Times;serif"/>
          <w:b/>
          <w:i/>
          <w:sz w:val="20"/>
        </w:rPr>
        <w:t>Subject to various spending levels approved by our Board of Directors, our management will have broad discretion in the use of the net proceeds from our capital raises, including our June 2020, October 2018 and January 2018 public offerings and the proceeds from sales pursuant to our “at-the-market” sales agreement with Jefferies LLC, and may not use them effectively.</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Our management will have discretion in the application of the net proceeds from our capital raises, including our June 2020, October 2018, and January 2018 public offerings, and the proceeds from sales pursuant to the First Sales Agreement with Jefferies LLC, which provided for the sale of up to $350.0 million of our common stock from time to time, which was subsequently increased to $500.0 million in November 2022 upon the execution of the Second Sales Agreement with Jefferies LLC, and our stockholders will not have the opportunity as part of their investment decision to assess whether the net proceeds from our capital raises are being used appropriately. You may not agree with our decisions, and our use of the proceeds from our capital raises may not yield any return to stockholders.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Stockholders will not have the opportunity to influence our decisions on how to use our net proceeds from our capital raises. Pending their use, we may invest the net proceeds from our capital raises in interest and non-interest-bearing cash accounts, short-term, investment-grade, interest-bearing instruments and U.S. government securities. These temporary investments are not likely to yield a significant return.</w:t>
      </w:r>
    </w:p>
    <w:p>
      <w:pPr>
        <w:pStyle w:val="TextBody"/>
        <w:spacing w:before="0" w:after="200"/>
        <w:ind w:left="0" w:right="0" w:firstLine="540"/>
        <w:rPr>
          <w:rFonts w:ascii="Times New Roman;Times;serif" w:hAnsi="Times New Roman;Times;serif"/>
          <w:b/>
          <w:i/>
          <w:sz w:val="20"/>
        </w:rPr>
      </w:pPr>
      <w:r>
        <w:rPr>
          <w:rFonts w:ascii="Times New Roman;Times;serif" w:hAnsi="Times New Roman;Times;serif"/>
          <w:b/>
          <w:i/>
          <w:sz w:val="20"/>
        </w:rPr>
        <w:t>The use of our net operating loss carryforwards and research tax credits may be limited.</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Our net operating loss carryforwards and any future research and development tax credits may expire and not be used. As of December 31, 2022, we had U.S. federal net operating loss carryforwards of approximately $1.0 billion. Our net operating loss carryforwards arising in taxable years ending on or prior to December 31, 2017, will begin expiring in 2027 if we have not used them prior to that time. Net operating loss carryforwards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Prior to December 31, 2022, we experienced multiple ownership changes. As a result, the federal and state carryforwards associated with the net operating loss and credit deferred tax assets were reduced by the amount of tax attributes estimated to expire during their respective carryforward periods. In addition, since we will need to raise substantial additional funding to finance our operations, we may undergo further ownership changes in the future. Any such annual limitation may significantly reduce the utilization of the net operating loss carryforwards and research tax credits before they expire. Depending on our future tax position, limitation of our ability to use net operating loss carryforwards in states in which we are subject to income tax could have an adverse impact on our results of operations and financial condition.</w:t>
      </w:r>
    </w:p>
    <w:p>
      <w:pPr>
        <w:pStyle w:val="TextBody"/>
        <w:spacing w:before="0" w:after="200"/>
        <w:ind w:left="0" w:right="0" w:firstLine="540"/>
        <w:rPr>
          <w:rFonts w:ascii="Times New Roman;Times;serif" w:hAnsi="Times New Roman;Times;serif"/>
          <w:b/>
          <w:i/>
          <w:sz w:val="20"/>
        </w:rPr>
      </w:pPr>
      <w:r>
        <w:rPr>
          <w:rFonts w:ascii="Times New Roman;Times;serif" w:hAnsi="Times New Roman;Times;serif"/>
          <w:b/>
          <w:i/>
          <w:sz w:val="20"/>
        </w:rPr>
        <w:t>Recently enacted tax reform legislation in the U.S., changes to existing tax laws, or challenges to our tax positions could adversely affect our business and financial condition.</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 xml:space="preserve">In recent years, various tax legislations were signed into law. On December 22, 2017, the Tax Cuts and Jobs Act of 2017, or the Tax Act, was signed into law, making significant changes to the Internal Revenue Code. </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 xml:space="preserve">On March 27, 2020, the Coronavirus Aid, Relief, and Economic Security Act, or the CARES Act, was enacted in response to the COVID-19 pandemic. Certain provisions of the CARES Act amend or suspend certain provisions of the Tax Act. For example, the tax relief measures under the CARES Act for businesses include a five-year net operating loss carryback, suspension of annual deduction limitation of 80% of taxable income from net operating losses generated in a tax year beginning after December 31, 2017, changes in the deductibility of interest, acceleration of alternative minimum tax credit refunds, payroll tax relief, and a technical correction to allow accelerated deductions for qualified improvement property. On June 15, 2020, Assembly Bill 85 was passed in California which suspended the use of net operating losses and limited the use of credits for certain corporations. Changes to existing federal and state tax laws could adversely impact our business, results of operations and financial position as the impact of recent tax legislation is uncertain.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 xml:space="preserve">In addition, U.S. federal, state and local tax laws are extremely complex and subject to various interpretations. Although we believe that our tax estimates and positions are reasonable, including our decision to build our </w:t>
      </w:r>
      <w:r>
        <w:rPr>
          <w:rFonts w:ascii="Times New Roman;Times;serif" w:hAnsi="Times New Roman;Times;serif"/>
          <w:i/>
          <w:sz w:val="20"/>
        </w:rPr>
        <w:t>i</w:t>
      </w:r>
      <w:r>
        <w:rPr>
          <w:rFonts w:ascii="Times New Roman;Times;serif" w:hAnsi="Times New Roman;Times;serif"/>
          <w:sz w:val="20"/>
        </w:rPr>
        <w:t>CTC facility at the Navy Yard in Philadelphia in order to take advantage of the site's designation as a Keystone Opportunity Zone, Keystone Opportunity Expansion Zone, or Keystone Opportunity Improvement Zone, or collectively KOZ, which allows incentives for business development, as well as certain other financial incentives provided by the Commonwealth of Pennsylvania, the City of Philadelphia and the Philadelphia Industrial Development Corporation, there can be no assurance that our tax positions will not be challenged by relevant tax authorities or that we would be successful in any such challenge. Further, challenges to the site's designation as a KOZ or broader challenges to Pennsylvania's KOZ program could result in the revocation of the site's designation as a KOZ and the attendant tax advantages associated with such designation. If we are unsuccessful in such a challenge, or if the site's status as a KOZ is revoked, the relevant tax authorities may assess additional taxes, which could result in adjustments to, or impact the timing or amount of, taxable income, deductions or other tax allocations, which may adversely affect our results of operations and financial position.</w:t>
      </w:r>
    </w:p>
    <w:p>
      <w:pPr>
        <w:pStyle w:val="TextBody"/>
        <w:spacing w:before="0" w:after="200"/>
        <w:ind w:left="0" w:right="0" w:firstLine="540"/>
        <w:rPr>
          <w:rFonts w:ascii="Times New Roman;Times;serif" w:hAnsi="Times New Roman;Times;serif"/>
          <w:b/>
          <w:i/>
          <w:sz w:val="20"/>
        </w:rPr>
      </w:pPr>
      <w:r>
        <w:rPr>
          <w:rFonts w:ascii="Times New Roman;Times;serif" w:hAnsi="Times New Roman;Times;serif"/>
          <w:b/>
          <w:i/>
          <w:sz w:val="20"/>
        </w:rPr>
        <w:t>We are subject to extensive regulation, which can be costly, time consuming and can subject us to unanticipated delays; even if we obtain regulatory approval for some of our products, those products may still face regulatory difficulties.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Our potential products, cell processing and manufacturing activities, are subject to comprehensive regulation by the FDA in the U.S. and by comparable authorities in other countries. The process of obtaining FDA and other required regulatory approvals, including foreign approvals, is expensive and often takes many years and can vary substantially based upon the type, complexity and novelty of the products involved. In addition, regulatory agencies may lack experience with our technologies and products, which may lengthen the regulatory review process, increase our development costs and delay or prevent their commercialization.</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No adoptive cell therapy using TIL has been approved for marketing by the FDA. Consequently, there is no precedent for the successful commercialization of products based on our technologies. In addition, we have had only limited experience in filing and pursuing applications necessary to gain regulatory approvals, which may impede our ability to obtain timely FDA approvals, if at all. We have initiated the process for FDA approval for one adoptive cell therapy product. We will not be able to commercialize any of our potential products until we obtain FDA approval, and so any delay in obtaining, or inability to obtain, FDA approval would harm our business.</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If we fail to comply with regulatory requirements at any stage, whether before or after marketing approval is obtained, we may face a number of regulatory consequences, including refusal to approve pending applications, license suspension or revocation, withdrawal of an approval, imposition of a clinical hold or termination of clinical trials, warning letters, untitled letters, modification of promotional materials or labeling, provision of corrective information, imposition of post-market requirements including the need for additional testing, imposition of distribution or other restrictions under a REMS, product recalls, product seizures or detentions, refusal to allow imports or exports, total or partial suspension of production or distribution, FDA debarment, injunctions, fines, consent decrees, corporate integrity agreements, debarment from receiving government contracts, and new orders under existing contracts, exclusion from participation in federal and state healthcare programs, restitution, disgorgement, or civil or criminal penalties, including fines and imprisonment, and adverse publicity, among other adverse consequences. Additionally, we may not be able to obtain the labeling claims necessary or desirable for the promotion of our products. We may also be required to undertake post-marketing trials. In addition, if we or others identify side effects after any of our adoptive cell therapies are on the market, or if manufacturing problems occur, regulatory approval may be withdrawn, and reformulation of our products may be required.</w:t>
      </w:r>
    </w:p>
    <w:p>
      <w:pPr>
        <w:pStyle w:val="TextBody"/>
        <w:spacing w:before="0" w:after="200"/>
        <w:ind w:left="0" w:right="0" w:firstLine="540"/>
        <w:rPr>
          <w:rFonts w:ascii="Times New Roman;Times;serif" w:hAnsi="Times New Roman;Times;serif"/>
          <w:b/>
          <w:i/>
          <w:sz w:val="20"/>
        </w:rPr>
      </w:pPr>
      <w:r>
        <w:rPr>
          <w:rFonts w:ascii="Times New Roman;Times;serif" w:hAnsi="Times New Roman;Times;serif"/>
          <w:b/>
          <w:i/>
          <w:sz w:val="20"/>
        </w:rPr>
        <w:t>We may not be able to license new technology from third parties.</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An element of our intellectual property portfolio is to license additional rights and technologies from third parties, including the NIH and others. Our inability to license the rights and technologies that we have identified, or that we may in the future identify, could have a material adverse impact on our ability to complete the development of our products or to develop additional products. No assurance can be given that we will be successful in licensing any additional rights or technologies from third parties, including the NIH and others. Failure to obtain additional rights and licenses may detrimentally affect our planned development of additional product candidates and could increase the cost, and extend the timelines associated with our development of such other products.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540"/>
        <w:rPr>
          <w:rFonts w:ascii="Times New Roman;Times;serif" w:hAnsi="Times New Roman;Times;serif"/>
          <w:b/>
          <w:i/>
          <w:sz w:val="20"/>
        </w:rPr>
      </w:pPr>
      <w:r>
        <w:rPr>
          <w:rFonts w:ascii="Times New Roman;Times;serif" w:hAnsi="Times New Roman;Times;serif"/>
          <w:b/>
          <w:i/>
          <w:sz w:val="20"/>
        </w:rPr>
        <w:t>Our projections regarding the market opportunities for our product candidates may not be accurate, and the actual market for our products may be smaller than we estimate.</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Our projections of both the number of people who have the advanced cancers we are targeting, as well as the subset of people with these cancers who are metastatic or unresectable, and who have the potential to benefit from treatment with our product candidates, are based on our beliefs and estimates. These estimates have been derived from a variety of sources, including scientific literature, surveys of clinics, patient foundations, or market research by third parties, and may prove to be incorrect. Further, new studies or approvals of new therapeutics may change the estimated incidence or prevalence of these cancers. The number of patients may turn out to be lower than expected. Additionally, the potentially addressable patient population for our product candidates may be limited or may not be amenable to treatment with our product candidates and may also be limited by the cost of our treatments and the reimbursement of those treatment costs by third-party payors. For instance, we expect lifileucel to initially target a small patient population that suffers from metastatic melanoma. Even if we obtain significant market share for our product candidates, because the potential target populations are small, we may never achieve profitability without obtaining regulatory approval for additional indications.</w:t>
      </w:r>
    </w:p>
    <w:p>
      <w:pPr>
        <w:pStyle w:val="TextBody"/>
        <w:spacing w:before="0" w:after="200"/>
        <w:ind w:left="0" w:right="0" w:firstLine="540"/>
        <w:rPr>
          <w:rFonts w:ascii="Times New Roman;Times;serif" w:hAnsi="Times New Roman;Times;serif"/>
          <w:b/>
          <w:i/>
          <w:sz w:val="20"/>
        </w:rPr>
      </w:pPr>
      <w:r>
        <w:rPr>
          <w:rFonts w:ascii="Times New Roman;Times;serif" w:hAnsi="Times New Roman;Times;serif"/>
          <w:b/>
          <w:i/>
          <w:sz w:val="20"/>
        </w:rPr>
        <w:t>We are required to pay substantial royalties and lump sum benchmark payments under our license agreements with the NIH, Moffitt, Novartis, and Cellectis, and we must meet certain milestones to maintain our license rights.</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Under our license agreements with the NIH, Moffitt, Novartis, and Cellectis for our adoptive cell therapy and immunotherapy technologies, we are currently required to pay both substantial benchmark payments and royalties to that institution based on our revenues from sales of our products utilizing the licensed technologies. These payments could adversely affect the overall profitability for us of any products that we may seek to commercialize under these license agreements. In order to maintain our license rights under the NIH, Moffitt, Novartis, and Cellectis license agreements, we will need to meet certain specified milestones, subject to certain cure provisions, in the development of our product candidates. There is no assurance that we will be successful in meeting these milestones on a timely basis, or at all.</w:t>
      </w:r>
    </w:p>
    <w:p>
      <w:pPr>
        <w:pStyle w:val="TextBody"/>
        <w:spacing w:before="0" w:after="200"/>
        <w:ind w:left="0" w:right="0" w:firstLine="540"/>
        <w:rPr>
          <w:rFonts w:ascii="Times New Roman;Times;serif" w:hAnsi="Times New Roman;Times;serif"/>
          <w:b/>
          <w:i/>
          <w:sz w:val="20"/>
        </w:rPr>
      </w:pPr>
      <w:r>
        <w:rPr>
          <w:rFonts w:ascii="Times New Roman;Times;serif" w:hAnsi="Times New Roman;Times;serif"/>
          <w:b/>
          <w:i/>
          <w:sz w:val="20"/>
        </w:rPr>
        <w:t>Because our current products represent, and our other potential product candidates will represent novel approaches to the treatment of disease, there are many uncertainties regarding the development, the market acceptance, third-party reimbursement coverage and the commercial potential of our product candidates.</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Human immunotherapy products are a new category of therapeutics. Because this is a relatively new and expanding area of novel therapeutic interventions, there are many uncertainties related to development, marketing, reimbursement, and the commercial potential for our product candidates. There can be no assurance as to the length of the clinical trial period, the number of patients the FDA will require to be enrolled in the clinical trials in order to establish the safety, efficacy, purity and potency of immunotherapy products, or that the data generated in these clinical trials will be acceptable to the FDA to support marketing approval. The FDA may take longer than usual to come to a decision on any BLA that we submit and may ultimately determine that there is not enough data, information, or experience with our product candidates to support an approval decision. The FDA may also require that we conduct additional post-marketing studies or implement risk management programs, such as REMS until more experience with our product candidates is obtained. Finally, after increased usage, we may find that our product candidates do not have the intended effect or have unanticipated side effects, potentially jeopardizing initial or continuing regulatory approval and commercial prospects.</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We may also find that the manufacture of our product candidates is more difficult than anticipated, resulting in an inability to produce a sufficient amount of our product candidates for our clinical trials or, if approved, commercial supply. Moreover, because of the complexity and novelty of our manufacturing process, there are only a limited number of manufacturers who have the capability of producing our product candidates. Should any of our contract manufacturers no longer produce our product candidates, it may take us significant time to find a replacement, if we are able to find a replacement at all.</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 xml:space="preserve">There is no assurance that the approaches offered by our products will gain broad acceptance among doctors or patients or that governmental agencies or third-party medical insurers will be willing to provide reimbursement coverage for proposed product candidates. Moreover, we do not have verifiable internal marketing data regarding the potential size of the commercial market for our product candidates, nor have we obtained current independent marketing surveys to verify the potential size of the commercial markets for our current product candidates or any future product candidates. Since our current product candidates and any future product candidates will represent novel approaches to treating various conditions, it may be difficult, in any event, to accurately estimate the potential revenues from these product candidates. Accordingly, we may spend significant capital trying to obtain approval for product candidates that have an uncertain commercial market. The market for any products that we successfully develop will also depend on the cost of the product.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We do not yet have sufficient information to reliably estimate what it will cost to commercially manufacture our current product candidates, and the actual cost to manufacture these products could materially and adversely affect the commercial viability of these products. Our goal is to reduce the cost of manufacturing and providing our therapies. However, unless we can reduce those costs to an acceptable amount, we may never be able to develop a commercially viable product. If we do not successfully develop and commercialize products based upon our approach or find suitable and economical sources for materials used in the production of our products, we will not become profitable, which would materially and adversely affect the value of our common stock.</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Our TIL therapies and our other therapies may be provided to patients in combination with other agents provided by third parties. The cost of such combination therapy may increase the overall cost of therapy and may result in issues regarding the allocation of reimbursements between our therapy and the other agents, all of which may affect our ability to obtain reimbursement coverage for the combination therapy from governmental or private third-party medical insurers.</w:t>
      </w:r>
    </w:p>
    <w:p>
      <w:pPr>
        <w:pStyle w:val="TextBody"/>
        <w:spacing w:before="0" w:after="200"/>
        <w:ind w:left="0" w:right="0" w:firstLine="540"/>
        <w:rPr>
          <w:rFonts w:ascii="Times New Roman;Times;serif" w:hAnsi="Times New Roman;Times;serif"/>
          <w:b/>
          <w:i/>
          <w:sz w:val="20"/>
        </w:rPr>
      </w:pPr>
      <w:r>
        <w:rPr>
          <w:rFonts w:ascii="Times New Roman;Times;serif" w:hAnsi="Times New Roman;Times;serif"/>
          <w:b/>
          <w:i/>
          <w:sz w:val="20"/>
        </w:rPr>
        <w:t>No assurance can be given that the Gen 2 manufacturing process we have selected will be FDA-compliant, more efficient and lower the cost to manufacture TIL products.</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Pursuant to the CRADA, and in cooperation with our contract manufacturers and potentially other manufacturers, we have developed and are developing improved methods for the generating and selecting autologous TILs, and methods for large-scale production of autologous TILs that are in accord with current cGMP procedures. We have developed a new and more efficient TIL manufacturing process that we believe can be more efficient and cost effective, and in a more automated manner than previous processes. The production and control of the physical and/or chemical attributes of our products in a cGMP facility is subject to many uncertainties and difficulties. We have never manufactured our adoptive cell therapy product candidate on a commercial scale, nor have our partners. As a result, we cannot give any assurance that the Gen 2 process or any future process that we select will be a manufacturing process that can produce our products in compliance with the applicable regulatory requirements, at a cost or in quantities necessary to make them commercially viable. Moreover, we and our third-party manufacturers will have to continually adhere to current cGMP regulations enforced by the FDA through its facilities inspection program. If our facilities or any of the facilities of these manufacturers cannot demonstrate adequate assurance of compliance with FDA standards during a pre-approval inspection, the FDA approval of our products will not be granted. In complying with cGMP and foreign regulatory requirements, we and any of our third-party manufacturers will be obligated to expend time, money and effort in production, record-keeping and quality control to assure that our products meet applicable specifications and other requirements. If we or any of our third-party manufacturers fail to comply with these requirements, we may be subject to regulatory action. No assurance can be given that we will be able to develop such a manufacturing process, or that our partners will thereafter be able to establish and operate such a production facility.</w:t>
      </w:r>
    </w:p>
    <w:p>
      <w:pPr>
        <w:pStyle w:val="TextBody"/>
        <w:spacing w:before="0" w:after="200"/>
        <w:ind w:left="0" w:right="0" w:firstLine="540"/>
        <w:rPr>
          <w:rFonts w:ascii="Times New Roman;Times;serif" w:hAnsi="Times New Roman;Times;serif"/>
          <w:b/>
          <w:i/>
          <w:sz w:val="20"/>
        </w:rPr>
      </w:pPr>
      <w:r>
        <w:rPr>
          <w:rFonts w:ascii="Times New Roman;Times;serif" w:hAnsi="Times New Roman;Times;serif"/>
          <w:b/>
          <w:i/>
          <w:sz w:val="20"/>
        </w:rPr>
        <w:t>If product liability lawsuits are brought against us, we may incur substantial liabilities and may be required to limit commercialization of our product candidates.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Large judgements have also been awarded in class action lawsuits based on therapeutics that had unanticipated side effects.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pStyle w:val="TextBody"/>
        <w:spacing w:before="0" w:after="0"/>
        <w:ind w:left="547" w:right="0" w:hanging="0"/>
        <w:rPr/>
      </w:pPr>
      <w:r>
        <w:rPr/>
        <w:t>●</w:t>
      </w:r>
      <w:r>
        <w:rPr>
          <w:rFonts w:ascii="Times New Roman;Times;serif" w:hAnsi="Times New Roman;Times;serif"/>
          <w:sz w:val="20"/>
        </w:rPr>
        <w:t>decreased demand for our product candidates;</w:t>
      </w:r>
    </w:p>
    <w:p>
      <w:pPr>
        <w:pStyle w:val="TextBody"/>
        <w:spacing w:before="0" w:after="0"/>
        <w:ind w:left="547" w:right="0" w:hanging="0"/>
        <w:rPr/>
      </w:pPr>
      <w:r>
        <w:rPr/>
        <w:t>●</w:t>
      </w:r>
      <w:r>
        <w:rPr>
          <w:rFonts w:ascii="Times New Roman;Times;serif" w:hAnsi="Times New Roman;Times;serif"/>
          <w:sz w:val="20"/>
        </w:rPr>
        <w:t>injury to our reputation;</w:t>
      </w:r>
    </w:p>
    <w:p>
      <w:pPr>
        <w:pStyle w:val="TextBody"/>
        <w:spacing w:before="0" w:after="0"/>
        <w:ind w:left="547" w:right="0" w:hanging="0"/>
        <w:rPr/>
      </w:pPr>
      <w:r>
        <w:rPr/>
        <w:t>●</w:t>
      </w:r>
      <w:r>
        <w:rPr>
          <w:rFonts w:ascii="Times New Roman;Times;serif" w:hAnsi="Times New Roman;Times;serif"/>
          <w:sz w:val="20"/>
        </w:rPr>
        <w:t>withdrawal of clinical trial participants or sites and potential termination of clinical trial sites or entire clinical programs;</w:t>
      </w:r>
    </w:p>
    <w:p>
      <w:pPr>
        <w:pStyle w:val="TextBody"/>
        <w:spacing w:before="0" w:after="0"/>
        <w:ind w:left="547" w:right="0" w:hanging="0"/>
        <w:rPr/>
      </w:pPr>
      <w:r>
        <w:rPr/>
        <w:t>●</w:t>
      </w:r>
      <w:r>
        <w:rPr>
          <w:rFonts w:ascii="Times New Roman;Times;serif" w:hAnsi="Times New Roman;Times;serif"/>
          <w:sz w:val="20"/>
        </w:rPr>
        <w:t>initiation of investigations by regulators, refusal to approve marketing applications or supplements, and withdrawal or limitation of product approvals;</w:t>
      </w:r>
    </w:p>
    <w:p>
      <w:pPr>
        <w:pStyle w:val="TextBody"/>
        <w:spacing w:before="0" w:after="0"/>
        <w:ind w:left="547" w:right="0" w:hanging="0"/>
        <w:rPr/>
      </w:pPr>
      <w:r>
        <w:rPr/>
        <w:t>●</w:t>
      </w:r>
      <w:r>
        <w:rPr>
          <w:rFonts w:ascii="Times New Roman;Times;serif" w:hAnsi="Times New Roman;Times;serif"/>
          <w:sz w:val="20"/>
        </w:rPr>
        <w:t>costs to defend the related litigation;</w:t>
      </w:r>
    </w:p>
    <w:p>
      <w:pPr>
        <w:pStyle w:val="TextBody"/>
        <w:spacing w:before="0" w:after="0"/>
        <w:ind w:left="547" w:right="0" w:hanging="0"/>
        <w:rPr/>
      </w:pPr>
      <w:r>
        <w:rPr/>
        <w:t>●</w:t>
      </w:r>
      <w:r>
        <w:rPr>
          <w:rFonts w:ascii="Times New Roman;Times;serif" w:hAnsi="Times New Roman;Times;serif"/>
          <w:sz w:val="20"/>
        </w:rPr>
        <w:t>a diversion of management’s time and our resources;</w:t>
      </w:r>
    </w:p>
    <w:p>
      <w:pPr>
        <w:pStyle w:val="TextBody"/>
        <w:spacing w:before="0" w:after="0"/>
        <w:ind w:left="547" w:right="0" w:hanging="0"/>
        <w:rPr/>
      </w:pPr>
      <w:r>
        <w:rPr/>
        <w:t>●</w:t>
      </w:r>
      <w:r>
        <w:rPr>
          <w:rFonts w:ascii="Times New Roman;Times;serif" w:hAnsi="Times New Roman;Times;serif"/>
          <w:sz w:val="20"/>
        </w:rPr>
        <w:t>substantial monetary awards to clinical trial participants or patients;</w:t>
      </w:r>
    </w:p>
    <w:p>
      <w:pPr>
        <w:pStyle w:val="TextBody"/>
        <w:spacing w:before="0" w:after="0"/>
        <w:ind w:left="547" w:right="0" w:hanging="0"/>
        <w:rPr/>
      </w:pPr>
      <w:r>
        <w:rPr/>
        <w:t>●</w:t>
      </w:r>
      <w:r>
        <w:rPr>
          <w:rFonts w:ascii="Times New Roman;Times;serif" w:hAnsi="Times New Roman;Times;serif"/>
          <w:sz w:val="20"/>
        </w:rPr>
        <w:t>product recalls, withdrawals or labeling, marketing or promotional restrictions;</w:t>
      </w:r>
    </w:p>
    <w:p>
      <w:pPr>
        <w:pStyle w:val="TextBody"/>
        <w:spacing w:before="0" w:after="0"/>
        <w:ind w:left="547" w:right="0" w:hanging="0"/>
        <w:rPr/>
      </w:pPr>
      <w:r>
        <w:rPr/>
        <w:t>●</w:t>
      </w:r>
      <w:r>
        <w:rPr>
          <w:rFonts w:ascii="Times New Roman;Times;serif" w:hAnsi="Times New Roman;Times;serif"/>
          <w:sz w:val="20"/>
        </w:rPr>
        <w:t>loss of revenue;</w:t>
      </w:r>
    </w:p>
    <w:p>
      <w:pPr>
        <w:pStyle w:val="TextBody"/>
        <w:ind w:left="547" w:right="0" w:hanging="0"/>
        <w:rPr/>
      </w:pPr>
      <w:r>
        <w:rPr/>
        <w:t>●</w:t>
      </w:r>
      <w:r>
        <w:rPr>
          <w:rFonts w:ascii="Times New Roman;Times;serif" w:hAnsi="Times New Roman;Times;serif"/>
          <w:sz w:val="20"/>
        </w:rPr>
        <w:t>significant negative media attention;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547" w:right="0" w:hanging="0"/>
        <w:rPr/>
      </w:pPr>
      <w:r>
        <w:rPr/>
        <w:t>●</w:t>
      </w:r>
      <w:r>
        <w:rPr>
          <w:rFonts w:ascii="Times New Roman;Times;serif" w:hAnsi="Times New Roman;Times;serif"/>
          <w:sz w:val="20"/>
        </w:rPr>
        <w:t>decrease in the price of our stock and overall value of our company;</w:t>
      </w:r>
    </w:p>
    <w:p>
      <w:pPr>
        <w:pStyle w:val="TextBody"/>
        <w:spacing w:before="0" w:after="0"/>
        <w:ind w:left="547" w:right="0" w:hanging="0"/>
        <w:rPr/>
      </w:pPr>
      <w:r>
        <w:rPr/>
        <w:t>●</w:t>
      </w:r>
      <w:r>
        <w:rPr>
          <w:rFonts w:ascii="Times New Roman;Times;serif" w:hAnsi="Times New Roman;Times;serif"/>
          <w:sz w:val="20"/>
        </w:rPr>
        <w:t>exhaustion of our available insurance coverage and our capital resources; or</w:t>
      </w:r>
    </w:p>
    <w:p>
      <w:pPr>
        <w:pStyle w:val="TextBody"/>
        <w:ind w:left="547" w:right="0" w:hanging="0"/>
        <w:rPr/>
      </w:pPr>
      <w:r>
        <w:rPr/>
        <w:t>●</w:t>
      </w:r>
      <w:r>
        <w:rPr>
          <w:rFonts w:ascii="Times New Roman;Times;serif" w:hAnsi="Times New Roman;Times;serif"/>
          <w:sz w:val="20"/>
        </w:rPr>
        <w:t>the inability to commercialize our product candidates.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Our inability to obtain sufficient product liability insurance at an acceptable cost to protect against potential product liability claims could prevent or inhibit the commercialization of products we develop, alone or with corporate collaborators. Our insurance policies may also have various exclusions, and we may be subject to a product liability claim for which we have no coverage. While we have obtained clinical trial insurance for our Phase 2 clinical trials, we may have to pay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pStyle w:val="TextBody"/>
        <w:spacing w:before="0" w:after="200"/>
        <w:ind w:left="0" w:right="0" w:firstLine="547"/>
        <w:rPr>
          <w:rFonts w:ascii="Times New Roman;Times;serif" w:hAnsi="Times New Roman;Times;serif"/>
          <w:b/>
          <w:i/>
          <w:sz w:val="20"/>
        </w:rPr>
      </w:pPr>
      <w:r>
        <w:rPr>
          <w:rFonts w:ascii="Times New Roman;Times;serif" w:hAnsi="Times New Roman;Times;serif"/>
          <w:b/>
          <w:i/>
          <w:sz w:val="20"/>
        </w:rPr>
        <w:t>We face significant competition from other biotechnology and pharmaceutical companies and from non-profit institutions.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Competition in the field of cancer therapy is intense and is accentuated by the rapid pace of technological development. Research and discoveries by others may result in breakthroughs which may render our products obsolete even before they generate any revenue. There are products that are approved and currently under development by others that could compete with the products that we are developing. Many of our potential competitors have substantially greater research and development capabilities and approval, manufacturing, marketing, financial and managerial resources and experience than we do. Our competitors may:</w:t>
      </w:r>
    </w:p>
    <w:p>
      <w:pPr>
        <w:pStyle w:val="TextBody"/>
        <w:spacing w:before="0" w:after="0"/>
        <w:ind w:left="547" w:right="0" w:hanging="0"/>
        <w:rPr/>
      </w:pPr>
      <w:r>
        <w:rPr/>
        <w:t>●</w:t>
      </w:r>
      <w:r>
        <w:rPr>
          <w:rFonts w:ascii="Times New Roman;Times;serif" w:hAnsi="Times New Roman;Times;serif"/>
          <w:sz w:val="20"/>
        </w:rPr>
        <w:t>develop safer, more convenient or more effective immunotherapies and other therapeutic products;</w:t>
      </w:r>
    </w:p>
    <w:p>
      <w:pPr>
        <w:pStyle w:val="TextBody"/>
        <w:spacing w:before="0" w:after="0"/>
        <w:ind w:left="547" w:right="0" w:hanging="0"/>
        <w:rPr/>
      </w:pPr>
      <w:r>
        <w:rPr/>
        <w:t>●</w:t>
      </w:r>
      <w:r>
        <w:rPr>
          <w:rFonts w:ascii="Times New Roman;Times;serif" w:hAnsi="Times New Roman;Times;serif"/>
          <w:sz w:val="20"/>
        </w:rPr>
        <w:t>develop therapies that are less expensive or have better reimbursement from private or public payors;</w:t>
      </w:r>
    </w:p>
    <w:p>
      <w:pPr>
        <w:pStyle w:val="TextBody"/>
        <w:spacing w:before="0" w:after="0"/>
        <w:ind w:left="547" w:right="0" w:hanging="0"/>
        <w:rPr/>
      </w:pPr>
      <w:r>
        <w:rPr/>
        <w:t>●</w:t>
      </w:r>
      <w:r>
        <w:rPr>
          <w:rFonts w:ascii="Times New Roman;Times;serif" w:hAnsi="Times New Roman;Times;serif"/>
          <w:sz w:val="20"/>
        </w:rPr>
        <w:t>reach the market more rapidly, reducing the potential sales of our products; or</w:t>
      </w:r>
    </w:p>
    <w:p>
      <w:pPr>
        <w:pStyle w:val="TextBody"/>
        <w:ind w:left="547" w:right="0" w:hanging="0"/>
        <w:rPr/>
      </w:pPr>
      <w:r>
        <w:rPr/>
        <w:t>●</w:t>
      </w:r>
      <w:r>
        <w:rPr>
          <w:rFonts w:ascii="Times New Roman;Times;serif" w:hAnsi="Times New Roman;Times;serif"/>
          <w:sz w:val="20"/>
        </w:rPr>
        <w:t>establish superior proprietary positions.</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Due to the promising clinical therapeutic effect of competitor therapies in clinical exploratory trials, we anticipate substantial direct competition from other organizations developing advanced T-cell therapies targeting patients who have received prior anti-PD-1/PD-L1 therapies. In particular, we expect to compete with other new therapies for our lead indications developed by companies such as Agenus, BeyondSpring, Bristol-Myers Squibb, Merck, Nektar Therapeutics, Checkmate Pharmaceuticals, Daiichi Sankyo, Eisai, Exelixis, Moderna, Mirati Therapeutics, OncoSec Medical, Replimune, Regeneron Pharmaceuticals, Seagen, and Genmab. We also may compete with other TIL therapies in development by companies such as Instil Bio, Achilles Therapeutics, KSQ Therapeutics, Obsidian Therapeutics, Immatics, TILT Biotherapeutics, WindMIL Therapeutics, GRIT Biotechnology, Lyell Immunopharma, Cellular Biomedicine Group, and others. We also may compete with therapies based on genetically engineered T-cell receptors rendered reactive against tumor-associated antigens prior to their administration to patients, as well as TIL therapies that are designed to be specific to neoantigens, including products developed by Adaptimmune Therapeutics, Alaunos Therapeutics, Intima Bioscience, Marker Therapeutics, Turnstone Biologics, Neogene, and others. To date, these technologies have been primarily applicable to hematologic malignancies, but their application in solid tumor indications may create competition with us. We may also face competition from immunotherapy treatments offered by companies such as Amgen, AstraZeneca, Bristol-Myers Squibb, Merck, Pfizer, Regeneron Pharmaceuticals, Roche, and BioNTech. We may also face competition from novel IL-2 treatments in development by Alkermes, Werewolf, Nektar Therapeutics, Merck, Sanofi, Neoleukin Therapeutics and others. Many of these companies and our other current and potential competitors have substantially greater research and development capabilities and financial, scientific, regulatory, manufacturing, marketing, sales, human resources, and experience than we do. Many of our competitors have several therapeutic products that have already been developed, approved and successfully commercialized, or are in the process of obtaining regulatory approval for their therapeutic products in the U.S. and internationally. Our competitors may obtain regulatory approval for their products more rapidly than we may obtain approval for ours, which could result in competitors establishing a strong market position before we are able to enter the market.</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Universities and public and private research institutions in the U.S. and Europe are also potential competitors. For example, a Phase 3 M14TIL clinical trial comparing TIL to standard ipilimumab in patients with metastatic melanoma is currently being conducted in Europe by the Netherlands Cancer Institute, the Copenhagen County Herlev University Hospital, and the University of Manchester. Results from the M14TIL clinical trial were presented at the European Society for Medical Oncology Congress in September 2022. While these universities and public and private research institutions primarily have educational objectives, they may develop proprietary technologies that lead to other FDA approved therapies or that secure patent protection that we may need for the development of our technologies and products.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Our lead product candidate lifileucel is a therapy for the treatment of metastatic melanoma and metastatic cervical cancer. Currently, there are numerous companies that are developing various alternate treatments for melanoma and cervical cancer, including patients that have progressed after prior treatment with checkpoint inhibitors and chemotherapy. Accordingly, lifileucel faces significant competition in the melanoma and cervical cancer treatment space from multiple companies. Even if we obtain regulatory approval for lifileucel, the availability and price of our competitors’ products could limit the demand and the price we are able to charge for our therapies. We may not be able to implement our business plan if the acceptance of our products is inhibited by price competition or the reluctance of physicians to switch from other methods of treatment to our product, or if physicians switch to other new therapies, drugs or biologic products or choose to reserve our product for use in limited circumstances.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pStyle w:val="TextBody"/>
        <w:spacing w:before="0" w:after="200"/>
        <w:ind w:left="0" w:right="0" w:firstLine="547"/>
        <w:rPr>
          <w:rFonts w:ascii="Times New Roman;Times;serif" w:hAnsi="Times New Roman;Times;serif"/>
          <w:b/>
          <w:i/>
          <w:sz w:val="20"/>
        </w:rPr>
      </w:pPr>
      <w:r>
        <w:rPr>
          <w:rFonts w:ascii="Times New Roman;Times;serif" w:hAnsi="Times New Roman;Times;serif"/>
          <w:b/>
          <w:i/>
          <w:sz w:val="20"/>
        </w:rPr>
        <w:t>We are dependent on third parties to support our research, development and manufacturing activities and, therefore, are subject to the efforts of these parties and our ability to successfully collaborate with these third parties.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As a result of our current strategy to outsource most of our manufacturing, we rely very heavily on third parties to perform for us the manufacturing of our products for our clinical trials. We also license a portion of our technology from others. We intend to rely upon our contract manufacturers to produce large quantities of materials needed for clinical trials and potentially product commercialization. Third party manufacturers may not be able to meet our needs with respect to timing, quantity or quality. If we are unable to contract for a sufficient supply of needed materials on acceptable terms, or if we should encounter delays or difficulties in our relationships with manufacturers, our clinical testing may be delayed, thereby delaying the submission of products for regulatory approval or the market introduction and subsequent sales of our products. Any such delay may lower our revenues and potential profitability.</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In addition, in order to supplement our own efforts to improve TIL manufacturing and develop TIL therapies in new indications in clinical trials, we currently work and collaborate with government and academic research institutions, medical institutions and corporate partners such as the NCI, Moffitt, Cellectis, Yale University, the Ohio State University, and Novartis. We also intend to continue to enter into additional third-party collaborative agreements in the future. However, we may not be able to successfully negotiate any additional collaborative arrangements. If established, these relationships may not be scientifically or commercially successful, or may be unable to enroll patients, which has occurred in one of our prior collaborations. The success of these and future collaborations and joint development arrangements may be subject to numerous risks and uncertainties, including the inability or unwillingness of our partners to perform in the manner, or to the extent anticipated, and may also be subject to disagreements regarding the rights, interests, and performance of the counterparties under our licenses and development agreements. Disagreements between parties to a collaboration arrangement regarding clinical development and commercialization matters can lead to delays in the development process or commercialization of the applicable product candidate and, in some cases, termination of the collaboration arrangement. These disagreements can be difficult to resolve if neither of the parties has final decision-making authority under the collaboration agreement.</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With regard to future collaboration efforts, we face significant competition in seeking appropriate collaborators. Our ability to reach a definitive agreement for collaboration will depend, among other things, upon our assessment of the collaborator’s resources and expertise, the terms and conditions of the proposed collaboration and, an evaluation by the proposed collaborator of a number of similar or unique factors.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Collaborations with biopharmaceutical companies and other third parties often are terminated or allowed to expire by the other party. Any such termination or expiration would adversely affect us financially and could harm our business reputation. Any collaboration may pose a number of risks, including the following:</w:t>
      </w:r>
    </w:p>
    <w:p>
      <w:pPr>
        <w:pStyle w:val="TextBody"/>
        <w:spacing w:before="0" w:after="0"/>
        <w:ind w:left="547" w:right="0" w:hanging="0"/>
        <w:rPr/>
      </w:pPr>
      <w:r>
        <w:rPr/>
        <w:t>●</w:t>
      </w:r>
      <w:r>
        <w:rPr>
          <w:rFonts w:ascii="Times New Roman;Times;serif" w:hAnsi="Times New Roman;Times;serif"/>
          <w:sz w:val="20"/>
        </w:rPr>
        <w:t>collaborators may not perform their obligations as expected;</w:t>
      </w:r>
    </w:p>
    <w:p>
      <w:pPr>
        <w:pStyle w:val="TextBody"/>
        <w:ind w:left="547" w:right="0" w:hanging="0"/>
        <w:rPr/>
      </w:pPr>
      <w:r>
        <w:rPr/>
        <w:t>●</w:t>
      </w:r>
      <w:r>
        <w:rPr>
          <w:rFonts w:ascii="Times New Roman;Times;serif" w:hAnsi="Times New Roman;Times;serif"/>
          <w:sz w:val="20"/>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547" w:right="0" w:hanging="0"/>
        <w:rPr/>
      </w:pPr>
      <w:r>
        <w:rPr/>
        <w:t>●</w:t>
      </w:r>
      <w:r>
        <w:rPr>
          <w:rFonts w:ascii="Times New Roman;Times;serif" w:hAnsi="Times New Roman;Times;serif"/>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spacing w:before="0" w:after="0"/>
        <w:ind w:left="547" w:right="0" w:hanging="0"/>
        <w:rPr/>
      </w:pPr>
      <w:r>
        <w:rPr/>
        <w:t>●</w:t>
      </w:r>
      <w:r>
        <w:rPr>
          <w:rFonts w:ascii="Times New Roman;Times;serif" w:hAnsi="Times New Roman;Times;serif"/>
          <w:sz w:val="20"/>
        </w:rPr>
        <w:t>collaborators could fail to make timely regulatory submissions for a product candidate;</w:t>
      </w:r>
    </w:p>
    <w:p>
      <w:pPr>
        <w:pStyle w:val="TextBody"/>
        <w:spacing w:before="0" w:after="0"/>
        <w:ind w:left="547" w:right="0" w:hanging="0"/>
        <w:rPr/>
      </w:pPr>
      <w:r>
        <w:rPr/>
        <w:t>●</w:t>
      </w:r>
      <w:r>
        <w:rPr>
          <w:rFonts w:ascii="Times New Roman;Times;serif" w:hAnsi="Times New Roman;Times;serif"/>
          <w:sz w:val="20"/>
        </w:rPr>
        <w:t>collaborators may not comply with all applicable regulatory requirements or may fail to report safety data in accordance with all applicable regulatory requirements;</w:t>
      </w:r>
    </w:p>
    <w:p>
      <w:pPr>
        <w:pStyle w:val="TextBody"/>
        <w:spacing w:before="0" w:after="0"/>
        <w:ind w:left="547" w:right="0" w:hanging="0"/>
        <w:rPr/>
      </w:pPr>
      <w:r>
        <w:rPr/>
        <w:t>●</w:t>
      </w:r>
      <w:r>
        <w:rPr>
          <w:rFonts w:ascii="Times New Roman;Times;serif" w:hAnsi="Times New Roman;Times;serif"/>
          <w:sz w:val="20"/>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pStyle w:val="TextBody"/>
        <w:spacing w:before="0" w:after="0"/>
        <w:ind w:left="547" w:right="0" w:hanging="0"/>
        <w:rPr/>
      </w:pPr>
      <w:r>
        <w:rPr/>
        <w:t>●</w:t>
      </w:r>
      <w:r>
        <w:rPr>
          <w:rFonts w:ascii="Times New Roman;Times;serif" w:hAnsi="Times New Roman;Times;serif"/>
          <w:sz w:val="20"/>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pStyle w:val="TextBody"/>
        <w:spacing w:before="0" w:after="0"/>
        <w:ind w:left="547" w:right="0" w:hanging="0"/>
        <w:rPr/>
      </w:pPr>
      <w:r>
        <w:rPr/>
        <w:t>●</w:t>
      </w:r>
      <w:r>
        <w:rPr>
          <w:rFonts w:ascii="Times New Roman;Times;serif" w:hAnsi="Times New Roman;Times;serif"/>
          <w:sz w:val="20"/>
        </w:rPr>
        <w:t>a collaborator with marketing and distribution rights to one or more of our product candidates that achieve regulatory approval may not commit sufficient resources to the marketing and distribution of such product candidate or product;</w:t>
      </w:r>
    </w:p>
    <w:p>
      <w:pPr>
        <w:pStyle w:val="TextBody"/>
        <w:spacing w:before="0" w:after="0"/>
        <w:ind w:left="547" w:right="0" w:hanging="0"/>
        <w:rPr/>
      </w:pPr>
      <w:r>
        <w:rPr/>
        <w:t>●</w:t>
      </w:r>
      <w:r>
        <w:rPr>
          <w:rFonts w:ascii="Times New Roman;Times;serif" w:hAnsi="Times New Roman;Times;serif"/>
          <w:sz w:val="20"/>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p>
      <w:pPr>
        <w:pStyle w:val="TextBody"/>
        <w:spacing w:before="0" w:after="0"/>
        <w:ind w:left="547" w:right="0" w:hanging="0"/>
        <w:rPr/>
      </w:pPr>
      <w:r>
        <w:rPr/>
        <w:t>●</w:t>
      </w:r>
      <w:r>
        <w:rPr>
          <w:rFonts w:ascii="Times New Roman;Times;serif" w:hAnsi="Times New Roman;Times;serif"/>
          <w:sz w:val="20"/>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pStyle w:val="TextBody"/>
        <w:spacing w:before="0" w:after="0"/>
        <w:ind w:left="547" w:right="0" w:hanging="0"/>
        <w:rPr/>
      </w:pPr>
      <w:r>
        <w:rPr/>
        <w:t>●</w:t>
      </w:r>
      <w:r>
        <w:rPr>
          <w:rFonts w:ascii="Times New Roman;Times;serif" w:hAnsi="Times New Roman;Times;serif"/>
          <w:sz w:val="20"/>
        </w:rPr>
        <w:t>collaborators may infringe the intellectual property rights of third parties, which may expose us to litigation and potential liability;</w:t>
      </w:r>
    </w:p>
    <w:p>
      <w:pPr>
        <w:pStyle w:val="TextBody"/>
        <w:spacing w:before="0" w:after="0"/>
        <w:ind w:left="547" w:right="0" w:hanging="0"/>
        <w:rPr/>
      </w:pPr>
      <w:r>
        <w:rPr/>
        <w:t>●</w:t>
      </w:r>
      <w:r>
        <w:rPr>
          <w:rFonts w:ascii="Times New Roman;Times;serif" w:hAnsi="Times New Roman;Times;serif"/>
          <w:sz w:val="20"/>
        </w:rPr>
        <w:t>collaborators may be involved in a business combination, resulting in the decreased emphasis or termination of development or commercialization of any product candidate subject to the collaboration agreement; and</w:t>
      </w:r>
    </w:p>
    <w:p>
      <w:pPr>
        <w:pStyle w:val="TextBody"/>
        <w:ind w:left="547" w:right="0" w:hanging="0"/>
        <w:rPr/>
      </w:pPr>
      <w:r>
        <w:rPr/>
        <w:t>●</w:t>
      </w:r>
      <w:r>
        <w:rPr>
          <w:rFonts w:ascii="Times New Roman;Times;serif" w:hAnsi="Times New Roman;Times;serif"/>
          <w:sz w:val="20"/>
        </w:rPr>
        <w:t>termination of a collaboration agreement may make it more difficult to attract new collaborators and our and our products’ or product candidates’ reputation in the medical, business, and financial communities could be adversely affected.</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If any third-party collaborator breaches or terminates its agreement with us or fails to conduct its activities in a timely manner, the commercialization of our products under development could be delayed or blocked completely. It is possible that our collaborators will change their strategic focus, pursue alternative technologies or develop alternative products, either on their own or in collaboration with others, as a means for developing treatments for the diseases targeted by our collaborative programs. The effectiveness of our collaborators in marketing our products will also affect our revenues and earnings.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Our collaborators will also be required to comply with the applicable regulatory requirements, and, as such, are subject to the same risks as we are. If they do not or are not able to comply with these requirements, we may not be able to use the data generated through their studies to support our future investigational or marketing applications. Collaborator noncompliance may also expose them and us to regulatory enforcement actions.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No assurance can be given that we will be able to successfully collaborate with our partners as anticipated and that our current or future collaborations and clinical trials will be completed as contemplated, support the regulatory approval of our current product candidates, or result in any viable additional product candidates. For instance, to the extent that these collaborators conduct their studies with manufacturing processes that are different than ours or product that is different than ours, the results generated from their studies may not be seen in our current or future studies that employ our manufacturing processes and the results generated from their studies may not support approval of our product candidates.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If we are unable to obtain or maintain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547"/>
        <w:rPr>
          <w:rFonts w:ascii="Times New Roman;Times;serif" w:hAnsi="Times New Roman;Times;serif"/>
          <w:b/>
          <w:i/>
          <w:sz w:val="20"/>
        </w:rPr>
      </w:pPr>
      <w:r>
        <w:rPr>
          <w:rFonts w:ascii="Times New Roman;Times;serif" w:hAnsi="Times New Roman;Times;serif"/>
          <w:b/>
          <w:i/>
          <w:sz w:val="20"/>
        </w:rPr>
        <w:t>Development of a product candidate intended for use in combination with an already approved product may present more or different challenges than development of a product candidate for use as a single agent.</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We are currently developing lifileucel as part of a regimen which uses IL-2. We and our collaborators are also clinical trialing TIL therapy along with other products, such as pembrolizumab, ipilimumab and nivolumab. The development of product candidates for use in combination with another product may present challenges. For example, the FDA may require us to use more complex clinical trial designs, in order to evaluate the contribution of each product and product candidate to any observed effects. It is possible that the results of these clinical trials could show that any positive results are attributable to the already approved product. Moreover, following product approval, the FDA may require that products used in conjunction with each other be cross labeled for combined use. Additionally, the FDA review process can be more complicated for combination products, and may result in delays, particularly if complex therapeutics are involved. To the extent that we do not have rights to already approved products, this may require us to work with another company to satisfy such a requirement. Moreover, developments related to the already approved products may impact our clinical trials for the combination as well as our commercial prospects should we receive marketing approval. Such developments may include changes to the approved product’s safety or efficacy profile, changes to the availability of the approved product, and changes to the standard of care.</w:t>
      </w:r>
    </w:p>
    <w:p>
      <w:pPr>
        <w:pStyle w:val="TextBody"/>
        <w:spacing w:before="0" w:after="200"/>
        <w:ind w:left="0" w:right="0" w:firstLine="547"/>
        <w:rPr>
          <w:rFonts w:ascii="Times New Roman;Times;serif" w:hAnsi="Times New Roman;Times;serif"/>
          <w:b/>
          <w:i/>
          <w:sz w:val="20"/>
        </w:rPr>
      </w:pPr>
      <w:r>
        <w:rPr>
          <w:rFonts w:ascii="Times New Roman;Times;serif" w:hAnsi="Times New Roman;Times;serif"/>
          <w:b/>
          <w:i/>
          <w:sz w:val="20"/>
        </w:rPr>
        <w:t>A Fast Track product designation, Breakthrough Therapy designation or other designation to facilitate product candidate development may not lead to faster development or a faster regulatory review or approval process, and it does not increase the likelihood that our product candidates will receive marketing approval.</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We were granted Fast Track designation by the FDA for lifileucel in metastatic melanoma and metastatic cervical cancer, as well as for lifileucel in combination with pembrolizumab in advanced melanoma. We were granted BTD, for lifileucel for metastatic cervical cancer and Regenerative Medicine Advanced Therapy, or RMAT, designation for lifileucel in advanced melanoma. We may seek Fast Track or Breakthrough designation for other of our current or future product candidates. Receipt of a designation to facilitate product candidate development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product candidates considered for approval under conventional the FDA procedures and does not assure ultimate marketing approval by the FDA. In addition, the FDA may later decide that the products no longer meet the designation conditions.</w:t>
      </w:r>
    </w:p>
    <w:p>
      <w:pPr>
        <w:pStyle w:val="TextBody"/>
        <w:spacing w:before="0" w:after="200"/>
        <w:ind w:left="0" w:right="0" w:firstLine="547"/>
        <w:rPr>
          <w:rFonts w:ascii="Times New Roman;Times;serif" w:hAnsi="Times New Roman;Times;serif"/>
          <w:b/>
          <w:i/>
          <w:sz w:val="20"/>
        </w:rPr>
      </w:pPr>
      <w:r>
        <w:rPr>
          <w:rFonts w:ascii="Times New Roman;Times;serif" w:hAnsi="Times New Roman;Times;serif"/>
          <w:b/>
          <w:i/>
          <w:sz w:val="20"/>
        </w:rPr>
        <w:t>While lifileucel has received Orphan Drug Designation, or ODD, for melanoma stages IIB-IV and for cervical cancer patients with tumors greater than 2 cm, there is no guarantee that we will be able to maintain this designation, receive these designations for any of our other product candidates, or receive or maintain any corresponding benefits, including periods of exclusivity.</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We received ODD in the U.S. for lifileucel to treat malignant melanoma stages IIB-IV and cervical cancer patients with tumors greater than 2 cm. We may also seek ODD for our other product candidates, as appropriate. ODD, however, may be lost if the indication for which we develop our designated product candidates does not meet the orphan criteria. Moreover, following product approval, orphan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exclusivity, that exclusivity may not effectively protect the product from competition because different products can be approved for the same condition and the same product can be approved for different conditions.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Moreover, the FDA may grant ODDs to multiple of the same products for the same indication. If another sponsor receives FDA approval for an ODD-designated product that is the same as our product candidates and intended for the same indication before we do, we would be prevented from launching our product in the U.S. for this indication for a period of at least 7 years.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In response to a court decision regarding the plain meaning of the exclusivity provision of the Orphan Drug Act, the FDA may undertake a reevaluation of aspects of its orphan drug regulations and policies.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547"/>
        <w:rPr>
          <w:rFonts w:ascii="Times New Roman;Times;serif" w:hAnsi="Times New Roman;Times;serif"/>
          <w:b/>
          <w:i/>
          <w:sz w:val="20"/>
        </w:rPr>
      </w:pPr>
      <w:r>
        <w:rPr>
          <w:rFonts w:ascii="Times New Roman;Times;serif" w:hAnsi="Times New Roman;Times;serif"/>
          <w:b/>
          <w:i/>
          <w:sz w:val="20"/>
        </w:rPr>
        <w:t>As a condition of approval, the FDA may require that we implement various post-marketing requirements and conduct post-marketing studies, any of which would require a substantial investment of time, effort, and money, and which may limit our commercial prospects.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As a condition of biologic licensing, the FDA is authorized to require that sponsors of approved BLAs implement various post-market requirements, including REMS and Phase 4 studies. For example, we reached an agreement with the FDA regarding a confirmatory trial to support full approval of lifileucel in post-anti-PD-1 advanced melanoma, which we refer to as TILVANCE-301. We began startup activities for the randomized Phase 3 TILVANCE-301 trial in the fourth quarter of 2022. If we receive approval of our product candidates, the FDA may determine that similar or additional post-approval requirements are necessary to ensure that our product candidates are safe, pure, and potent. To the extent that we are required to establish and implement any post-approval requirements, we will likely need to invest a significant amount of time, effort, and money. Such post-approval requirements may also limit the commercial prospects of our product candidates.</w:t>
      </w:r>
    </w:p>
    <w:p>
      <w:pPr>
        <w:pStyle w:val="TextBody"/>
        <w:spacing w:before="0" w:after="200"/>
        <w:ind w:left="0" w:right="0" w:firstLine="547"/>
        <w:rPr>
          <w:rFonts w:ascii="Times New Roman;Times;serif" w:hAnsi="Times New Roman;Times;serif"/>
          <w:b/>
          <w:i/>
          <w:sz w:val="20"/>
        </w:rPr>
      </w:pPr>
      <w:r>
        <w:rPr>
          <w:rFonts w:ascii="Times New Roman;Times;serif" w:hAnsi="Times New Roman;Times;serif"/>
          <w:b/>
          <w:i/>
          <w:sz w:val="20"/>
        </w:rPr>
        <w:t>We may be unable to establish effective marketing and sales capabilities or enter into agreements with third parties to market and sell our product candidates, if they are approved, and as a result, we may be unable to generate product revenues.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We currently have a small commercial team focused on our commercial strategy, but we do not have a commercial infrastructure for the marketing, sale, and distribution of biopharmaceutical products. If approved, in order to commercialize our products, we must build our marketing, sales, and distribution capabilities or make arrangements with third parties to perform these services, which will take time and require significant financial expenditures and we may not be successful in doing so. Even if we are able to effectively establish a sales force and develop a marketing and sales infrastructure, our sales force and marketing teams may not be successful in commercializing our current or future product candidates. To the extent we rely on third parties to commercialize any products for which we obtain regulatory approval, we would have less control over their sales efforts, and could be held liable if they failed to comply with applicable legal or regulatory requirements.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We have no prior experience in the marketing, sale, and distribution of biopharmaceutical products, and there are significant risks involved in the building and managing of a commercial infrastructure. The establishment and development of commercial capabilities, including a comprehensive healthcare compliance program, to market any products we may develop will be expensive and time consuming and could delay any product launch, and we may not be able to successfully develop this capability. We, or our collaborators, will have to compete with other pharmaceutical and biotechnology companies to recruit, hire, train, manage, and retain marketing, sales and commercial support personnel. In the event we are unable to develop a commercial infrastructure, we may not be able to commercialize our current or future product candidates, which would limit our ability to generate product revenues. Factors that may inhibit our efforts to commercialize our current or future product candidates and generate product revenues include:</w:t>
      </w:r>
    </w:p>
    <w:p>
      <w:pPr>
        <w:pStyle w:val="TextBody"/>
        <w:spacing w:before="0" w:after="0"/>
        <w:ind w:left="547" w:right="0" w:hanging="0"/>
        <w:rPr/>
      </w:pPr>
      <w:r>
        <w:rPr/>
        <w:t>●</w:t>
      </w:r>
      <w:r>
        <w:rPr>
          <w:rFonts w:ascii="Times New Roman;Times;serif" w:hAnsi="Times New Roman;Times;serif"/>
          <w:sz w:val="20"/>
        </w:rPr>
        <w:t>if the COVID-19 pandemic continues or reoccurs it may negatively impact our ability to establish commercial operations, educate and interact with healthcare professionals, and successfully launch our product on a timely basis;</w:t>
      </w:r>
    </w:p>
    <w:p>
      <w:pPr>
        <w:pStyle w:val="TextBody"/>
        <w:spacing w:before="0" w:after="0"/>
        <w:ind w:left="547" w:right="0" w:hanging="0"/>
        <w:rPr/>
      </w:pPr>
      <w:r>
        <w:rPr/>
        <w:t>●</w:t>
      </w:r>
      <w:r>
        <w:rPr>
          <w:rFonts w:ascii="Times New Roman;Times;serif" w:hAnsi="Times New Roman;Times;serif"/>
          <w:sz w:val="20"/>
        </w:rPr>
        <w:t>the inability of sales personnel to obtain access to physicians or persuade adequate numbers of physicians to prescribe our current or future product candidates;</w:t>
      </w:r>
    </w:p>
    <w:p>
      <w:pPr>
        <w:pStyle w:val="TextBody"/>
        <w:spacing w:before="0" w:after="0"/>
        <w:ind w:left="547" w:right="0" w:hanging="0"/>
        <w:rPr/>
      </w:pPr>
      <w:r>
        <w:rPr/>
        <w:t>●</w:t>
      </w:r>
      <w:r>
        <w:rPr>
          <w:rFonts w:ascii="Times New Roman;Times;serif" w:hAnsi="Times New Roman;Times;serif"/>
          <w:sz w:val="20"/>
        </w:rPr>
        <w:t>our inability to effectively oversee a geographically dispersed sales and marketing team;</w:t>
      </w:r>
    </w:p>
    <w:p>
      <w:pPr>
        <w:pStyle w:val="TextBody"/>
        <w:spacing w:before="0" w:after="0"/>
        <w:ind w:left="547" w:right="0" w:hanging="0"/>
        <w:rPr/>
      </w:pPr>
      <w:r>
        <w:rPr/>
        <w:t>●</w:t>
      </w:r>
      <w:r>
        <w:rPr>
          <w:rFonts w:ascii="Times New Roman;Times;serif" w:hAnsi="Times New Roman;Times;serif"/>
          <w:sz w:val="20"/>
        </w:rPr>
        <w:t>the costs and time associated with the initial and ongoing training of sales and marketing personnel on legal and regulatory compliance matters and monitoring their actions;</w:t>
      </w:r>
    </w:p>
    <w:p>
      <w:pPr>
        <w:pStyle w:val="TextBody"/>
        <w:spacing w:before="0" w:after="0"/>
        <w:ind w:left="547" w:right="0" w:hanging="0"/>
        <w:rPr/>
      </w:pPr>
      <w:r>
        <w:rPr/>
        <w:t>●</w:t>
      </w:r>
      <w:r>
        <w:rPr>
          <w:rFonts w:ascii="Times New Roman;Times;serif" w:hAnsi="Times New Roman;Times;serif"/>
          <w:sz w:val="20"/>
        </w:rPr>
        <w:t>an inability to secure adequate coverage and reimbursement by government and private health plans;</w:t>
      </w:r>
    </w:p>
    <w:p>
      <w:pPr>
        <w:pStyle w:val="TextBody"/>
        <w:spacing w:before="0" w:after="0"/>
        <w:ind w:left="547" w:right="0" w:hanging="0"/>
        <w:rPr/>
      </w:pPr>
      <w:r>
        <w:rPr/>
        <w:t>●</w:t>
      </w:r>
      <w:r>
        <w:rPr>
          <w:rFonts w:ascii="Times New Roman;Times;serif" w:hAnsi="Times New Roman;Times;serif"/>
          <w:sz w:val="20"/>
        </w:rPr>
        <w:t>the clinical indications for which the products are approved and the claims that we may make for the products;</w:t>
      </w:r>
    </w:p>
    <w:p>
      <w:pPr>
        <w:pStyle w:val="TextBody"/>
        <w:spacing w:before="0" w:after="0"/>
        <w:ind w:left="547" w:right="0" w:hanging="0"/>
        <w:rPr/>
      </w:pPr>
      <w:r>
        <w:rPr/>
        <w:t>●</w:t>
      </w:r>
      <w:r>
        <w:rPr>
          <w:rFonts w:ascii="Times New Roman;Times;serif" w:hAnsi="Times New Roman;Times;serif"/>
          <w:sz w:val="20"/>
        </w:rPr>
        <w:t>limitations or warnings, including distribution or use restrictions, contained in the products’ approved labeling;</w:t>
      </w:r>
    </w:p>
    <w:p>
      <w:pPr>
        <w:pStyle w:val="TextBody"/>
        <w:spacing w:before="0" w:after="0"/>
        <w:ind w:left="547" w:right="0" w:hanging="0"/>
        <w:rPr/>
      </w:pPr>
      <w:r>
        <w:rPr/>
        <w:t>●</w:t>
      </w:r>
      <w:r>
        <w:rPr>
          <w:rFonts w:ascii="Times New Roman;Times;serif" w:hAnsi="Times New Roman;Times;serif"/>
          <w:sz w:val="20"/>
        </w:rPr>
        <w:t>any distribution and use restrictions imposed by the FDA or to which we agree as part of a mandatory REMS or voluntary risk management plan;</w:t>
      </w:r>
    </w:p>
    <w:p>
      <w:pPr>
        <w:pStyle w:val="TextBody"/>
        <w:spacing w:before="0" w:after="0"/>
        <w:ind w:left="547" w:right="0" w:hanging="0"/>
        <w:rPr/>
      </w:pPr>
      <w:r>
        <w:rPr/>
        <w:t>●</w:t>
      </w:r>
      <w:r>
        <w:rPr>
          <w:rFonts w:ascii="Times New Roman;Times;serif" w:hAnsi="Times New Roman;Times;serif"/>
          <w:sz w:val="20"/>
        </w:rPr>
        <w:t>liability for sales or marketing personnel who fail to comply with the applicable legal and regulatory requirements;</w:t>
      </w:r>
    </w:p>
    <w:p>
      <w:pPr>
        <w:pStyle w:val="TextBody"/>
        <w:spacing w:before="0" w:after="0"/>
        <w:ind w:left="547" w:right="0" w:hanging="0"/>
        <w:rPr/>
      </w:pPr>
      <w:r>
        <w:rPr/>
        <w:t>●</w:t>
      </w:r>
      <w:r>
        <w:rPr>
          <w:rFonts w:ascii="Times New Roman;Times;serif" w:hAnsi="Times New Roman;Times;serif"/>
          <w:sz w:val="20"/>
        </w:rPr>
        <w:t>the lack of complementary products to be offered by sales personnel, which may put us at a competitive disadvantage relative to companies with more extensive product lines; and</w:t>
      </w:r>
    </w:p>
    <w:p>
      <w:pPr>
        <w:pStyle w:val="TextBody"/>
        <w:ind w:left="547" w:right="0" w:hanging="0"/>
        <w:rPr/>
      </w:pPr>
      <w:r>
        <w:rPr/>
        <w:t>●</w:t>
      </w:r>
      <w:r>
        <w:rPr>
          <w:rFonts w:ascii="Times New Roman;Times;serif" w:hAnsi="Times New Roman;Times;serif"/>
          <w:sz w:val="20"/>
        </w:rPr>
        <w:t>unforeseen costs and expenses associated with creating an independent sales and marketing organization or engaging a contract sales organization.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547"/>
        <w:rPr>
          <w:rFonts w:ascii="Times New Roman;Times;serif" w:hAnsi="Times New Roman;Times;serif"/>
          <w:b/>
          <w:i/>
          <w:sz w:val="20"/>
        </w:rPr>
      </w:pPr>
      <w:r>
        <w:rPr>
          <w:rFonts w:ascii="Times New Roman;Times;serif" w:hAnsi="Times New Roman;Times;serif"/>
          <w:b/>
          <w:i/>
          <w:sz w:val="20"/>
        </w:rPr>
        <w:t>If our product candidates do not achieve broad market acceptance, the revenues that we generate from their sales will be limited.</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 for which we obtain regulatory approval does not gain an adequate level of market acceptance, we may not generate significant product revenues or become profitable. Market acceptance of our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Efforts to educate the medical community and third-party payors on the benefits of our product candidates may require significant resources and may not be successful. If any of our product candidates is approved but does not achieve an adequate level of market acceptance, we may not generate significant revenues and we may not become profitable. The degree of market acceptance of any of our product candidates will depend on a number of factors, including:</w:t>
      </w:r>
    </w:p>
    <w:p>
      <w:pPr>
        <w:pStyle w:val="TextBody"/>
        <w:spacing w:before="0" w:after="0"/>
        <w:ind w:left="547" w:right="0" w:hanging="0"/>
        <w:rPr/>
      </w:pPr>
      <w:r>
        <w:rPr/>
        <w:t>●</w:t>
      </w:r>
      <w:r>
        <w:rPr>
          <w:rFonts w:ascii="Times New Roman;Times;serif" w:hAnsi="Times New Roman;Times;serif"/>
          <w:sz w:val="20"/>
        </w:rPr>
        <w:t>the efficacy of our product candidates;</w:t>
      </w:r>
    </w:p>
    <w:p>
      <w:pPr>
        <w:pStyle w:val="TextBody"/>
        <w:spacing w:before="0" w:after="0"/>
        <w:ind w:left="547" w:right="0" w:hanging="0"/>
        <w:rPr/>
      </w:pPr>
      <w:r>
        <w:rPr/>
        <w:t>●</w:t>
      </w:r>
      <w:r>
        <w:rPr>
          <w:rFonts w:ascii="Times New Roman;Times;serif" w:hAnsi="Times New Roman;Times;serif"/>
          <w:sz w:val="20"/>
        </w:rPr>
        <w:t>the prevalence and severity of adverse events associated with such product candidates;</w:t>
      </w:r>
    </w:p>
    <w:p>
      <w:pPr>
        <w:pStyle w:val="TextBody"/>
        <w:spacing w:before="0" w:after="0"/>
        <w:ind w:left="547" w:right="0" w:hanging="0"/>
        <w:rPr/>
      </w:pPr>
      <w:r>
        <w:rPr/>
        <w:t>●</w:t>
      </w:r>
      <w:r>
        <w:rPr>
          <w:rFonts w:ascii="Times New Roman;Times;serif" w:hAnsi="Times New Roman;Times;serif"/>
          <w:sz w:val="20"/>
        </w:rPr>
        <w:t>the clinical indications for which the products are approved and the approved claims that we may make for the products;</w:t>
      </w:r>
    </w:p>
    <w:p>
      <w:pPr>
        <w:pStyle w:val="TextBody"/>
        <w:spacing w:before="0" w:after="0"/>
        <w:ind w:left="547" w:right="0" w:hanging="0"/>
        <w:rPr/>
      </w:pPr>
      <w:r>
        <w:rPr/>
        <w:t>●</w:t>
      </w:r>
      <w:r>
        <w:rPr>
          <w:rFonts w:ascii="Times New Roman;Times;serif" w:hAnsi="Times New Roman;Times;serif"/>
          <w:sz w:val="20"/>
        </w:rPr>
        <w:t>limitations or warnings contained in the approved product’s FDA-required labeling, including potential limitations or warnings for such products that may be more restrictive than other competitive products;</w:t>
      </w:r>
    </w:p>
    <w:p>
      <w:pPr>
        <w:pStyle w:val="TextBody"/>
        <w:spacing w:before="0" w:after="0"/>
        <w:ind w:left="547" w:right="0" w:hanging="0"/>
        <w:rPr/>
      </w:pPr>
      <w:r>
        <w:rPr/>
        <w:t>●</w:t>
      </w:r>
      <w:r>
        <w:rPr>
          <w:rFonts w:ascii="Times New Roman;Times;serif" w:hAnsi="Times New Roman;Times;serif"/>
          <w:sz w:val="20"/>
        </w:rPr>
        <w:t>changes in the standard of care for the targeted indications for such product candidates;</w:t>
      </w:r>
    </w:p>
    <w:p>
      <w:pPr>
        <w:pStyle w:val="TextBody"/>
        <w:spacing w:before="0" w:after="0"/>
        <w:ind w:left="547" w:right="0" w:hanging="0"/>
        <w:rPr/>
      </w:pPr>
      <w:r>
        <w:rPr/>
        <w:t>●</w:t>
      </w:r>
      <w:r>
        <w:rPr>
          <w:rFonts w:ascii="Times New Roman;Times;serif" w:hAnsi="Times New Roman;Times;serif"/>
          <w:sz w:val="20"/>
        </w:rPr>
        <w:t>the relative difficulty of administration of such product candidates;</w:t>
      </w:r>
    </w:p>
    <w:p>
      <w:pPr>
        <w:pStyle w:val="TextBody"/>
        <w:spacing w:before="0" w:after="0"/>
        <w:ind w:left="547" w:right="0" w:hanging="0"/>
        <w:rPr/>
      </w:pPr>
      <w:r>
        <w:rPr/>
        <w:t>●</w:t>
      </w:r>
      <w:r>
        <w:rPr>
          <w:rFonts w:ascii="Times New Roman;Times;serif" w:hAnsi="Times New Roman;Times;serif"/>
          <w:sz w:val="20"/>
        </w:rPr>
        <w:t>cost of treatment versus economic and clinical benefit in relation to alternative treatments or therapies;</w:t>
      </w:r>
    </w:p>
    <w:p>
      <w:pPr>
        <w:pStyle w:val="TextBody"/>
        <w:spacing w:before="0" w:after="0"/>
        <w:ind w:left="547" w:right="0" w:hanging="0"/>
        <w:rPr/>
      </w:pPr>
      <w:r>
        <w:rPr/>
        <w:t>●</w:t>
      </w:r>
      <w:r>
        <w:rPr>
          <w:rFonts w:ascii="Times New Roman;Times;serif" w:hAnsi="Times New Roman;Times;serif"/>
          <w:sz w:val="20"/>
        </w:rPr>
        <w:t>the availability of adequate coverage or reimbursement by third parties, such as insurance companies and other healthcare payors, and by government healthcare programs, including Medicare and Medicaid;</w:t>
      </w:r>
    </w:p>
    <w:p>
      <w:pPr>
        <w:pStyle w:val="TextBody"/>
        <w:spacing w:before="0" w:after="0"/>
        <w:ind w:left="547" w:right="0" w:hanging="0"/>
        <w:rPr/>
      </w:pPr>
      <w:r>
        <w:rPr/>
        <w:t>●</w:t>
      </w:r>
      <w:r>
        <w:rPr>
          <w:rFonts w:ascii="Times New Roman;Times;serif" w:hAnsi="Times New Roman;Times;serif"/>
          <w:sz w:val="20"/>
        </w:rPr>
        <w:t>the extent and strength of our marketing and distribution of such product candidates;</w:t>
      </w:r>
    </w:p>
    <w:p>
      <w:pPr>
        <w:pStyle w:val="TextBody"/>
        <w:spacing w:before="0" w:after="0"/>
        <w:ind w:left="547" w:right="0" w:hanging="0"/>
        <w:rPr/>
      </w:pPr>
      <w:r>
        <w:rPr/>
        <w:t>●</w:t>
      </w:r>
      <w:r>
        <w:rPr>
          <w:rFonts w:ascii="Times New Roman;Times;serif" w:hAnsi="Times New Roman;Times;serif"/>
          <w:sz w:val="20"/>
        </w:rPr>
        <w:t>the safety, efficacy, and other potential advantages over, and availability of, alternative treatments already used or that may later be approved for any of our intended indications;</w:t>
      </w:r>
    </w:p>
    <w:p>
      <w:pPr>
        <w:pStyle w:val="TextBody"/>
        <w:spacing w:before="0" w:after="0"/>
        <w:ind w:left="547" w:right="0" w:hanging="0"/>
        <w:rPr/>
      </w:pPr>
      <w:r>
        <w:rPr/>
        <w:t>●</w:t>
      </w:r>
      <w:r>
        <w:rPr>
          <w:rFonts w:ascii="Times New Roman;Times;serif" w:hAnsi="Times New Roman;Times;serif"/>
          <w:sz w:val="20"/>
        </w:rPr>
        <w:t>distribution and use restrictions imposed by the FDA with respect to such product candidates or to which we agree as part of a mandatory risk evaluation and mitigation strategy or voluntary risk management plan;</w:t>
      </w:r>
    </w:p>
    <w:p>
      <w:pPr>
        <w:pStyle w:val="TextBody"/>
        <w:spacing w:before="0" w:after="0"/>
        <w:ind w:left="547" w:right="0" w:hanging="0"/>
        <w:rPr/>
      </w:pPr>
      <w:r>
        <w:rPr/>
        <w:t>●</w:t>
      </w:r>
      <w:r>
        <w:rPr>
          <w:rFonts w:ascii="Times New Roman;Times;serif" w:hAnsi="Times New Roman;Times;serif"/>
          <w:sz w:val="20"/>
        </w:rPr>
        <w:t>the timing of market introduction of such product candidates, as well as competitive products;</w:t>
      </w:r>
    </w:p>
    <w:p>
      <w:pPr>
        <w:pStyle w:val="TextBody"/>
        <w:spacing w:before="0" w:after="0"/>
        <w:ind w:left="547" w:right="0" w:hanging="0"/>
        <w:rPr/>
      </w:pPr>
      <w:r>
        <w:rPr/>
        <w:t>●</w:t>
      </w:r>
      <w:r>
        <w:rPr>
          <w:rFonts w:ascii="Times New Roman;Times;serif" w:hAnsi="Times New Roman;Times;serif"/>
          <w:sz w:val="20"/>
        </w:rPr>
        <w:t>our ability to offer such product candidates for sale at competitive prices;</w:t>
      </w:r>
    </w:p>
    <w:p>
      <w:pPr>
        <w:pStyle w:val="TextBody"/>
        <w:spacing w:before="0" w:after="0"/>
        <w:ind w:left="547" w:right="0" w:hanging="0"/>
        <w:rPr/>
      </w:pPr>
      <w:r>
        <w:rPr/>
        <w:t>●</w:t>
      </w:r>
      <w:r>
        <w:rPr>
          <w:rFonts w:ascii="Times New Roman;Times;serif" w:hAnsi="Times New Roman;Times;serif"/>
          <w:sz w:val="20"/>
        </w:rPr>
        <w:t>the willingness of the target patient population to try new therapies and of physicians to prescribe these therapies;</w:t>
      </w:r>
    </w:p>
    <w:p>
      <w:pPr>
        <w:pStyle w:val="TextBody"/>
        <w:spacing w:before="0" w:after="0"/>
        <w:ind w:left="547" w:right="0" w:hanging="0"/>
        <w:rPr/>
      </w:pPr>
      <w:r>
        <w:rPr/>
        <w:t>●</w:t>
      </w:r>
      <w:r>
        <w:rPr>
          <w:rFonts w:ascii="Times New Roman;Times;serif" w:hAnsi="Times New Roman;Times;serif"/>
          <w:sz w:val="20"/>
        </w:rPr>
        <w:t>the extent and strength of our third-party manufacturer and supplier support;</w:t>
      </w:r>
    </w:p>
    <w:p>
      <w:pPr>
        <w:pStyle w:val="TextBody"/>
        <w:spacing w:before="0" w:after="0"/>
        <w:ind w:left="547" w:right="0" w:hanging="0"/>
        <w:rPr/>
      </w:pPr>
      <w:r>
        <w:rPr/>
        <w:t>●</w:t>
      </w:r>
      <w:r>
        <w:rPr>
          <w:rFonts w:ascii="Times New Roman;Times;serif" w:hAnsi="Times New Roman;Times;serif"/>
          <w:sz w:val="20"/>
        </w:rPr>
        <w:t>the approval of other new products for the same indications;</w:t>
      </w:r>
    </w:p>
    <w:p>
      <w:pPr>
        <w:pStyle w:val="TextBody"/>
        <w:spacing w:before="0" w:after="0"/>
        <w:ind w:left="547" w:right="0" w:hanging="0"/>
        <w:rPr/>
      </w:pPr>
      <w:r>
        <w:rPr/>
        <w:t>●</w:t>
      </w:r>
      <w:r>
        <w:rPr>
          <w:rFonts w:ascii="Times New Roman;Times;serif" w:hAnsi="Times New Roman;Times;serif"/>
          <w:sz w:val="20"/>
        </w:rPr>
        <w:t>adverse publicity about the product or favorable publicity about competitive products; and</w:t>
      </w:r>
    </w:p>
    <w:p>
      <w:pPr>
        <w:pStyle w:val="TextBody"/>
        <w:ind w:left="547" w:right="0" w:hanging="0"/>
        <w:rPr/>
      </w:pPr>
      <w:r>
        <w:rPr/>
        <w:t>●</w:t>
      </w:r>
      <w:r>
        <w:rPr>
          <w:rFonts w:ascii="Times New Roman;Times;serif" w:hAnsi="Times New Roman;Times;serif"/>
          <w:sz w:val="20"/>
        </w:rPr>
        <w:t>potential product liability claims.</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Our efforts to educate the medical community and third-party payors on the benefits of our product candidates may require significant resources and may never be successful. Even if the medical community accepts that our product candidates are safe and effective for their approved indications, physicians and patients may not immediately be receptive to such product candidates and may be slow to adopt them as an accepted treatment of the approved indications. If our current or future product candidates are approved but do not achieve an adequate level of acceptance among physicians, patients, and third-party payors, we may not generate meaningful revenues from our product candidates, and we may not become profitable.</w:t>
      </w:r>
    </w:p>
    <w:p>
      <w:pPr>
        <w:pStyle w:val="TextBody"/>
        <w:spacing w:before="0" w:after="200"/>
        <w:ind w:left="0" w:right="0" w:firstLine="540"/>
        <w:rPr>
          <w:rFonts w:ascii="Times New Roman;Times;serif" w:hAnsi="Times New Roman;Times;serif"/>
          <w:b/>
          <w:i/>
          <w:sz w:val="20"/>
        </w:rPr>
      </w:pPr>
      <w:r>
        <w:rPr>
          <w:rFonts w:ascii="Times New Roman;Times;serif" w:hAnsi="Times New Roman;Times;serif"/>
          <w:b/>
          <w:i/>
          <w:sz w:val="20"/>
        </w:rPr>
        <w:t>Our product candidates may face competition sooner than anticipated.</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The enactment of the BPCIA created an abbreviated pathway for the approval of biosimilar and interchangeable biological products. The abbreviated regulatory pathway establishes legal authority for the FDA to review and approve biosimilar biologics, including the possible designation of a biosimilar as “interchangeable” based on its similarity to an existing brand product. Under the BPCIA, the FDA cannot make an approval of an application for a biosimilar product effective until 12 years after the original branded product was approved under a BLA. Certain changes, however, and supplements to an approved BLA, and subsequent applications filed by the same sponsor, manufacturer, licensor, predecessor in interest, or other related entity do not qualify for the 12-year exclusivity period.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Our product candidates may qualify for the BPCIA’s 12-year period of exclusivity. However, there is a risk that the FDA will not consider our product candidates to be reference products for competing products, potentially creating the opportunity for biosimilar competition sooner than anticipated. Additionally, this period of regulatory exclusivity does not block companies pursuing regulatory approval via their own traditional BLA, rather than via the abbreviated pathway. Changes may also be made to this exclusivity period as a result of future legislation as there has been ongoing efforts to reduce the period of exclusivity. Even if we receive a period of BPCIA exclusivity for our first licensed product, if subsequent products do not include a modification to the structure of the product that impacts safety, purity, or potency, we may not receive additional periods of exclusivity for those products.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Medicare Part B encourages use of biosimilars by paying the provider the same percentage of the reference product, average sale price, or ASP as a mark-up, regardless of which product is reimbursed. It is also possible that payors will give reimbursement preference to biosimilars even over reference biologics absent a determination of interchangeability.</w:t>
      </w:r>
    </w:p>
    <w:p>
      <w:pPr>
        <w:pStyle w:val="TextBody"/>
        <w:spacing w:before="0" w:after="200"/>
        <w:ind w:left="0" w:right="0" w:firstLine="540"/>
        <w:rPr>
          <w:rFonts w:ascii="Times New Roman;Times;serif" w:hAnsi="Times New Roman;Times;serif"/>
          <w:b/>
          <w:i/>
          <w:sz w:val="20"/>
        </w:rPr>
      </w:pPr>
      <w:r>
        <w:rPr>
          <w:rFonts w:ascii="Times New Roman;Times;serif" w:hAnsi="Times New Roman;Times;serif"/>
          <w:b/>
          <w:i/>
          <w:sz w:val="20"/>
        </w:rPr>
        <w:t>We will need to obtain FDA approval of any proposed proprietary branded product names, and any failure or delay associated with such approval may adversely affect our business.</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proprietary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pStyle w:val="TextBody"/>
        <w:spacing w:before="0" w:after="200"/>
        <w:ind w:left="0" w:right="0" w:firstLine="540"/>
        <w:rPr>
          <w:rFonts w:ascii="Times New Roman;Times;serif" w:hAnsi="Times New Roman;Times;serif"/>
          <w:b/>
          <w:i/>
          <w:sz w:val="20"/>
        </w:rPr>
      </w:pPr>
      <w:r>
        <w:rPr>
          <w:rFonts w:ascii="Times New Roman;Times;serif" w:hAnsi="Times New Roman;Times;serif"/>
          <w:b/>
          <w:i/>
          <w:sz w:val="20"/>
        </w:rPr>
        <w:t>Our internal computer systems, or those used by our contract research organizations or other contractors or consultants, may fail or suffer security breaches.</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Despite the implementation of security measures, our internal computer systems and those of our contract research organizations and other contractors and consultants are vulnerable to damage from computer viruses, unauthorized and authorized access, natural disasters, terrorism, war and telecommunication and electrical failures. If such an event was to occur and cause interruptions in our operations, it could result in a disruption of our drug development programs. For example, the loss of clinical trial data from completed or ongoing clinical trials for a product candidate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the further development of any product candidates could be delayed.</w:t>
      </w:r>
    </w:p>
    <w:p>
      <w:pPr>
        <w:pStyle w:val="TextBody"/>
        <w:spacing w:before="0" w:after="200"/>
        <w:ind w:left="0" w:right="0" w:firstLine="540"/>
        <w:jc w:val="both"/>
        <w:rPr>
          <w:rFonts w:ascii="Times New Roman;Times;serif" w:hAnsi="Times New Roman;Times;serif"/>
          <w:b/>
          <w:i/>
          <w:sz w:val="20"/>
        </w:rPr>
      </w:pPr>
      <w:r>
        <w:rPr>
          <w:rFonts w:ascii="Times New Roman;Times;serif" w:hAnsi="Times New Roman;Times;serif"/>
          <w:b/>
          <w:i/>
          <w:sz w:val="20"/>
        </w:rPr>
        <w:t>We are dependent on information technology, systems, infrastructure and data.</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We are dependent upon information technology systems, infrastructure and data. The multitude and complexity of our computer systems make them inherently vulnerable to service interruption or destruction, malicious intrusion and random attack. Likewise, data privacy or cybersecurity breaches by third parties, employees, contractors or others may pose a risk that sensitive data, including our intellectual property, trade secrets or personal information of our employees, patients, or other business partners may be exposed to unauthorized persons or to the public. Cyberattacks are increasing in their frequency, sophistication and intensity. The Russia-Ukraine conflict may also increase cybersecurity risks on a global basis. Cyberattacks could include the deployment of harmful malware, denial-of-service, ransomware, social engineering and other means to affect service reliability and threaten data confidentiality, privacy, integrity and availability. Our business and technology partners face similar risks, and any security breach of their systems could adversely affect our security posture. While we have invested, and continue to invest, in the protection of our data and information technology infrastructure, there can be no assurance that our efforts, or the efforts of our partners and vendors, will prevent service interruptions, or identify breaches in our systems, that could adversely affect our business and operations and/or result in the loss of critical or sensitive information, which could result in financial, legal, business or reputational harm to us. In addition, our liability insurance may not be sufficient in type or amount to cover us against claims related to security breaches, cyberattacks and other cybersecurity related breaches.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547"/>
        <w:rPr>
          <w:rFonts w:ascii="Times New Roman;Times;serif" w:hAnsi="Times New Roman;Times;serif"/>
          <w:b/>
          <w:i/>
          <w:sz w:val="20"/>
        </w:rPr>
      </w:pPr>
      <w:r>
        <w:rPr>
          <w:rFonts w:ascii="Times New Roman;Times;serif" w:hAnsi="Times New Roman;Times;serif"/>
          <w:b/>
          <w:i/>
          <w:sz w:val="20"/>
        </w:rPr>
        <w:t>Our business could be adversely affected by the effects of health epidemics, including the continued spread of the COVID-19 pandemic, in regions where we or third parties on which we rely have significant manufacturing facilities, concentrations of clinical trial sites or other business operations. The COVID-19 pandemic could materially affect our operations, including at our headquarters in San Carlos, California, at our manufacturing facility in Philadelphia, Pennsylvania, and at our clinical trial sites, as well as the business or operations of our other manufacturers, CROs or other third parties with whom we conduct business.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Our business could be adversely affected by health epidemics in regions where we have offices, manufacturing facilities, concentrations of clinical trial sites or other business operations, and could cause significant disruption in the operations of clinical trial sites, third party manufacturers and CROs upon whom we rely. For example, starting in December 2019, a novel strain of coronavirus (“COVID-19”) was reported to have surfaced in Wuhan, China and has spread to multiple countries, including the U.S. and several European countries. In March 2020, the World Health Organization declared COVID-19 a global pandemic and the U.S. declared the COVID-19 pandemic a national emergency. Similarly, during that time, the State of California declared a state of emergency related to the spread of the COVID-19 pandemic and the health officers of six San Francisco Bay Area counties, including San Mateo County where our headquarters in San Carlos is located, issued shelter-in-place orders. In addition, on March 19, 2020, the Governor of California and the State Public Health Officer and Director of the California Department of Public Health ordered all individuals living in the State of California to stay at their place of residence for an indefinite period of time (subject to certain exceptions to facilitate authorized necessary activities) to mitigate the impact of the COVID-19 pandemic. Throughout 2020 and 2021, similar executive orders were issued by state and local governments, and states of emergency had been declared at the state and local level in most jurisdictions throughout the U.S. As recently as April 2022, ports and airports in Shanghai, China have been closed due to another outbreak of COVID-19, resulting in a lockdown of the city and disruption to export and import activities. In the U.S., many of these executive orders have been rescinded, however, the Company remains vigilant and continues to monitor the ongoing COVID-19 pandemic closely to determine if additional actions are required.</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Quarantines, shelter-in-place and similar government orders, or the perception that such orders, shutdowns or other restrictions on the conduct of business operations could occur, related to the COVID-19 pandemic or other infectious diseases could impact personnel at third-party manufacturing facilities in the U.S. and other countries, or the availability or cost of materials, which would disrupt our supply chain. In addition, our clinical trials may be affected by the COVID-19 pandemic. Clinical site initiation, patient enrollment and patient monitoring may be delayed due to prioritization of hospital resources toward the COVID-19 pandemic. Some sites may no longer be available to see patients for clinical trials. Some patients may not be able to comply with clinical trial protocols if quarantines impede patient movement or interrupt healthcare services. Patients may also miss follow-up visits after receiving our therapies during our clinical trials, which may or may not be rectified by future patient visits and which may result in the exclusion of data from such patients from the clinical trial data. Similarly, our ability to recruit and retain patients and principal investigators and site staff who, as healthcare providers, may have heightened exposure to the virus that causes the COVID-19 pandemic and adversely impact our clinical trial operations. The COVID-19 pandemic may also affect our ability to recruit treatment-naïve patients into our clinical trials, because those patients may be more likely to seek standard of care therapies available at local treatment centers rather than enroll in a clinical trial at a larger hospital.</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We continue to monitor the impact, if any, of the COVID-19 pandemic on our current and future operations, including our regulatory filing timelines and strategy as well as our preparation for commercial launch. Despite the wide-spread availability of COVID-19 vaccines, it is unclear the extent to which the COVID-19 pandemic (including future variants) will impact our business, results of operations, financial condition and our future strategic plans as future developments of the outbreak are highly uncertain and cannot be predicted. New information is constantly emerging concerning the severity of COVID-19 and the actions to contain COVID-19 or treat its impact, among others. As the COVID-19 pandemic continues for an extended period of time, and with travel, face to face interactions, and resources are not allowed or are severely limited, either by us or our contractors, including our CMOs, our regulatory strategy, or commercial launch preparations may be negatively impacted. The COVID-19 pandemic may also impact the FDA and their ability to timely review our regulatory filings and conduct the pre-approval inspections necessary for ultimate approval of BLA. We cannot predict at this time whether and how FDA operations may be impacted at relevant times for our planned regulatory submissions.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547"/>
        <w:rPr>
          <w:rFonts w:ascii="Times New Roman;Times;serif" w:hAnsi="Times New Roman;Times;serif"/>
          <w:b/>
          <w:i/>
          <w:sz w:val="20"/>
        </w:rPr>
      </w:pPr>
      <w:r>
        <w:rPr>
          <w:rFonts w:ascii="Times New Roman;Times;serif" w:hAnsi="Times New Roman;Times;serif"/>
          <w:b/>
          <w:i/>
          <w:sz w:val="20"/>
        </w:rPr>
        <w:t>Our failure to comply with international data protection laws and regulations could lead to government enforcement actions and significant penalties against us, and adversely impact our operating results.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 xml:space="preserve">European Union, or EU, member states and other foreign jurisdictions, including Switzerland, the United Kingdom and Canada, have adopted data protection laws and regulations which impose significant compliance obligations on us. Moreover, the collection and use of personal health data in the EU, which was formerly governed by the provisions of the EU Data Protection Directive, was replaced with the EU General Data Protection Regulation, or the GDPR, in May 2018.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The implementation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If we fail to comply with the data protection laws in any EU member country or other jurisdiction, the data protection authority of such country or other jurisdiction may, in addition to fines, impose sanctions on us, which may include a prohibition that prevents us from transferring and/or processing personal data of data subjects from such country or other jurisdiction for a duration determined by the sanctioning authority. Our inability to transfer and/or process personal data of data subjects could preclude us from conducting clinical trials of our products in the EU member country or other jurisdiction for the duration of the sanction. Our inability to conduct clinical trials in the EU member country or other jurisdiction for the duration of the sanction may delay and increase the cost of development of our products, with a material adverse effect on our business. In this regard, we expect that there will continue to be new proposed laws, regulations and industry standards relating to privacy and data protection in the U.S., the EU and other jurisdictions, and we cannot determine the impact such future laws, regulations and standards may have on our business.</w:t>
      </w:r>
    </w:p>
    <w:p>
      <w:pPr>
        <w:pStyle w:val="TextBody"/>
        <w:spacing w:before="0" w:after="200"/>
        <w:ind w:left="0" w:right="0" w:firstLine="547"/>
        <w:jc w:val="both"/>
        <w:rPr>
          <w:rFonts w:ascii="Times New Roman;Times;serif" w:hAnsi="Times New Roman;Times;serif"/>
          <w:b/>
          <w:i/>
          <w:sz w:val="20"/>
        </w:rPr>
      </w:pPr>
      <w:r>
        <w:rPr>
          <w:rFonts w:ascii="Times New Roman;Times;serif" w:hAnsi="Times New Roman;Times;serif"/>
          <w:b/>
          <w:i/>
          <w:sz w:val="20"/>
        </w:rPr>
        <w:t>Our failure to comply with state and/or national data protection laws and regulations could lead to government enforcement actions and significant penalties against us, and adversely impact our operating results.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 xml:space="preserve">There are numerous other laws and legislative and regulatory initiatives at the federal and state levels addressing privacy and security concerns, and some state privacy laws apply more broadly than the Health Insurance Portability and Accountability Act, or HIPAA, and associated regulations. For example, California recently enacted legislation, the California Consumer Privacy Act, or CCPA, which went into effect January 1, 2020, and was recently amended and expanded by the California Privacy Rights Act, or CPRA, which will take effect on January 1, 2023. The CCPA and CPRA, among other things, create new data privacy obligations for covered companies and provides new privacy rights to California residents, including the right to opt out of certain disclosures of their information. The CCPA also created a private right of action with statutory damages for certain data breaches, thereby potentially increasing risks associated with a data breach. </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 xml:space="preserve">Although the law includes limited exceptions, including for certain information collected as part of clinical trials as specified in the law, it may regulate or impact our processing of personal information depending on the context. It remains unclear what, if any, additional modifications will be made to the CPRA by the California legislature or how it will be interpreted. Therefore, the effects of the CCPA and CPRA are significant and will likely require us to modify our data processing practices and may cause us to incur substantial costs and expenses to comply. </w:t>
      </w:r>
    </w:p>
    <w:p>
      <w:pPr>
        <w:pStyle w:val="TextBody"/>
        <w:spacing w:before="0" w:after="200"/>
        <w:ind w:left="0" w:right="0" w:firstLine="547"/>
        <w:rPr>
          <w:rFonts w:ascii="Times New Roman;Times;serif" w:hAnsi="Times New Roman;Times;serif"/>
          <w:b/>
          <w:i/>
          <w:sz w:val="20"/>
        </w:rPr>
      </w:pPr>
      <w:r>
        <w:rPr>
          <w:rFonts w:ascii="Times New Roman;Times;serif" w:hAnsi="Times New Roman;Times;serif"/>
          <w:b/>
          <w:i/>
          <w:sz w:val="20"/>
        </w:rPr>
        <w:t>We will need to grow the size and capabilities of our organization, and we may experience difficulties in managing this growth.</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 xml:space="preserve">Our operations are dependent upon the services of our executives and our employees who are engaged in research and development. The loss of the services of our executive officers or senior research personnel could delay our product development programs and our research and development efforts. In order to develop our business in accordance with our business plan, we will have to hire additional qualified personnel, including in the areas of research, manufacturing, clinical trials management, regulatory affairs, and sales and marketing. We are continuing our efforts to recruit and hire the necessary employees to support our planned operations in the near term.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For example, we continue to recruit for a new Chief Executive Officer. However, competition for qualified employees among companies in the biotechnology and biopharmaceutical industry is intense, and no assurance can be given that we will be able attract, hire, retain and motivate the highly skilled employees that we need. Future growth will impose significant added responsibilities on members of management, including:</w:t>
      </w:r>
    </w:p>
    <w:p>
      <w:pPr>
        <w:pStyle w:val="TextBody"/>
        <w:spacing w:before="0" w:after="0"/>
        <w:ind w:left="547" w:right="0" w:hanging="0"/>
        <w:rPr/>
      </w:pPr>
      <w:r>
        <w:rPr/>
        <w:t>●</w:t>
      </w:r>
      <w:r>
        <w:rPr>
          <w:rFonts w:ascii="Times New Roman;Times;serif" w:hAnsi="Times New Roman;Times;serif"/>
          <w:sz w:val="20"/>
        </w:rPr>
        <w:t>identifying, recruiting, integrating, maintaining, and motivating additional employees;</w:t>
      </w:r>
    </w:p>
    <w:p>
      <w:pPr>
        <w:pStyle w:val="TextBody"/>
        <w:spacing w:before="0" w:after="0"/>
        <w:ind w:left="547" w:right="0" w:hanging="0"/>
        <w:rPr/>
      </w:pPr>
      <w:r>
        <w:rPr/>
        <w:t>●</w:t>
      </w:r>
      <w:r>
        <w:rPr>
          <w:rFonts w:ascii="Times New Roman;Times;serif" w:hAnsi="Times New Roman;Times;serif"/>
          <w:sz w:val="20"/>
        </w:rPr>
        <w:t>managing our internal development efforts effectively, including the clinical and FDA review process for our product candidates, while complying with our contractual obligations to contractors and other third parties; and</w:t>
      </w:r>
    </w:p>
    <w:p>
      <w:pPr>
        <w:pStyle w:val="TextBody"/>
        <w:ind w:left="547" w:right="0" w:hanging="0"/>
        <w:rPr/>
      </w:pPr>
      <w:r>
        <w:rPr/>
        <w:t>●</w:t>
      </w:r>
      <w:r>
        <w:rPr>
          <w:rFonts w:ascii="Times New Roman;Times;serif" w:hAnsi="Times New Roman;Times;serif"/>
          <w:sz w:val="20"/>
        </w:rPr>
        <w:t>improving our operational, financial and management controls, reporting systems, and procedures.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compliance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 on a timely basis, or at all.</w:t>
      </w:r>
    </w:p>
    <w:p>
      <w:pPr>
        <w:pStyle w:val="TextBody"/>
        <w:spacing w:before="0" w:after="200"/>
        <w:ind w:left="0" w:right="0" w:firstLine="547"/>
        <w:rPr>
          <w:rFonts w:ascii="Times New Roman;Times;serif" w:hAnsi="Times New Roman;Times;serif"/>
          <w:b/>
          <w:i/>
          <w:sz w:val="20"/>
        </w:rPr>
      </w:pPr>
      <w:r>
        <w:rPr>
          <w:rFonts w:ascii="Times New Roman;Times;serif" w:hAnsi="Times New Roman;Times;serif"/>
          <w:b/>
          <w:i/>
          <w:sz w:val="20"/>
        </w:rPr>
        <w:t>If we engage in future acquisitions or strategic partnerships, this may increase our capital requirements, dilute our stockholders, cause us to incur debt or assume contingent liabilities, and subject us to other risks.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pStyle w:val="TextBody"/>
        <w:spacing w:before="0" w:after="0"/>
        <w:ind w:left="547" w:right="0" w:hanging="0"/>
        <w:rPr/>
      </w:pPr>
      <w:r>
        <w:rPr/>
        <w:t>●</w:t>
      </w:r>
      <w:r>
        <w:rPr>
          <w:rFonts w:ascii="Times New Roman;Times;serif" w:hAnsi="Times New Roman;Times;serif"/>
          <w:sz w:val="20"/>
        </w:rPr>
        <w:t>increased operating expenses and cash requirements;</w:t>
      </w:r>
    </w:p>
    <w:p>
      <w:pPr>
        <w:pStyle w:val="TextBody"/>
        <w:spacing w:before="0" w:after="0"/>
        <w:ind w:left="547" w:right="0" w:hanging="0"/>
        <w:rPr/>
      </w:pPr>
      <w:r>
        <w:rPr/>
        <w:t>●</w:t>
      </w:r>
      <w:r>
        <w:rPr>
          <w:rFonts w:ascii="Times New Roman;Times;serif" w:hAnsi="Times New Roman;Times;serif"/>
          <w:sz w:val="20"/>
        </w:rPr>
        <w:t>the assumption of additional indebtedness or contingent liabilities;</w:t>
      </w:r>
    </w:p>
    <w:p>
      <w:pPr>
        <w:pStyle w:val="TextBody"/>
        <w:spacing w:before="0" w:after="0"/>
        <w:ind w:left="547" w:right="0" w:hanging="0"/>
        <w:rPr/>
      </w:pPr>
      <w:r>
        <w:rPr/>
        <w:t>●</w:t>
      </w:r>
      <w:r>
        <w:rPr>
          <w:rFonts w:ascii="Times New Roman;Times;serif" w:hAnsi="Times New Roman;Times;serif"/>
          <w:sz w:val="20"/>
        </w:rPr>
        <w:t>the issuance of our equity securities;</w:t>
      </w:r>
    </w:p>
    <w:p>
      <w:pPr>
        <w:pStyle w:val="TextBody"/>
        <w:spacing w:before="0" w:after="0"/>
        <w:ind w:left="547" w:right="0" w:hanging="0"/>
        <w:rPr/>
      </w:pPr>
      <w:r>
        <w:rPr/>
        <w:t>●</w:t>
      </w:r>
      <w:r>
        <w:rPr>
          <w:rFonts w:ascii="Times New Roman;Times;serif" w:hAnsi="Times New Roman;Times;serif"/>
          <w:sz w:val="20"/>
        </w:rPr>
        <w:t>assimilation of operations, intellectual property and products of an acquired company or product, including difficulties associated with integrating new personnel;</w:t>
      </w:r>
    </w:p>
    <w:p>
      <w:pPr>
        <w:pStyle w:val="TextBody"/>
        <w:spacing w:before="0" w:after="0"/>
        <w:ind w:left="547" w:right="0" w:hanging="0"/>
        <w:rPr/>
      </w:pPr>
      <w:r>
        <w:rPr/>
        <w:t>●</w:t>
      </w:r>
      <w:r>
        <w:rPr>
          <w:rFonts w:ascii="Times New Roman;Times;serif" w:hAnsi="Times New Roman;Times;serif"/>
          <w:sz w:val="20"/>
        </w:rPr>
        <w:t>the diversion of our management’s attention from our existing product programs and initiatives in pursuing such a strategic merger or acquisition;</w:t>
      </w:r>
    </w:p>
    <w:p>
      <w:pPr>
        <w:pStyle w:val="TextBody"/>
        <w:spacing w:before="0" w:after="0"/>
        <w:ind w:left="547" w:right="0" w:hanging="0"/>
        <w:rPr/>
      </w:pPr>
      <w:r>
        <w:rPr/>
        <w:t>●</w:t>
      </w:r>
      <w:r>
        <w:rPr>
          <w:rFonts w:ascii="Times New Roman;Times;serif" w:hAnsi="Times New Roman;Times;serif"/>
          <w:sz w:val="20"/>
        </w:rPr>
        <w:t>retention of key employees, the loss of key personnel, and uncertainties in our ability to maintain key business relationships;</w:t>
      </w:r>
    </w:p>
    <w:p>
      <w:pPr>
        <w:pStyle w:val="TextBody"/>
        <w:spacing w:before="0" w:after="0"/>
        <w:ind w:left="547" w:right="0" w:hanging="0"/>
        <w:rPr/>
      </w:pPr>
      <w:r>
        <w:rPr/>
        <w:t>●</w:t>
      </w:r>
      <w:r>
        <w:rPr>
          <w:rFonts w:ascii="Times New Roman;Times;serif" w:hAnsi="Times New Roman;Times;serif"/>
          <w:sz w:val="20"/>
        </w:rPr>
        <w:t>risks and uncertainties associated with the other party to such a transaction, including the prospects of that party and their existing products or product candidates and regulatory approvals; and</w:t>
      </w:r>
    </w:p>
    <w:p>
      <w:pPr>
        <w:pStyle w:val="TextBody"/>
        <w:ind w:left="547" w:right="0" w:hanging="0"/>
        <w:rPr/>
      </w:pPr>
      <w:r>
        <w:rPr/>
        <w:t>●</w:t>
      </w:r>
      <w:r>
        <w:rPr>
          <w:rFonts w:ascii="Times New Roman;Times;serif" w:hAnsi="Times New Roman;Times;serif"/>
          <w:sz w:val="20"/>
        </w:rPr>
        <w:t>our inability to generate revenue from acquired technology and/or products sufficient to meet our objectives in undertaking the acquisition or even to offset the associated acquisition and maintenance costs.</w:t>
      </w:r>
    </w:p>
    <w:p>
      <w:pPr>
        <w:pStyle w:val="TextBody"/>
        <w:spacing w:before="0" w:after="0"/>
        <w:ind w:left="0" w:right="0" w:firstLine="540"/>
        <w:rPr>
          <w:rFonts w:ascii="Times New Roman;Times;serif" w:hAnsi="Times New Roman;Times;serif"/>
          <w:sz w:val="20"/>
        </w:rPr>
      </w:pPr>
      <w:r>
        <w:rPr>
          <w:rFonts w:ascii="Times New Roman;Times;serif" w:hAnsi="Times New Roman;Times;serif"/>
          <w:sz w:val="20"/>
        </w:rPr>
        <w:t xml:space="preserve">Depending on the size and nature of future strategic acquisitions, we may acquire assets or businesses that require us to raise additional capital or to operate or manage businesses in which we have limited experience. Making larger acquisitions that require us to raise additional capital to fund the acquisition will expose us to the risks associated with capital raising activities. Acquiring and thereafter operating larger new businesses will also increase our management, operating and reporting costs and burdens. 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 In addition, even if we are able to pursue certain strategic acquisition opportunities,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such as the anticipated acquisition of Proleukin®, we cannot guarantee that such acquisitions may completed in a timely manner, if at all, or that all conditions necessary to consummate such transactions will be satisfied, including the receipt of all required regulatory approvals.</w:t>
      </w:r>
    </w:p>
    <w:p>
      <w:pPr>
        <w:pStyle w:val="TextBody"/>
        <w:spacing w:before="0" w:after="200"/>
        <w:ind w:left="0" w:right="0" w:firstLine="547"/>
        <w:rPr>
          <w:rFonts w:ascii="Times New Roman;Times;serif" w:hAnsi="Times New Roman;Times;serif"/>
          <w:sz w:val="20"/>
        </w:rPr>
      </w:pPr>
      <w:bookmarkStart w:id="924" w:name="_Hlk101204850"/>
      <w:bookmarkEnd w:id="924"/>
      <w:r>
        <w:rPr>
          <w:rFonts w:ascii="Times New Roman;Times;serif" w:hAnsi="Times New Roman;Times;serif"/>
          <w:b/>
          <w:i/>
          <w:sz w:val="20"/>
        </w:rPr>
        <w:t>We are currently operating in a period of economic uncertainty and capital markets disruption, which has been significantly impacted by geopolitical instability, an ongoing military conflict between Russia and Ukraine, and record inflation</w:t>
      </w:r>
      <w:r>
        <w:rPr>
          <w:rFonts w:ascii="Times New Roman;Times;serif" w:hAnsi="Times New Roman;Times;serif"/>
          <w:b/>
          <w:sz w:val="20"/>
        </w:rPr>
        <w:t>.</w:t>
      </w:r>
      <w:r>
        <w:rPr>
          <w:rFonts w:ascii="Times New Roman;Times;serif" w:hAnsi="Times New Roman;Times;serif"/>
          <w:sz w:val="20"/>
        </w:rPr>
        <w:t xml:space="preserve"> </w:t>
      </w:r>
      <w:r>
        <w:rPr>
          <w:rFonts w:ascii="Times New Roman;Times;serif" w:hAnsi="Times New Roman;Times;serif"/>
          <w:b/>
          <w:i/>
          <w:sz w:val="20"/>
        </w:rPr>
        <w:t>Our business, financial condition and results of operations could be materially adversely affected by any negative impact on the global economy and capital markets resulting from the conflict in Ukraine, geopolitical tensions or record inflation.</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U.S. and global markets are experiencing volatility and disruption following the escalation of geopolitical tensions and the start of the military conflict between Russia and Ukraine. On February 24, 2022, a full-scale military invasion of Ukraine by Russian troops was reported. Although the length and impact of the ongoing military conflict is highly unpredictable, the conflict in Ukraine could lead to market disruptions, including significant volatility in commodity prices, credit and capital markets, as well as supply chain interruptions, which has led to record inflation globally. We are continuing to monitor inflation, the situation in Ukraine and global capital markets and assessing the potential impacts on our business.</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The global economy has been, and may continue to be, negatively impacted by Russia’s invasion of Ukraine. As a result of Russia's invasion of Ukraine, the U.S., the European Union, the United Kingdom, and other G7 countries, among other countries, have imposed substantial financial and economic sanctions on certain industry sectors and parties in Russia. Broad restrictions on exports to Russia have also been imposed. These measures include: (i) comprehensive financial sanctions against major Russian banks; (ii) additional designations of Russian individuals with significant business interests and government connections; (iii) designations of individuals and entities involved in Russian military activities; and (iv) enhanced export controls and trade sanctions limiting Russia's ability to import various goods. Russian military actions and the resulting sanctions could continue to adversely affect the global economy and financial markets and lead to instability and lack of liquidity in capital markets, potentially making it more difficult for us to obtain additional funds. Further, there are current geopolitical tensions with China. Recently, the Biden administration has signed multiple executive orders regarding China. One particular executive order titled Advancing Biotechnology and Biomanufacturing Innovation for a Sustainable, Safe, and Secure American Bioeconomy signed on September 12, 2022 will likely impact the pharmaceutical industry to encourage U.S. domestic manufacturing of pharmaceutical products. Any additional executive orders or potential sanctions with China could materially impact our current manufacturing partners.</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Although our business has not been materially impacted by the ongoing military conflict between Russian and Ukraine, geopolitical tensions, or record inflation to date, it is impossible to predict the extent to which our operations, or those of our suppliers and manufacturers, will be impacted in the short and long term, or the ways in which the conflict may impact our business. The extent and duration of the conflict in Ukraine, geopolitical tensions, record inflation, sanctions and resulting market disruptions are impossible to predict, but could be substantial. Any such disruptions may also magnify the impact of other risks described herein.</w:t>
      </w:r>
    </w:p>
    <w:p>
      <w:pPr>
        <w:pStyle w:val="TextBody"/>
        <w:spacing w:before="0" w:after="200"/>
        <w:ind w:left="0" w:right="0" w:firstLine="540"/>
        <w:rPr>
          <w:rFonts w:ascii="Times New Roman;Times;serif" w:hAnsi="Times New Roman;Times;serif"/>
          <w:b/>
          <w:i/>
          <w:sz w:val="20"/>
        </w:rPr>
      </w:pPr>
      <w:r>
        <w:rPr>
          <w:rFonts w:ascii="Times New Roman;Times;serif" w:hAnsi="Times New Roman;Times;serif"/>
          <w:b/>
          <w:i/>
          <w:sz w:val="20"/>
        </w:rPr>
        <w:t>We may rely on third parties to perform many essential services for any products that we commercialize, including services related to distribution, government price reporting, customer service, accounts receivable management, cash collection, and adverse event reporting. If these third parties fail to perform as expected or to comply with legal and regulatory requirements, our ability to commercialize our current or future product candidates will be significantly impacted and we may be subject to regulatory sanctions.</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We may retain third-party service providers to perform a variety of functions related to the sale and distribution of our current or future product candidates, key aspects of which will be out of our direct control. These service providers may provide key services related to distribution, customer service, accounts receivable management, and cash collection. If we retain a service provider, we would substantially rely on it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In addition, we may engage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Additionally, we may contract with a third-party to calculate and report pricing information mandated by various government programs. If a third party fails to timely report or adjust prices as required or errs in calculating government pricing information from transactional data in our financial records, it could impact our discount and rebate liability, and potentially subject us to regulatory sanctions or False Claims Act lawsuits.</w:t>
      </w:r>
    </w:p>
    <w:p>
      <w:pPr>
        <w:pStyle w:val="TextBody"/>
        <w:spacing w:before="0" w:after="200"/>
        <w:ind w:left="0" w:right="0" w:firstLine="540"/>
        <w:jc w:val="both"/>
        <w:rPr>
          <w:rFonts w:ascii="Times New Roman;Times;serif" w:hAnsi="Times New Roman;Times;serif"/>
          <w:b/>
          <w:i/>
          <w:sz w:val="20"/>
        </w:rPr>
      </w:pPr>
      <w:r>
        <w:rPr>
          <w:rFonts w:ascii="Times New Roman;Times;serif" w:hAnsi="Times New Roman;Times;serif"/>
          <w:b/>
          <w:i/>
          <w:sz w:val="20"/>
        </w:rPr>
        <w:t>Climate change or legal, regulatory or market measures to address climate change may negatively affect our business, results of operations, cash flows and prospects.</w:t>
      </w:r>
    </w:p>
    <w:p>
      <w:pPr>
        <w:pStyle w:val="TextBody"/>
        <w:spacing w:before="0" w:after="200"/>
        <w:ind w:left="0" w:right="0" w:firstLine="540"/>
        <w:jc w:val="both"/>
        <w:rPr>
          <w:rFonts w:ascii="Times New Roman;Times;serif" w:hAnsi="Times New Roman;Times;serif"/>
          <w:sz w:val="20"/>
        </w:rPr>
      </w:pPr>
      <w:r>
        <w:rPr>
          <w:rFonts w:ascii="Times New Roman;Times;serif" w:hAnsi="Times New Roman;Times;serif"/>
          <w:sz w:val="20"/>
        </w:rPr>
        <w:t>We believe that climate change has the potential to negatively affect our business and results of operations, cash flows and prospects. We are exposed to physical risks (such as extreme weather conditions or rising sea levels), risks in transitioning to a low-carbon economy (such as additional legal or regulatory requirements, changes in technology, market risk and reputational risk) and social and human effects (such as population dislocations and harm to health and well-being) associated with climate change. These risks can be either acute (short-term) or chronic (long-term).</w:t>
      </w:r>
    </w:p>
    <w:p>
      <w:pPr>
        <w:pStyle w:val="TextBody"/>
        <w:spacing w:before="0" w:after="200"/>
        <w:ind w:left="0" w:right="0" w:firstLine="540"/>
        <w:jc w:val="both"/>
        <w:rPr>
          <w:rFonts w:ascii="Times New Roman;Times;serif" w:hAnsi="Times New Roman;Times;serif"/>
          <w:sz w:val="20"/>
        </w:rPr>
      </w:pPr>
      <w:r>
        <w:rPr>
          <w:rFonts w:ascii="Times New Roman;Times;serif" w:hAnsi="Times New Roman;Times;serif"/>
          <w:sz w:val="20"/>
        </w:rPr>
        <w:t>The adverse impacts of climate change include increased frequency and severity of natural disasters and extreme weather events such as hurricanes, tornados, wildfires (exacerbated by drought), flooding, and extreme heat. Extreme weather and sea-level rise pose physical risks to our facilities as well as those of our suppliers. Such risks include losses incurred as a result of physical damage to facilities, loss or spoilage of inventory, and business interruption caused by such natural disasters and extreme weather events. Other potential physical impacts due to climate change include reduced access to high-quality water in certain regions and the loss of biodiversity, which could impact future product development. These risks could disrupt our operations and its supply chain, which may result in increased costs.</w:t>
      </w:r>
    </w:p>
    <w:p>
      <w:pPr>
        <w:pStyle w:val="TextBody"/>
        <w:spacing w:before="0" w:after="200"/>
        <w:ind w:left="0" w:right="0" w:firstLine="540"/>
        <w:jc w:val="both"/>
        <w:rPr>
          <w:rFonts w:ascii="Times New Roman;Times;serif" w:hAnsi="Times New Roman;Times;serif"/>
          <w:sz w:val="20"/>
        </w:rPr>
      </w:pPr>
      <w:r>
        <w:rPr>
          <w:rFonts w:ascii="Times New Roman;Times;serif" w:hAnsi="Times New Roman;Times;serif"/>
          <w:sz w:val="20"/>
        </w:rPr>
        <w:t>New legal or regulatory requirements may be enacted to prevent, mitigate, or adapt to the implications of a changing climate and its effects on the environment. These regulations, which may differ across jurisdictions, could result in us being subject to new or expanded carbon pricing or taxes, increased compliance costs, restrictions on greenhouse gas emissions, investment in new technologies, increased carbon disclosure and transparency, upgrade of facilities to meet new building codes, and the redesign of utility systems, which could increase our operating costs, including the cost of electricity and energy used by us. Our supply chain would likely be subject to these same transitional risks and would likely pass along any increased costs to us.</w:t>
      </w:r>
    </w:p>
    <w:p>
      <w:pPr>
        <w:pStyle w:val="TextBody"/>
        <w:spacing w:before="0" w:after="200"/>
        <w:ind w:left="0" w:right="0" w:firstLine="540"/>
        <w:jc w:val="both"/>
        <w:rPr>
          <w:rFonts w:ascii="Times New Roman;Times;serif" w:hAnsi="Times New Roman;Times;serif"/>
          <w:b/>
          <w:i/>
          <w:sz w:val="20"/>
        </w:rPr>
      </w:pPr>
      <w:r>
        <w:rPr>
          <w:rFonts w:ascii="Times New Roman;Times;serif" w:hAnsi="Times New Roman;Times;serif"/>
          <w:b/>
          <w:i/>
          <w:sz w:val="20"/>
        </w:rPr>
        <w:t>Environmental, social and governance matters may impact our business and reputation.</w:t>
      </w:r>
    </w:p>
    <w:p>
      <w:pPr>
        <w:pStyle w:val="TextBody"/>
        <w:spacing w:before="0" w:after="200"/>
        <w:ind w:left="0" w:right="0" w:firstLine="540"/>
        <w:jc w:val="both"/>
        <w:rPr>
          <w:rFonts w:ascii="Times New Roman;Times;serif" w:hAnsi="Times New Roman;Times;serif"/>
          <w:sz w:val="20"/>
        </w:rPr>
      </w:pPr>
      <w:r>
        <w:rPr>
          <w:rFonts w:ascii="Times New Roman;Times;serif" w:hAnsi="Times New Roman;Times;serif"/>
          <w:sz w:val="20"/>
        </w:rPr>
        <w:t>Governmental authorities, non-governmental organizations, customers, investors, external stakeholders and employees are increasingly sensitive to environmental, social and governance, or ESG, concerns, such as diversity and inclusion, climate change, water use, recyclability or recoverability of packaging, and plastic waste. This focus on ESG concerns may lead to new requirements that could result in increased costs associated with developing, manufacturing and distributing our products. Our ability to compete could also be affected by changing customer preferences and requirements, such as growing demand for more environmentally friendly products, packaging or supplier practices, or by failure to meet such customer expectations or demand. While we strive to improve our ESG performance, we risk negative stockholder reaction, including from proxy advisory services, as well as damage to our brand and reputation, if we do not act responsibly, or if we are perceived to not be acting responsibly in key ESG areas, including equitable access to medicines and vaccines, product quality and safety, diversity and inclusion, environmental stewardship, support for local communities, corporate governance and transparency, and addressing human capital factors in our operations. If we do not meet the ESG expectations of our investors, customers and other stakeholders, we could experience reduced demand for our products, loss of customers, and other negative impacts on our business and results of operations.</w:t>
      </w:r>
    </w:p>
    <w:p>
      <w:pPr>
        <w:pStyle w:val="TextBody"/>
        <w:spacing w:before="0" w:after="200"/>
        <w:ind w:left="0" w:right="0" w:hanging="0"/>
        <w:jc w:val="both"/>
        <w:rPr>
          <w:rFonts w:ascii="Times New Roman;Times;serif" w:hAnsi="Times New Roman;Times;serif"/>
          <w:b/>
          <w:sz w:val="20"/>
        </w:rPr>
      </w:pPr>
      <w:r>
        <w:rPr>
          <w:rFonts w:ascii="Times New Roman;Times;serif" w:hAnsi="Times New Roman;Times;serif"/>
          <w:b/>
          <w:sz w:val="20"/>
        </w:rPr>
        <w:t>Risks Related to Government Regulation</w:t>
      </w:r>
    </w:p>
    <w:p>
      <w:pPr>
        <w:pStyle w:val="TextBody"/>
        <w:spacing w:before="0" w:after="200"/>
        <w:ind w:left="0" w:right="0" w:firstLine="547"/>
        <w:rPr>
          <w:rFonts w:ascii="Times New Roman;Times;serif" w:hAnsi="Times New Roman;Times;serif"/>
          <w:b/>
          <w:i/>
          <w:sz w:val="20"/>
        </w:rPr>
      </w:pPr>
      <w:r>
        <w:rPr>
          <w:rFonts w:ascii="Times New Roman;Times;serif" w:hAnsi="Times New Roman;Times;serif"/>
          <w:b/>
          <w:i/>
          <w:sz w:val="20"/>
        </w:rPr>
        <w:t>The FDA regulatory approval process is lengthy and time-consuming, and we may experience significant delays in the clinical development and regulatory approval of our product candidates.*</w:t>
      </w:r>
    </w:p>
    <w:p>
      <w:pPr>
        <w:pStyle w:val="TextBody"/>
        <w:spacing w:before="0" w:after="0"/>
        <w:ind w:left="0" w:right="0" w:firstLine="547"/>
        <w:rPr>
          <w:rFonts w:ascii="Times New Roman;Times;serif" w:hAnsi="Times New Roman;Times;serif"/>
          <w:sz w:val="20"/>
        </w:rPr>
      </w:pPr>
      <w:r>
        <w:rPr>
          <w:rFonts w:ascii="Times New Roman;Times;serif" w:hAnsi="Times New Roman;Times;serif"/>
          <w:sz w:val="20"/>
        </w:rPr>
        <w:t xml:space="preserve">We have completed our first submission of a rolling BLA to the FDA for lifileucel in March 2023. A BLA must include extensive preclinical and clinical data and supporting information to establish the product candidate’s safety and effectiveness for each desired indication. Our BLA submission and current expected timelines for our lifileucel product candidate for the treatment of metastatic melanoma are based on our interpretation of communications received from the FDA to date regarding this product candidate and are subject to revision if additional communications are received from the FDA. </w:t>
      </w:r>
    </w:p>
    <w:p>
      <w:pPr>
        <w:pStyle w:val="TextBody"/>
        <w:spacing w:before="0" w:after="0"/>
        <w:ind w:left="0" w:right="0" w:firstLine="547"/>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 xml:space="preserve">Following our End of Phase 2 meeting with the FDA in June 2019, we increased enrollment in Cohort 1 of our ongoing C-145-04 clinical trial of TIL therapy lifileucel to at least 75 patients of the appropriate population to address the expected sample size in anticipation of a BLA submission in 2021. Additionally, the patient population was defined per discussion with FDA as patients who have progressed following initial systemic therapy for recurrent or metastatic disease which include many of the more advanced patients enrolled to date. In January 2021, we announced that Cohort 2 of the C-145-04 clinical trial had completed enrollment and that the landscape of care for cervical cancer patients had changed because of a recent FDA approval for pembrolizumab in the frontline cervical cancer setting. In August 2022 we announced that following FDA discussions and feedback on a registration strategy to address the shift in frontline standard of care, we reopened Cohort 2 of the ongoing C-145-04 clinical trial to enroll additional patients. The expanded Cohort 2 is intended to support a BLA submission in cervical cancer following progression on or after chemotherapy and PD-1 therapy. Our current beliefs regarding the registration pathway for the lifileucel product candidate in advanced cervical cancer are based on our interpretation of communications with the FDA to date and our efforts to address such communications, which may be incorrect. Our statements that the clinical trial may support a BLA submission also assume that our as-adjusted clinical trial has addressed the additional requests and feedback by the FDA. Further, enrollment in this clinical trial may need to be further adjusted based on future feedback from the FDA, changes in the competitive environment, or other regulatory agency input. Protocol revisions may have an adverse effect on the results reported to date. Changes to implement an independent review committee and assay validation and implementation, and the data within this clinical trial may not ultimately be supportive of product approval, all of which could result in significant delays to our currently anticipated timeline for development and approval of lifileucel product candidate or prevent its approval for the treatment of cervical cancer. </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 xml:space="preserve">A BLA must also include significant information regarding the chemistry, manufacturing and controls for the product. We expect the novel nature of our product candidates to create further challenges in obtaining regulatory approval. For example, the FDA has limited experience with commercial development of cell therapies for cancer. We may also not be able to successfully utilize the BTD or RMAT designations we have received for metastatic cervical cancer and advanced melanoma, respectively, to successfully complete the development and commercialization of lifileucel. We may not be able to reach agreement with FDA on an interpretation of outcomes from our meetings, including meetings we have held with FDA in relation to our C-145-04 and C-144-01 clinical trials and future meetings. For example, on October 5, 2020, we reported the submission of additional potency assay data to the FDA, and at the same time, we also announced that we had reached agreement with the FDA on the minimum duration of follow up for Cohort 4 to support our BLA submission for lifileucel in the treatment of metastatic melanoma. In May 2021, we announced that we had received regulatory feedback from the FDA regarding our potency assays for lifileucel. Following FDA feedback, we continued our work developing and validating our potency assays and engaged in discussions with the FDA during the second half of 2021 and the first quarter of 2022. Based on the FDA feedback we received from these discussions, we held a pre-BLA meeting in July 2022, and initiated a rolling BLA for lifileucel in metastatic melanoma in August 2022, which we completed in March 2023. In addition, as previously disclosed, Iovance began startup activities for a confirmatory Phase 3 clinical trial, TILVANCE-301, of lifileucel in combination with pembrolizumab in frontline metastatic melanoma in late 2022. The FDA previously granted Fast Track Designation for lifileucel in combination with pembrolizumab for the treatment of immune checkpoint inhibitor naïve metastatic melanoma. However, the regulatory approval pathway for our product candidates may be uncertain, complex, expensive and lengthy, and approval may not be obtained. </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We may also experience delays, including delays arising from the need to increase enrollment, in completing planned clinical trials for a variety of reasons, including delays related to:</w:t>
      </w:r>
    </w:p>
    <w:p>
      <w:pPr>
        <w:pStyle w:val="TextBody"/>
        <w:spacing w:before="0" w:after="0"/>
        <w:ind w:left="547" w:right="0" w:hanging="0"/>
        <w:rPr/>
      </w:pPr>
      <w:r>
        <w:rPr/>
        <w:t>●</w:t>
      </w:r>
      <w:r>
        <w:rPr>
          <w:rFonts w:ascii="Times New Roman;Times;serif" w:hAnsi="Times New Roman;Times;serif"/>
          <w:sz w:val="20"/>
        </w:rPr>
        <w:t>the availability of financial resources to commence and complete the planned clinical trials;</w:t>
      </w:r>
    </w:p>
    <w:p>
      <w:pPr>
        <w:pStyle w:val="TextBody"/>
        <w:spacing w:before="0" w:after="0"/>
        <w:ind w:left="547" w:right="0" w:hanging="0"/>
        <w:rPr/>
      </w:pPr>
      <w:r>
        <w:rPr/>
        <w:t>●</w:t>
      </w:r>
      <w:r>
        <w:rPr>
          <w:rFonts w:ascii="Times New Roman;Times;serif" w:hAnsi="Times New Roman;Times;serif"/>
          <w:sz w:val="20"/>
        </w:rPr>
        <w:t>reaching agreement on acceptable contract terms with prospective CROs and clinical trial sites, the terms of which can be subject to extensive negotiation and may vary significantly among different CROs and clinical trial sites;</w:t>
      </w:r>
    </w:p>
    <w:p>
      <w:pPr>
        <w:pStyle w:val="TextBody"/>
        <w:spacing w:before="0" w:after="0"/>
        <w:ind w:left="547" w:right="0" w:hanging="0"/>
        <w:rPr/>
      </w:pPr>
      <w:r>
        <w:rPr/>
        <w:t>●</w:t>
      </w:r>
      <w:r>
        <w:rPr>
          <w:rFonts w:ascii="Times New Roman;Times;serif" w:hAnsi="Times New Roman;Times;serif"/>
          <w:sz w:val="20"/>
        </w:rPr>
        <w:t>obtaining approval at each clinical trial site by an independent IRB, or central IRB;</w:t>
      </w:r>
    </w:p>
    <w:p>
      <w:pPr>
        <w:pStyle w:val="TextBody"/>
        <w:spacing w:before="0" w:after="0"/>
        <w:ind w:left="547" w:right="0" w:hanging="0"/>
        <w:rPr/>
      </w:pPr>
      <w:r>
        <w:rPr/>
        <w:t>●</w:t>
      </w:r>
      <w:r>
        <w:rPr>
          <w:rFonts w:ascii="Times New Roman;Times;serif" w:hAnsi="Times New Roman;Times;serif"/>
          <w:sz w:val="20"/>
        </w:rPr>
        <w:t>recruiting suitable patients to participate in a clinical trial;</w:t>
      </w:r>
    </w:p>
    <w:p>
      <w:pPr>
        <w:pStyle w:val="TextBody"/>
        <w:spacing w:before="0" w:after="0"/>
        <w:ind w:left="547" w:right="0" w:hanging="0"/>
        <w:rPr/>
      </w:pPr>
      <w:r>
        <w:rPr/>
        <w:t>●</w:t>
      </w:r>
      <w:r>
        <w:rPr>
          <w:rFonts w:ascii="Times New Roman;Times;serif" w:hAnsi="Times New Roman;Times;serif"/>
          <w:sz w:val="20"/>
        </w:rPr>
        <w:t>having patients complete a clinical trial or return for post-treatment follow-up;</w:t>
      </w:r>
    </w:p>
    <w:p>
      <w:pPr>
        <w:pStyle w:val="TextBody"/>
        <w:spacing w:before="0" w:after="0"/>
        <w:ind w:left="547" w:right="0" w:hanging="0"/>
        <w:rPr/>
      </w:pPr>
      <w:r>
        <w:rPr/>
        <w:t>●</w:t>
      </w:r>
      <w:r>
        <w:rPr>
          <w:rFonts w:ascii="Times New Roman;Times;serif" w:hAnsi="Times New Roman;Times;serif"/>
          <w:sz w:val="20"/>
        </w:rPr>
        <w:t>clinical trial sites deviating from clinical trial protocol or dropping out of a clinical trial;</w:t>
      </w:r>
    </w:p>
    <w:p>
      <w:pPr>
        <w:pStyle w:val="TextBody"/>
        <w:spacing w:before="0" w:after="0"/>
        <w:ind w:left="547" w:right="0" w:hanging="0"/>
        <w:rPr/>
      </w:pPr>
      <w:r>
        <w:rPr/>
        <w:t>●</w:t>
      </w:r>
      <w:r>
        <w:rPr>
          <w:rFonts w:ascii="Times New Roman;Times;serif" w:hAnsi="Times New Roman;Times;serif"/>
          <w:sz w:val="20"/>
        </w:rPr>
        <w:t>adding new clinical trial sites;</w:t>
      </w:r>
    </w:p>
    <w:p>
      <w:pPr>
        <w:pStyle w:val="TextBody"/>
        <w:spacing w:before="0" w:after="0"/>
        <w:ind w:left="547" w:right="0" w:hanging="0"/>
        <w:rPr/>
      </w:pPr>
      <w:r>
        <w:rPr/>
        <w:t>●</w:t>
      </w:r>
      <w:r>
        <w:rPr>
          <w:rFonts w:ascii="Times New Roman;Times;serif" w:hAnsi="Times New Roman;Times;serif"/>
          <w:sz w:val="20"/>
        </w:rPr>
        <w:t>manufacturing sufficient quantities of qualified materials under cGMPs and applying them on a subject-by-subject basis for use in clinical trials; or</w:t>
      </w:r>
    </w:p>
    <w:p>
      <w:pPr>
        <w:pStyle w:val="TextBody"/>
        <w:ind w:left="547" w:right="0" w:hanging="0"/>
        <w:rPr/>
      </w:pPr>
      <w:r>
        <w:rPr/>
        <w:t>●</w:t>
      </w:r>
      <w:r>
        <w:rPr>
          <w:rFonts w:ascii="Times New Roman;Times;serif" w:hAnsi="Times New Roman;Times;serif"/>
          <w:sz w:val="20"/>
        </w:rPr>
        <w:t>timely implementing or validating changes to our manufacturing or quality control processes and methods needed to address FDA feedback.</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We could also encounter delays if there are unresolved ethical issues associated with physicians enrolling patients in clinical trials of our product candidates in lieu of prescribing existing treatments that have established safety and efficacy profiles. Further, a clinical trial may be suspended or terminated by us, the IRBs for the institutions in which such clinical trials are being conducted by the FDA or other regulatory authorities, or recommended for suspension or termination by DSMBs due to a number of factors, including failure to conduct the clinical trial in accordance with regulatory requirements or our clinical protocols, inspection of the clinical trial operations or clinical trial site by the FDA or other regulatory authorities resulting in the imposition of a clinical hold, including as a result of genetic editing methods,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pStyle w:val="TextBody"/>
        <w:spacing w:before="0" w:after="200"/>
        <w:ind w:left="0" w:right="0" w:firstLine="547"/>
        <w:rPr>
          <w:rFonts w:ascii="Times New Roman;Times;serif" w:hAnsi="Times New Roman;Times;serif"/>
          <w:b/>
          <w:i/>
          <w:sz w:val="20"/>
        </w:rPr>
      </w:pPr>
      <w:r>
        <w:rPr>
          <w:rFonts w:ascii="Times New Roman;Times;serif" w:hAnsi="Times New Roman;Times;serif"/>
          <w:b/>
          <w:i/>
          <w:sz w:val="20"/>
        </w:rPr>
        <w:t>Obtaining and maintaining regulatory approval of our product candidates in one jurisdiction does not mean that we will be successful in obtaining regulatory approval of our product candidates in other jurisdictions.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In order to market and sell our products outside the U.S., we or our third-party collaborators may be required to obtain separate marketing approvals and comply with numerous and varying regulatory requirements. 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Approval policies and requirements may vary among jurisdictions.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U.S., including additional preclinical studies or clinical trials as clinical studies conducted in one jurisdiction may not be accepted by regulatory authorities in other jurisdictions. In many jurisdictions outside the U.S., a product candidate must be approved for reimbursement before it can be approved for sale in that jurisdiction. In some cases, the price that we intend to charge for our products is also subject to approval. We or our collaborators may not be able to file for regulatory approval of our product candidates in international jurisdictions or obtain approvals from regulatory authorities outside the U.S. on a timely basis, if at all.</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We may also submit marketing applications in other countries. Regulatory authorities in jurisdictions outside of the U.S.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pStyle w:val="TextBody"/>
        <w:spacing w:before="0" w:after="200"/>
        <w:ind w:left="0" w:right="0" w:firstLine="547"/>
        <w:rPr>
          <w:rFonts w:ascii="Times New Roman;Times;serif" w:hAnsi="Times New Roman;Times;serif"/>
          <w:b/>
          <w:i/>
          <w:sz w:val="20"/>
        </w:rPr>
      </w:pPr>
      <w:r>
        <w:rPr>
          <w:rFonts w:ascii="Times New Roman;Times;serif" w:hAnsi="Times New Roman;Times;serif"/>
          <w:b/>
          <w:i/>
          <w:sz w:val="20"/>
        </w:rPr>
        <w:t>We are, and if we receive regulatory approval of our product candidates, will continue to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Any regulatory approvals that we receive for our product candidates will require ongoing surveillance to monitor the safety and efficacy of the product candidate. The FDA may also require a REMS to approve our product candidates, which could entail requirements for a medication guide, physician communication plans or additional elements to ensure safe use, such as restricted distribution methods, patient registries and other risk minimization tools. The FDA may also require post-approval Phase 4 studies. Moreover, the 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withdraw approval,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 xml:space="preserve">In addition, we, our contractors, and our collaborators are and will remain responsible for FDA compliance, including requirements related to product design, testing, clinical trials and preclinical studies approval, manufacturing processes and quality, labeling, packaging, distribution, adverse event and deviation reporting, storage, advertising, marketing, promotion, sale, import, export, submissions of safety and other post-marketing information and reports such as deviation reports, establishment registration, product listing, annual user fees, and recordkeeping for our product candidates.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We and any of our collaborators, including our contract manufacturers, could be subject to periodic unannounced inspections by the FDA to monitor and ensure compliance with regulatory requirements. Application holders must further notify the FDA, and depending on the nature of the change, obtain FDA pre-approval for product and manufacturing changes. The cost of compliance with post-approval regulations may have a negative effect on our operating results and financial condition.</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Later discovery of previously unknown problems with our product candidates, including adverse events of unanticipated severity or frequency, that the product is less effective than previously thought, problems with our third-party manufacturers or manufacturing processes, or failure to comply with regulatory requirements, may result in, among other things:</w:t>
      </w:r>
    </w:p>
    <w:p>
      <w:pPr>
        <w:pStyle w:val="TextBody"/>
        <w:spacing w:before="0" w:after="0"/>
        <w:ind w:left="547" w:right="0" w:hanging="0"/>
        <w:rPr/>
      </w:pPr>
      <w:r>
        <w:rPr/>
        <w:t>●</w:t>
      </w:r>
      <w:r>
        <w:rPr>
          <w:rFonts w:ascii="Times New Roman;Times;serif" w:hAnsi="Times New Roman;Times;serif"/>
          <w:sz w:val="20"/>
        </w:rPr>
        <w:t>restrictions on the marketing, distribution, or manufacturing of our product candidates, withdrawal of the product from the market, or voluntary or mandatory product recalls;</w:t>
      </w:r>
    </w:p>
    <w:p>
      <w:pPr>
        <w:pStyle w:val="TextBody"/>
        <w:spacing w:before="0" w:after="0"/>
        <w:ind w:left="547" w:right="0" w:hanging="0"/>
        <w:rPr/>
      </w:pPr>
      <w:r>
        <w:rPr/>
        <w:t>●</w:t>
      </w:r>
      <w:r>
        <w:rPr>
          <w:rFonts w:ascii="Times New Roman;Times;serif" w:hAnsi="Times New Roman;Times;serif"/>
          <w:sz w:val="20"/>
        </w:rPr>
        <w:t>restrictions on the labeling of our product candidates, including required additional warnings, such as black box warnings, contraindications, precautions, and restrictions on the approved indication or use;</w:t>
      </w:r>
    </w:p>
    <w:p>
      <w:pPr>
        <w:pStyle w:val="TextBody"/>
        <w:spacing w:before="0" w:after="0"/>
        <w:ind w:left="547" w:right="0" w:hanging="0"/>
        <w:rPr/>
      </w:pPr>
      <w:r>
        <w:rPr/>
        <w:t>●</w:t>
      </w:r>
      <w:r>
        <w:rPr>
          <w:rFonts w:ascii="Times New Roman;Times;serif" w:hAnsi="Times New Roman;Times;serif"/>
          <w:sz w:val="20"/>
        </w:rPr>
        <w:t>modifications to promotional pieces;</w:t>
      </w:r>
    </w:p>
    <w:p>
      <w:pPr>
        <w:pStyle w:val="TextBody"/>
        <w:spacing w:before="0" w:after="0"/>
        <w:ind w:left="547" w:right="0" w:hanging="0"/>
        <w:rPr/>
      </w:pPr>
      <w:r>
        <w:rPr/>
        <w:t>●</w:t>
      </w:r>
      <w:r>
        <w:rPr>
          <w:rFonts w:ascii="Times New Roman;Times;serif" w:hAnsi="Times New Roman;Times;serif"/>
          <w:sz w:val="20"/>
        </w:rPr>
        <w:t>changes to product labeling or the way the product is administered;</w:t>
      </w:r>
    </w:p>
    <w:p>
      <w:pPr>
        <w:pStyle w:val="TextBody"/>
        <w:spacing w:before="0" w:after="0"/>
        <w:ind w:left="547" w:right="0" w:hanging="0"/>
        <w:rPr/>
      </w:pPr>
      <w:r>
        <w:rPr/>
        <w:t>●</w:t>
      </w:r>
      <w:r>
        <w:rPr>
          <w:rFonts w:ascii="Times New Roman;Times;serif" w:hAnsi="Times New Roman;Times;serif"/>
          <w:sz w:val="20"/>
        </w:rPr>
        <w:t>liability for harm caused to patients or subjects;</w:t>
      </w:r>
    </w:p>
    <w:p>
      <w:pPr>
        <w:pStyle w:val="TextBody"/>
        <w:spacing w:before="0" w:after="0"/>
        <w:ind w:left="547" w:right="0" w:hanging="0"/>
        <w:rPr/>
      </w:pPr>
      <w:r>
        <w:rPr/>
        <w:t>●</w:t>
      </w:r>
      <w:r>
        <w:rPr>
          <w:rFonts w:ascii="Times New Roman;Times;serif" w:hAnsi="Times New Roman;Times;serif"/>
          <w:sz w:val="20"/>
        </w:rPr>
        <w:t>fines, restitution, disgorgement, warning letters, untitled letters, or holds on or termination of clinical trials;</w:t>
      </w:r>
    </w:p>
    <w:p>
      <w:pPr>
        <w:pStyle w:val="TextBody"/>
        <w:spacing w:before="0" w:after="0"/>
        <w:ind w:left="547" w:right="0" w:hanging="0"/>
        <w:rPr/>
      </w:pPr>
      <w:r>
        <w:rPr/>
        <w:t>●</w:t>
      </w:r>
      <w:r>
        <w:rPr>
          <w:rFonts w:ascii="Times New Roman;Times;serif" w:hAnsi="Times New Roman;Times;serif"/>
          <w:sz w:val="20"/>
        </w:rPr>
        <w:t>refusal by the FDA to approve pending applications or supplements to approved applications filed by us or suspension or revocation of license approvals;</w:t>
      </w:r>
    </w:p>
    <w:p>
      <w:pPr>
        <w:pStyle w:val="TextBody"/>
        <w:spacing w:before="0" w:after="0"/>
        <w:ind w:left="547" w:right="0" w:hanging="0"/>
        <w:rPr/>
      </w:pPr>
      <w:r>
        <w:rPr/>
        <w:t>●</w:t>
      </w:r>
      <w:r>
        <w:rPr>
          <w:rFonts w:ascii="Times New Roman;Times;serif" w:hAnsi="Times New Roman;Times;serif"/>
          <w:sz w:val="20"/>
        </w:rPr>
        <w:t>product seizure or detention, or refusal to permit the import or export of our product candidates;</w:t>
      </w:r>
    </w:p>
    <w:p>
      <w:pPr>
        <w:pStyle w:val="TextBody"/>
        <w:spacing w:before="0" w:after="0"/>
        <w:ind w:left="547" w:right="0" w:hanging="0"/>
        <w:rPr/>
      </w:pPr>
      <w:r>
        <w:rPr/>
        <w:t>●</w:t>
      </w:r>
      <w:r>
        <w:rPr>
          <w:rFonts w:ascii="Times New Roman;Times;serif" w:hAnsi="Times New Roman;Times;serif"/>
          <w:sz w:val="20"/>
        </w:rPr>
        <w:t>injunctions or the imposition of civil or criminal penalties, including imprisonment;</w:t>
      </w:r>
    </w:p>
    <w:p>
      <w:pPr>
        <w:pStyle w:val="TextBody"/>
        <w:spacing w:before="0" w:after="0"/>
        <w:ind w:left="547" w:right="0" w:hanging="0"/>
        <w:rPr/>
      </w:pPr>
      <w:r>
        <w:rPr/>
        <w:t>●</w:t>
      </w:r>
      <w:r>
        <w:rPr>
          <w:rFonts w:ascii="Times New Roman;Times;serif" w:hAnsi="Times New Roman;Times;serif"/>
          <w:sz w:val="20"/>
        </w:rPr>
        <w:t>FDA debarment, debarment from government contracts, and refusal of future orders under existing contracts, exclusion from federal healthcare programs, consent decrees, or corporate integrity agreements;</w:t>
      </w:r>
    </w:p>
    <w:p>
      <w:pPr>
        <w:pStyle w:val="TextBody"/>
        <w:spacing w:before="0" w:after="0"/>
        <w:ind w:left="547" w:right="0" w:hanging="0"/>
        <w:rPr/>
      </w:pPr>
      <w:r>
        <w:rPr/>
        <w:t>●</w:t>
      </w:r>
      <w:r>
        <w:rPr>
          <w:rFonts w:ascii="Times New Roman;Times;serif" w:hAnsi="Times New Roman;Times;serif"/>
          <w:sz w:val="20"/>
        </w:rPr>
        <w:t>regulatory authority issuance of safety alerts, Dear Healthcare Provider letters, press releases, or other communications containing warnings or other safety information about the biologic;</w:t>
      </w:r>
    </w:p>
    <w:p>
      <w:pPr>
        <w:pStyle w:val="TextBody"/>
        <w:spacing w:before="0" w:after="0"/>
        <w:ind w:left="547" w:right="0" w:hanging="0"/>
        <w:rPr/>
      </w:pPr>
      <w:r>
        <w:rPr/>
        <w:t>●</w:t>
      </w:r>
      <w:r>
        <w:rPr>
          <w:rFonts w:ascii="Times New Roman;Times;serif" w:hAnsi="Times New Roman;Times;serif"/>
          <w:sz w:val="20"/>
        </w:rPr>
        <w:t>reputational harm; or</w:t>
      </w:r>
    </w:p>
    <w:p>
      <w:pPr>
        <w:pStyle w:val="TextBody"/>
        <w:ind w:left="547" w:right="0" w:hanging="0"/>
        <w:rPr/>
      </w:pPr>
      <w:r>
        <w:rPr/>
        <w:t>●</w:t>
      </w:r>
      <w:r>
        <w:rPr>
          <w:rFonts w:ascii="Times New Roman;Times;serif" w:hAnsi="Times New Roman;Times;serif"/>
          <w:sz w:val="20"/>
        </w:rPr>
        <w:t>the product becoming less competitive.</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Any of these events could further have other material and adverse effects on our operations and business and could adversely impact our stock price and could significantly harm our business, financial condition, results of operations, and prospects.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if we are not able to maintain regulatory compliance, we may lose any marketing approval that we may have obtained, be subject to other regulatory enforcement action, and we may not achieve or sustain profitability.</w:t>
      </w:r>
    </w:p>
    <w:p>
      <w:pPr>
        <w:pStyle w:val="TextBody"/>
        <w:spacing w:before="0" w:after="200"/>
        <w:ind w:left="0" w:right="0" w:firstLine="547"/>
        <w:rPr>
          <w:rFonts w:ascii="Times New Roman;Times;serif" w:hAnsi="Times New Roman;Times;serif"/>
          <w:b/>
          <w:i/>
          <w:sz w:val="20"/>
        </w:rPr>
      </w:pPr>
      <w:r>
        <w:rPr>
          <w:rFonts w:ascii="Times New Roman;Times;serif" w:hAnsi="Times New Roman;Times;serif"/>
          <w:b/>
          <w:i/>
          <w:sz w:val="20"/>
        </w:rPr>
        <w:t>If we fail to comply with federal and state healthcare and promotional laws, including fraud and abuse and information privacy and security laws, we could face substantial penalties and our business, financial condition, results of operations, and prospects could be adversely affected.</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As a biopharmaceutical company, we are subject to many federal and state healthcare laws, including the federal AKS, the federal civil and criminal FCA, the civil monetary penalties statute, the Medicaid Drug Rebate statute and other price reporting requirements, the Veterans Health Care Act of 1992, the federal Health Insurance Portability and Accountability Act of 1996 (as amended by the Health Information Technology for Economics and Clinical Health Act), the Foreign Corrupt Practices Act of 1977, the Patient Protection and Affordable Care Act of 2010, and similar state laws. 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If we do not comply with all applicable fraud and abuse laws, we may be subject to enforcement by both the federal government and the states in which we conduct our business.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Laws and regulations require calculation and reporting of complex pricing information for prescription drugs, and compliance will require us to invest in significant resources and develop a price reporting infrastructure or depend on third parties to compute and report our drug pricing. Pricing reported to CMS must be certified. Non-compliant activities expose us to FCA risk if they result in overcharging agencies, underpaying rebates to agencies, or causing agencies to overpay providers.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If we or our operations are found to be in violation of any federal or state healthcare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they may be subject to criminal, civil, or administrative sanctions, including but not limited to, exclusions from participation in government healthcare programs, which could also materially affect our business.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In particular, if we are found to have impermissibly promoted any of our product candidates, we may become subject to significant liability and government fines. We, and any of our collaborators, must comply with requirements concerning advertising and promotion for any of our product candidates for which we or they obtain marketing approval. Promotional communications with respect to therapeutics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desired uses or indications for our products and product candidates, we may not market or promote our products for those indications and uses, referred to as off-label uses, and our business may be adversely affected. We further must be able to sufficiently substantiate any claims that we make for our products including claims comparing our products to other companies’ products and must abide by the FDA’s strict requirements regarding the content of promotion and advertising.</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While physicians may choose to prescribe products for uses that are not described in the product’s labeling and for uses that differ from those tested in clinical trials and approved by the regulatory authorities, we are prohibited from marketing and promoting the products for indications and uses that are not specifically approved by the FDA. These off-label uses are common across medical specialties and may constitute an appropriate treatment for some patients in varied circumstances. Regulatory authorities in the U.S. generally do not restrict or regulate the behavior of physicians in their choice of treatment within the practice of medicine. Regulatory authorities do, however, restrict communications by biopharmaceutical companies concerning off-label use.</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In the U.S., engaging in the impermissible promotion of our products, following approval, for off-label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therapeutic products and do business through, for example, corporate integrity agreements, suspension or exclusion from participation in federal and state healthcare programs, and debarment from government contracts and refusal of future orders under existing contracts. These false claims statutes include the federal civil False Claims Act, which allows any individual to bring a lawsuit against a biopharmaceutical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lawsuit, the individual will share in the proceeds from any fines or settlement funds. If the government declines to intervene, the individual may pursue the case alone. These False Claims Act lawsuits against manufacturers of drugs and biologics have increased significantly in volume and breadth, leading to several substantial civil and criminal settlements, up to $3.0 billion, pertaining to certain sales practices and promoting off-label uses. In addition, False Claims Act lawsuits may expose manufacturers to follow-on claims by private payors based on fraudulent marketing practices. This growth in litigation has increased the risk that a biopharmaceutical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future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pStyle w:val="TextBody"/>
        <w:spacing w:before="0" w:after="200"/>
        <w:ind w:left="0" w:right="0" w:firstLine="547"/>
        <w:rPr>
          <w:rFonts w:ascii="Times New Roman;Times;serif" w:hAnsi="Times New Roman;Times;serif"/>
          <w:b/>
          <w:i/>
          <w:sz w:val="20"/>
        </w:rPr>
      </w:pPr>
      <w:r>
        <w:rPr>
          <w:rFonts w:ascii="Times New Roman;Times;serif" w:hAnsi="Times New Roman;Times;serif"/>
          <w:b/>
          <w:i/>
          <w:sz w:val="20"/>
        </w:rPr>
        <w:t>Coverage and reimbursement may be limited or unavailable in certain market segments for our product candidates, which could make it difficult for us to sell our product candidates profitably.</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In both domestic and foreign markets, sales of our product candidates, if approved, depend on the availability of coverage and adequate reimbursement from third-party payors. Such third-party payors include government health programs such as Medicare and Medicaid, managed care providers, private health insurers, and other organizations. In addition, because our product candidates represent new approaches to the treatment of cancer, we cannot accurately estimate the potential revenue from our product candidates.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Patients who are provided medical treatment for their conditions generally rely on third-party payors to reimburse all or part of the costs associated with their treatment. Obtaining coverage and adequate reimbursement from governmental healthcare programs, such as Medicare and Medicaid, and commercial payors is critical to new product acceptance.</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Government authorities and third-party payors decide which drugs and treatments they will cover and the amount of reimbursement. Coverage decisions may depend upon clinical and economic standards that disfavor new drug products when more established or lower cost therapeutic alternatives are already available or subsequently become available.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 Reimbursement by a third-party payor may depend upon a number of factors, including, but not limited to, the third-party payor’s determination that use of a product is:</w:t>
      </w:r>
    </w:p>
    <w:p>
      <w:pPr>
        <w:pStyle w:val="TextBody"/>
        <w:spacing w:before="0" w:after="0"/>
        <w:ind w:left="547" w:right="0" w:hanging="0"/>
        <w:rPr/>
      </w:pPr>
      <w:r>
        <w:rPr/>
        <w:t>●</w:t>
      </w:r>
      <w:r>
        <w:rPr>
          <w:rFonts w:ascii="Times New Roman;Times;serif" w:hAnsi="Times New Roman;Times;serif"/>
          <w:sz w:val="20"/>
        </w:rPr>
        <w:t>a covered benefit under its health plan;</w:t>
      </w:r>
    </w:p>
    <w:p>
      <w:pPr>
        <w:pStyle w:val="TextBody"/>
        <w:spacing w:before="0" w:after="0"/>
        <w:ind w:left="547" w:right="0" w:hanging="0"/>
        <w:rPr/>
      </w:pPr>
      <w:r>
        <w:rPr/>
        <w:t>●</w:t>
      </w:r>
      <w:r>
        <w:rPr>
          <w:rFonts w:ascii="Times New Roman;Times;serif" w:hAnsi="Times New Roman;Times;serif"/>
          <w:sz w:val="20"/>
        </w:rPr>
        <w:t>safe, effective and medically necessary;</w:t>
      </w:r>
    </w:p>
    <w:p>
      <w:pPr>
        <w:pStyle w:val="TextBody"/>
        <w:spacing w:before="0" w:after="0"/>
        <w:ind w:left="547" w:right="0" w:hanging="0"/>
        <w:rPr/>
      </w:pPr>
      <w:r>
        <w:rPr/>
        <w:t>●</w:t>
      </w:r>
      <w:r>
        <w:rPr>
          <w:rFonts w:ascii="Times New Roman;Times;serif" w:hAnsi="Times New Roman;Times;serif"/>
          <w:sz w:val="20"/>
        </w:rPr>
        <w:t>appropriate for the specific patient;</w:t>
      </w:r>
    </w:p>
    <w:p>
      <w:pPr>
        <w:pStyle w:val="TextBody"/>
        <w:spacing w:before="0" w:after="0"/>
        <w:ind w:left="547" w:right="0" w:hanging="0"/>
        <w:rPr/>
      </w:pPr>
      <w:r>
        <w:rPr/>
        <w:t>●</w:t>
      </w:r>
      <w:r>
        <w:rPr>
          <w:rFonts w:ascii="Times New Roman;Times;serif" w:hAnsi="Times New Roman;Times;serif"/>
          <w:sz w:val="20"/>
        </w:rPr>
        <w:t>cost-effective; and</w:t>
      </w:r>
    </w:p>
    <w:p>
      <w:pPr>
        <w:pStyle w:val="TextBody"/>
        <w:ind w:left="547" w:right="0" w:hanging="0"/>
        <w:rPr/>
      </w:pPr>
      <w:r>
        <w:rPr/>
        <w:t>●</w:t>
      </w:r>
      <w:r>
        <w:rPr>
          <w:rFonts w:ascii="Times New Roman;Times;serif" w:hAnsi="Times New Roman;Times;serif"/>
          <w:sz w:val="20"/>
        </w:rPr>
        <w:t>neither experimental nor investigational.</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Obtaining coverage and reimbursement approval of a product from a government or other third-party payor is a time-consuming and costly process that could require us to provide to the payor supporting scientific, clinical and cost-effectiveness data for the use of our products. Even if we obtain coverage for a given product, the resulting reimbursement payment rates might not be adequate for us to achieve or sustain profitability or may require co-payments that patients find unacceptably high. Moreover, the factors noted above have continued to be the focus of policy and regulatory debate that has, thus far, shown the potential for movement towards permanent policy changes; this trend is apt to continue, and may result in more or less favorable impacts on pricing. Patients are unlikely to use our product candidates unless coverage is provided, and reimbursement is adequate to cover a significant portion of the cost of our product candidates.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In the U.S., no uniform policy of coverage and reimbursement for products exists among third-party payors. Therefore, coverage and reimbursement for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In addition, federal programs impose penalties on manufacturers of drugs marketed under an NDA or BLA, in the form of mandatory additional rebates and/or discounts if commercial prices increase at a rate greater than the Consumer Price Index-Urban, and these rebates and/or discounts, which can be substantial, may impact our ability to raise commercial prices. Regulatory authorities and third-party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 Moreover, the recent and ongoing series of congressional hearings relating to drug pricing has presented heightened attention to the biopharmaceutical industry, creating the potential for political and public pressure, while the potential for resulting legislative or policy changes presents uncertainty.</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when compared to our product candidates. Additionally, if payors require high copayments, beneficiaries may decline prescriptions and seek alternative therapies. We may need to conduct post-marketing studies in order to demonstrate the cost-effectiveness of any future products to the satisfaction of hospitals and other target customers and their third-party payors. Such studies might require us to commit a significant amount of management time and financial and other resources. Our future products might not ultimately be considered cost-effective. Adequate third-party coverage and reimbursement might not be available to enable us to maintain price levels sufficient to realize an appropriate return on investment in product development.</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Third-party payors, whether domestic or foreign, or governmental or commercial, are developing increasingly sophisticated methods of controlling healthcare costs. In addition, third-party payors are requiring higher levels of evidence of the benefits and clinical outcomes of new technologies and are challenging the prices charged. We, and our collaborators,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U.S. An inability to promptly obtain coverage and adequate payment rates from both government-funded and private payors for any our product candidates for which we obtain marketing approval could have a material adverse effect on our operating results, our ability to raise capital needed to commercialize products, and our overall financial condition.</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There have been, and likely will continue to be, legislative and regulatory proposals at the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pStyle w:val="TextBody"/>
        <w:spacing w:before="0" w:after="0"/>
        <w:ind w:left="547" w:right="0" w:hanging="0"/>
        <w:rPr/>
      </w:pPr>
      <w:r>
        <w:rPr/>
        <w:t>●</w:t>
      </w:r>
      <w:r>
        <w:rPr>
          <w:rFonts w:ascii="Times New Roman;Times;serif" w:hAnsi="Times New Roman;Times;serif"/>
          <w:sz w:val="20"/>
        </w:rPr>
        <w:t>the demand for our product candidates if we obtain regulatory approval;</w:t>
      </w:r>
    </w:p>
    <w:p>
      <w:pPr>
        <w:pStyle w:val="TextBody"/>
        <w:spacing w:before="0" w:after="0"/>
        <w:ind w:left="547" w:right="0" w:hanging="0"/>
        <w:rPr/>
      </w:pPr>
      <w:r>
        <w:rPr/>
        <w:t>●</w:t>
      </w:r>
      <w:r>
        <w:rPr>
          <w:rFonts w:ascii="Times New Roman;Times;serif" w:hAnsi="Times New Roman;Times;serif"/>
          <w:sz w:val="20"/>
        </w:rPr>
        <w:t>our ability to set a price that we believe is fair for our products;</w:t>
      </w:r>
    </w:p>
    <w:p>
      <w:pPr>
        <w:pStyle w:val="TextBody"/>
        <w:spacing w:before="0" w:after="0"/>
        <w:ind w:left="547" w:right="0" w:hanging="0"/>
        <w:rPr/>
      </w:pPr>
      <w:r>
        <w:rPr/>
        <w:t>●</w:t>
      </w:r>
      <w:r>
        <w:rPr>
          <w:rFonts w:ascii="Times New Roman;Times;serif" w:hAnsi="Times New Roman;Times;serif"/>
          <w:sz w:val="20"/>
        </w:rPr>
        <w:t>our ability to generate revenue and achieve or maintain profitability;</w:t>
      </w:r>
    </w:p>
    <w:p>
      <w:pPr>
        <w:pStyle w:val="TextBody"/>
        <w:spacing w:before="0" w:after="0"/>
        <w:ind w:left="547" w:right="0" w:hanging="0"/>
        <w:rPr/>
      </w:pPr>
      <w:r>
        <w:rPr/>
        <w:t>●</w:t>
      </w:r>
      <w:r>
        <w:rPr>
          <w:rFonts w:ascii="Times New Roman;Times;serif" w:hAnsi="Times New Roman;Times;serif"/>
          <w:sz w:val="20"/>
        </w:rPr>
        <w:t>the level of taxes that we are required to pay; and</w:t>
      </w:r>
    </w:p>
    <w:p>
      <w:pPr>
        <w:pStyle w:val="TextBody"/>
        <w:ind w:left="547" w:right="0" w:hanging="0"/>
        <w:rPr/>
      </w:pPr>
      <w:r>
        <w:rPr/>
        <w:t>●</w:t>
      </w:r>
      <w:r>
        <w:rPr>
          <w:rFonts w:ascii="Times New Roman;Times;serif" w:hAnsi="Times New Roman;Times;serif"/>
          <w:sz w:val="20"/>
        </w:rPr>
        <w:t>the availability of capital.</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Any reduction in reimbursement from Medicare or other government programs may result in a similar reduction in payments from private payors, which may adversely affect our future profitability. A particular challenge for our product candidates arises from the fact that they will primarily be used in an inpatient setting. Inpatient reimbursement generally relies on stringent packaging rules that may mean that there is no separate payment for our product candidates. Additionally, data used to set the payment rates for inpatient admissions is usually several years old and would not take into account all of the additional therapy costs associated with the administration of our product candidates. If special rules are not created for reimbursement for immunotherapy treatments such as our product candidates, hospitals might not receive enough reimbursement to cover their costs of treatment, which will have a negative effect on their adoption of our product candidates.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540"/>
        <w:rPr>
          <w:rFonts w:ascii="Times New Roman;Times;serif" w:hAnsi="Times New Roman;Times;serif"/>
          <w:b/>
          <w:i/>
          <w:sz w:val="20"/>
        </w:rPr>
      </w:pPr>
      <w:r>
        <w:rPr>
          <w:rFonts w:ascii="Times New Roman;Times;serif" w:hAnsi="Times New Roman;Times;serif"/>
          <w:b/>
          <w:i/>
          <w:sz w:val="20"/>
        </w:rPr>
        <w:t>We are subject to new legislation, regulatory proposals, and healthcare payor initiatives that may increase our costs of compliance, and adversely affect our ability to market our products, obtain collaborators, and raise capital.*</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In the U.S.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or the ability of our collaborators,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 xml:space="preserve">Since enactment of the Patient Protection and Affordable Care Act, as amended (the “ACA”) in 2010, in both the U.S. and certain foreign jurisdictions, there have been a number of legislative and regulatory changes to the health care system that could impact our ability to sell our products profitably.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on April 1, 2013, and were to remain in effect until 2024. The Bipartisan Budget Act of 2015 extended the 2% sequestration to 2025. In January 2013, the American Taxpayer Relief Act of 2012, or ATRA, was approved which, among other things, reduced Medicare payments to several providers, with primary focus on the hospital outpatient setting and ancillary services, including hospitals, imaging centers and cancer treatment centers, and increased the statute of limitations period for the government to recover overpayments to providers from three to five years. On January 20, 2017, the Trump administration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and, for that reason, some final regulations have yet to take effect. In December 2017, Congress repealed the individual mandate for health insurance required by the ACA and could consider further legislation to repeal other elements of the ACA. At the end of 2017, CMS promulgated regulations that reduce the amount paid to hospitals for outpatient drugs purchased under the 340B program, and some states have enacted transparency laws requiring manufacturers to report information on drug prices and price increases. In June 2021, the Supreme Court issued its opinion in California v. Texas, upholding the constitutionality of the ACA. </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Additional federal and state healthcare reform measures may be adopted in the future that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There is also an increasing focus on the price of drugs, both at the state and federal levels, and it is likely that additional pricing controls will be enacted and could harm our business, financial condition and results of operations. For instance, states such as California have begun enacting transparency laws aimed at curbing drug price increases and with the change in administration it is possible that President Biden may issue Executive Orders with the potential to change a number of prior executive branch actions on drug pricing. We continue to monitor the potential impact of proposals and recently enacted legislation to lower prescription drug costs at the federal and state level. For example, the Inflation Reduction Act, or the IRA, was recently signed into law by President Biden, which makes significant changes to how drugs are covered and paid for under the Medicare program, including the creation of financial penalties for drugs whose prices rise faster than the rate of inflation, redesign of the Medicare Part D program to require manufacturers to bear more of the liability for certain drug benefits, and government price-setting for certain Medicare Part D drugs, starting in 2026, and Medicare Part B drugs starting in 2028. We are evaluating what effect, if any, the IRA may have on our business.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products.</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Legislative and regulatory proposals may also be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pStyle w:val="TextBody"/>
        <w:spacing w:before="0" w:after="0"/>
        <w:ind w:left="0" w:right="0" w:firstLine="540"/>
        <w:rPr>
          <w:rFonts w:ascii="Times New Roman;Times;serif" w:hAnsi="Times New Roman;Times;serif"/>
          <w:sz w:val="20"/>
        </w:rPr>
      </w:pPr>
      <w:r>
        <w:rPr>
          <w:rFonts w:ascii="Times New Roman;Times;serif" w:hAnsi="Times New Roman;Times;serif"/>
          <w:sz w:val="20"/>
        </w:rPr>
        <w:t xml:space="preserve">In addition, there have been a number of other policy, legislative and regulatory proposals aimed at changing the pharmaceutical industry. The U.S. government, state legislatures and foreign governmental entities have shown significant interest in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implementing cost containment programs to limit the growth of government-paid healthcare costs, including price controls, restrictions on reimbursement and coverage and requirements for substitution of generic products for branded prescription drugs. Adoption of government controls and measures and tightening of restrictive policies in jurisdictions with existing controls and measures, could exclude or limit our product candidates from coverage and limit payments for pharmaceuticals. Under the Biden Administration’s Build Back Better Agenda, for example, Medicare negotiation of prescription drug costs with biopharmaceutical companies is proposed to lower prescription drug costs We continue to monitor the potential impact of these and other proposals to lower prescription drug costs at the federal and state level.</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We are unable to predict the future course of federal or state healthcare legislation in the U.S. directed at broadening the availability of healthcare and containing or lowering the cost of healthcare. The ACA and any further changes in the law or regulatory framework that reduce our revenue or increase our costs could also have a material and adverse effect on our business, financial condition and results of operations.</w:t>
      </w:r>
    </w:p>
    <w:p>
      <w:pPr>
        <w:pStyle w:val="TextBody"/>
        <w:spacing w:before="0" w:after="200"/>
        <w:ind w:left="0" w:right="0" w:firstLine="547"/>
        <w:rPr>
          <w:rFonts w:ascii="Times New Roman;Times;serif" w:hAnsi="Times New Roman;Times;serif"/>
          <w:b/>
          <w:i/>
          <w:sz w:val="20"/>
        </w:rPr>
      </w:pPr>
      <w:r>
        <w:rPr>
          <w:rFonts w:ascii="Times New Roman;Times;serif" w:hAnsi="Times New Roman;Times;serif"/>
          <w:b/>
          <w:i/>
          <w:sz w:val="20"/>
        </w:rPr>
        <w:t>Governments outside the U.S. tend to impose strict price controls, which may adversely affect our revenues, if any.</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In international markets, reimbursement and health care payment systems vary significantly by country, and many countries have instituted price ceilings on specific products and therapies. In some countries, particularly the countries of the EU and the United Kingdom,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There can be no assurance that our products will be considered cost-effective by third-party payors, that an adequate level of reimbursement will be available, or that the third-party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pStyle w:val="TextBody"/>
        <w:spacing w:before="0" w:after="200"/>
        <w:ind w:left="0" w:right="0" w:firstLine="547"/>
        <w:rPr>
          <w:rFonts w:ascii="Times New Roman;Times;serif" w:hAnsi="Times New Roman;Times;serif"/>
          <w:b/>
          <w:i/>
          <w:sz w:val="20"/>
        </w:rPr>
      </w:pPr>
      <w:r>
        <w:rPr>
          <w:rFonts w:ascii="Times New Roman;Times;serif" w:hAnsi="Times New Roman;Times;serif"/>
          <w:b/>
          <w:i/>
          <w:sz w:val="20"/>
        </w:rPr>
        <w:t>Our employees, independent contractors, consultants, commercial partners and vendors may engage in misconduct or other improper activities, including noncompliance with regulatory standards and requirements.</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U.S. and similar foreign fraudulent misconduct laws, or report financial information or data accurately or to disclose unauthorized activities to us. If we obtain FDA approval of any of our product candidates and begin commercializing those products in the U.S.,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pStyle w:val="TextBody"/>
        <w:spacing w:before="0" w:after="0"/>
        <w:ind w:left="0" w:right="0" w:firstLine="540"/>
        <w:rPr>
          <w:rFonts w:ascii="Times New Roman;Times;serif" w:hAnsi="Times New Roman;Times;serif"/>
          <w:sz w:val="20"/>
        </w:rPr>
      </w:pPr>
      <w:r>
        <w:rPr>
          <w:rFonts w:ascii="Times New Roman;Times;serif" w:hAnsi="Times New Roman;Times;serif"/>
          <w:sz w:val="20"/>
        </w:rPr>
        <w:t xml:space="preserve">We have adopted a Code of Conduct and Ethics, but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comply with such laws or regulations. Efforts to ensure that our business arrangements will comply with applicable healthcare laws may involve substantial costs. It is possible that governmental and enforcement authorities will conclude that our, or our employees’, consultants’, collaborators’, contractors’, or vendors’ business practices may not comply with current or future statutes, regulations or case law interpreting applicable fraud and abuse or other healthcare laws and regulations. If any such actions are instituted against us, and we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compliance agreements, withdrawal of product approvals, and curtailment of our operations, among other things, any of which could adversely affect our ability to operate our business and our results of operations. In addition, the approval and commercialization of any of our product candidates outside the U.S. will also likely subject us to foreign equivalents of the healthcare laws mentioned above, among other foreign laws.</w:t>
      </w:r>
    </w:p>
    <w:p>
      <w:pPr>
        <w:pStyle w:val="TextBody"/>
        <w:spacing w:before="0" w:after="200"/>
        <w:ind w:left="0" w:right="0" w:hanging="0"/>
        <w:jc w:val="both"/>
        <w:rPr>
          <w:rFonts w:ascii="Times New Roman;Times;serif" w:hAnsi="Times New Roman;Times;serif"/>
          <w:b/>
          <w:sz w:val="20"/>
        </w:rPr>
      </w:pPr>
      <w:r>
        <w:rPr>
          <w:rFonts w:ascii="Times New Roman;Times;serif" w:hAnsi="Times New Roman;Times;serif"/>
          <w:b/>
          <w:sz w:val="20"/>
        </w:rPr>
        <w:t>Risks Related to Our Intellectual Property</w:t>
      </w:r>
    </w:p>
    <w:p>
      <w:pPr>
        <w:pStyle w:val="TextBody"/>
        <w:spacing w:before="0" w:after="200"/>
        <w:ind w:left="0" w:right="0" w:firstLine="540"/>
        <w:rPr>
          <w:rFonts w:ascii="Times New Roman;Times;serif" w:hAnsi="Times New Roman;Times;serif"/>
          <w:b/>
          <w:i/>
          <w:sz w:val="20"/>
        </w:rPr>
      </w:pPr>
      <w:r>
        <w:rPr>
          <w:rFonts w:ascii="Times New Roman;Times;serif" w:hAnsi="Times New Roman;Times;serif"/>
          <w:b/>
          <w:i/>
          <w:sz w:val="20"/>
        </w:rPr>
        <w:t>We may be involved in lawsuits to protect or enforce our patents or the patents of our licensors, or lawsuits accusing our products of patent infringement, which could be expensive, time-consuming and unsuccessful.</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Competitors may infringe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In the event of a successful claim of infringement against us, we may be enjoined from manufacturing, use, and marketing our products, or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Periodic maintenance fees on any issued patent are due to be paid to the U.S. Patent and Trademark Office, or USPTO, and foreign patent agencies in several stages over the lifetime of the patent. The USPTO and various foreign governmental patent agencies require compliance with several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pStyle w:val="TextBody"/>
        <w:spacing w:before="0" w:after="200"/>
        <w:ind w:left="0" w:right="0" w:firstLine="540"/>
        <w:rPr>
          <w:rFonts w:ascii="Times New Roman;Times;serif" w:hAnsi="Times New Roman;Times;serif"/>
          <w:b/>
          <w:i/>
          <w:sz w:val="20"/>
        </w:rPr>
      </w:pPr>
      <w:r>
        <w:rPr>
          <w:rFonts w:ascii="Times New Roman;Times;serif" w:hAnsi="Times New Roman;Times;serif"/>
          <w:b/>
          <w:i/>
          <w:sz w:val="20"/>
        </w:rPr>
        <w:t>We may incur substantial costs as a result of litigation or other proceedings relating to patent and other intellectual property rights.</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The cost to us of any litigation or other proceeding relating to intellectual property rights, even if resolved in our favor, could be substantial. Some of our competitors may be better able to sustain the costs of complex patent litigation because they have substantially greater resources. If there is litigation against us, we may not be able to continue our operations.</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Should third parties file patent applications or be issued patents claiming technology also used or claimed by us, we may be required to participate in interference proceedings in the USPTO to determine priority of invention. We may be required to participate in interference proceedings involving our issued patents and pending applications. We may be required to cease using the technology or to license rights from prevailing third parties as a result of an unfavorable outcome in an interference proceeding. A prevailing party in that case may not offer us a license on commercially acceptable terms.</w:t>
      </w:r>
    </w:p>
    <w:p>
      <w:pPr>
        <w:pStyle w:val="TextBody"/>
        <w:spacing w:before="0" w:after="200"/>
        <w:ind w:left="0" w:right="0" w:firstLine="540"/>
        <w:rPr>
          <w:rFonts w:ascii="Times New Roman;Times;serif" w:hAnsi="Times New Roman;Times;serif"/>
          <w:b/>
          <w:i/>
          <w:sz w:val="20"/>
        </w:rPr>
      </w:pPr>
      <w:r>
        <w:rPr>
          <w:rFonts w:ascii="Times New Roman;Times;serif" w:hAnsi="Times New Roman;Times;serif"/>
          <w:b/>
          <w:i/>
          <w:sz w:val="20"/>
        </w:rPr>
        <w:t>Issued patents covering our product candidates could be found invalid or unenforceable if challenged in court or the USPTO.</w:t>
      </w:r>
    </w:p>
    <w:p>
      <w:pPr>
        <w:pStyle w:val="TextBody"/>
        <w:spacing w:before="0" w:after="0"/>
        <w:ind w:left="0" w:right="0" w:firstLine="540"/>
        <w:rPr>
          <w:rFonts w:ascii="Times New Roman;Times;serif" w:hAnsi="Times New Roman;Times;serif"/>
          <w:sz w:val="20"/>
        </w:rPr>
      </w:pPr>
      <w:r>
        <w:rPr>
          <w:rFonts w:ascii="Times New Roman;Times;serif" w:hAnsi="Times New Roman;Times;serif"/>
          <w:sz w:val="20"/>
        </w:rPr>
        <w:t xml:space="preserve">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U.S., defendant counterclaims alleging invalidity and/or unenforceability are commonplace, and there are numerous grounds upon which a third party can assert invalidity or unenforceability of a patent. Third parties may also raise similar claims before administrative bodies in the U.S. or abroad, even outside the context of litigation. Such mechanisms include re-examination, post grant review, and equivalent proceedings in foreign jurisdictions (e.g., opposition proceedings). For example, on November 24, 2021, an opposition proceeding was initiated in the European Patent Office against our European Patent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No. 3601533 B1. This opposition proceeding, or any similar proceedings that may arise in the U.S. or foreign jurisdictions,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or third party were to prevail on a legal assertion of invalidity and/or unenforceability, we would lose at least part, and perhaps all, of the patent protection on our product candidates. Such a loss of patent protection could have a material adverse impact on our business.</w:t>
      </w:r>
    </w:p>
    <w:p>
      <w:pPr>
        <w:pStyle w:val="TextBody"/>
        <w:spacing w:before="0" w:after="200"/>
        <w:ind w:left="0" w:right="0" w:firstLine="540"/>
        <w:rPr>
          <w:rFonts w:ascii="Times New Roman;Times;serif" w:hAnsi="Times New Roman;Times;serif"/>
          <w:b/>
          <w:i/>
          <w:sz w:val="20"/>
        </w:rPr>
      </w:pPr>
      <w:r>
        <w:rPr>
          <w:rFonts w:ascii="Times New Roman;Times;serif" w:hAnsi="Times New Roman;Times;serif"/>
          <w:b/>
          <w:i/>
          <w:sz w:val="20"/>
        </w:rPr>
        <w:t>If we are unable to protect our proprietary rights, we may not be able to compete effectively or operate profitably.</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Our success is dependent in part on maintaining and enforcing the patents and other proprietary rights that we have licensed and may develop, and on our ability to avoid infringing the proprietary rights of others. Certain of our intellectual property rights are licensed from another entity, and as such the preparation and prosecution of these patents and patent applications was not performed by us or under our control. Furthermore, patent law relating to the scope of claims in the biotechnology field in which we operate is still evolving and, consequently, patent positions in our industry may not be as strong as in other more well-established fields. The patent positions of biotechnology companies can be highly uncertain and involve complex legal and factual questions for which important legal principles remain unresolved. No consistent policy regarding the breadth of claims allowed in biotechnology patents has emerged to date.</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The issuance of a patent is not conclusive as to its validity or enforceability and it is uncertain how much protection, if any, will be given to the patents we have licensed from the NIH, Moffitt, or MDACC if any of these parties, or we, attempt to enforce the patents and/or if they are challenged in court or in other proceedings, such as oppositions, which may be brought in foreign jurisdictions to challenge the validity of a patent. A third party may challenge the validity or enforceability of a patent after its issuance by the Patent Office. It is possible that a competitor may successfully challenge our patents or that a challenge will result in limiting their coverage. Moreover, the cost of litigation to uphold the validity of patents and to prevent infringement can be substantial. If the outcome of litigation is adverse to us, third parties may be able to use our patented invention without payment to us. Moreover, it is possible that competitors may infringe our patents or successfully avoid the patented technology through design innovation. To stop these activities, we may need to file a lawsuit. These lawsuits are expensive and would consume time and other resources, even if we were successful in stopping the violation of our patent rights. In addition, there is a risk that a court would decide that our patents are not valid and that we do not have the right to stop the other party from using the inventions. There is also the risk that, even if the validity of our patents were upheld, a court would refuse to stop the other party on the grounds that its activities are not covered by, that is, do not infringe, our patents.</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Should third parties file patent applications, or be issued patents claiming technology also used or claimed by our licensor(s) or by us in any future patent application, we may be required to participate in interference proceedings in the USPTO to determine priority of invention for those patents or patent applications that are subject to the first-to-invent law in the U.S., or may be required to participate in derivation proceedings in the USPTO for those patents or patent applications that are subject to the first-inventor-to-file law in the U.S. We may be required to participate in such interference or derivation proceedings involving our issued patents and pending applications. We may be required to cease using the technology or to license rights from prevailing third parties as a result of an unfavorable outcome in an interference proceeding or derivation proceeding. A prevailing party in that case may not offer us a license on commercially acceptable terms.</w:t>
      </w:r>
    </w:p>
    <w:p>
      <w:pPr>
        <w:pStyle w:val="TextBody"/>
        <w:spacing w:before="0" w:after="200"/>
        <w:ind w:left="0" w:right="0" w:firstLine="540"/>
        <w:rPr>
          <w:rFonts w:ascii="Times New Roman;Times;serif" w:hAnsi="Times New Roman;Times;serif"/>
          <w:b/>
          <w:i/>
          <w:sz w:val="20"/>
        </w:rPr>
      </w:pPr>
      <w:r>
        <w:rPr>
          <w:rFonts w:ascii="Times New Roman;Times;serif" w:hAnsi="Times New Roman;Times;serif"/>
          <w:b/>
          <w:i/>
          <w:sz w:val="20"/>
        </w:rPr>
        <w:t>We cannot prevent other companies from licensing most of the same intellectual properties that we have licensed or from otherwise duplicating our business model and operations.</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Certain intellectual properties that we are using to develop TIL-based cancer therapy products were licensed to us by the NIH. The issued or pending patents that the NIH licensed to us are exclusive, and specific with respect to melanoma, breast, HPV-associated, bladder and lung cancers. No assurance can be given that the NIH has not previously licensed, or that the NIH hereafter will not license to other biotechnology companies some or all of the non-exclusive technologies available to us under the NIH License Agreement. In addition, one pending U.S. patent application in the NIH License Agreement is not owned solely by the NIH. No assurance can be given that NIH’s co-owner of the certain pending U.S. patent application in the NIH License Agreement has not previously licensed, or that the co-owner thereafter will not license, to other biotechnology companies some or all of the technologies available to us. Co-ownership of these intellectual properties will create issues with respect to our ability to enforce the intellectual property rights in courts and will create issues with respect to the accountability of one entity with respect to the other.</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Since the NCI, Moffitt, MDACC, and others already use TIL therapy for the treatment of metastatic melanoma and other indications, their methods and data are also available to third parties, who may want to enter into our line of business and compete against us. Other than the Gen 2 manufacturing process, we currently do not own any exclusive rights on our entire product portfolio that could be used to prevent third parties from duplicating our business plan or from otherwise directly competing against us. While additional technologies that may be developed under our CRADA may be licensed to us on an exclusive basis, no assurance can be given that our existing exclusive rights and will be sufficient to prevent others from competing with us and developing substantially similar products.</w:t>
      </w:r>
    </w:p>
    <w:p>
      <w:pPr>
        <w:pStyle w:val="TextBody"/>
        <w:spacing w:before="0" w:after="200"/>
        <w:ind w:left="0" w:right="0" w:firstLine="540"/>
        <w:rPr>
          <w:rFonts w:ascii="Times New Roman;Times;serif" w:hAnsi="Times New Roman;Times;serif"/>
          <w:b/>
          <w:i/>
          <w:sz w:val="20"/>
        </w:rPr>
      </w:pPr>
      <w:r>
        <w:rPr>
          <w:rFonts w:ascii="Times New Roman;Times;serif" w:hAnsi="Times New Roman;Times;serif"/>
          <w:b/>
          <w:i/>
          <w:sz w:val="20"/>
        </w:rPr>
        <w:t>The use of our technologies could potentially conflict with the rights of others.</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Our potential competitors or others may have or acquire patent rights that they could enforce against us. If they do so, then we may be required to alter our products, pay licensing fees or cease activities. If our products conflict with patent rights of others, third parties could bring legal actions against us or our collaborators, licensees, suppliers or customers, claiming damages and seeking to enjoin manufacturing, use and marketing of the affected products. If these legal actions are successful, in addition to any potential liability for damages (including treble damages and attorneys’ fees for willful infringement), we could be required to obtain a license to continue manufacturing, promoting the use or marketing the affected products. We may not prevail in any legal action and a required license under the patent may not be available on acceptable terms or at all.</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We have conducted an extensive freedom-to-operate, or FTO, analyses of the patent landscape with respect to our lead product candidates. Although we continue to undertake FTO analyses of our manufacturing processes, our lead TIL products, and contemplated future processes and products, because patent applications do not publish for 18 months, and because the claims of patent applications can change over time, no FTO analysis can be considered exhaustive. Furthermore, patent and other intellectual property rights in biotechnology remains an evolving area with many risks and uncertainties. As such, we may not be able to ensure that we can market our product candidates without conflict with the rights of others.</w:t>
      </w:r>
    </w:p>
    <w:p>
      <w:pPr>
        <w:pStyle w:val="TextBody"/>
        <w:spacing w:before="0" w:after="200"/>
        <w:ind w:left="0" w:right="0" w:firstLine="540"/>
        <w:rPr>
          <w:rFonts w:ascii="Times New Roman;Times;serif" w:hAnsi="Times New Roman;Times;serif"/>
          <w:b/>
          <w:i/>
          <w:sz w:val="20"/>
        </w:rPr>
      </w:pPr>
      <w:r>
        <w:rPr>
          <w:rFonts w:ascii="Times New Roman;Times;serif" w:hAnsi="Times New Roman;Times;serif"/>
          <w:b/>
          <w:i/>
          <w:sz w:val="20"/>
        </w:rPr>
        <w:t>Changes in U.S. patent law could diminish the value of patents in general, thereby impairing our ability to protect our products.</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As is the case with other cell therapy and biopharmaceutical companies, our success is dependent on intellectual property, particularly patents. Obtaining and enforcing patents in the biopharmaceutical industry involves both technological and legal complexity, and is therefore costly, time-consuming and inherently uncertain. In addition, the U.S.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While we do not believe that any of the patents owned or licensed by us will be found invalid based on this decision, we cannot predict how future decisions by the courts, the U.S. Congress or the USPTO may impact the value of our patents.</w:t>
      </w:r>
    </w:p>
    <w:p>
      <w:pPr>
        <w:pStyle w:val="TextBody"/>
        <w:spacing w:before="0" w:after="200"/>
        <w:ind w:left="0" w:right="0" w:firstLine="540"/>
        <w:rPr>
          <w:rFonts w:ascii="Times New Roman;Times;serif" w:hAnsi="Times New Roman;Times;serif"/>
          <w:b/>
          <w:i/>
          <w:sz w:val="20"/>
        </w:rPr>
      </w:pPr>
      <w:r>
        <w:rPr>
          <w:rFonts w:ascii="Times New Roman;Times;serif" w:hAnsi="Times New Roman;Times;serif"/>
          <w:b/>
          <w:i/>
          <w:sz w:val="20"/>
        </w:rPr>
        <w:t>We have limited foreign intellectual property rights and may not be able to protect our intellectual property rights throughout the world.</w:t>
      </w:r>
    </w:p>
    <w:p>
      <w:pPr>
        <w:pStyle w:val="TextBody"/>
        <w:spacing w:before="0" w:after="200"/>
        <w:ind w:left="0" w:right="0" w:firstLine="540"/>
        <w:rPr>
          <w:rFonts w:ascii="Times New Roman;Times;serif" w:hAnsi="Times New Roman;Times;serif"/>
          <w:sz w:val="20"/>
        </w:rPr>
      </w:pPr>
      <w:r>
        <w:rPr>
          <w:rFonts w:ascii="Times New Roman;Times;serif" w:hAnsi="Times New Roman;Times;serif"/>
          <w:sz w:val="20"/>
        </w:rPr>
        <w:t>We have limited intellectual property rights outside the U.S. Filing, prosecuting and defending patents on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w:t>
      </w:r>
    </w:p>
    <w:p>
      <w:pPr>
        <w:pStyle w:val="TextBody"/>
        <w:spacing w:before="0" w:after="0"/>
        <w:ind w:left="0" w:right="0" w:firstLine="540"/>
        <w:rPr>
          <w:rFonts w:ascii="Times New Roman;Times;serif" w:hAnsi="Times New Roman;Times;serif"/>
          <w:sz w:val="20"/>
        </w:rPr>
      </w:pPr>
      <w:r>
        <w:rPr>
          <w:rFonts w:ascii="Times New Roman;Times;serif" w:hAnsi="Times New Roman;Times;serif"/>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spacing w:before="0" w:after="200"/>
        <w:ind w:left="0" w:right="0" w:firstLine="540"/>
        <w:rPr>
          <w:rFonts w:ascii="Times New Roman;Times;serif" w:hAnsi="Times New Roman;Times;serif"/>
          <w:b/>
          <w:i/>
          <w:sz w:val="20"/>
        </w:rPr>
      </w:pPr>
      <w:r>
        <w:rPr>
          <w:rFonts w:ascii="Times New Roman;Times;serif" w:hAnsi="Times New Roman;Times;serif"/>
          <w:b/>
          <w:i/>
          <w:sz w:val="20"/>
        </w:rPr>
        <w:t>We may be subject to claims that our employees, consultants or independent contractors have wrongfully used or disclosed confidential information of third parties.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We have received confidential and proprietary information from third parties and our employees and contractors.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Litigation may be necessary to defend against or pursue these claims. For example, we are currently engaged in litigation involving counterclaims that we have brought relating to theft of certain of our trade secrets, breach of confidentiality, and related counterclaims. Even if we are successful in resolving these claims, litigation could result in substantial cost and be a distraction to our management and employees.</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Risks Related to Our Securities</w:t>
      </w:r>
    </w:p>
    <w:p>
      <w:pPr>
        <w:pStyle w:val="TextBody"/>
        <w:spacing w:before="0" w:after="200"/>
        <w:ind w:left="0" w:right="0" w:firstLine="547"/>
        <w:rPr>
          <w:rFonts w:ascii="Times New Roman;Times;serif" w:hAnsi="Times New Roman;Times;serif"/>
          <w:b/>
          <w:i/>
          <w:sz w:val="20"/>
        </w:rPr>
      </w:pPr>
      <w:r>
        <w:rPr>
          <w:rFonts w:ascii="Times New Roman;Times;serif" w:hAnsi="Times New Roman;Times;serif"/>
          <w:b/>
          <w:i/>
          <w:sz w:val="20"/>
        </w:rPr>
        <w:t>Our officers, directors and principal stockholders own a substantial percentage of our stock and will be able to exert significant control over matters subject to stockholder approval.</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Our officers, directors, and principal stockholders currently beneficially own a substantial portion of our outstanding voting stock. Therefore, these stockholders have the ability and may continue to have the ability to influence our corporate decision making. Given current ownership levels, these stockholders may be able to determine some or all matters requiring stockholder approval. For example, these stockholders, acting together, may be able to control or influence elections of directors, amendments to our certificate of incorporation or bylaws, or approval of any merger, sale of assets, or other major corporate transaction. This level of control may prevent or discourage unsolicited acquisition proposals or offers for our common stock that you may believe are in your best interest as one of our stockholders.</w:t>
      </w:r>
    </w:p>
    <w:p>
      <w:pPr>
        <w:pStyle w:val="TextBody"/>
        <w:spacing w:before="0" w:after="240"/>
        <w:ind w:left="0" w:right="0" w:firstLine="547"/>
        <w:rPr>
          <w:rFonts w:ascii="Times New Roman;Times;serif" w:hAnsi="Times New Roman;Times;serif"/>
          <w:b/>
          <w:i/>
          <w:sz w:val="20"/>
        </w:rPr>
      </w:pPr>
      <w:r>
        <w:rPr>
          <w:rFonts w:ascii="Times New Roman;Times;serif" w:hAnsi="Times New Roman;Times;serif"/>
          <w:b/>
          <w:i/>
          <w:sz w:val="20"/>
        </w:rPr>
        <w:t>Our stock price may be volatile, and our stockholders’ investment in our stock could decline in value.</w:t>
      </w:r>
    </w:p>
    <w:p>
      <w:pPr>
        <w:pStyle w:val="TextBody"/>
        <w:spacing w:before="0" w:after="240"/>
        <w:ind w:left="0" w:right="0" w:firstLine="547"/>
        <w:rPr>
          <w:rFonts w:ascii="Times New Roman;Times;serif" w:hAnsi="Times New Roman;Times;serif"/>
          <w:sz w:val="20"/>
        </w:rPr>
      </w:pPr>
      <w:r>
        <w:rPr>
          <w:rFonts w:ascii="Times New Roman;Times;serif" w:hAnsi="Times New Roman;Times;serif"/>
          <w:sz w:val="20"/>
        </w:rPr>
        <w:t>The market price of our common stock is likely to be volatile and could fluctuate widely in response to many factors, including but not limited to:</w:t>
      </w:r>
    </w:p>
    <w:tbl>
      <w:tblPr>
        <w:tblW w:w="6981" w:type="dxa"/>
        <w:jc w:val="left"/>
        <w:tblInd w:w="0" w:type="dxa"/>
        <w:tblCellMar>
          <w:top w:w="28" w:type="dxa"/>
          <w:left w:w="28" w:type="dxa"/>
          <w:bottom w:w="28" w:type="dxa"/>
          <w:right w:w="28" w:type="dxa"/>
        </w:tblCellMar>
      </w:tblPr>
      <w:tblGrid>
        <w:gridCol w:w="124"/>
        <w:gridCol w:w="256"/>
        <w:gridCol w:w="66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6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and instability in the capital markets due to the COVID-19 pandemic;</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the results of clinical trials by us, our collaborators, or our competitors, or negative developments with respect to similar products, including those being developed by our collaborators;</w:t>
            </w:r>
          </w:p>
        </w:tc>
      </w:tr>
    </w:tbl>
    <w:tbl>
      <w:tblPr>
        <w:tblW w:w="5256" w:type="dxa"/>
        <w:jc w:val="left"/>
        <w:tblInd w:w="0" w:type="dxa"/>
        <w:tblCellMar>
          <w:top w:w="28" w:type="dxa"/>
          <w:left w:w="28" w:type="dxa"/>
          <w:bottom w:w="28" w:type="dxa"/>
          <w:right w:w="28" w:type="dxa"/>
        </w:tblCellMar>
      </w:tblPr>
      <w:tblGrid>
        <w:gridCol w:w="124"/>
        <w:gridCol w:w="256"/>
        <w:gridCol w:w="48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8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with respect to patents or proprietary rights;</w:t>
            </w:r>
          </w:p>
        </w:tc>
      </w:tr>
    </w:tbl>
    <w:tbl>
      <w:tblPr>
        <w:tblW w:w="6276" w:type="dxa"/>
        <w:jc w:val="left"/>
        <w:tblInd w:w="0" w:type="dxa"/>
        <w:tblCellMar>
          <w:top w:w="28" w:type="dxa"/>
          <w:left w:w="28" w:type="dxa"/>
          <w:bottom w:w="28" w:type="dxa"/>
          <w:right w:w="28" w:type="dxa"/>
        </w:tblCellMar>
      </w:tblPr>
      <w:tblGrid>
        <w:gridCol w:w="124"/>
        <w:gridCol w:w="256"/>
        <w:gridCol w:w="58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8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technological innovations by us or our competitors;</w:t>
            </w:r>
          </w:p>
        </w:tc>
      </w:tr>
    </w:tbl>
    <w:tbl>
      <w:tblPr>
        <w:tblW w:w="6576" w:type="dxa"/>
        <w:jc w:val="left"/>
        <w:tblInd w:w="0" w:type="dxa"/>
        <w:tblCellMar>
          <w:top w:w="28" w:type="dxa"/>
          <w:left w:w="28" w:type="dxa"/>
          <w:bottom w:w="28" w:type="dxa"/>
          <w:right w:w="28" w:type="dxa"/>
        </w:tblCellMar>
      </w:tblPr>
      <w:tblGrid>
        <w:gridCol w:w="124"/>
        <w:gridCol w:w="256"/>
        <w:gridCol w:w="61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1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new products or new contracts by us or our competitors;</w:t>
            </w:r>
          </w:p>
        </w:tc>
      </w:tr>
    </w:tbl>
    <w:tbl>
      <w:tblPr>
        <w:tblW w:w="9831" w:type="dxa"/>
        <w:jc w:val="left"/>
        <w:tblInd w:w="0" w:type="dxa"/>
        <w:tblCellMar>
          <w:top w:w="28" w:type="dxa"/>
          <w:left w:w="28" w:type="dxa"/>
          <w:bottom w:w="28" w:type="dxa"/>
          <w:right w:w="28" w:type="dxa"/>
        </w:tblCellMar>
      </w:tblPr>
      <w:tblGrid>
        <w:gridCol w:w="124"/>
        <w:gridCol w:w="256"/>
        <w:gridCol w:w="94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4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variations in our operating results due to the level of development expenses and other factors;</w:t>
            </w:r>
          </w:p>
        </w:tc>
      </w:tr>
    </w:tbl>
    <w:tbl>
      <w:tblPr>
        <w:tblW w:w="9936" w:type="dxa"/>
        <w:jc w:val="left"/>
        <w:tblInd w:w="0" w:type="dxa"/>
        <w:tblCellMar>
          <w:top w:w="28" w:type="dxa"/>
          <w:left w:w="28" w:type="dxa"/>
          <w:bottom w:w="28" w:type="dxa"/>
          <w:right w:w="28" w:type="dxa"/>
        </w:tblCellMar>
      </w:tblPr>
      <w:tblGrid>
        <w:gridCol w:w="124"/>
        <w:gridCol w:w="256"/>
        <w:gridCol w:w="95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5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estimates by equities research analysts and whether our earnings meet or exceed such estimates;</w:t>
            </w:r>
          </w:p>
        </w:tc>
      </w:tr>
    </w:tbl>
    <w:tbl>
      <w:tblPr>
        <w:tblW w:w="7086" w:type="dxa"/>
        <w:jc w:val="left"/>
        <w:tblInd w:w="0" w:type="dxa"/>
        <w:tblCellMar>
          <w:top w:w="28" w:type="dxa"/>
          <w:left w:w="28" w:type="dxa"/>
          <w:bottom w:w="28" w:type="dxa"/>
          <w:right w:w="28" w:type="dxa"/>
        </w:tblCellMar>
      </w:tblPr>
      <w:tblGrid>
        <w:gridCol w:w="124"/>
        <w:gridCol w:w="256"/>
        <w:gridCol w:w="67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7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and trends in the pharmaceutical, biotechnology and other industries;</w:t>
            </w:r>
          </w:p>
        </w:tc>
      </w:tr>
    </w:tbl>
    <w:tbl>
      <w:tblPr>
        <w:tblW w:w="6591" w:type="dxa"/>
        <w:jc w:val="left"/>
        <w:tblInd w:w="0" w:type="dxa"/>
        <w:tblCellMar>
          <w:top w:w="28" w:type="dxa"/>
          <w:left w:w="28" w:type="dxa"/>
          <w:bottom w:w="28" w:type="dxa"/>
          <w:right w:w="28" w:type="dxa"/>
        </w:tblCellMar>
      </w:tblPr>
      <w:tblGrid>
        <w:gridCol w:w="124"/>
        <w:gridCol w:w="256"/>
        <w:gridCol w:w="62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2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receipt, or lack of receipt, of funding in support of conducing our business;</w:t>
            </w:r>
          </w:p>
        </w:tc>
      </w:tr>
    </w:tbl>
    <w:tbl>
      <w:tblPr>
        <w:tblW w:w="5151" w:type="dxa"/>
        <w:jc w:val="left"/>
        <w:tblInd w:w="0" w:type="dxa"/>
        <w:tblCellMar>
          <w:top w:w="28" w:type="dxa"/>
          <w:left w:w="28" w:type="dxa"/>
          <w:bottom w:w="28" w:type="dxa"/>
          <w:right w:w="28" w:type="dxa"/>
        </w:tblCellMar>
      </w:tblPr>
      <w:tblGrid>
        <w:gridCol w:w="124"/>
        <w:gridCol w:w="256"/>
        <w:gridCol w:w="47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7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developments within, and outside of, the U.S.;</w:t>
            </w:r>
          </w:p>
        </w:tc>
      </w:tr>
    </w:tbl>
    <w:tbl>
      <w:tblPr>
        <w:tblW w:w="2466" w:type="dxa"/>
        <w:jc w:val="left"/>
        <w:tblInd w:w="0" w:type="dxa"/>
        <w:tblCellMar>
          <w:top w:w="28" w:type="dxa"/>
          <w:left w:w="28" w:type="dxa"/>
          <w:bottom w:w="28" w:type="dxa"/>
          <w:right w:w="28" w:type="dxa"/>
        </w:tblCellMar>
      </w:tblPr>
      <w:tblGrid>
        <w:gridCol w:w="124"/>
        <w:gridCol w:w="256"/>
        <w:gridCol w:w="20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0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or arbitration;</w:t>
            </w:r>
          </w:p>
        </w:tc>
      </w:tr>
    </w:tbl>
    <w:tbl>
      <w:tblPr>
        <w:tblW w:w="3951" w:type="dxa"/>
        <w:jc w:val="left"/>
        <w:tblInd w:w="0" w:type="dxa"/>
        <w:tblCellMar>
          <w:top w:w="28" w:type="dxa"/>
          <w:left w:w="28" w:type="dxa"/>
          <w:bottom w:w="28" w:type="dxa"/>
          <w:right w:w="28" w:type="dxa"/>
        </w:tblCellMar>
      </w:tblPr>
      <w:tblGrid>
        <w:gridCol w:w="124"/>
        <w:gridCol w:w="256"/>
        <w:gridCol w:w="35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5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volatility in the financial markets;</w:t>
            </w:r>
          </w:p>
        </w:tc>
      </w:tr>
    </w:tbl>
    <w:tbl>
      <w:tblPr>
        <w:tblW w:w="6411" w:type="dxa"/>
        <w:jc w:val="left"/>
        <w:tblInd w:w="0" w:type="dxa"/>
        <w:tblCellMar>
          <w:top w:w="28" w:type="dxa"/>
          <w:left w:w="28" w:type="dxa"/>
          <w:bottom w:w="28" w:type="dxa"/>
          <w:right w:w="28" w:type="dxa"/>
        </w:tblCellMar>
      </w:tblPr>
      <w:tblGrid>
        <w:gridCol w:w="124"/>
        <w:gridCol w:w="256"/>
        <w:gridCol w:w="60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0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political and market conditions and other factors; and</w:t>
            </w:r>
          </w:p>
        </w:tc>
      </w:tr>
    </w:tbl>
    <w:tbl>
      <w:tblPr>
        <w:tblW w:w="7206" w:type="dxa"/>
        <w:jc w:val="left"/>
        <w:tblInd w:w="0" w:type="dxa"/>
        <w:tblCellMar>
          <w:top w:w="28" w:type="dxa"/>
          <w:left w:w="28" w:type="dxa"/>
          <w:bottom w:w="28" w:type="dxa"/>
          <w:right w:w="28" w:type="dxa"/>
        </w:tblCellMar>
      </w:tblPr>
      <w:tblGrid>
        <w:gridCol w:w="124"/>
        <w:gridCol w:w="256"/>
        <w:gridCol w:w="68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8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of any of the risks described in this Quarterly Report on Form 10-Q.</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547"/>
        <w:rPr>
          <w:rFonts w:ascii="Times New Roman;Times;serif" w:hAnsi="Times New Roman;Times;serif"/>
          <w:b/>
          <w:i/>
          <w:sz w:val="20"/>
        </w:rPr>
      </w:pPr>
      <w:r>
        <w:rPr>
          <w:rFonts w:ascii="Times New Roman;Times;serif" w:hAnsi="Times New Roman;Times;serif"/>
          <w:b/>
          <w:i/>
          <w:sz w:val="20"/>
        </w:rPr>
        <w:t>You may experience future dilution as a result of future equity offerings or other equity issuances.</w:t>
      </w:r>
    </w:p>
    <w:p>
      <w:pPr>
        <w:pStyle w:val="TextBody"/>
        <w:spacing w:before="0" w:after="240"/>
        <w:ind w:left="0" w:right="0" w:firstLine="547"/>
        <w:rPr>
          <w:rFonts w:ascii="Times New Roman;Times;serif" w:hAnsi="Times New Roman;Times;serif"/>
          <w:sz w:val="20"/>
        </w:rPr>
      </w:pPr>
      <w:r>
        <w:rPr>
          <w:rFonts w:ascii="Times New Roman;Times;serif" w:hAnsi="Times New Roman;Times;serif"/>
          <w:sz w:val="20"/>
        </w:rPr>
        <w:t>We may have to raise additional capital in the future. To raise additional capital, we may in the future offer additional shares of our common stock or other securities convertible into or exchangeable for our common stock at prices that may be lower than the current price per share of our common stock. In addition,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prior offerings. Any such issuance could result in substantial dilution to our existing stockholders.</w:t>
      </w:r>
    </w:p>
    <w:p>
      <w:pPr>
        <w:pStyle w:val="TextBody"/>
        <w:spacing w:before="0" w:after="240"/>
        <w:ind w:left="0" w:right="0" w:firstLine="547"/>
        <w:rPr>
          <w:rFonts w:ascii="Times New Roman;Times;serif" w:hAnsi="Times New Roman;Times;serif"/>
          <w:b/>
          <w:i/>
          <w:sz w:val="20"/>
        </w:rPr>
      </w:pPr>
      <w:r>
        <w:rPr>
          <w:rFonts w:ascii="Times New Roman;Times;serif" w:hAnsi="Times New Roman;Times;serif"/>
          <w:b/>
          <w:i/>
          <w:sz w:val="20"/>
        </w:rPr>
        <w:t>Future sales of our common stock in the public market could cause our stock price to fall.*</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Our stock price could decline as a result of sales of a large number of shares of our common stock or the perception that these sales could occur. These sales, or the possibility that these sales may occur, also might make it more difficult for us to sell equity securities in the future at a time and at a price that we deem appropriate.</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As of March 31, 2023, we had 224,358,979 shares of common stock outstanding. In addition, we had 26,360,916 shares of common stock equivalents that would increase the number of common stock outstanding if these instruments were exercised or converted to purchase common stock based on vesting requirements of stock options and common stock issuable through purchases of employee stock purchase plan, or upon the conversion of preferred stock. The issuance and subsequent sale of the shares underlying these common stock equivalents could depress the trading price of our common stock. On June 10, 2019, our certificate of incorporation was amended to increase the number of authorized shares of our common stock, par value $0.000041666, from 150,000,000 shares to 300,000,000 shares, which was approved by our stockholders on that date.</w:t>
      </w:r>
    </w:p>
    <w:p>
      <w:pPr>
        <w:pStyle w:val="TextBody"/>
        <w:spacing w:before="0" w:after="240"/>
        <w:ind w:left="0" w:right="0" w:firstLine="547"/>
        <w:rPr>
          <w:rFonts w:ascii="Times New Roman;Times;serif" w:hAnsi="Times New Roman;Times;serif"/>
          <w:sz w:val="20"/>
        </w:rPr>
      </w:pPr>
      <w:r>
        <w:rPr>
          <w:rFonts w:ascii="Times New Roman;Times;serif" w:hAnsi="Times New Roman;Times;serif"/>
          <w:sz w:val="20"/>
        </w:rPr>
        <w:t>In addition, in the future, we may issue additional shares of common stock or other equity or debt securities convertible into common stock in connection with a financing, acquisition, litigation settlement, employee arrangements or otherwise. For example, in June 2020, we issued 19,475,806 shares of common stock in connection with an underwritten public offering, and we may offer additional shares under our automatic shelf registration statement in the future. Future issuances may result in substantial dilution to our existing stockholders and could cause our stock price to decline.</w:t>
      </w:r>
    </w:p>
    <w:p>
      <w:pPr>
        <w:pStyle w:val="TextBody"/>
        <w:spacing w:before="0" w:after="240"/>
        <w:ind w:left="0" w:right="0" w:firstLine="547"/>
        <w:rPr>
          <w:rFonts w:ascii="Times New Roman;Times;serif" w:hAnsi="Times New Roman;Times;serif"/>
          <w:b/>
          <w:i/>
          <w:sz w:val="20"/>
        </w:rPr>
      </w:pPr>
      <w:r>
        <w:rPr>
          <w:rFonts w:ascii="Times New Roman;Times;serif" w:hAnsi="Times New Roman;Times;serif"/>
          <w:b/>
          <w:i/>
          <w:sz w:val="20"/>
        </w:rPr>
        <w:t>If equities or industry analysts do not publish research or reports about our company, or if they issue adverse or misleading opinions regarding us or our stock, our stock price and trading volume could decline.</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Although we have research coverage by equities analysts, if coverage is not maintained, the market price for our stock may be adversely affected. Our stock price also may decline if any analyst who covers us issues an adverse or erroneous opinion regarding us, our business model, our intellectual property or our stock performance, or if our clinical trials and operating results fail to meet analysts’ expectations. If one or more analysts cease coverage of us or fail to regularly publish reports on us, we could lose visibility in the financial markets, which could cause our stock price or trading volume to decline and possibly adversely affect our ability to engage in future financings.</w:t>
      </w:r>
    </w:p>
    <w:p>
      <w:pPr>
        <w:pStyle w:val="TextBody"/>
        <w:spacing w:before="0" w:after="200"/>
        <w:ind w:left="0" w:right="0" w:firstLine="547"/>
        <w:rPr>
          <w:rFonts w:ascii="Times New Roman;Times;serif" w:hAnsi="Times New Roman;Times;serif"/>
          <w:b/>
          <w:i/>
          <w:sz w:val="20"/>
        </w:rPr>
      </w:pPr>
      <w:r>
        <w:rPr>
          <w:rFonts w:ascii="Times New Roman;Times;serif" w:hAnsi="Times New Roman;Times;serif"/>
          <w:b/>
          <w:i/>
          <w:sz w:val="20"/>
        </w:rPr>
        <w:t>If we fail to maintain an effective system of internal control over financial reporting, we may not be able to accurately report our financial results. As a result, we could become subject to sanctions or investigations by regulatory authorities and/or stockholder litigation, which could harm our business and have an adverse effect on our stock price.</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As a public reporting company, we are subject to various regulatory requirements, including the Sarbanes-Oxley Act of 2002, which requires our management to assess and report on our internal controls over financial reporting. Nevertheless, in future years, our testing, or the subsequent testing by our independent registered public accounting firm, may reveal deficiencies in our internal controls that we would be required to remediate in a timely manner to be able to comply with the requirements of Section 404 of the Sarbanes-Oxley Act each year. If we are not able to comply with the requirements of Section 404 of the Sarbanes-Oxley Act each year, we could be subject to sanctions or investigations by the SEC, Nasdaq or other regulatory authorities which would require additional financial and management resources and could adversely affect the market price of our common stock. In addition, material weaknesses in our internal controls could result in a loss of investor confidence in our financial reports.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540"/>
        <w:jc w:val="both"/>
        <w:rPr>
          <w:rFonts w:ascii="Times New Roman;Times;serif" w:hAnsi="Times New Roman;Times;serif"/>
          <w:b/>
          <w:i/>
          <w:sz w:val="20"/>
        </w:rPr>
      </w:pPr>
      <w:r>
        <w:rPr>
          <w:rFonts w:ascii="Times New Roman;Times;serif" w:hAnsi="Times New Roman;Times;serif"/>
          <w:b/>
          <w:i/>
          <w:sz w:val="20"/>
        </w:rPr>
        <w:t xml:space="preserve">We are, and in the future may be, subject to federal or state securities or related legal actions that could adversely affect our results of operations and our business. </w:t>
      </w:r>
    </w:p>
    <w:p>
      <w:pPr>
        <w:pStyle w:val="TextBody"/>
        <w:spacing w:before="0" w:after="0"/>
        <w:ind w:left="0" w:right="0" w:firstLine="540"/>
        <w:rPr>
          <w:rFonts w:ascii="Times New Roman;Times;serif" w:hAnsi="Times New Roman;Times;serif"/>
          <w:sz w:val="20"/>
          <w:highlight w:val="white"/>
        </w:rPr>
      </w:pPr>
      <w:r>
        <w:rPr>
          <w:rFonts w:ascii="Times New Roman;Times;serif" w:hAnsi="Times New Roman;Times;serif"/>
          <w:sz w:val="20"/>
          <w:highlight w:val="white"/>
        </w:rPr>
        <w:t>Federal and state securities and related legal actions may result in substantial costs and divert our management’s attention from other business concerns, which could seriously harm our business or affect our reputation. We may not be successful in defending future claims and cannot provide assurance that insurance proceeds will be sufficient to cover any costs or liability under such claims.</w:t>
      </w:r>
    </w:p>
    <w:p>
      <w:pPr>
        <w:pStyle w:val="TextBody"/>
        <w:spacing w:before="0" w:after="0"/>
        <w:ind w:left="0" w:right="0" w:firstLine="547"/>
        <w:rPr/>
      </w:pPr>
      <w:r>
        <w:rPr/>
        <w:t>​</w:t>
      </w:r>
    </w:p>
    <w:p>
      <w:pPr>
        <w:pStyle w:val="TextBody"/>
        <w:spacing w:before="0" w:after="0"/>
        <w:ind w:left="0" w:right="0" w:firstLine="547"/>
        <w:rPr>
          <w:rFonts w:ascii="Times New Roman;Times;serif" w:hAnsi="Times New Roman;Times;serif"/>
          <w:sz w:val="20"/>
        </w:rPr>
      </w:pPr>
      <w:r>
        <w:rPr>
          <w:rFonts w:ascii="Times New Roman;Times;serif" w:hAnsi="Times New Roman;Times;serif"/>
          <w:sz w:val="20"/>
        </w:rPr>
        <w:t xml:space="preserve">For example, on December 11, 2020, a purported stockholder derivative complaint was filed by plaintiff Leo Shumacher against us, as nominal defendant, and then current directors, as defendants, in the Court of Chancery in the State of Delaware (the “Court”). The complaint alleges breach of fiduciary duty and a claim for unjust enrichment in connection with alleged excessive compensation of certain of our non-executive directors and seeks unspecified damages on behalf of our company. The parties have agreed to a proposed settlement, which was submitted to the Court on June 15, 2022. The parties continue to work toward settlement after a hearing on November 17, 2022, where the Court required additional steps to be taken by the parties before it will determine whether final approval will be given to the settlement. The outcome of this and other future litigation is uncertain. </w:t>
      </w:r>
    </w:p>
    <w:p>
      <w:pPr>
        <w:pStyle w:val="TextBody"/>
        <w:spacing w:before="0" w:after="0"/>
        <w:ind w:left="0" w:right="0" w:firstLine="547"/>
        <w:rPr/>
      </w:pPr>
      <w:r>
        <w:rPr/>
        <w:t>​</w:t>
      </w:r>
    </w:p>
    <w:p>
      <w:pPr>
        <w:pStyle w:val="TextBody"/>
        <w:spacing w:before="0" w:after="200"/>
        <w:ind w:left="0" w:right="0" w:firstLine="547"/>
        <w:rPr>
          <w:rFonts w:ascii="Times New Roman;Times;serif" w:hAnsi="Times New Roman;Times;serif"/>
          <w:b/>
          <w:i/>
          <w:sz w:val="20"/>
        </w:rPr>
      </w:pPr>
      <w:r>
        <w:rPr>
          <w:rFonts w:ascii="Times New Roman;Times;serif" w:hAnsi="Times New Roman;Times;serif"/>
          <w:b/>
          <w:i/>
          <w:sz w:val="20"/>
        </w:rPr>
        <w:t>Our Board of Directors could issue one or more additional series of preferred stock without stockholder approval with the effect of diluting existing stockholders and impairing their voting and other rights.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Our certificate of incorporation, as amended, authorizes the issuance of up to 50,000,000 shares of “blank check” preferred stock (of which only 17,000 shares were issued as Series A Convertible Preferred Stock and 11,500,000 shares were issued as Series B Convertible Preferred Stock) with designations, rights and preferences as may be determined from time to time by our Board of Directors. Our Board of Directors is empowered, without stockholder approval, to issue one or more series of preferred stock with dividend, liquidation, conversion, voting or other rights which could dilute the interest of, or impair the voting power of, our common stockholders. The issuance of a series of preferred stock could be used as a method of discouraging, delaying or preventing a change in control. For example, it would be possible for our Board of Directors to issue preferred stock with voting or other rights or preferences that could impede the success of any attempt to effect a change in control of our company.</w:t>
      </w:r>
    </w:p>
    <w:p>
      <w:pPr>
        <w:pStyle w:val="TextBody"/>
        <w:spacing w:before="0" w:after="200"/>
        <w:ind w:left="0" w:right="0" w:firstLine="547"/>
        <w:rPr>
          <w:rFonts w:ascii="Times New Roman;Times;serif" w:hAnsi="Times New Roman;Times;serif"/>
          <w:b/>
          <w:i/>
          <w:sz w:val="20"/>
        </w:rPr>
      </w:pPr>
      <w:r>
        <w:rPr>
          <w:rFonts w:ascii="Times New Roman;Times;serif" w:hAnsi="Times New Roman;Times;serif"/>
          <w:b/>
          <w:i/>
          <w:sz w:val="20"/>
        </w:rPr>
        <w:t>We do not anticipate paying cash dividends for the foreseeable future, and therefore investors should not buy our stock if they wish to receive cash dividends.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We have never declared or paid any cash dividends or distributions on our common stock. We currently intend to retain our future earnings to support operations and to finance expansion and, therefore, we do not anticipate paying any cash dividends on our common stock in the foreseeable future.</w:t>
      </w:r>
    </w:p>
    <w:p>
      <w:pPr>
        <w:pStyle w:val="TextBody"/>
        <w:spacing w:before="0" w:after="200"/>
        <w:ind w:left="0" w:right="0" w:firstLine="547"/>
        <w:rPr>
          <w:rFonts w:ascii="Times New Roman;Times;serif" w:hAnsi="Times New Roman;Times;serif"/>
          <w:b/>
          <w:i/>
          <w:sz w:val="20"/>
        </w:rPr>
      </w:pPr>
      <w:r>
        <w:rPr>
          <w:rFonts w:ascii="Times New Roman;Times;serif" w:hAnsi="Times New Roman;Times;serif"/>
          <w:b/>
          <w:i/>
          <w:sz w:val="20"/>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There are provisions in our certificate of incorporation, as amended, and amended and restated bylaws that may make it difficult for a third party to acquire, or attempt to acquire, control of our company, even if a change in control was considered favorable by you and other stockholders. For example, our Board of Directors has the authority to issue up to 38,483,000 additional shares of preferred stock and to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547"/>
        <w:rPr>
          <w:rFonts w:ascii="Times New Roman;Times;serif" w:hAnsi="Times New Roman;Times;serif"/>
          <w:b/>
          <w:i/>
          <w:sz w:val="20"/>
        </w:rPr>
      </w:pPr>
      <w:r>
        <w:rPr>
          <w:rFonts w:ascii="Times New Roman;Times;serif" w:hAnsi="Times New Roman;Times;serif"/>
          <w:b/>
          <w:i/>
          <w:sz w:val="20"/>
        </w:rPr>
        <w:t>Our certificate of incorporation, as amended,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 xml:space="preserve">Our certificate of incorporation, as amended, provides that, subject to limited exceptions, the Court of Chancery of the State of Delaware shall, to the fullest extent permitted by law, be the sole and exclusive forum for (1) any derivative action or proceeding brought on our behalf, (2) any action asserting a claim of breach of a fiduciary duty owed by any of our directors, officers, employees or agents to us or our stockholders, creditors or other constituents, (3) any action asserting a claim against us arising pursuant to any provision of the Delaware General Corporation Law, our certificate of incorporation, as amended, or our amended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If a court were to find these provisions of our certificate of incorporation, as amended inapplicable to, or unenforceable in respect of, one or more of the specified types of actions or proceedings, we may incur additional costs associated with resolving such matters in other jurisdictions, which could adversely affect our business, results of operations and financial condition. Even if we are successful in defending against these claims, litigation could result in substantial costs and be a distraction to management and other employees.</w:t>
      </w:r>
    </w:p>
    <w:p>
      <w:pPr>
        <w:pStyle w:val="TextBody"/>
        <w:spacing w:before="0" w:after="200"/>
        <w:ind w:left="0" w:right="0" w:firstLine="547"/>
        <w:rPr>
          <w:rFonts w:ascii="Times New Roman;Times;serif" w:hAnsi="Times New Roman;Times;serif"/>
          <w:b/>
          <w:i/>
          <w:sz w:val="20"/>
        </w:rPr>
      </w:pPr>
      <w:r>
        <w:rPr>
          <w:rFonts w:ascii="Times New Roman;Times;serif" w:hAnsi="Times New Roman;Times;serif"/>
          <w:b/>
          <w:i/>
          <w:sz w:val="20"/>
        </w:rPr>
        <w:t>Provisions in our amended and restated bylaws could limit our stockholders’ ability to obtain a favorable judicial forum for disputes with us or our directors, officers or employees.</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Our amended and restated bylaws provide that, unless we consent in writing to the selection of an alternative forum, the federal district courts of the U.S. shall be the exclusive forum for the resolution of any complaint asserting a cause of action under the Securities Act. This provision limits the ability of our shareholders to bring claims under the Securities Act in any court other than the U.S. federal courts, which ultimately may disadvantage our shareholders or be cost prohibitive. Notwithstanding the foregoing, there is uncertainty as to whether a court (other than state courts in the State of Delaware, which have recently upheld the validity of such a provision) would enforce such a provision and whether investors can waive compliance with the federal securities laws and the rules and regulations thereunder. Furthermore, the exclusive forum provision only applies to claims brought under the Securities Act and does not apply to actions arising under the Exchange Act, which is already subject to federal courts as the exclusive forum.</w:t>
      </w:r>
    </w:p>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If a court were to find these provisions of our amended and restated bylaws inapplicable to, or unenforceable in respect of, one or more of the specified types of actions or proceedings, we may incur additional costs associated with resolving such matters in other jurisdictions, which could adversely affect our business, results of operations and financial condition. Even if we are successful in defending against these claims, litigation could result in substantial costs and be a distraction to management and other employees.</w:t>
      </w:r>
    </w:p>
    <w:p>
      <w:pPr>
        <w:pStyle w:val="TextBody"/>
        <w:spacing w:before="0" w:after="200"/>
        <w:ind w:left="0" w:right="0" w:hanging="0"/>
        <w:rPr/>
      </w:pPr>
      <w:r>
        <w:rPr/>
        <w:t>​</w:t>
      </w:r>
    </w:p>
    <w:p>
      <w:pPr>
        <w:pStyle w:val="TextBody"/>
        <w:spacing w:before="0" w:after="0"/>
        <w:ind w:left="0" w:right="0" w:hanging="0"/>
        <w:rPr/>
      </w:pPr>
      <w:r>
        <w:rPr/>
        <w:t>​</w:t>
      </w:r>
    </w:p>
    <w:p>
      <w:pPr>
        <w:pStyle w:val="TextBody"/>
        <w:spacing w:before="0" w:after="200"/>
        <w:ind w:left="0" w:right="0" w:hanging="0"/>
        <w:rPr>
          <w:rFonts w:ascii="Times New Roman;Times;serif" w:hAnsi="Times New Roman;Times;serif"/>
          <w:sz w:val="20"/>
        </w:rPr>
      </w:pPr>
      <w:bookmarkStart w:id="925" w:name="Item2UnregisteredSalesofSecuritiesandUse"/>
      <w:bookmarkStart w:id="926" w:name="_9ea39967_6028_4b1a_9deb_0311bcd36344"/>
      <w:bookmarkEnd w:id="925"/>
      <w:bookmarkEnd w:id="926"/>
      <w:r>
        <w:rPr>
          <w:rFonts w:ascii="Times New Roman;Times;serif" w:hAnsi="Times New Roman;Times;serif"/>
          <w:b/>
          <w:i w:val="false"/>
          <w:caps w:val="false"/>
          <w:smallCaps w:val="false"/>
          <w:sz w:val="20"/>
        </w:rPr>
        <w:t>Item 2.</w:t>
      </w:r>
      <w:r>
        <w:rPr>
          <w:rFonts w:ascii="Times New Roman;Times;serif" w:hAnsi="Times New Roman;Times;serif"/>
          <w:b/>
          <w:sz w:val="20"/>
        </w:rPr>
        <w:t>Unregistered Sales of Securities and Use of Proceeds.</w:t>
      </w:r>
    </w:p>
    <w:p>
      <w:pPr>
        <w:pStyle w:val="TextBody"/>
        <w:spacing w:before="0" w:after="0"/>
        <w:ind w:left="0" w:right="0" w:firstLine="547"/>
        <w:rPr>
          <w:rFonts w:ascii="Times New Roman;Times;serif" w:hAnsi="Times New Roman;Times;serif"/>
          <w:sz w:val="20"/>
        </w:rPr>
      </w:pPr>
      <w:r>
        <w:rPr>
          <w:rFonts w:ascii="Times New Roman;Times;serif" w:hAnsi="Times New Roman;Times;serif"/>
          <w:sz w:val="20"/>
        </w:rPr>
        <w:t>Nothing to report.</w:t>
      </w:r>
    </w:p>
    <w:p>
      <w:pPr>
        <w:pStyle w:val="TextBody"/>
        <w:spacing w:before="0" w:after="0"/>
        <w:ind w:left="0" w:right="0" w:firstLine="72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spacing w:before="0" w:after="0"/>
        <w:rPr>
          <w:sz w:val="4"/>
          <w:szCs w:val="4"/>
        </w:rPr>
      </w:pPr>
      <w:r>
        <w:rPr>
          <w:sz w:val="4"/>
          <w:szCs w:val="4"/>
        </w:rPr>
      </w:r>
      <w:bookmarkStart w:id="927" w:name="Item3DefaultsUponSeniorSecurities_597206"/>
      <w:bookmarkStart w:id="928" w:name="_137d4399_1efd_4335_bdf5_00b504d38ec0"/>
      <w:bookmarkStart w:id="929" w:name="Item3DefaultsUponSeniorSecurities_597206"/>
      <w:bookmarkStart w:id="930" w:name="_137d4399_1efd_4335_bdf5_00b504d38ec0"/>
      <w:bookmarkEnd w:id="929"/>
      <w:bookmarkEnd w:id="930"/>
    </w:p>
    <w:tbl>
      <w:tblPr>
        <w:tblW w:w="3557" w:type="dxa"/>
        <w:jc w:val="left"/>
        <w:tblInd w:w="0" w:type="dxa"/>
        <w:tblCellMar>
          <w:top w:w="0" w:type="dxa"/>
          <w:left w:w="0" w:type="dxa"/>
          <w:bottom w:w="0" w:type="dxa"/>
          <w:right w:w="0" w:type="dxa"/>
        </w:tblCellMar>
      </w:tblPr>
      <w:tblGrid>
        <w:gridCol w:w="706"/>
        <w:gridCol w:w="2851"/>
      </w:tblGrid>
      <w:tr>
        <w:trPr/>
        <w:tc>
          <w:tcPr>
            <w:tcW w:w="706" w:type="dxa"/>
            <w:tcBorders/>
            <w:shd w:fill="auto" w:val="clear"/>
            <w:vAlign w:val="center"/>
          </w:tcPr>
          <w:p>
            <w:pPr>
              <w:pStyle w:val="TableContents"/>
              <w:spacing w:before="0" w:after="0"/>
              <w:rPr>
                <w:rFonts w:ascii="Times New Roman;Times;serif" w:hAnsi="Times New Roman;Times;serif"/>
                <w:b/>
                <w:sz w:val="20"/>
              </w:rPr>
            </w:pPr>
            <w:r>
              <w:rPr>
                <w:rFonts w:ascii="Times New Roman;Times;serif" w:hAnsi="Times New Roman;Times;serif"/>
                <w:b/>
                <w:sz w:val="20"/>
              </w:rPr>
              <w:t>Item 3.</w:t>
            </w:r>
          </w:p>
        </w:tc>
        <w:tc>
          <w:tcPr>
            <w:tcW w:w="2851" w:type="dxa"/>
            <w:tcBorders/>
            <w:shd w:fill="auto" w:val="clear"/>
            <w:vAlign w:val="center"/>
          </w:tcPr>
          <w:p>
            <w:pPr>
              <w:pStyle w:val="TableContents"/>
              <w:spacing w:before="0" w:after="0"/>
              <w:rPr>
                <w:rFonts w:ascii="Times New Roman;Times;serif" w:hAnsi="Times New Roman;Times;serif"/>
                <w:b/>
                <w:sz w:val="20"/>
              </w:rPr>
            </w:pPr>
            <w:r>
              <w:rPr>
                <w:rFonts w:ascii="Times New Roman;Times;serif" w:hAnsi="Times New Roman;Times;serif"/>
                <w:b/>
                <w:sz w:val="20"/>
              </w:rPr>
              <w:t>Defaults Upon Senior Securities.</w:t>
            </w:r>
          </w:p>
        </w:tc>
      </w:tr>
    </w:tbl>
    <w:p>
      <w:pPr>
        <w:pStyle w:val="TextBody"/>
        <w:spacing w:before="0" w:after="0"/>
        <w:ind w:left="0" w:right="0" w:hanging="0"/>
        <w:jc w:val="both"/>
        <w:rPr/>
      </w:pPr>
      <w:r>
        <w:rPr/>
        <w:t>​</w:t>
      </w:r>
    </w:p>
    <w:p>
      <w:pPr>
        <w:pStyle w:val="TextBody"/>
        <w:spacing w:before="0" w:after="0"/>
        <w:ind w:left="0" w:right="0" w:firstLine="547"/>
        <w:rPr>
          <w:rFonts w:ascii="Times New Roman;Times;serif" w:hAnsi="Times New Roman;Times;serif"/>
          <w:sz w:val="20"/>
        </w:rPr>
      </w:pPr>
      <w:r>
        <w:rPr>
          <w:rFonts w:ascii="Times New Roman;Times;serif" w:hAnsi="Times New Roman;Times;serif"/>
          <w:sz w:val="20"/>
        </w:rPr>
        <w:t>Nothing to report.</w:t>
      </w:r>
    </w:p>
    <w:p>
      <w:pPr>
        <w:pStyle w:val="TextBody"/>
        <w:spacing w:before="0" w:after="0"/>
        <w:ind w:left="0" w:right="0" w:firstLine="720"/>
        <w:jc w:val="both"/>
        <w:rPr/>
      </w:pPr>
      <w:r>
        <w:rPr/>
        <w:t>​</w:t>
      </w:r>
    </w:p>
    <w:p>
      <w:pPr>
        <w:pStyle w:val="Normal"/>
        <w:spacing w:before="0" w:after="0"/>
        <w:rPr>
          <w:sz w:val="4"/>
          <w:szCs w:val="4"/>
        </w:rPr>
      </w:pPr>
      <w:r>
        <w:rPr>
          <w:sz w:val="4"/>
          <w:szCs w:val="4"/>
        </w:rPr>
      </w:r>
      <w:bookmarkStart w:id="931" w:name="Item4MineSafetyDisclosures_35877"/>
      <w:bookmarkStart w:id="932" w:name="_6338e970_33e4_4f7d_bd26_fd03a7e969d9"/>
      <w:bookmarkStart w:id="933" w:name="Item4MineSafetyDisclosures_35877"/>
      <w:bookmarkStart w:id="934" w:name="_6338e970_33e4_4f7d_bd26_fd03a7e969d9"/>
      <w:bookmarkEnd w:id="933"/>
      <w:bookmarkEnd w:id="934"/>
    </w:p>
    <w:tbl>
      <w:tblPr>
        <w:tblW w:w="2867" w:type="dxa"/>
        <w:jc w:val="left"/>
        <w:tblInd w:w="0" w:type="dxa"/>
        <w:tblCellMar>
          <w:top w:w="0" w:type="dxa"/>
          <w:left w:w="0" w:type="dxa"/>
          <w:bottom w:w="0" w:type="dxa"/>
          <w:right w:w="0" w:type="dxa"/>
        </w:tblCellMar>
      </w:tblPr>
      <w:tblGrid>
        <w:gridCol w:w="706"/>
        <w:gridCol w:w="2161"/>
      </w:tblGrid>
      <w:tr>
        <w:trPr/>
        <w:tc>
          <w:tcPr>
            <w:tcW w:w="706" w:type="dxa"/>
            <w:tcBorders/>
            <w:shd w:fill="auto" w:val="clear"/>
            <w:vAlign w:val="center"/>
          </w:tcPr>
          <w:p>
            <w:pPr>
              <w:pStyle w:val="TableContents"/>
              <w:spacing w:before="0" w:after="200"/>
              <w:rPr>
                <w:rFonts w:ascii="Times New Roman;Times;serif" w:hAnsi="Times New Roman;Times;serif"/>
                <w:b/>
                <w:sz w:val="20"/>
              </w:rPr>
            </w:pPr>
            <w:r>
              <w:rPr>
                <w:rFonts w:ascii="Times New Roman;Times;serif" w:hAnsi="Times New Roman;Times;serif"/>
                <w:b/>
                <w:sz w:val="20"/>
              </w:rPr>
              <w:t>Item 4.</w:t>
            </w:r>
          </w:p>
        </w:tc>
        <w:tc>
          <w:tcPr>
            <w:tcW w:w="2161" w:type="dxa"/>
            <w:tcBorders/>
            <w:shd w:fill="auto" w:val="clear"/>
            <w:vAlign w:val="center"/>
          </w:tcPr>
          <w:p>
            <w:pPr>
              <w:pStyle w:val="TableContents"/>
              <w:spacing w:before="0" w:after="200"/>
              <w:rPr>
                <w:rFonts w:ascii="Times New Roman;Times;serif" w:hAnsi="Times New Roman;Times;serif"/>
                <w:b/>
                <w:sz w:val="20"/>
              </w:rPr>
            </w:pPr>
            <w:r>
              <w:rPr>
                <w:rFonts w:ascii="Times New Roman;Times;serif" w:hAnsi="Times New Roman;Times;serif"/>
                <w:b/>
                <w:sz w:val="20"/>
              </w:rPr>
              <w:t>Mine Safety Disclosures</w:t>
            </w:r>
          </w:p>
        </w:tc>
      </w:tr>
    </w:tbl>
    <w:p>
      <w:pPr>
        <w:pStyle w:val="TextBody"/>
        <w:spacing w:before="0" w:after="0"/>
        <w:ind w:left="0" w:right="0" w:firstLine="547"/>
        <w:rPr>
          <w:rFonts w:ascii="Times New Roman;Times;serif" w:hAnsi="Times New Roman;Times;serif"/>
          <w:sz w:val="20"/>
        </w:rPr>
      </w:pPr>
      <w:r>
        <w:rPr>
          <w:rFonts w:ascii="Times New Roman;Times;serif" w:hAnsi="Times New Roman;Times;serif"/>
          <w:sz w:val="20"/>
        </w:rPr>
        <w:t>Nothing to report.</w:t>
      </w:r>
    </w:p>
    <w:p>
      <w:pPr>
        <w:pStyle w:val="TextBody"/>
        <w:spacing w:before="0" w:after="0"/>
        <w:ind w:left="0" w:right="0" w:firstLine="720"/>
        <w:jc w:val="both"/>
        <w:rPr/>
      </w:pPr>
      <w:r>
        <w:rPr/>
        <w:t>​</w:t>
      </w:r>
    </w:p>
    <w:p>
      <w:pPr>
        <w:pStyle w:val="Normal"/>
        <w:spacing w:before="0" w:after="0"/>
        <w:rPr>
          <w:sz w:val="4"/>
          <w:szCs w:val="4"/>
        </w:rPr>
      </w:pPr>
      <w:r>
        <w:rPr>
          <w:sz w:val="4"/>
          <w:szCs w:val="4"/>
        </w:rPr>
      </w:r>
      <w:bookmarkStart w:id="935" w:name="Item5OtherInformation_291306"/>
      <w:bookmarkStart w:id="936" w:name="_906e1bcc_7da3_45c3_bc67_42fd9aa58104"/>
      <w:bookmarkStart w:id="937" w:name="Item5OtherInformation_291306"/>
      <w:bookmarkStart w:id="938" w:name="_906e1bcc_7da3_45c3_bc67_42fd9aa58104"/>
      <w:bookmarkEnd w:id="937"/>
      <w:bookmarkEnd w:id="938"/>
    </w:p>
    <w:tbl>
      <w:tblPr>
        <w:tblW w:w="2477" w:type="dxa"/>
        <w:jc w:val="left"/>
        <w:tblInd w:w="0" w:type="dxa"/>
        <w:tblCellMar>
          <w:top w:w="0" w:type="dxa"/>
          <w:left w:w="0" w:type="dxa"/>
          <w:bottom w:w="0" w:type="dxa"/>
          <w:right w:w="0" w:type="dxa"/>
        </w:tblCellMar>
      </w:tblPr>
      <w:tblGrid>
        <w:gridCol w:w="706"/>
        <w:gridCol w:w="1771"/>
      </w:tblGrid>
      <w:tr>
        <w:trPr/>
        <w:tc>
          <w:tcPr>
            <w:tcW w:w="706" w:type="dxa"/>
            <w:tcBorders/>
            <w:shd w:fill="auto" w:val="clear"/>
            <w:vAlign w:val="center"/>
          </w:tcPr>
          <w:p>
            <w:pPr>
              <w:pStyle w:val="TableContents"/>
              <w:spacing w:before="0" w:after="200"/>
              <w:rPr>
                <w:rFonts w:ascii="Times New Roman;Times;serif" w:hAnsi="Times New Roman;Times;serif"/>
                <w:b/>
                <w:sz w:val="20"/>
              </w:rPr>
            </w:pPr>
            <w:r>
              <w:rPr>
                <w:rFonts w:ascii="Times New Roman;Times;serif" w:hAnsi="Times New Roman;Times;serif"/>
                <w:b/>
                <w:sz w:val="20"/>
              </w:rPr>
              <w:t>Item 5.</w:t>
            </w:r>
          </w:p>
        </w:tc>
        <w:tc>
          <w:tcPr>
            <w:tcW w:w="1771" w:type="dxa"/>
            <w:tcBorders/>
            <w:shd w:fill="auto" w:val="clear"/>
            <w:vAlign w:val="center"/>
          </w:tcPr>
          <w:p>
            <w:pPr>
              <w:pStyle w:val="TableContents"/>
              <w:spacing w:before="0" w:after="200"/>
              <w:rPr>
                <w:rFonts w:ascii="Times New Roman;Times;serif" w:hAnsi="Times New Roman;Times;serif"/>
                <w:b/>
                <w:sz w:val="20"/>
              </w:rPr>
            </w:pPr>
            <w:r>
              <w:rPr>
                <w:rFonts w:ascii="Times New Roman;Times;serif" w:hAnsi="Times New Roman;Times;serif"/>
                <w:b/>
                <w:sz w:val="20"/>
              </w:rPr>
              <w:t>Other Information.</w:t>
            </w:r>
          </w:p>
        </w:tc>
      </w:tr>
    </w:tbl>
    <w:p>
      <w:pPr>
        <w:pStyle w:val="TextBody"/>
        <w:spacing w:before="0" w:after="200"/>
        <w:ind w:left="0" w:right="0" w:firstLine="547"/>
        <w:rPr>
          <w:rFonts w:ascii="Times New Roman;Times;serif" w:hAnsi="Times New Roman;Times;serif"/>
          <w:sz w:val="20"/>
        </w:rPr>
      </w:pPr>
      <w:r>
        <w:rPr>
          <w:rFonts w:ascii="Times New Roman;Times;serif" w:hAnsi="Times New Roman;Times;serif"/>
          <w:sz w:val="20"/>
        </w:rPr>
        <w:t>Nothing to report.</w:t>
      </w:r>
    </w:p>
    <w:p>
      <w:pPr>
        <w:pStyle w:val="TextBody"/>
        <w:spacing w:before="0" w:after="0"/>
        <w:ind w:left="0" w:right="0" w:firstLine="547"/>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bookmarkStart w:id="939" w:name="Item6Exhibits_580240"/>
      <w:bookmarkStart w:id="940" w:name="_e93c5912_788f_4c63_89f1_b9399ec5c837"/>
      <w:bookmarkEnd w:id="939"/>
      <w:bookmarkEnd w:id="940"/>
      <w:r>
        <w:rPr>
          <w:rFonts w:ascii="Times New Roman;Times;serif" w:hAnsi="Times New Roman;Times;serif"/>
          <w:b/>
          <w:i w:val="false"/>
          <w:caps w:val="false"/>
          <w:smallCaps w:val="false"/>
          <w:sz w:val="20"/>
        </w:rPr>
        <w:t>Item 6.</w:t>
      </w:r>
      <w:r>
        <w:rPr>
          <w:rFonts w:ascii="Times New Roman;Times;serif" w:hAnsi="Times New Roman;Times;serif"/>
          <w:b/>
          <w:sz w:val="20"/>
        </w:rPr>
        <w:t>Exhibits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INDEX</w:t>
      </w:r>
    </w:p>
    <w:p>
      <w:pPr>
        <w:pStyle w:val="TextBody"/>
        <w:spacing w:before="0" w:after="0"/>
        <w:ind w:left="0" w:right="0" w:hanging="0"/>
        <w:jc w:val="center"/>
        <w:rPr/>
      </w:pPr>
      <w:r>
        <w:rPr/>
        <w:t>​</w:t>
      </w:r>
    </w:p>
    <w:p>
      <w:pPr>
        <w:pStyle w:val="TextBody"/>
        <w:spacing w:before="0" w:after="0"/>
        <w:ind w:left="0" w:right="0" w:hanging="0"/>
        <w:jc w:val="center"/>
        <w:rPr/>
      </w:pPr>
      <w:r>
        <w:rPr/>
        <w:t>​</w:t>
      </w:r>
    </w:p>
    <w:tbl>
      <w:tblPr>
        <w:tblW w:w="10205" w:type="dxa"/>
        <w:jc w:val="left"/>
        <w:tblInd w:w="0" w:type="dxa"/>
        <w:tblCellMar>
          <w:top w:w="0" w:type="dxa"/>
          <w:left w:w="0" w:type="dxa"/>
          <w:bottom w:w="0" w:type="dxa"/>
          <w:right w:w="0" w:type="dxa"/>
        </w:tblCellMar>
      </w:tblPr>
      <w:tblGrid>
        <w:gridCol w:w="927"/>
        <w:gridCol w:w="326"/>
        <w:gridCol w:w="8952"/>
      </w:tblGrid>
      <w:tr>
        <w:trPr/>
        <w:tc>
          <w:tcPr>
            <w:tcW w:w="927"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0"/>
              <w:ind w:left="0" w:right="0" w:hanging="0"/>
              <w:rPr/>
            </w:pPr>
            <w:r>
              <w:rPr/>
              <w:t>​</w:t>
            </w:r>
          </w:p>
        </w:tc>
        <w:tc>
          <w:tcPr>
            <w:tcW w:w="8952" w:type="dxa"/>
            <w:tcBorders/>
            <w:shd w:fill="auto" w:val="clear"/>
            <w:vAlign w:val="center"/>
          </w:tcPr>
          <w:p>
            <w:pPr>
              <w:pStyle w:val="TableContents"/>
              <w:spacing w:before="0" w:after="283"/>
              <w:ind w:left="0" w:right="0" w:hanging="0"/>
              <w:rPr>
                <w:sz w:val="4"/>
                <w:szCs w:val="4"/>
              </w:rPr>
            </w:pPr>
            <w:r>
              <w:rPr>
                <w:sz w:val="4"/>
                <w:szCs w:val="4"/>
              </w:rPr>
            </w:r>
          </w:p>
        </w:tc>
      </w:tr>
      <w:tr>
        <w:trPr/>
        <w:tc>
          <w:tcPr>
            <w:tcW w:w="927"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Exhibit</w:t>
            </w:r>
          </w:p>
        </w:tc>
        <w:tc>
          <w:tcPr>
            <w:tcW w:w="326" w:type="dxa"/>
            <w:tcBorders/>
            <w:shd w:fill="auto" w:val="clear"/>
            <w:vAlign w:val="center"/>
          </w:tcPr>
          <w:p>
            <w:pPr>
              <w:pStyle w:val="TableContents"/>
              <w:spacing w:before="0" w:after="0"/>
              <w:ind w:left="0" w:right="0" w:hanging="0"/>
              <w:rPr/>
            </w:pPr>
            <w:r>
              <w:rPr/>
              <w:t>    </w:t>
            </w:r>
          </w:p>
        </w:tc>
        <w:tc>
          <w:tcPr>
            <w:tcW w:w="8952"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Description</w:t>
            </w:r>
          </w:p>
        </w:tc>
      </w:tr>
      <w:tr>
        <w:trPr/>
        <w:tc>
          <w:tcPr>
            <w:tcW w:w="92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31.1++</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8952" w:type="dxa"/>
            <w:tcBorders/>
            <w:shd w:fill="auto" w:val="clear"/>
            <w:vAlign w:val="center"/>
          </w:tcPr>
          <w:p>
            <w:pPr>
              <w:pStyle w:val="TableContents"/>
              <w:spacing w:before="0" w:after="0"/>
              <w:ind w:left="0" w:right="0" w:hanging="0"/>
              <w:rPr/>
            </w:pPr>
            <w:hyperlink w:anchor="iova-20230331xex31d1.htm">
              <w:r>
                <w:rPr>
                  <w:rStyle w:val="InternetLink"/>
                  <w:rFonts w:ascii="Times New Roman;Times;serif" w:hAnsi="Times New Roman;Times;serif"/>
                  <w:b w:val="false"/>
                  <w:i w:val="false"/>
                  <w:caps w:val="false"/>
                  <w:smallCaps w:val="false"/>
                  <w:sz w:val="20"/>
                </w:rPr>
                <w:t>Rule 13a-14(a)/15d-14(a) Certification of Chief Executive Officer.</w:t>
              </w:r>
            </w:hyperlink>
          </w:p>
        </w:tc>
      </w:tr>
      <w:tr>
        <w:trPr/>
        <w:tc>
          <w:tcPr>
            <w:tcW w:w="92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31.2++</w:t>
            </w:r>
          </w:p>
        </w:tc>
        <w:tc>
          <w:tcPr>
            <w:tcW w:w="326" w:type="dxa"/>
            <w:tcBorders/>
            <w:shd w:fill="auto" w:val="clear"/>
            <w:vAlign w:val="center"/>
          </w:tcPr>
          <w:p>
            <w:pPr>
              <w:pStyle w:val="TableContents"/>
              <w:spacing w:before="0" w:after="0"/>
              <w:ind w:left="0" w:right="0" w:hanging="0"/>
              <w:rPr/>
            </w:pPr>
            <w:r>
              <w:rPr/>
              <w:t> </w:t>
            </w:r>
          </w:p>
        </w:tc>
        <w:tc>
          <w:tcPr>
            <w:tcW w:w="8952" w:type="dxa"/>
            <w:tcBorders/>
            <w:shd w:fill="auto" w:val="clear"/>
            <w:vAlign w:val="center"/>
          </w:tcPr>
          <w:p>
            <w:pPr>
              <w:pStyle w:val="TableContents"/>
              <w:spacing w:before="0" w:after="0"/>
              <w:ind w:left="0" w:right="0" w:hanging="0"/>
              <w:rPr/>
            </w:pPr>
            <w:hyperlink w:anchor="iova-20230331xex31d2.htm">
              <w:r>
                <w:rPr>
                  <w:rStyle w:val="InternetLink"/>
                  <w:rFonts w:ascii="Times New Roman;Times;serif" w:hAnsi="Times New Roman;Times;serif"/>
                  <w:b w:val="false"/>
                  <w:i w:val="false"/>
                  <w:caps w:val="false"/>
                  <w:smallCaps w:val="false"/>
                  <w:sz w:val="20"/>
                </w:rPr>
                <w:t>Rule 13a-14(a)/15d-14(a) Certification of Chief Financial Officer.</w:t>
              </w:r>
            </w:hyperlink>
          </w:p>
        </w:tc>
      </w:tr>
      <w:tr>
        <w:trPr/>
        <w:tc>
          <w:tcPr>
            <w:tcW w:w="92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32.1++</w:t>
            </w:r>
          </w:p>
        </w:tc>
        <w:tc>
          <w:tcPr>
            <w:tcW w:w="326" w:type="dxa"/>
            <w:tcBorders/>
            <w:shd w:fill="auto" w:val="clear"/>
            <w:vAlign w:val="center"/>
          </w:tcPr>
          <w:p>
            <w:pPr>
              <w:pStyle w:val="TableContents"/>
              <w:spacing w:before="0" w:after="0"/>
              <w:ind w:left="0" w:right="0" w:hanging="0"/>
              <w:rPr/>
            </w:pPr>
            <w:r>
              <w:rPr/>
              <w:t> </w:t>
            </w:r>
          </w:p>
        </w:tc>
        <w:tc>
          <w:tcPr>
            <w:tcW w:w="8952" w:type="dxa"/>
            <w:tcBorders/>
            <w:shd w:fill="auto" w:val="clear"/>
            <w:vAlign w:val="center"/>
          </w:tcPr>
          <w:p>
            <w:pPr>
              <w:pStyle w:val="TableContents"/>
              <w:spacing w:before="0" w:after="0"/>
              <w:ind w:left="0" w:right="0" w:hanging="0"/>
              <w:rPr/>
            </w:pPr>
            <w:hyperlink w:anchor="iova-20230331xex32d1.htm">
              <w:r>
                <w:rPr>
                  <w:rStyle w:val="InternetLink"/>
                  <w:rFonts w:ascii="Times New Roman;Times;serif" w:hAnsi="Times New Roman;Times;serif"/>
                  <w:b w:val="false"/>
                  <w:i w:val="false"/>
                  <w:caps w:val="false"/>
                  <w:smallCaps w:val="false"/>
                  <w:sz w:val="20"/>
                </w:rPr>
                <w:t>Section 1350 Certification of Chief Executive Officer (furnished herewith).</w:t>
              </w:r>
            </w:hyperlink>
          </w:p>
        </w:tc>
      </w:tr>
      <w:tr>
        <w:trPr/>
        <w:tc>
          <w:tcPr>
            <w:tcW w:w="92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32.2++</w:t>
            </w:r>
          </w:p>
        </w:tc>
        <w:tc>
          <w:tcPr>
            <w:tcW w:w="326" w:type="dxa"/>
            <w:tcBorders/>
            <w:shd w:fill="auto" w:val="clear"/>
            <w:vAlign w:val="center"/>
          </w:tcPr>
          <w:p>
            <w:pPr>
              <w:pStyle w:val="TableContents"/>
              <w:spacing w:before="0" w:after="0"/>
              <w:ind w:left="0" w:right="0" w:hanging="0"/>
              <w:rPr/>
            </w:pPr>
            <w:r>
              <w:rPr/>
              <w:t> </w:t>
            </w:r>
          </w:p>
        </w:tc>
        <w:tc>
          <w:tcPr>
            <w:tcW w:w="8952" w:type="dxa"/>
            <w:tcBorders/>
            <w:shd w:fill="auto" w:val="clear"/>
            <w:vAlign w:val="center"/>
          </w:tcPr>
          <w:p>
            <w:pPr>
              <w:pStyle w:val="TableContents"/>
              <w:spacing w:before="0" w:after="0"/>
              <w:ind w:left="0" w:right="0" w:hanging="0"/>
              <w:rPr/>
            </w:pPr>
            <w:hyperlink w:anchor="iova-20230331xex32d2.htm">
              <w:r>
                <w:rPr>
                  <w:rStyle w:val="InternetLink"/>
                  <w:rFonts w:ascii="Times New Roman;Times;serif" w:hAnsi="Times New Roman;Times;serif"/>
                  <w:b w:val="false"/>
                  <w:i w:val="false"/>
                  <w:caps w:val="false"/>
                  <w:smallCaps w:val="false"/>
                  <w:sz w:val="20"/>
                </w:rPr>
                <w:t>Section 1350 Certification of Chief Financial Officer (furnished herewith).</w:t>
              </w:r>
            </w:hyperlink>
          </w:p>
        </w:tc>
      </w:tr>
      <w:tr>
        <w:trPr/>
        <w:tc>
          <w:tcPr>
            <w:tcW w:w="92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101.INS++</w:t>
            </w:r>
          </w:p>
        </w:tc>
        <w:tc>
          <w:tcPr>
            <w:tcW w:w="326" w:type="dxa"/>
            <w:tcBorders/>
            <w:shd w:fill="auto" w:val="clear"/>
            <w:vAlign w:val="center"/>
          </w:tcPr>
          <w:p>
            <w:pPr>
              <w:pStyle w:val="TableContents"/>
              <w:spacing w:before="0" w:after="0"/>
              <w:ind w:left="0" w:right="0" w:hanging="0"/>
              <w:rPr/>
            </w:pPr>
            <w:r>
              <w:rPr/>
              <w:t>​</w:t>
            </w:r>
          </w:p>
        </w:tc>
        <w:tc>
          <w:tcPr>
            <w:tcW w:w="8952" w:type="dxa"/>
            <w:tcBorders/>
            <w:shd w:fill="auto" w:val="clear"/>
            <w:vAlign w:val="center"/>
          </w:tcPr>
          <w:p>
            <w:pPr>
              <w:pStyle w:val="TableContents"/>
              <w:spacing w:before="0" w:after="0"/>
              <w:ind w:left="0" w:right="0" w:hanging="0"/>
              <w:rPr>
                <w:rFonts w:ascii="Times New Roman;Times;serif" w:hAnsi="Times New Roman;Times;serif"/>
                <w:sz w:val="20"/>
                <w:highlight w:val="white"/>
              </w:rPr>
            </w:pPr>
            <w:r>
              <w:rPr>
                <w:rFonts w:ascii="Times New Roman;Times;serif" w:hAnsi="Times New Roman;Times;serif"/>
                <w:sz w:val="20"/>
                <w:highlight w:val="white"/>
              </w:rPr>
              <w:t>Inline XBRL Instance Document (the instance document does not appear in the Interactive Data File because its XBRL tags are embedded within the Inline XBRL document).</w:t>
            </w:r>
          </w:p>
        </w:tc>
      </w:tr>
      <w:tr>
        <w:trPr/>
        <w:tc>
          <w:tcPr>
            <w:tcW w:w="92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101.SCH++</w:t>
            </w:r>
          </w:p>
        </w:tc>
        <w:tc>
          <w:tcPr>
            <w:tcW w:w="326" w:type="dxa"/>
            <w:tcBorders/>
            <w:shd w:fill="auto" w:val="clear"/>
            <w:vAlign w:val="center"/>
          </w:tcPr>
          <w:p>
            <w:pPr>
              <w:pStyle w:val="TableContents"/>
              <w:spacing w:before="0" w:after="0"/>
              <w:ind w:left="0" w:right="0" w:hanging="0"/>
              <w:rPr/>
            </w:pPr>
            <w:r>
              <w:rPr/>
              <w:t>​</w:t>
            </w:r>
          </w:p>
        </w:tc>
        <w:tc>
          <w:tcPr>
            <w:tcW w:w="8952" w:type="dxa"/>
            <w:tcBorders/>
            <w:shd w:fill="auto" w:val="clear"/>
            <w:vAlign w:val="center"/>
          </w:tcPr>
          <w:p>
            <w:pPr>
              <w:pStyle w:val="TableContents"/>
              <w:spacing w:before="0" w:after="0"/>
              <w:ind w:left="0" w:right="0" w:hanging="0"/>
              <w:rPr>
                <w:rFonts w:ascii="Times New Roman;Times;serif" w:hAnsi="Times New Roman;Times;serif"/>
                <w:sz w:val="20"/>
                <w:highlight w:val="white"/>
              </w:rPr>
            </w:pPr>
            <w:r>
              <w:rPr>
                <w:rFonts w:ascii="Times New Roman;Times;serif" w:hAnsi="Times New Roman;Times;serif"/>
                <w:sz w:val="20"/>
                <w:highlight w:val="white"/>
              </w:rPr>
              <w:t>Inline XBRL Taxonomy Schema Linkbase Document.</w:t>
            </w:r>
          </w:p>
        </w:tc>
      </w:tr>
      <w:tr>
        <w:trPr/>
        <w:tc>
          <w:tcPr>
            <w:tcW w:w="92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101.CAL++</w:t>
            </w:r>
          </w:p>
        </w:tc>
        <w:tc>
          <w:tcPr>
            <w:tcW w:w="326" w:type="dxa"/>
            <w:tcBorders/>
            <w:shd w:fill="auto" w:val="clear"/>
            <w:vAlign w:val="center"/>
          </w:tcPr>
          <w:p>
            <w:pPr>
              <w:pStyle w:val="TableContents"/>
              <w:spacing w:before="0" w:after="0"/>
              <w:ind w:left="0" w:right="0" w:hanging="0"/>
              <w:rPr/>
            </w:pPr>
            <w:r>
              <w:rPr/>
              <w:t>​</w:t>
            </w:r>
          </w:p>
        </w:tc>
        <w:tc>
          <w:tcPr>
            <w:tcW w:w="8952" w:type="dxa"/>
            <w:tcBorders/>
            <w:shd w:fill="auto" w:val="clear"/>
            <w:vAlign w:val="center"/>
          </w:tcPr>
          <w:p>
            <w:pPr>
              <w:pStyle w:val="TableContents"/>
              <w:spacing w:before="0" w:after="0"/>
              <w:ind w:left="0" w:right="0" w:hanging="0"/>
              <w:rPr>
                <w:rFonts w:ascii="Times New Roman;Times;serif" w:hAnsi="Times New Roman;Times;serif"/>
                <w:sz w:val="20"/>
                <w:highlight w:val="white"/>
              </w:rPr>
            </w:pPr>
            <w:r>
              <w:rPr>
                <w:rFonts w:ascii="Times New Roman;Times;serif" w:hAnsi="Times New Roman;Times;serif"/>
                <w:sz w:val="20"/>
                <w:highlight w:val="white"/>
              </w:rPr>
              <w:t>Inline XBRL Taxonomy Calculation Linkbase Document.</w:t>
            </w:r>
          </w:p>
        </w:tc>
      </w:tr>
      <w:tr>
        <w:trPr/>
        <w:tc>
          <w:tcPr>
            <w:tcW w:w="92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101.DEF++</w:t>
            </w:r>
          </w:p>
        </w:tc>
        <w:tc>
          <w:tcPr>
            <w:tcW w:w="326" w:type="dxa"/>
            <w:tcBorders/>
            <w:shd w:fill="auto" w:val="clear"/>
            <w:vAlign w:val="center"/>
          </w:tcPr>
          <w:p>
            <w:pPr>
              <w:pStyle w:val="TableContents"/>
              <w:spacing w:before="0" w:after="0"/>
              <w:ind w:left="0" w:right="0" w:hanging="0"/>
              <w:rPr/>
            </w:pPr>
            <w:r>
              <w:rPr/>
              <w:t>​</w:t>
            </w:r>
          </w:p>
        </w:tc>
        <w:tc>
          <w:tcPr>
            <w:tcW w:w="8952" w:type="dxa"/>
            <w:tcBorders/>
            <w:shd w:fill="auto" w:val="clear"/>
            <w:vAlign w:val="center"/>
          </w:tcPr>
          <w:p>
            <w:pPr>
              <w:pStyle w:val="TableContents"/>
              <w:spacing w:before="0" w:after="0"/>
              <w:ind w:left="0" w:right="0" w:hanging="0"/>
              <w:rPr>
                <w:rFonts w:ascii="Times New Roman;Times;serif" w:hAnsi="Times New Roman;Times;serif"/>
                <w:sz w:val="20"/>
                <w:highlight w:val="white"/>
              </w:rPr>
            </w:pPr>
            <w:r>
              <w:rPr>
                <w:rFonts w:ascii="Times New Roman;Times;serif" w:hAnsi="Times New Roman;Times;serif"/>
                <w:sz w:val="20"/>
                <w:highlight w:val="white"/>
              </w:rPr>
              <w:t>Inline XBRL Taxonomy Definition Linkbase Document.</w:t>
            </w:r>
          </w:p>
        </w:tc>
      </w:tr>
      <w:tr>
        <w:trPr/>
        <w:tc>
          <w:tcPr>
            <w:tcW w:w="92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101.LAB++</w:t>
            </w:r>
          </w:p>
        </w:tc>
        <w:tc>
          <w:tcPr>
            <w:tcW w:w="326" w:type="dxa"/>
            <w:tcBorders/>
            <w:shd w:fill="auto" w:val="clear"/>
            <w:vAlign w:val="center"/>
          </w:tcPr>
          <w:p>
            <w:pPr>
              <w:pStyle w:val="TableContents"/>
              <w:spacing w:before="0" w:after="0"/>
              <w:ind w:left="0" w:right="0" w:hanging="0"/>
              <w:rPr/>
            </w:pPr>
            <w:r>
              <w:rPr/>
              <w:t>​</w:t>
            </w:r>
          </w:p>
        </w:tc>
        <w:tc>
          <w:tcPr>
            <w:tcW w:w="8952" w:type="dxa"/>
            <w:tcBorders/>
            <w:shd w:fill="auto" w:val="clear"/>
            <w:vAlign w:val="center"/>
          </w:tcPr>
          <w:p>
            <w:pPr>
              <w:pStyle w:val="TableContents"/>
              <w:spacing w:before="0" w:after="0"/>
              <w:ind w:left="0" w:right="0" w:hanging="0"/>
              <w:rPr>
                <w:rFonts w:ascii="Times New Roman;Times;serif" w:hAnsi="Times New Roman;Times;serif"/>
                <w:sz w:val="20"/>
                <w:highlight w:val="white"/>
              </w:rPr>
            </w:pPr>
            <w:r>
              <w:rPr>
                <w:rFonts w:ascii="Times New Roman;Times;serif" w:hAnsi="Times New Roman;Times;serif"/>
                <w:sz w:val="20"/>
                <w:highlight w:val="white"/>
              </w:rPr>
              <w:t>Inline XBRL Taxonomy Labels Linkbase Document.</w:t>
            </w:r>
          </w:p>
        </w:tc>
      </w:tr>
      <w:tr>
        <w:trPr/>
        <w:tc>
          <w:tcPr>
            <w:tcW w:w="92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101.PRE++</w:t>
            </w:r>
          </w:p>
        </w:tc>
        <w:tc>
          <w:tcPr>
            <w:tcW w:w="326" w:type="dxa"/>
            <w:tcBorders/>
            <w:shd w:fill="auto" w:val="clear"/>
            <w:vAlign w:val="center"/>
          </w:tcPr>
          <w:p>
            <w:pPr>
              <w:pStyle w:val="TableContents"/>
              <w:spacing w:before="0" w:after="0"/>
              <w:ind w:left="0" w:right="0" w:hanging="0"/>
              <w:rPr/>
            </w:pPr>
            <w:r>
              <w:rPr/>
              <w:t>​</w:t>
            </w:r>
          </w:p>
        </w:tc>
        <w:tc>
          <w:tcPr>
            <w:tcW w:w="8952" w:type="dxa"/>
            <w:tcBorders/>
            <w:shd w:fill="auto" w:val="clear"/>
            <w:vAlign w:val="center"/>
          </w:tcPr>
          <w:p>
            <w:pPr>
              <w:pStyle w:val="TableContents"/>
              <w:spacing w:before="0" w:after="0"/>
              <w:ind w:left="0" w:right="0" w:hanging="0"/>
              <w:rPr>
                <w:rFonts w:ascii="Times New Roman;Times;serif" w:hAnsi="Times New Roman;Times;serif"/>
                <w:sz w:val="20"/>
                <w:highlight w:val="white"/>
              </w:rPr>
            </w:pPr>
            <w:r>
              <w:rPr>
                <w:rFonts w:ascii="Times New Roman;Times;serif" w:hAnsi="Times New Roman;Times;serif"/>
                <w:sz w:val="20"/>
                <w:highlight w:val="white"/>
              </w:rPr>
              <w:t>Inline XBRL Taxonomy Presentation Linkbase Document.</w:t>
            </w:r>
          </w:p>
        </w:tc>
      </w:tr>
      <w:tr>
        <w:trPr/>
        <w:tc>
          <w:tcPr>
            <w:tcW w:w="92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104</w:t>
            </w:r>
          </w:p>
        </w:tc>
        <w:tc>
          <w:tcPr>
            <w:tcW w:w="326" w:type="dxa"/>
            <w:tcBorders/>
            <w:shd w:fill="auto" w:val="clear"/>
            <w:vAlign w:val="center"/>
          </w:tcPr>
          <w:p>
            <w:pPr>
              <w:pStyle w:val="TableContents"/>
              <w:spacing w:before="0" w:after="0"/>
              <w:ind w:left="0" w:right="0" w:hanging="0"/>
              <w:rPr/>
            </w:pPr>
            <w:r>
              <w:rPr/>
              <w:t>​</w:t>
            </w:r>
          </w:p>
        </w:tc>
        <w:tc>
          <w:tcPr>
            <w:tcW w:w="895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Cover Page Interactive Data File (the cover page interactive date file does not appear in the Interactive Date File because its XBRL tags are embedded within the Inline XBRL document).</w:t>
            </w:r>
          </w:p>
        </w:tc>
      </w:tr>
    </w:tbl>
    <w:p>
      <w:pPr>
        <w:pStyle w:val="TextBody"/>
        <w:spacing w:before="0" w:after="0"/>
        <w:ind w:left="0" w:right="0" w:hanging="0"/>
        <w:jc w:val="center"/>
        <w:rPr/>
      </w:pPr>
      <w:r>
        <w:rPr/>
        <w:t>​</w:t>
      </w:r>
    </w:p>
    <w:tbl>
      <w:tblPr>
        <w:tblW w:w="5987" w:type="dxa"/>
        <w:jc w:val="left"/>
        <w:tblInd w:w="0" w:type="dxa"/>
        <w:tblCellMar>
          <w:top w:w="0" w:type="dxa"/>
          <w:left w:w="0" w:type="dxa"/>
          <w:bottom w:w="0" w:type="dxa"/>
          <w:right w:w="0" w:type="dxa"/>
        </w:tblCellMar>
      </w:tblPr>
      <w:tblGrid>
        <w:gridCol w:w="331"/>
        <w:gridCol w:w="5656"/>
      </w:tblGrid>
      <w:tr>
        <w:trPr/>
        <w:tc>
          <w:tcPr>
            <w:tcW w:w="331" w:type="dxa"/>
            <w:tcBorders/>
            <w:shd w:fill="auto" w:val="clear"/>
            <w:vAlign w:val="center"/>
          </w:tcPr>
          <w:p>
            <w:pPr>
              <w:pStyle w:val="TableContents"/>
              <w:spacing w:before="0" w:after="283"/>
              <w:ind w:left="0" w:right="0" w:hanging="0"/>
              <w:rPr>
                <w:sz w:val="4"/>
                <w:szCs w:val="4"/>
              </w:rPr>
            </w:pPr>
            <w:r>
              <w:rPr>
                <w:sz w:val="4"/>
                <w:szCs w:val="4"/>
              </w:rPr>
            </w:r>
          </w:p>
        </w:tc>
        <w:tc>
          <w:tcPr>
            <w:tcW w:w="5656" w:type="dxa"/>
            <w:tcBorders/>
            <w:shd w:fill="auto" w:val="clear"/>
            <w:vAlign w:val="center"/>
          </w:tcPr>
          <w:p>
            <w:pPr>
              <w:pStyle w:val="TableContents"/>
              <w:spacing w:before="0" w:after="283"/>
              <w:ind w:left="0" w:right="0" w:hanging="0"/>
              <w:rPr>
                <w:sz w:val="4"/>
                <w:szCs w:val="4"/>
              </w:rPr>
            </w:pPr>
            <w:r>
              <w:rPr>
                <w:sz w:val="4"/>
                <w:szCs w:val="4"/>
              </w:rPr>
            </w:r>
          </w:p>
        </w:tc>
      </w:tr>
      <w:tr>
        <w:trPr/>
        <w:tc>
          <w:tcPr>
            <w:tcW w:w="3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6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Filed herewith (unless otherwise noted as being furnished herewith).</w:t>
            </w:r>
          </w:p>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center"/>
        <w:rPr>
          <w:rFonts w:ascii="Times New Roman;Times;serif" w:hAnsi="Times New Roman;Times;serif"/>
          <w:b/>
          <w:sz w:val="20"/>
        </w:rPr>
      </w:pPr>
      <w:bookmarkStart w:id="941" w:name="SIGNATURES_241896"/>
      <w:bookmarkStart w:id="942" w:name="_91523e04_f5f2_42a0_8f0c_2e4034caa970"/>
      <w:bookmarkEnd w:id="941"/>
      <w:bookmarkEnd w:id="942"/>
      <w:r>
        <w:rPr>
          <w:rFonts w:ascii="Times New Roman;Times;serif" w:hAnsi="Times New Roman;Times;serif"/>
          <w:b/>
          <w:sz w:val="20"/>
        </w:rPr>
        <w:t>SIGNATURES</w:t>
      </w:r>
    </w:p>
    <w:p>
      <w:pPr>
        <w:pStyle w:val="TextBody"/>
        <w:spacing w:before="0" w:after="0"/>
        <w:ind w:left="0" w:right="0" w:firstLine="540"/>
        <w:rPr>
          <w:rFonts w:ascii="Times New Roman;Times;serif" w:hAnsi="Times New Roman;Times;serif"/>
          <w:sz w:val="20"/>
        </w:rPr>
      </w:pPr>
      <w:r>
        <w:rPr>
          <w:rFonts w:ascii="Times New Roman;Times;serif" w:hAnsi="Times New Roman;Times;serif"/>
          <w:sz w:val="20"/>
        </w:rPr>
        <w:t>Pursuant to the requirements of the Securities Exchange Act of 1934, as amended, the registrant has duly caused this report to be signed on its behalf by the undersigned thereunto duly authorized.</w:t>
      </w:r>
    </w:p>
    <w:p>
      <w:pPr>
        <w:pStyle w:val="TextBody"/>
        <w:spacing w:before="0" w:after="0"/>
        <w:ind w:left="0" w:right="0" w:firstLine="720"/>
        <w:rPr/>
      </w:pPr>
      <w:r>
        <w:rPr/>
        <w:t>​</w:t>
      </w:r>
    </w:p>
    <w:tbl>
      <w:tblPr>
        <w:tblW w:w="9663" w:type="dxa"/>
        <w:jc w:val="left"/>
        <w:tblInd w:w="0" w:type="dxa"/>
        <w:tblCellMar>
          <w:top w:w="0" w:type="dxa"/>
          <w:left w:w="0" w:type="dxa"/>
          <w:bottom w:w="0" w:type="dxa"/>
          <w:right w:w="0" w:type="dxa"/>
        </w:tblCellMar>
      </w:tblPr>
      <w:tblGrid>
        <w:gridCol w:w="1261"/>
        <w:gridCol w:w="406"/>
        <w:gridCol w:w="7996"/>
      </w:tblGrid>
      <w:tr>
        <w:trPr/>
        <w:tc>
          <w:tcPr>
            <w:tcW w:w="12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800735" cy="29210"/>
                      <wp:effectExtent l="0" t="0" r="0" b="0"/>
                      <wp:wrapNone/>
                      <wp:docPr id="215" name="Frame214"/>
                      <a:graphic xmlns:a="http://schemas.openxmlformats.org/drawingml/2006/main">
                        <a:graphicData uri="http://schemas.microsoft.com/office/word/2010/wordprocessingShape">
                          <wps:wsp>
                            <wps:cNvSpPr txBox="1"/>
                            <wps:spPr>
                              <a:xfrm>
                                <a:off x="0" y="0"/>
                                <a:ext cx="8007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4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57810" cy="29210"/>
                      <wp:effectExtent l="0" t="0" r="0" b="0"/>
                      <wp:wrapNone/>
                      <wp:docPr id="216" name="Frame215"/>
                      <a:graphic xmlns:a="http://schemas.openxmlformats.org/drawingml/2006/main">
                        <a:graphicData uri="http://schemas.microsoft.com/office/word/2010/wordprocessingShape">
                          <wps:wsp>
                            <wps:cNvSpPr txBox="1"/>
                            <wps:spPr>
                              <a:xfrm>
                                <a:off x="0" y="0"/>
                                <a:ext cx="2578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79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5077460" cy="29210"/>
                      <wp:effectExtent l="0" t="0" r="0" b="0"/>
                      <wp:wrapNone/>
                      <wp:docPr id="217" name="Frame216"/>
                      <a:graphic xmlns:a="http://schemas.openxmlformats.org/drawingml/2006/main">
                        <a:graphicData uri="http://schemas.microsoft.com/office/word/2010/wordprocessingShape">
                          <wps:wsp>
                            <wps:cNvSpPr txBox="1"/>
                            <wps:spPr>
                              <a:xfrm>
                                <a:off x="0" y="0"/>
                                <a:ext cx="50774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261" w:type="dxa"/>
            <w:tcBorders/>
            <w:shd w:fill="auto" w:val="clear"/>
            <w:vAlign w:val="center"/>
          </w:tcPr>
          <w:p>
            <w:pPr>
              <w:pStyle w:val="TableContents"/>
              <w:spacing w:before="0" w:after="0"/>
              <w:ind w:left="0" w:right="0" w:hanging="0"/>
              <w:rPr/>
            </w:pPr>
            <w:r>
              <w:rPr/>
              <w:t> </w:t>
            </w:r>
          </w:p>
        </w:tc>
        <w:tc>
          <w:tcPr>
            <w:tcW w:w="8402" w:type="dxa"/>
            <w:gridSpan w:val="2"/>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Iovance Biotherapeutics, Inc.</w:t>
            </w:r>
          </w:p>
        </w:tc>
      </w:tr>
      <w:tr>
        <w:trPr/>
        <w:tc>
          <w:tcPr>
            <w:tcW w:w="1261" w:type="dxa"/>
            <w:tcBorders/>
            <w:shd w:fill="auto" w:val="clear"/>
            <w:vAlign w:val="center"/>
          </w:tcPr>
          <w:p>
            <w:pPr>
              <w:pStyle w:val="TableContents"/>
              <w:spacing w:before="0" w:after="0"/>
              <w:ind w:left="0" w:right="0" w:hanging="0"/>
              <w:rPr/>
            </w:pPr>
            <w:r>
              <w:rPr/>
              <w:t> </w:t>
            </w:r>
          </w:p>
        </w:tc>
        <w:tc>
          <w:tcPr>
            <w:tcW w:w="406" w:type="dxa"/>
            <w:tcBorders/>
            <w:shd w:fill="auto" w:val="clear"/>
            <w:vAlign w:val="center"/>
          </w:tcPr>
          <w:p>
            <w:pPr>
              <w:pStyle w:val="TableContents"/>
              <w:spacing w:before="0" w:after="0"/>
              <w:ind w:left="0" w:right="0" w:hanging="0"/>
              <w:rPr/>
            </w:pPr>
            <w:r>
              <w:rPr/>
              <w:t> </w:t>
            </w:r>
          </w:p>
        </w:tc>
        <w:tc>
          <w:tcPr>
            <w:tcW w:w="7996" w:type="dxa"/>
            <w:tcBorders/>
            <w:shd w:fill="auto" w:val="clear"/>
            <w:vAlign w:val="center"/>
          </w:tcPr>
          <w:p>
            <w:pPr>
              <w:pStyle w:val="TableContents"/>
              <w:spacing w:before="0" w:after="0"/>
              <w:ind w:left="0" w:right="0" w:hanging="0"/>
              <w:rPr/>
            </w:pPr>
            <w:r>
              <w:rPr/>
              <w:t> </w:t>
            </w:r>
          </w:p>
        </w:tc>
      </w:tr>
      <w:tr>
        <w:trPr/>
        <w:tc>
          <w:tcPr>
            <w:tcW w:w="12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May 10, 2023</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7996" w:type="dxa"/>
            <w:tcBorders>
              <w:bottom w:val="single" w:sz="8"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Frederick G. Vogt, Ph.D., J.D.</w:t>
            </w:r>
          </w:p>
        </w:tc>
      </w:tr>
      <w:tr>
        <w:trPr/>
        <w:tc>
          <w:tcPr>
            <w:tcW w:w="1261" w:type="dxa"/>
            <w:tcBorders/>
            <w:shd w:fill="auto" w:val="clear"/>
            <w:vAlign w:val="center"/>
          </w:tcPr>
          <w:p>
            <w:pPr>
              <w:pStyle w:val="TableContents"/>
              <w:spacing w:before="0" w:after="0"/>
              <w:ind w:left="0" w:right="0" w:hanging="0"/>
              <w:rPr/>
            </w:pPr>
            <w:r>
              <w:rPr/>
              <w:t> </w:t>
            </w:r>
          </w:p>
        </w:tc>
        <w:tc>
          <w:tcPr>
            <w:tcW w:w="406" w:type="dxa"/>
            <w:tcBorders/>
            <w:shd w:fill="auto" w:val="clear"/>
            <w:vAlign w:val="center"/>
          </w:tcPr>
          <w:p>
            <w:pPr>
              <w:pStyle w:val="TableContents"/>
              <w:spacing w:before="0" w:after="0"/>
              <w:ind w:left="0" w:right="0" w:hanging="0"/>
              <w:rPr/>
            </w:pPr>
            <w:r>
              <w:rPr/>
              <w:t> </w:t>
            </w:r>
          </w:p>
        </w:tc>
        <w:tc>
          <w:tcPr>
            <w:tcW w:w="79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Frederick G. Vogt, Ph.D., J.D.</w:t>
            </w:r>
          </w:p>
        </w:tc>
      </w:tr>
      <w:tr>
        <w:trPr/>
        <w:tc>
          <w:tcPr>
            <w:tcW w:w="1261" w:type="dxa"/>
            <w:tcBorders/>
            <w:shd w:fill="auto" w:val="clear"/>
            <w:vAlign w:val="center"/>
          </w:tcPr>
          <w:p>
            <w:pPr>
              <w:pStyle w:val="TableContents"/>
              <w:spacing w:before="0" w:after="0"/>
              <w:ind w:left="0" w:right="0" w:hanging="0"/>
              <w:rPr/>
            </w:pPr>
            <w:r>
              <w:rPr/>
              <w:t> </w:t>
            </w:r>
          </w:p>
        </w:tc>
        <w:tc>
          <w:tcPr>
            <w:tcW w:w="406" w:type="dxa"/>
            <w:tcBorders/>
            <w:shd w:fill="auto" w:val="clear"/>
            <w:vAlign w:val="center"/>
          </w:tcPr>
          <w:p>
            <w:pPr>
              <w:pStyle w:val="TableContents"/>
              <w:spacing w:before="0" w:after="0"/>
              <w:ind w:left="0" w:right="0" w:hanging="0"/>
              <w:rPr/>
            </w:pPr>
            <w:r>
              <w:rPr/>
              <w:t> </w:t>
            </w:r>
          </w:p>
        </w:tc>
        <w:tc>
          <w:tcPr>
            <w:tcW w:w="79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Interim Chief Executive Officer and President, and General Counsel (Principal Executive Officer)</w:t>
            </w:r>
          </w:p>
        </w:tc>
      </w:tr>
      <w:tr>
        <w:trPr/>
        <w:tc>
          <w:tcPr>
            <w:tcW w:w="1261" w:type="dxa"/>
            <w:tcBorders/>
            <w:shd w:fill="auto" w:val="clear"/>
            <w:vAlign w:val="center"/>
          </w:tcPr>
          <w:p>
            <w:pPr>
              <w:pStyle w:val="TableContents"/>
              <w:spacing w:before="0" w:after="0"/>
              <w:ind w:left="0" w:right="0" w:hanging="0"/>
              <w:rPr/>
            </w:pPr>
            <w:r>
              <w:rPr/>
              <w:t> </w:t>
            </w:r>
          </w:p>
        </w:tc>
        <w:tc>
          <w:tcPr>
            <w:tcW w:w="406" w:type="dxa"/>
            <w:tcBorders/>
            <w:shd w:fill="auto" w:val="clear"/>
            <w:vAlign w:val="center"/>
          </w:tcPr>
          <w:p>
            <w:pPr>
              <w:pStyle w:val="TableContents"/>
              <w:spacing w:before="0" w:after="0"/>
              <w:ind w:left="0" w:right="0" w:hanging="0"/>
              <w:rPr/>
            </w:pPr>
            <w:r>
              <w:rPr/>
              <w:t> </w:t>
            </w:r>
          </w:p>
        </w:tc>
        <w:tc>
          <w:tcPr>
            <w:tcW w:w="7996" w:type="dxa"/>
            <w:tcBorders/>
            <w:shd w:fill="auto" w:val="clear"/>
            <w:vAlign w:val="center"/>
          </w:tcPr>
          <w:p>
            <w:pPr>
              <w:pStyle w:val="TableContents"/>
              <w:spacing w:before="0" w:after="0"/>
              <w:ind w:left="0" w:right="0" w:hanging="0"/>
              <w:rPr/>
            </w:pPr>
            <w:r>
              <w:rPr/>
              <w:t> </w:t>
            </w:r>
          </w:p>
        </w:tc>
      </w:tr>
      <w:tr>
        <w:trPr/>
        <w:tc>
          <w:tcPr>
            <w:tcW w:w="12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May 10, 2023</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7996" w:type="dxa"/>
            <w:tcBorders>
              <w:bottom w:val="single" w:sz="8"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Jean-Marc Bellemin</w:t>
            </w:r>
          </w:p>
        </w:tc>
      </w:tr>
      <w:tr>
        <w:trPr/>
        <w:tc>
          <w:tcPr>
            <w:tcW w:w="1261" w:type="dxa"/>
            <w:tcBorders/>
            <w:shd w:fill="auto" w:val="clear"/>
            <w:vAlign w:val="center"/>
          </w:tcPr>
          <w:p>
            <w:pPr>
              <w:pStyle w:val="TableContents"/>
              <w:spacing w:before="0" w:after="0"/>
              <w:ind w:left="0" w:right="0" w:hanging="0"/>
              <w:rPr/>
            </w:pPr>
            <w:r>
              <w:rPr/>
              <w:t> </w:t>
            </w:r>
          </w:p>
        </w:tc>
        <w:tc>
          <w:tcPr>
            <w:tcW w:w="406" w:type="dxa"/>
            <w:tcBorders/>
            <w:shd w:fill="auto" w:val="clear"/>
            <w:vAlign w:val="center"/>
          </w:tcPr>
          <w:p>
            <w:pPr>
              <w:pStyle w:val="TableContents"/>
              <w:spacing w:before="0" w:after="0"/>
              <w:ind w:left="0" w:right="0" w:hanging="0"/>
              <w:rPr/>
            </w:pPr>
            <w:r>
              <w:rPr/>
              <w:t> </w:t>
            </w:r>
          </w:p>
        </w:tc>
        <w:tc>
          <w:tcPr>
            <w:tcW w:w="79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Jean-Marc Bellemin</w:t>
            </w:r>
          </w:p>
        </w:tc>
      </w:tr>
      <w:tr>
        <w:trPr/>
        <w:tc>
          <w:tcPr>
            <w:tcW w:w="1261" w:type="dxa"/>
            <w:tcBorders/>
            <w:shd w:fill="auto" w:val="clear"/>
            <w:vAlign w:val="center"/>
          </w:tcPr>
          <w:p>
            <w:pPr>
              <w:pStyle w:val="TableContents"/>
              <w:spacing w:before="0" w:after="0"/>
              <w:ind w:left="0" w:right="0" w:hanging="0"/>
              <w:rPr/>
            </w:pPr>
            <w:r>
              <w:rPr/>
              <w:t> </w:t>
            </w:r>
          </w:p>
        </w:tc>
        <w:tc>
          <w:tcPr>
            <w:tcW w:w="406" w:type="dxa"/>
            <w:tcBorders/>
            <w:shd w:fill="auto" w:val="clear"/>
            <w:vAlign w:val="center"/>
          </w:tcPr>
          <w:p>
            <w:pPr>
              <w:pStyle w:val="TableContents"/>
              <w:spacing w:before="0" w:after="0"/>
              <w:ind w:left="0" w:right="0" w:hanging="0"/>
              <w:rPr/>
            </w:pPr>
            <w:r>
              <w:rPr/>
              <w:t> </w:t>
            </w:r>
          </w:p>
        </w:tc>
        <w:tc>
          <w:tcPr>
            <w:tcW w:w="79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Financial Officer and Treasurer (Principal Financial and Accounting Officer)</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86</w:t>
      </w:r>
      <w:r>
        <w:br w:type="page"/>
      </w:r>
    </w:p>
    <w:p>
      <w:pPr>
        <w:pStyle w:val="TextBody"/>
        <w:spacing w:before="0" w:after="0"/>
        <w:ind w:left="0" w:right="0" w:hanging="0"/>
        <w:jc w:val="right"/>
        <w:rPr>
          <w:rFonts w:ascii="Times New Roman;Times;serif" w:hAnsi="Times New Roman;Times;serif"/>
          <w:b/>
          <w:sz w:val="20"/>
        </w:rPr>
      </w:pPr>
      <w:bookmarkStart w:id="943" w:name="iova-20230331xex31d1.htm"/>
      <w:bookmarkStart w:id="944" w:name="ksiova20230331xex31d1"/>
      <w:bookmarkEnd w:id="943"/>
      <w:bookmarkEnd w:id="944"/>
      <w:r>
        <w:rPr>
          <w:rFonts w:ascii="Times New Roman;Times;serif" w:hAnsi="Times New Roman;Times;serif"/>
          <w:b/>
          <w:sz w:val="20"/>
        </w:rPr>
        <w:t>Exhibit 31.1</w:t>
      </w:r>
    </w:p>
    <w:p>
      <w:pPr>
        <w:pStyle w:val="TextBody"/>
        <w:spacing w:before="0" w:after="0"/>
        <w:ind w:left="0" w:right="0" w:hanging="0"/>
        <w:jc w:val="right"/>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spacing w:before="0" w:after="0"/>
        <w:ind w:left="0" w:right="0" w:firstLine="720"/>
        <w:rPr/>
      </w:pPr>
      <w:r>
        <w:rPr/>
        <w:t>​</w:t>
      </w:r>
    </w:p>
    <w:p>
      <w:pPr>
        <w:pStyle w:val="TextBody"/>
        <w:spacing w:before="0" w:after="0"/>
        <w:ind w:left="720" w:right="0" w:hanging="0"/>
        <w:jc w:val="both"/>
        <w:rPr>
          <w:rFonts w:ascii="Times New Roman;Times;serif" w:hAnsi="Times New Roman;Times;serif"/>
          <w:sz w:val="20"/>
        </w:rPr>
      </w:pPr>
      <w:r>
        <w:rPr>
          <w:rFonts w:ascii="Times New Roman;Times;serif" w:hAnsi="Times New Roman;Times;serif"/>
          <w:sz w:val="20"/>
        </w:rPr>
        <w:t>I, Frederick G. Vogt, PhD., J.D, Interim Chief Executive Officer and President, and General Counsel of Iovance Biotherapeutics, Inc., certify that:</w:t>
      </w:r>
    </w:p>
    <w:p>
      <w:pPr>
        <w:pStyle w:val="TextBody"/>
        <w:spacing w:before="0" w:after="0"/>
        <w:ind w:left="0" w:right="0" w:firstLine="720"/>
        <w:jc w:val="both"/>
        <w:rPr/>
      </w:pPr>
      <w:r>
        <w:rPr/>
        <w:t>​</w:t>
      </w:r>
    </w:p>
    <w:p>
      <w:pPr>
        <w:pStyle w:val="TextBody"/>
        <w:pBdr/>
        <w:spacing w:before="0" w:after="0"/>
        <w:ind w:left="0" w:right="0" w:hanging="720"/>
        <w:rPr>
          <w:rFonts w:ascii="Times New Roman;Times;serif" w:hAnsi="Times New Roman;Times;serif"/>
          <w:sz w:val="20"/>
        </w:rPr>
      </w:pPr>
      <w:r>
        <w:rPr>
          <w:rFonts w:ascii="Times New Roman;Times;serif" w:hAnsi="Times New Roman;Times;serif"/>
          <w:sz w:val="20"/>
        </w:rPr>
        <w:t>1.            I have reviewed this Quarterly Report on Form 10-Q of Iovance Biotherapeutics, Inc.;</w:t>
      </w:r>
    </w:p>
    <w:p>
      <w:pPr>
        <w:pStyle w:val="TextBody"/>
        <w:pBdr/>
        <w:spacing w:before="0" w:after="0"/>
        <w:ind w:left="0" w:right="0" w:hanging="720"/>
        <w:rPr/>
      </w:pPr>
      <w:r>
        <w:rPr/>
        <w:t>​</w:t>
      </w:r>
    </w:p>
    <w:p>
      <w:pPr>
        <w:pStyle w:val="TextBody"/>
        <w:pBdr/>
        <w:spacing w:before="0" w:after="0"/>
        <w:ind w:left="0" w:right="0" w:hanging="720"/>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spacing w:before="0" w:after="0"/>
        <w:ind w:left="0" w:right="0" w:hanging="720"/>
        <w:rPr/>
      </w:pPr>
      <w:r>
        <w:rPr/>
        <w:t>​</w:t>
      </w:r>
    </w:p>
    <w:p>
      <w:pPr>
        <w:pStyle w:val="TextBody"/>
        <w:pBdr/>
        <w:spacing w:before="0" w:after="0"/>
        <w:ind w:left="0" w:right="0" w:hanging="720"/>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spacing w:before="0" w:after="0"/>
        <w:ind w:left="0" w:right="0" w:hanging="720"/>
        <w:rPr/>
      </w:pPr>
      <w:r>
        <w:rPr/>
        <w:t>​</w:t>
      </w:r>
    </w:p>
    <w:p>
      <w:pPr>
        <w:pStyle w:val="TextBody"/>
        <w:pBdr/>
        <w:spacing w:before="0" w:after="0"/>
        <w:ind w:left="0" w:right="0" w:hanging="720"/>
        <w:rPr>
          <w:rFonts w:ascii="Times New Roman;Times;serif" w:hAnsi="Times New Roman;Times;serif"/>
          <w:sz w:val="20"/>
        </w:rPr>
      </w:pPr>
      <w:r>
        <w:rPr>
          <w:rFonts w:ascii="Times New Roman;Times;serif" w:hAnsi="Times New Roman;Times;serif"/>
          <w:sz w:val="20"/>
        </w:rPr>
        <w:t>4.            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firstLine="720"/>
        <w:rPr/>
      </w:pPr>
      <w:r>
        <w:rPr/>
        <w:t>​</w:t>
      </w:r>
    </w:p>
    <w:p>
      <w:pPr>
        <w:pStyle w:val="TextBody"/>
        <w:pBdr/>
        <w:spacing w:before="0" w:after="0"/>
        <w:ind w:left="720" w:right="0" w:hanging="720"/>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spacing w:before="0" w:after="0"/>
        <w:ind w:left="720" w:right="0" w:hanging="720"/>
        <w:rPr/>
      </w:pPr>
      <w:r>
        <w:rPr/>
        <w:t>​</w:t>
      </w:r>
    </w:p>
    <w:p>
      <w:pPr>
        <w:pStyle w:val="TextBody"/>
        <w:pBdr/>
        <w:spacing w:before="0" w:after="0"/>
        <w:ind w:left="720" w:right="0" w:hanging="720"/>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pBdr/>
        <w:spacing w:before="0" w:after="0"/>
        <w:ind w:left="720" w:right="0" w:hanging="720"/>
        <w:rPr/>
      </w:pPr>
      <w:r>
        <w:rPr/>
        <w:t>​</w:t>
      </w:r>
    </w:p>
    <w:p>
      <w:pPr>
        <w:pStyle w:val="TextBody"/>
        <w:pBdr/>
        <w:spacing w:before="0" w:after="0"/>
        <w:ind w:left="720" w:right="0" w:hanging="720"/>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pBdr/>
        <w:spacing w:before="0" w:after="0"/>
        <w:ind w:left="720" w:right="0" w:hanging="720"/>
        <w:rPr/>
      </w:pPr>
      <w:r>
        <w:rPr/>
        <w:t>​</w:t>
      </w:r>
    </w:p>
    <w:p>
      <w:pPr>
        <w:pStyle w:val="TextBody"/>
        <w:pBdr/>
        <w:spacing w:before="0" w:after="0"/>
        <w:ind w:left="720" w:right="0" w:hanging="720"/>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spacing w:before="0" w:after="0"/>
        <w:ind w:left="0" w:right="0" w:firstLine="720"/>
        <w:rPr/>
      </w:pPr>
      <w:r>
        <w:rPr/>
        <w:t>​</w:t>
      </w:r>
    </w:p>
    <w:p>
      <w:pPr>
        <w:pStyle w:val="TextBody"/>
        <w:pBdr/>
        <w:spacing w:before="0" w:after="0"/>
        <w:ind w:left="0" w:right="0" w:hanging="720"/>
        <w:rPr>
          <w:rFonts w:ascii="Times New Roman;Times;serif" w:hAnsi="Times New Roman;Times;serif"/>
          <w:sz w:val="20"/>
        </w:rPr>
      </w:pPr>
      <w:r>
        <w:rPr>
          <w:rFonts w:ascii="Times New Roman;Times;serif" w:hAnsi="Times New Roman;Times;serif"/>
          <w:sz w:val="20"/>
        </w:rPr>
        <w:t>5.            I have disclosed, based on my most recent evaluation of internal control over financial reporting, to the registrant’s auditors and the audit committee of the registrant’s board of directors (or persons performing the equivalent functions):</w:t>
      </w:r>
    </w:p>
    <w:p>
      <w:pPr>
        <w:pStyle w:val="TextBody"/>
        <w:pBdr/>
        <w:spacing w:before="0" w:after="0"/>
        <w:ind w:left="0" w:right="0" w:hanging="720"/>
        <w:rPr/>
      </w:pPr>
      <w:r>
        <w:rPr/>
        <w:t>​</w:t>
      </w:r>
    </w:p>
    <w:p>
      <w:pPr>
        <w:pStyle w:val="TextBody"/>
        <w:pBdr/>
        <w:spacing w:before="0" w:after="0"/>
        <w:ind w:left="720" w:right="0" w:hanging="720"/>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spacing w:before="0" w:after="0"/>
        <w:ind w:left="720" w:right="0" w:hanging="720"/>
        <w:rPr/>
      </w:pPr>
      <w:r>
        <w:rPr/>
        <w:t>​</w:t>
      </w:r>
    </w:p>
    <w:p>
      <w:pPr>
        <w:pStyle w:val="TextBody"/>
        <w:pBdr/>
        <w:spacing w:before="0" w:after="0"/>
        <w:ind w:left="720" w:right="0" w:hanging="720"/>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spacing w:before="0" w:after="0"/>
        <w:ind w:left="0" w:right="0" w:firstLine="720"/>
        <w:rPr/>
      </w:pPr>
      <w:r>
        <w:rPr/>
        <w:t>​</w:t>
      </w:r>
    </w:p>
    <w:tbl>
      <w:tblPr>
        <w:tblW w:w="10205" w:type="dxa"/>
        <w:jc w:val="center"/>
        <w:tblInd w:w="0" w:type="dxa"/>
        <w:tblCellMar>
          <w:top w:w="0" w:type="dxa"/>
          <w:left w:w="0" w:type="dxa"/>
          <w:bottom w:w="0" w:type="dxa"/>
          <w:right w:w="0" w:type="dxa"/>
        </w:tblCellMar>
      </w:tblPr>
      <w:tblGrid>
        <w:gridCol w:w="1839"/>
        <w:gridCol w:w="405"/>
        <w:gridCol w:w="7961"/>
      </w:tblGrid>
      <w:tr>
        <w:trPr/>
        <w:tc>
          <w:tcPr>
            <w:tcW w:w="1839" w:type="dxa"/>
            <w:tcBorders/>
            <w:shd w:fill="auto" w:val="clear"/>
            <w:vAlign w:val="center"/>
          </w:tcPr>
          <w:p>
            <w:pPr>
              <w:pStyle w:val="TableContents"/>
              <w:spacing w:before="0" w:after="0"/>
              <w:ind w:left="0" w:right="0" w:hanging="0"/>
              <w:rPr/>
            </w:pPr>
            <w:r>
              <w:rPr/>
              <w:t>​</w:t>
            </w:r>
          </w:p>
        </w:tc>
        <w:tc>
          <w:tcPr>
            <w:tcW w:w="405" w:type="dxa"/>
            <w:tcBorders/>
            <w:shd w:fill="auto" w:val="clear"/>
            <w:vAlign w:val="center"/>
          </w:tcPr>
          <w:p>
            <w:pPr>
              <w:pStyle w:val="TableContents"/>
              <w:spacing w:before="0" w:after="0"/>
              <w:ind w:left="0" w:right="0" w:hanging="0"/>
              <w:rPr/>
            </w:pPr>
            <w:r>
              <w:rPr/>
              <w:t>​</w:t>
            </w:r>
          </w:p>
        </w:tc>
        <w:tc>
          <w:tcPr>
            <w:tcW w:w="7961" w:type="dxa"/>
            <w:tcBorders/>
            <w:shd w:fill="auto" w:val="clear"/>
            <w:vAlign w:val="center"/>
          </w:tcPr>
          <w:p>
            <w:pPr>
              <w:pStyle w:val="TableContents"/>
              <w:spacing w:before="0" w:after="0"/>
              <w:ind w:left="0" w:right="0" w:hanging="0"/>
              <w:rPr/>
            </w:pPr>
            <w:r>
              <w:rPr/>
              <w:t>​</w:t>
            </w:r>
          </w:p>
        </w:tc>
      </w:tr>
      <w:tr>
        <w:trPr/>
        <w:tc>
          <w:tcPr>
            <w:tcW w:w="183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Dated: May 10, 2023</w:t>
            </w:r>
          </w:p>
        </w:tc>
        <w:tc>
          <w:tcPr>
            <w:tcW w:w="40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796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Frederick G. Vogt, PhD., J.D.</w:t>
            </w:r>
          </w:p>
        </w:tc>
      </w:tr>
      <w:tr>
        <w:trPr/>
        <w:tc>
          <w:tcPr>
            <w:tcW w:w="1839" w:type="dxa"/>
            <w:tcBorders/>
            <w:shd w:fill="auto" w:val="clear"/>
            <w:vAlign w:val="center"/>
          </w:tcPr>
          <w:p>
            <w:pPr>
              <w:pStyle w:val="TableContents"/>
              <w:spacing w:before="0" w:after="0"/>
              <w:ind w:left="0" w:right="0" w:hanging="0"/>
              <w:rPr/>
            </w:pPr>
            <w:r>
              <w:rPr/>
              <w:t>​</w:t>
            </w:r>
          </w:p>
        </w:tc>
        <w:tc>
          <w:tcPr>
            <w:tcW w:w="405" w:type="dxa"/>
            <w:tcBorders/>
            <w:shd w:fill="auto" w:val="clear"/>
            <w:vAlign w:val="center"/>
          </w:tcPr>
          <w:p>
            <w:pPr>
              <w:pStyle w:val="TableContents"/>
              <w:spacing w:before="0" w:after="0"/>
              <w:ind w:left="0" w:right="0" w:hanging="0"/>
              <w:rPr/>
            </w:pPr>
            <w:r>
              <w:rPr/>
              <w:t>​</w:t>
            </w:r>
          </w:p>
        </w:tc>
        <w:tc>
          <w:tcPr>
            <w:tcW w:w="796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Frederick G. Vogt, PhD., J.D.</w:t>
            </w:r>
          </w:p>
        </w:tc>
      </w:tr>
      <w:tr>
        <w:trPr/>
        <w:tc>
          <w:tcPr>
            <w:tcW w:w="1839" w:type="dxa"/>
            <w:tcBorders/>
            <w:shd w:fill="auto" w:val="clear"/>
            <w:vAlign w:val="center"/>
          </w:tcPr>
          <w:p>
            <w:pPr>
              <w:pStyle w:val="TableContents"/>
              <w:spacing w:before="0" w:after="0"/>
              <w:ind w:left="0" w:right="0" w:hanging="0"/>
              <w:rPr/>
            </w:pPr>
            <w:r>
              <w:rPr/>
              <w:t>​</w:t>
            </w:r>
          </w:p>
        </w:tc>
        <w:tc>
          <w:tcPr>
            <w:tcW w:w="405" w:type="dxa"/>
            <w:tcBorders/>
            <w:shd w:fill="auto" w:val="clear"/>
            <w:vAlign w:val="center"/>
          </w:tcPr>
          <w:p>
            <w:pPr>
              <w:pStyle w:val="TableContents"/>
              <w:spacing w:before="0" w:after="0"/>
              <w:ind w:left="0" w:right="0" w:hanging="0"/>
              <w:rPr/>
            </w:pPr>
            <w:r>
              <w:rPr/>
              <w:t>​</w:t>
            </w:r>
          </w:p>
        </w:tc>
        <w:tc>
          <w:tcPr>
            <w:tcW w:w="79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Interim Chief Executive Officer and President, and General Counsel (Principal Executive Officer)</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945" w:name="iova-20230331xex31d2.htm"/>
      <w:bookmarkStart w:id="946" w:name="ksiova20230331xex31d2"/>
      <w:bookmarkEnd w:id="945"/>
      <w:bookmarkEnd w:id="946"/>
      <w:r>
        <w:rPr>
          <w:rFonts w:ascii="Times New Roman;Times;serif" w:hAnsi="Times New Roman;Times;serif"/>
          <w:b/>
          <w:sz w:val="20"/>
        </w:rPr>
        <w:t>Exhibit 31.2</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 Jean-Marc Bellemin, Chief Financial Officer of Iovance Biotherapeutics, Inc., certify that:</w:t>
      </w:r>
    </w:p>
    <w:p>
      <w:pPr>
        <w:pStyle w:val="TextBody"/>
        <w:spacing w:before="0" w:after="0"/>
        <w:ind w:left="0" w:right="0" w:firstLine="720"/>
        <w:rPr/>
      </w:pPr>
      <w:r>
        <w:rPr/>
        <w:t>​</w:t>
      </w:r>
    </w:p>
    <w:p>
      <w:pPr>
        <w:pStyle w:val="TextBody"/>
        <w:pBdr/>
        <w:spacing w:before="0" w:after="0"/>
        <w:ind w:left="0" w:right="0" w:hanging="720"/>
        <w:rPr>
          <w:rFonts w:ascii="Times New Roman;Times;serif" w:hAnsi="Times New Roman;Times;serif"/>
          <w:sz w:val="20"/>
        </w:rPr>
      </w:pPr>
      <w:r>
        <w:rPr>
          <w:rFonts w:ascii="Times New Roman;Times;serif" w:hAnsi="Times New Roman;Times;serif"/>
          <w:sz w:val="20"/>
        </w:rPr>
        <w:t xml:space="preserve">1.            I have reviewed this Quarterly Report on Form 10-Q of Iovance Biotherapeutics, Inc.; </w:t>
      </w:r>
    </w:p>
    <w:p>
      <w:pPr>
        <w:pStyle w:val="TextBody"/>
        <w:pBdr/>
        <w:spacing w:before="0" w:after="0"/>
        <w:ind w:left="0" w:right="0" w:hanging="720"/>
        <w:rPr/>
      </w:pPr>
      <w:r>
        <w:rPr/>
        <w:t>​</w:t>
      </w:r>
    </w:p>
    <w:p>
      <w:pPr>
        <w:pStyle w:val="TextBody"/>
        <w:pBdr/>
        <w:spacing w:before="0" w:after="0"/>
        <w:ind w:left="0" w:right="0" w:hanging="720"/>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spacing w:before="0" w:after="0"/>
        <w:ind w:left="0" w:right="0" w:hanging="720"/>
        <w:rPr/>
      </w:pPr>
      <w:r>
        <w:rPr/>
        <w:t>​</w:t>
      </w:r>
    </w:p>
    <w:p>
      <w:pPr>
        <w:pStyle w:val="TextBody"/>
        <w:pBdr/>
        <w:spacing w:before="0" w:after="0"/>
        <w:ind w:left="0" w:right="0" w:hanging="720"/>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spacing w:before="0" w:after="0"/>
        <w:ind w:left="0" w:right="0" w:hanging="720"/>
        <w:rPr/>
      </w:pPr>
      <w:r>
        <w:rPr/>
        <w:t>​</w:t>
      </w:r>
    </w:p>
    <w:p>
      <w:pPr>
        <w:pStyle w:val="TextBody"/>
        <w:pBdr/>
        <w:spacing w:before="0" w:after="0"/>
        <w:ind w:left="0" w:right="0" w:hanging="720"/>
        <w:rPr>
          <w:rFonts w:ascii="Times New Roman;Times;serif" w:hAnsi="Times New Roman;Times;serif"/>
          <w:sz w:val="20"/>
        </w:rPr>
      </w:pPr>
      <w:r>
        <w:rPr>
          <w:rFonts w:ascii="Times New Roman;Times;serif" w:hAnsi="Times New Roman;Times;serif"/>
          <w:sz w:val="20"/>
        </w:rPr>
        <w:t>4.            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firstLine="720"/>
        <w:rPr/>
      </w:pPr>
      <w:r>
        <w:rPr/>
        <w:t>​</w:t>
      </w:r>
    </w:p>
    <w:p>
      <w:pPr>
        <w:pStyle w:val="TextBody"/>
        <w:pBdr/>
        <w:spacing w:before="0" w:after="0"/>
        <w:ind w:left="720" w:right="0" w:hanging="720"/>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spacing w:before="0" w:after="0"/>
        <w:ind w:left="720" w:right="0" w:hanging="720"/>
        <w:rPr/>
      </w:pPr>
      <w:r>
        <w:rPr/>
        <w:t>​</w:t>
      </w:r>
    </w:p>
    <w:p>
      <w:pPr>
        <w:pStyle w:val="TextBody"/>
        <w:pBdr/>
        <w:spacing w:before="0" w:after="0"/>
        <w:ind w:left="720" w:right="0" w:hanging="720"/>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pBdr/>
        <w:spacing w:before="0" w:after="0"/>
        <w:ind w:left="720" w:right="0" w:hanging="720"/>
        <w:rPr/>
      </w:pPr>
      <w:r>
        <w:rPr/>
        <w:t>​</w:t>
      </w:r>
    </w:p>
    <w:p>
      <w:pPr>
        <w:pStyle w:val="TextBody"/>
        <w:pBdr/>
        <w:spacing w:before="0" w:after="0"/>
        <w:ind w:left="720" w:right="0" w:hanging="720"/>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pBdr/>
        <w:spacing w:before="0" w:after="0"/>
        <w:ind w:left="720" w:right="0" w:hanging="720"/>
        <w:rPr/>
      </w:pPr>
      <w:r>
        <w:rPr/>
        <w:t>​</w:t>
      </w:r>
    </w:p>
    <w:p>
      <w:pPr>
        <w:pStyle w:val="TextBody"/>
        <w:pBdr/>
        <w:spacing w:before="0" w:after="0"/>
        <w:ind w:left="720" w:right="0" w:hanging="720"/>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pBdr/>
        <w:spacing w:before="0" w:after="0"/>
        <w:ind w:left="0" w:right="0" w:hanging="720"/>
        <w:rPr/>
      </w:pPr>
      <w:r>
        <w:rPr/>
        <w:t>​</w:t>
      </w:r>
    </w:p>
    <w:p>
      <w:pPr>
        <w:pStyle w:val="TextBody"/>
        <w:pBdr/>
        <w:spacing w:before="0" w:after="0"/>
        <w:ind w:left="0" w:right="0" w:hanging="720"/>
        <w:rPr>
          <w:rFonts w:ascii="Times New Roman;Times;serif" w:hAnsi="Times New Roman;Times;serif"/>
          <w:sz w:val="20"/>
        </w:rPr>
      </w:pPr>
      <w:r>
        <w:rPr>
          <w:rFonts w:ascii="Times New Roman;Times;serif" w:hAnsi="Times New Roman;Times;serif"/>
          <w:sz w:val="20"/>
        </w:rPr>
        <w:t>5.            I have disclosed, based on my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firstLine="720"/>
        <w:rPr/>
      </w:pPr>
      <w:r>
        <w:rPr/>
        <w:t>​</w:t>
      </w:r>
    </w:p>
    <w:p>
      <w:pPr>
        <w:pStyle w:val="TextBody"/>
        <w:pBdr/>
        <w:spacing w:before="0" w:after="0"/>
        <w:ind w:left="720" w:right="0" w:hanging="720"/>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spacing w:before="0" w:after="0"/>
        <w:ind w:left="720" w:right="0" w:hanging="720"/>
        <w:rPr/>
      </w:pPr>
      <w:r>
        <w:rPr/>
        <w:t>​</w:t>
      </w:r>
    </w:p>
    <w:p>
      <w:pPr>
        <w:pStyle w:val="TextBody"/>
        <w:pBdr/>
        <w:spacing w:before="0" w:after="0"/>
        <w:ind w:left="720" w:right="0" w:hanging="720"/>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spacing w:before="0" w:after="0"/>
        <w:ind w:left="0" w:right="0" w:firstLine="720"/>
        <w:rPr/>
      </w:pPr>
      <w:r>
        <w:rPr/>
        <w:t>​</w:t>
      </w:r>
    </w:p>
    <w:tbl>
      <w:tblPr>
        <w:tblW w:w="7248" w:type="dxa"/>
        <w:jc w:val="center"/>
        <w:tblInd w:w="0" w:type="dxa"/>
        <w:tblCellMar>
          <w:top w:w="0" w:type="dxa"/>
          <w:left w:w="0" w:type="dxa"/>
          <w:bottom w:w="0" w:type="dxa"/>
          <w:right w:w="0" w:type="dxa"/>
        </w:tblCellMar>
      </w:tblPr>
      <w:tblGrid>
        <w:gridCol w:w="1846"/>
        <w:gridCol w:w="406"/>
        <w:gridCol w:w="4996"/>
      </w:tblGrid>
      <w:tr>
        <w:trPr/>
        <w:tc>
          <w:tcPr>
            <w:tcW w:w="184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4996" w:type="dxa"/>
            <w:tcBorders/>
            <w:shd w:fill="auto" w:val="clear"/>
            <w:vAlign w:val="center"/>
          </w:tcPr>
          <w:p>
            <w:pPr>
              <w:pStyle w:val="TableContents"/>
              <w:spacing w:before="0" w:after="0"/>
              <w:ind w:left="0" w:right="0" w:hanging="0"/>
              <w:rPr/>
            </w:pPr>
            <w:r>
              <w:rPr/>
              <w:t>​</w:t>
            </w:r>
          </w:p>
        </w:tc>
      </w:tr>
      <w:tr>
        <w:trPr/>
        <w:tc>
          <w:tcPr>
            <w:tcW w:w="18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Dated: May 10, 2023</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499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Jean-Marc Bellemin</w:t>
            </w:r>
          </w:p>
        </w:tc>
      </w:tr>
      <w:tr>
        <w:trPr/>
        <w:tc>
          <w:tcPr>
            <w:tcW w:w="184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499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Jean-Marc Bellemin</w:t>
            </w:r>
          </w:p>
        </w:tc>
      </w:tr>
      <w:tr>
        <w:trPr/>
        <w:tc>
          <w:tcPr>
            <w:tcW w:w="184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49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Financial Officer</w:t>
              <w:br/>
              <w:t>(Principal Financial Officer &amp; Principal Accounting Officer)</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947" w:name="iova-20230331xex32d1.htm"/>
      <w:bookmarkStart w:id="948" w:name="ksiova20230331xex32d1"/>
      <w:bookmarkEnd w:id="947"/>
      <w:bookmarkEnd w:id="948"/>
      <w:r>
        <w:rPr>
          <w:rFonts w:ascii="Times New Roman;Times;serif" w:hAnsi="Times New Roman;Times;serif"/>
          <w:b/>
          <w:sz w:val="20"/>
        </w:rPr>
        <w:t>Exhibit 32.1</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spacing w:before="0" w:after="0"/>
        <w:ind w:left="0" w:right="0" w:hanging="0"/>
        <w:jc w:val="center"/>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connection with the Quarterly Report on Form 10-Q of Iovance Biotherapeutics, Inc. (the “Company”) for the quarter ended March 31, 2023, as filed with the Securities and Exchange Commission on the date hereof (the “Report”), Frederick G. Vogt, PhD., J.D., Interim Chief Executive Officer and President, and General Counsel, hereby certifies, pursuant to 18 U.S.C. §1350, as adopted pursuant to §906 of the Sarbanes-Oxley Act of 2002, that:</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spacing w:before="0" w:after="0"/>
        <w:ind w:left="0" w:right="0" w:firstLine="720"/>
        <w:rPr/>
      </w:pPr>
      <w:r>
        <w:rPr/>
        <w:t>​</w:t>
      </w:r>
    </w:p>
    <w:tbl>
      <w:tblPr>
        <w:tblW w:w="10205" w:type="dxa"/>
        <w:jc w:val="center"/>
        <w:tblInd w:w="0" w:type="dxa"/>
        <w:tblCellMar>
          <w:top w:w="0" w:type="dxa"/>
          <w:left w:w="0" w:type="dxa"/>
          <w:bottom w:w="0" w:type="dxa"/>
          <w:right w:w="0" w:type="dxa"/>
        </w:tblCellMar>
      </w:tblPr>
      <w:tblGrid>
        <w:gridCol w:w="1839"/>
        <w:gridCol w:w="405"/>
        <w:gridCol w:w="7961"/>
      </w:tblGrid>
      <w:tr>
        <w:trPr/>
        <w:tc>
          <w:tcPr>
            <w:tcW w:w="1839" w:type="dxa"/>
            <w:tcBorders/>
            <w:shd w:fill="auto" w:val="clear"/>
            <w:vAlign w:val="center"/>
          </w:tcPr>
          <w:p>
            <w:pPr>
              <w:pStyle w:val="TableContents"/>
              <w:spacing w:before="0" w:after="0"/>
              <w:ind w:left="0" w:right="0" w:hanging="0"/>
              <w:rPr/>
            </w:pPr>
            <w:r>
              <w:rPr/>
              <w:t>​</w:t>
            </w:r>
          </w:p>
        </w:tc>
        <w:tc>
          <w:tcPr>
            <w:tcW w:w="405" w:type="dxa"/>
            <w:tcBorders/>
            <w:shd w:fill="auto" w:val="clear"/>
            <w:vAlign w:val="center"/>
          </w:tcPr>
          <w:p>
            <w:pPr>
              <w:pStyle w:val="TableContents"/>
              <w:spacing w:before="0" w:after="0"/>
              <w:ind w:left="0" w:right="0" w:hanging="0"/>
              <w:rPr/>
            </w:pPr>
            <w:r>
              <w:rPr/>
              <w:t>​</w:t>
            </w:r>
          </w:p>
        </w:tc>
        <w:tc>
          <w:tcPr>
            <w:tcW w:w="7961" w:type="dxa"/>
            <w:tcBorders/>
            <w:shd w:fill="auto" w:val="clear"/>
            <w:vAlign w:val="center"/>
          </w:tcPr>
          <w:p>
            <w:pPr>
              <w:pStyle w:val="TableContents"/>
              <w:spacing w:before="0" w:after="0"/>
              <w:ind w:left="0" w:right="0" w:hanging="0"/>
              <w:rPr/>
            </w:pPr>
            <w:r>
              <w:rPr/>
              <w:t>​</w:t>
            </w:r>
          </w:p>
        </w:tc>
      </w:tr>
      <w:tr>
        <w:trPr/>
        <w:tc>
          <w:tcPr>
            <w:tcW w:w="183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Dated: May 10, 2023</w:t>
            </w:r>
          </w:p>
        </w:tc>
        <w:tc>
          <w:tcPr>
            <w:tcW w:w="40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796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Frederick G. Vogt, PhD., J.D.</w:t>
            </w:r>
          </w:p>
        </w:tc>
      </w:tr>
      <w:tr>
        <w:trPr/>
        <w:tc>
          <w:tcPr>
            <w:tcW w:w="1839" w:type="dxa"/>
            <w:tcBorders/>
            <w:shd w:fill="auto" w:val="clear"/>
            <w:vAlign w:val="center"/>
          </w:tcPr>
          <w:p>
            <w:pPr>
              <w:pStyle w:val="TableContents"/>
              <w:spacing w:before="0" w:after="0"/>
              <w:ind w:left="0" w:right="0" w:hanging="0"/>
              <w:rPr/>
            </w:pPr>
            <w:r>
              <w:rPr/>
              <w:t>​</w:t>
            </w:r>
          </w:p>
        </w:tc>
        <w:tc>
          <w:tcPr>
            <w:tcW w:w="405" w:type="dxa"/>
            <w:tcBorders/>
            <w:shd w:fill="auto" w:val="clear"/>
            <w:vAlign w:val="center"/>
          </w:tcPr>
          <w:p>
            <w:pPr>
              <w:pStyle w:val="TableContents"/>
              <w:spacing w:before="0" w:after="0"/>
              <w:ind w:left="0" w:right="0" w:hanging="0"/>
              <w:rPr/>
            </w:pPr>
            <w:r>
              <w:rPr/>
              <w:t>​</w:t>
            </w:r>
          </w:p>
        </w:tc>
        <w:tc>
          <w:tcPr>
            <w:tcW w:w="796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Frederick G. Vogt, PhD., J.D.</w:t>
            </w:r>
          </w:p>
        </w:tc>
      </w:tr>
      <w:tr>
        <w:trPr/>
        <w:tc>
          <w:tcPr>
            <w:tcW w:w="1839" w:type="dxa"/>
            <w:tcBorders/>
            <w:shd w:fill="auto" w:val="clear"/>
            <w:vAlign w:val="center"/>
          </w:tcPr>
          <w:p>
            <w:pPr>
              <w:pStyle w:val="TableContents"/>
              <w:spacing w:before="0" w:after="0"/>
              <w:ind w:left="0" w:right="0" w:hanging="0"/>
              <w:rPr/>
            </w:pPr>
            <w:r>
              <w:rPr/>
              <w:t>​</w:t>
            </w:r>
          </w:p>
        </w:tc>
        <w:tc>
          <w:tcPr>
            <w:tcW w:w="405" w:type="dxa"/>
            <w:tcBorders/>
            <w:shd w:fill="auto" w:val="clear"/>
            <w:vAlign w:val="center"/>
          </w:tcPr>
          <w:p>
            <w:pPr>
              <w:pStyle w:val="TableContents"/>
              <w:spacing w:before="0" w:after="0"/>
              <w:ind w:left="0" w:right="0" w:hanging="0"/>
              <w:rPr/>
            </w:pPr>
            <w:r>
              <w:rPr/>
              <w:t>​</w:t>
            </w:r>
          </w:p>
        </w:tc>
        <w:tc>
          <w:tcPr>
            <w:tcW w:w="79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Interim Chief Executive Officer and President, and General Counsel (Principal Executive Officer)</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 signed original of this written statement required by Section 906 has been provided to the Company and will be retained by the Company and furnished to the Securities and Exchange Commission or its staff upon request.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949" w:name="iova-20230331xex32d2.htm"/>
      <w:bookmarkStart w:id="950" w:name="ksiova20230331xex32d2"/>
      <w:bookmarkEnd w:id="949"/>
      <w:bookmarkEnd w:id="950"/>
      <w:r>
        <w:rPr>
          <w:rFonts w:ascii="Times New Roman;Times;serif" w:hAnsi="Times New Roman;Times;serif"/>
          <w:b/>
          <w:sz w:val="20"/>
        </w:rPr>
        <w:t>Exhibit 32.2</w:t>
      </w:r>
    </w:p>
    <w:p>
      <w:pPr>
        <w:pStyle w:val="TextBody"/>
        <w:spacing w:before="0" w:after="0"/>
        <w:ind w:left="0" w:right="0" w:hanging="0"/>
        <w:jc w:val="right"/>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spacing w:before="0" w:after="0"/>
        <w:ind w:left="0" w:right="0" w:hanging="0"/>
        <w:jc w:val="center"/>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connection with the Quarterly Report on Form 10-Q of Iovance Biotherapeutics, Inc. (the “Company”) for the quarter ended March 31, 2023, as filed with the Securities and Exchange Commission on the date hereof (the “Report”), Jean-Marc Bellemin, Chief Financial Officer, hereby certifies, pursuant to 18 U.S.C. §1350, as adopted pursuant to §906 of the Sarbanes-Oxley Act of 2002, that:</w:t>
      </w:r>
    </w:p>
    <w:p>
      <w:pPr>
        <w:pStyle w:val="TextBody"/>
        <w:spacing w:before="0" w:after="0"/>
        <w:ind w:left="0" w:right="0" w:firstLine="72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spacing w:before="0" w:after="0"/>
        <w:ind w:left="0" w:right="0" w:firstLine="72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spacing w:before="0" w:after="0"/>
        <w:ind w:left="0" w:right="0" w:firstLine="720"/>
        <w:rPr/>
      </w:pPr>
      <w:r>
        <w:rPr/>
        <w:t>​</w:t>
      </w:r>
    </w:p>
    <w:tbl>
      <w:tblPr>
        <w:tblW w:w="7398" w:type="dxa"/>
        <w:jc w:val="center"/>
        <w:tblInd w:w="0" w:type="dxa"/>
        <w:tblCellMar>
          <w:top w:w="0" w:type="dxa"/>
          <w:left w:w="0" w:type="dxa"/>
          <w:bottom w:w="0" w:type="dxa"/>
          <w:right w:w="0" w:type="dxa"/>
        </w:tblCellMar>
      </w:tblPr>
      <w:tblGrid>
        <w:gridCol w:w="1846"/>
        <w:gridCol w:w="406"/>
        <w:gridCol w:w="5146"/>
      </w:tblGrid>
      <w:tr>
        <w:trPr/>
        <w:tc>
          <w:tcPr>
            <w:tcW w:w="184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5146" w:type="dxa"/>
            <w:tcBorders/>
            <w:shd w:fill="auto" w:val="clear"/>
            <w:vAlign w:val="center"/>
          </w:tcPr>
          <w:p>
            <w:pPr>
              <w:pStyle w:val="TableContents"/>
              <w:spacing w:before="0" w:after="0"/>
              <w:ind w:left="0" w:right="0" w:hanging="0"/>
              <w:rPr/>
            </w:pPr>
            <w:r>
              <w:rPr/>
              <w:t>​</w:t>
            </w:r>
          </w:p>
        </w:tc>
      </w:tr>
      <w:tr>
        <w:trPr/>
        <w:tc>
          <w:tcPr>
            <w:tcW w:w="18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Dated: May 10, 2023</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514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Jean-Marc Bellemin</w:t>
            </w:r>
          </w:p>
        </w:tc>
      </w:tr>
      <w:tr>
        <w:trPr/>
        <w:tc>
          <w:tcPr>
            <w:tcW w:w="184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514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Jean-Marc Bellemin</w:t>
            </w:r>
          </w:p>
        </w:tc>
      </w:tr>
      <w:tr>
        <w:trPr/>
        <w:tc>
          <w:tcPr>
            <w:tcW w:w="184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51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Chief Financial Officer </w:t>
              <w:br/>
              <w:t>(Principal Financial Officer and Principal Accounting Officer)</w:t>
            </w:r>
          </w:p>
        </w:tc>
      </w:tr>
    </w:tbl>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 signed original of this written statement required by Section 906 has been provided to the Company and will be retained by the Company and furnished to the Securities and Exchange Commission or its staff upon request.</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Calibri">
    <w:altName w:val="Helvetica"/>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61344</Words>
  <CharactersWithSpaces>406277</CharactersWithSpaces>
  <Paragraphs>4332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