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 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ind w:left="3840" w:right="1720" w:hanging="3832"/>
        <w:spacing w:after="0" w:line="282" w:lineRule="auto"/>
        <w:tabs>
          <w:tab w:leader="none" w:pos="101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September 30, 2015</w:t>
      </w:r>
    </w:p>
    <w:p>
      <w:pPr>
        <w:spacing w:after="0" w:line="162" w:lineRule="exact"/>
        <w:rPr>
          <w:sz w:val="24"/>
          <w:szCs w:val="24"/>
          <w:color w:val="auto"/>
        </w:rPr>
      </w:pPr>
    </w:p>
    <w:p>
      <w:pPr>
        <w:ind w:left="4100" w:right="1700" w:hanging="4092"/>
        <w:spacing w:after="0" w:line="282" w:lineRule="auto"/>
        <w:tabs>
          <w:tab w:leader="none" w:pos="10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001-36860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small business issuer as specified in its charter)</w:t>
      </w:r>
    </w:p>
    <w:p>
      <w:pPr>
        <w:spacing w:after="0" w:line="207"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Nevada</w:t>
            </w:r>
          </w:p>
        </w:tc>
        <w:tc>
          <w:tcPr>
            <w:tcW w:w="35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8"/>
              </w:rPr>
              <w:t>75-3254381</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12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112 W. 34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Street, 17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NY 10120</w:t>
      </w:r>
    </w:p>
    <w:p>
      <w:pPr>
        <w:ind w:left="38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(212)946-4856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right="22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right="4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468" w:right="239" w:bottom="1440" w:gutter="0" w:footer="0" w:header="0"/>
        </w:sectPr>
      </w:pPr>
    </w:p>
    <w:p>
      <w:pPr>
        <w:spacing w:after="0" w:line="178"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8" w:lineRule="exact"/>
        <w:rPr>
          <w:sz w:val="24"/>
          <w:szCs w:val="24"/>
          <w:color w:val="auto"/>
        </w:rPr>
      </w:pPr>
    </w:p>
    <w:p>
      <w:pPr>
        <w:sectPr>
          <w:pgSz w:w="11900" w:h="16838" w:orient="portrait"/>
          <w:cols w:equalWidth="0" w:num="2">
            <w:col w:w="7280" w:space="720"/>
            <w:col w:w="3420"/>
          </w:cols>
          <w:pgMar w:left="240" w:top="468" w:right="239" w:bottom="1440" w:gutter="0" w:footer="0" w:header="0"/>
          <w:type w:val="continuous"/>
        </w:sectPr>
      </w:pPr>
    </w:p>
    <w:p>
      <w:pPr>
        <w:ind w:left="660"/>
        <w:spacing w:after="0" w:line="207" w:lineRule="exact"/>
        <w:tabs>
          <w:tab w:leader="none" w:pos="95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 þ</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October 31, 2015, the issuer had 47,833,934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Borders>
              <w:bottom w:val="single" w:sz="8" w:color="0000EE"/>
            </w:tcBorders>
            <w:gridSpan w:val="9"/>
            <w:shd w:val="clear" w:color="auto" w:fill="CCEEFF"/>
          </w:tcPr>
          <w:p>
            <w:pPr>
              <w:spacing w:after="0" w:line="170"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FINANCIAL INFORMATION</w:t>
              </w:r>
            </w:hyperlink>
          </w:p>
        </w:tc>
        <w:tc>
          <w:tcPr>
            <w:tcW w:w="7400" w:type="dxa"/>
            <w:vAlign w:val="bottom"/>
            <w:tcBorders>
              <w:bottom w:val="single" w:sz="8" w:color="CCEEFF"/>
            </w:tcBorders>
            <w:gridSpan w:val="7"/>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4"/>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Financial Statements (Unaudited)</w:t>
              </w:r>
            </w:hyperlink>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6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4"/>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4T.</w:t>
            </w:r>
          </w:p>
        </w:tc>
        <w:tc>
          <w:tcPr>
            <w:tcW w:w="914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Controls and Procedures</w:t>
              </w:r>
            </w:hyperlink>
          </w:p>
        </w:tc>
        <w:tc>
          <w:tcPr>
            <w:tcW w:w="11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PART II OTHER INFORMATION</w:t>
              </w:r>
            </w:hyperlink>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42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7720" w:type="dxa"/>
            <w:vAlign w:val="bottom"/>
            <w:tcBorders>
              <w:top w:val="single" w:sz="8" w:color="CCEEFF"/>
            </w:tcBorders>
            <w:gridSpan w:val="9"/>
          </w:tcPr>
          <w:p>
            <w:pPr>
              <w:spacing w:after="0"/>
              <w:rPr>
                <w:sz w:val="15"/>
                <w:szCs w:val="15"/>
                <w:color w:val="auto"/>
              </w:rPr>
            </w:pPr>
          </w:p>
        </w:tc>
        <w:tc>
          <w:tcPr>
            <w:tcW w:w="1120" w:type="dxa"/>
            <w:vAlign w:val="bottom"/>
            <w:tcBorders>
              <w:top w:val="single" w:sz="8" w:color="CCEEFF"/>
            </w:tcBorders>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11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4"/>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Unregistered Sales of Securities and Use of Proceeds</w:t>
              </w:r>
            </w:hyperlink>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Defaults Upon Senior Securities</w:t>
              </w:r>
            </w:hyperlink>
          </w:p>
        </w:tc>
        <w:tc>
          <w:tcPr>
            <w:tcW w:w="11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w:t>
              </w:r>
            </w:hyperlink>
          </w:p>
        </w:tc>
        <w:tc>
          <w:tcPr>
            <w:tcW w:w="682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Other Information</w:t>
              </w:r>
            </w:hyperlink>
          </w:p>
        </w:tc>
        <w:tc>
          <w:tcPr>
            <w:tcW w:w="782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4"/>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Exhibits</w:t>
              </w:r>
            </w:hyperlink>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74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Condensed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60" w:type="dxa"/>
            <w:vAlign w:val="bottom"/>
          </w:tcPr>
          <w:p>
            <w:pPr>
              <w:spacing w:after="0"/>
              <w:rPr>
                <w:sz w:val="24"/>
                <w:szCs w:val="24"/>
                <w:color w:val="auto"/>
              </w:rPr>
            </w:pPr>
          </w:p>
        </w:tc>
        <w:tc>
          <w:tcPr>
            <w:tcW w:w="74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LION BIOTECHNOLOGIES, INC.</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744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p>
        </w:tc>
        <w:tc>
          <w:tcPr>
            <w:tcW w:w="74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93"/>
        </w:trPr>
        <w:tc>
          <w:tcPr>
            <w:tcW w:w="5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0" w:type="dxa"/>
            <w:vAlign w:val="bottom"/>
            <w:tcBorders>
              <w:bottom w:val="single" w:sz="8" w:color="CCEEFF"/>
            </w:tcBorders>
          </w:tcPr>
          <w:p>
            <w:pPr>
              <w:spacing w:after="0"/>
              <w:rPr>
                <w:sz w:val="20"/>
                <w:szCs w:val="20"/>
                <w:color w:val="auto"/>
              </w:rPr>
            </w:pPr>
          </w:p>
        </w:tc>
        <w:tc>
          <w:tcPr>
            <w:tcW w:w="7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44,910</w:t>
            </w:r>
          </w:p>
        </w:tc>
      </w:tr>
      <w:tr>
        <w:trPr>
          <w:trHeight w:val="216"/>
        </w:trPr>
        <w:tc>
          <w:tcPr>
            <w:tcW w:w="8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Short-term investments available for sale</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44,977</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net of accumulated depreciation of $794 and $103, respectively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w:t>
            </w:r>
          </w:p>
        </w:tc>
      </w:tr>
      <w:tr>
        <w:trPr>
          <w:trHeight w:val="223"/>
        </w:trPr>
        <w:tc>
          <w:tcPr>
            <w:tcW w:w="80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payable to officers and former directors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80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60" w:type="dxa"/>
            <w:vAlign w:val="bottom"/>
          </w:tcPr>
          <w:p>
            <w:pPr>
              <w:spacing w:after="0"/>
              <w:rPr>
                <w:sz w:val="17"/>
                <w:szCs w:val="17"/>
                <w:color w:val="auto"/>
              </w:rPr>
            </w:pPr>
          </w:p>
        </w:tc>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50,000,000 shares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3,694 shares and 5,694 shares issued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$0.000041666 par value; 150,000,000</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0" w:type="dxa"/>
            <w:vAlign w:val="bottom"/>
            <w:shd w:val="clear" w:color="auto" w:fill="CCEEFF"/>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47,807,398 and 33,750,188</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0" w:type="dxa"/>
            <w:vAlign w:val="bottom"/>
            <w:shd w:val="clear" w:color="auto" w:fill="CCEEFF"/>
          </w:tcPr>
          <w:p>
            <w:pPr>
              <w:spacing w:after="0"/>
              <w:rPr>
                <w:sz w:val="20"/>
                <w:szCs w:val="20"/>
                <w:color w:val="auto"/>
              </w:rPr>
            </w:pPr>
          </w:p>
        </w:tc>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to be issued, 245,153 shares</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121,161</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(95,845)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(76,562)</w:t>
            </w:r>
          </w:p>
        </w:tc>
      </w:tr>
      <w:tr>
        <w:trPr>
          <w:trHeight w:val="210"/>
        </w:trPr>
        <w:tc>
          <w:tcPr>
            <w:tcW w:w="80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00" w:type="dxa"/>
            <w:vAlign w:val="bottom"/>
            <w:tcBorders>
              <w:bottom w:val="single" w:sz="8" w:color="CCEEFF"/>
            </w:tcBorders>
          </w:tcPr>
          <w:p>
            <w:pPr>
              <w:spacing w:after="0"/>
              <w:rPr>
                <w:sz w:val="18"/>
                <w:szCs w:val="18"/>
                <w:color w:val="auto"/>
              </w:rPr>
            </w:pPr>
          </w:p>
        </w:tc>
      </w:tr>
      <w:tr>
        <w:trPr>
          <w:trHeight w:val="210"/>
        </w:trPr>
        <w:tc>
          <w:tcPr>
            <w:tcW w:w="56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46,509</w:t>
            </w:r>
          </w:p>
        </w:tc>
      </w:tr>
      <w:tr>
        <w:trPr>
          <w:trHeight w:val="197"/>
        </w:trPr>
        <w:tc>
          <w:tcPr>
            <w:tcW w:w="560" w:type="dxa"/>
            <w:vAlign w:val="bottom"/>
            <w:tcBorders>
              <w:top w:val="single" w:sz="8" w:color="CCEEFF"/>
            </w:tcBorders>
            <w:shd w:val="clear" w:color="auto" w:fill="CCEEFF"/>
          </w:tcPr>
          <w:p>
            <w:pPr>
              <w:spacing w:after="0"/>
              <w:rPr>
                <w:sz w:val="17"/>
                <w:szCs w:val="17"/>
                <w:color w:val="auto"/>
              </w:rPr>
            </w:pPr>
          </w:p>
        </w:tc>
        <w:tc>
          <w:tcPr>
            <w:tcW w:w="7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p>
      <w:pPr>
        <w:ind w:left="4320"/>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expenses (includes $1,452, $658, $3,726,</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$1,905, respectively in share-based compensation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7,259</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6,155</w:t>
            </w: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$895, $282,</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$2,050, and $817, respectively in share-based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12,147</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w:t>
            </w:r>
          </w:p>
        </w:tc>
      </w:tr>
      <w:tr>
        <w:trPr>
          <w:trHeight w:val="210"/>
        </w:trPr>
        <w:tc>
          <w:tcPr>
            <w:tcW w:w="43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(7,643)</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(19,406)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6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43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Basic and Diluted</w:t>
            </w:r>
          </w:p>
        </w:tc>
        <w:tc>
          <w:tcPr>
            <w:tcW w:w="3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47,271,593</w:t>
            </w:r>
          </w:p>
        </w:tc>
        <w:tc>
          <w:tcPr>
            <w:tcW w:w="4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26,632,908</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43,398,650</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24,107,787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4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3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(7,635)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(7,597)</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(2,798)</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(19,245)</w:t>
            </w:r>
          </w:p>
        </w:tc>
        <w:tc>
          <w:tcPr>
            <w:tcW w:w="62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 January 1, 2015</w:t>
      </w:r>
    </w:p>
    <w:p>
      <w:pPr>
        <w:spacing w:after="0" w:line="206" w:lineRule="exact"/>
        <w:rPr>
          <w:sz w:val="20"/>
          <w:szCs w:val="20"/>
          <w:color w:val="auto"/>
        </w:rPr>
      </w:pPr>
    </w:p>
    <w:p>
      <w:pPr>
        <w:ind w:left="140" w:right="40"/>
        <w:spacing w:after="0" w:line="229" w:lineRule="auto"/>
        <w:rPr>
          <w:sz w:val="20"/>
          <w:szCs w:val="20"/>
          <w:color w:val="auto"/>
        </w:rPr>
      </w:pPr>
      <w:r>
        <w:rPr>
          <w:rFonts w:ascii="Times New Roman" w:cs="Times New Roman" w:eastAsia="Times New Roman" w:hAnsi="Times New Roman"/>
          <w:sz w:val="14"/>
          <w:szCs w:val="14"/>
          <w:color w:val="auto"/>
        </w:rPr>
        <w:t>Fair value of vested stock options Common stock issued upon exercise of warrants</w:t>
      </w:r>
    </w:p>
    <w:p>
      <w:pPr>
        <w:spacing w:after="0" w:line="1" w:lineRule="exact"/>
        <w:rPr>
          <w:sz w:val="20"/>
          <w:szCs w:val="20"/>
          <w:color w:val="auto"/>
        </w:rPr>
      </w:pPr>
    </w:p>
    <w:p>
      <w:pPr>
        <w:ind w:left="140" w:right="40"/>
        <w:spacing w:after="0" w:line="221" w:lineRule="auto"/>
        <w:rPr>
          <w:sz w:val="20"/>
          <w:szCs w:val="20"/>
          <w:color w:val="auto"/>
        </w:rPr>
      </w:pPr>
      <w:r>
        <w:rPr>
          <w:rFonts w:ascii="Times New Roman" w:cs="Times New Roman" w:eastAsia="Times New Roman" w:hAnsi="Times New Roman"/>
          <w:sz w:val="14"/>
          <w:szCs w:val="14"/>
          <w:color w:val="auto"/>
        </w:rPr>
        <w:t>Common stock issued upon exercise of options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Common stock issued upon conversion of preferred shares Common stock sold in public offering, net of offering costs Vesting of restricted shares issued for services</w:t>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Unrealized gain on short-term</w:t>
      </w:r>
    </w:p>
    <w:p>
      <w:pPr>
        <w:ind w:left="140"/>
        <w:spacing w:after="0" w:line="221" w:lineRule="auto"/>
        <w:rPr>
          <w:sz w:val="20"/>
          <w:szCs w:val="20"/>
          <w:color w:val="auto"/>
        </w:rPr>
      </w:pPr>
      <w:r>
        <w:rPr>
          <w:rFonts w:ascii="Times New Roman" w:cs="Times New Roman" w:eastAsia="Times New Roman" w:hAnsi="Times New Roman"/>
          <w:sz w:val="14"/>
          <w:szCs w:val="14"/>
          <w:color w:val="auto"/>
        </w:rPr>
        <w:t>investments</w:t>
      </w:r>
    </w:p>
    <w:p>
      <w:pPr>
        <w:ind w:left="140"/>
        <w:spacing w:after="0"/>
        <w:rPr>
          <w:sz w:val="20"/>
          <w:szCs w:val="20"/>
          <w:color w:val="auto"/>
        </w:rPr>
      </w:pPr>
      <w:r>
        <w:rPr>
          <w:rFonts w:ascii="Times New Roman" w:cs="Times New Roman" w:eastAsia="Times New Roman" w:hAnsi="Times New Roman"/>
          <w:sz w:val="14"/>
          <w:szCs w:val="14"/>
          <w:color w:val="auto"/>
        </w:rPr>
        <w:t>Net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 September 30, 2015</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w:t>
      </w:r>
    </w:p>
    <w:p>
      <w:pPr>
        <w:spacing w:after="0" w:line="9"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9"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8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be</w:t>
            </w:r>
          </w:p>
        </w:tc>
        <w:tc>
          <w:tcPr>
            <w:tcW w:w="1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70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5,694</w:t>
            </w:r>
          </w:p>
        </w:tc>
        <w:tc>
          <w:tcPr>
            <w:tcW w:w="4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33,750,188</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121,161</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(76,562)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4,223</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3,847,210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9,618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(2,000)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9,200,000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68,308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1,553</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(19,283)</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(19,283)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3,694</w:t>
            </w:r>
          </w:p>
        </w:tc>
        <w:tc>
          <w:tcPr>
            <w:tcW w:w="220" w:type="dxa"/>
            <w:vAlign w:val="bottom"/>
          </w:tcPr>
          <w:p>
            <w:pPr>
              <w:spacing w:after="0"/>
              <w:rPr>
                <w:sz w:val="24"/>
                <w:szCs w:val="24"/>
                <w:color w:val="auto"/>
              </w:rPr>
            </w:pPr>
          </w:p>
        </w:tc>
        <w:tc>
          <w:tcPr>
            <w:tcW w:w="460" w:type="dxa"/>
            <w:vAlign w:val="bottom"/>
          </w:tcPr>
          <w:p>
            <w:pPr>
              <w:jc w:val="right"/>
              <w:ind w:right="33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47,807,398</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204,929</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160"/>
              <w:spacing w:after="0" w:line="317" w:lineRule="exact"/>
              <w:rPr>
                <w:sz w:val="20"/>
                <w:szCs w:val="20"/>
                <w:color w:val="auto"/>
              </w:rPr>
            </w:pPr>
            <w:r>
              <w:rPr>
                <w:rFonts w:ascii="Times New Roman" w:cs="Times New Roman" w:eastAsia="Times New Roman" w:hAnsi="Times New Roman"/>
                <w:sz w:val="14"/>
                <w:szCs w:val="14"/>
                <w:b w:val="1"/>
                <w:bCs w:val="1"/>
                <w:color w:val="auto"/>
              </w:rPr>
              <w:t>(95,845</w:t>
            </w:r>
            <w:r>
              <w:rPr>
                <w:rFonts w:ascii="Times New Roman" w:cs="Times New Roman" w:eastAsia="Times New Roman" w:hAnsi="Times New Roman"/>
                <w:sz w:val="28"/>
                <w:szCs w:val="28"/>
                <w:b w:val="1"/>
                <w:bCs w:val="1"/>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109,369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-1843405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-1611630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-1285875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-908685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-530860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-239395</wp:posOffset>
            </wp:positionV>
            <wp:extent cx="72466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140"/>
            <w:col w:w="8940"/>
          </w:cols>
          <w:pgMar w:left="240" w:top="90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type w:val="continuous"/>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ind w:left="53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1"/>
        </w:trPr>
        <w:tc>
          <w:tcPr>
            <w:tcW w:w="8000" w:type="dxa"/>
            <w:vAlign w:val="bottom"/>
          </w:tcPr>
          <w:p>
            <w:pPr>
              <w:spacing w:after="0"/>
              <w:rPr>
                <w:sz w:val="24"/>
                <w:szCs w:val="24"/>
                <w:color w:val="auto"/>
              </w:rPr>
            </w:pPr>
          </w:p>
        </w:tc>
        <w:tc>
          <w:tcPr>
            <w:tcW w:w="34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800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(19,283)</w:t>
            </w: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1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Fair value of vested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Vesting of restricted shares issued for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(1,012)</w:t>
            </w:r>
          </w:p>
        </w:tc>
      </w:tr>
      <w:tr>
        <w:trPr>
          <w:trHeight w:val="210"/>
        </w:trPr>
        <w:tc>
          <w:tcPr>
            <w:tcW w:w="80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(11,802)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(5,318)</w:t>
            </w:r>
          </w:p>
        </w:tc>
      </w:tr>
      <w:tr>
        <w:trPr>
          <w:trHeight w:val="210"/>
        </w:trPr>
        <w:tc>
          <w:tcPr>
            <w:tcW w:w="80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money market funds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(95,236)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(100,890</w:t>
            </w: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warrants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68,308</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77,992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(2,483)</w:t>
            </w:r>
          </w:p>
        </w:tc>
      </w:tr>
      <w:tr>
        <w:trPr>
          <w:trHeight w:val="230"/>
        </w:trPr>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 non-cash financing activities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1"/>
                <w:szCs w:val="21"/>
                <w:color w:val="auto"/>
              </w:rPr>
            </w:pPr>
          </w:p>
        </w:tc>
        <w:tc>
          <w:tcPr>
            <w:tcW w:w="460" w:type="dxa"/>
            <w:vAlign w:val="bottom"/>
            <w:tcBorders>
              <w:bottom w:val="single" w:sz="8" w:color="auto"/>
            </w:tcBorders>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Lion Biotechnologies, Inc. (the “Company,” “we,” “us” or “our”) is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The TIL are then activated and expanded ex vivo and then infused back into the patient to fight their tumor cells.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of Unaudited Condensed Financial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financial statements of the Company for the nine months ended September 30, 2015 and 2014 have been prepared in accordance with accounting principles generally accepted in the United States of America for interim financial information and pursuant to the requirements for reporting on Form 10-Q and Regulation S-K. Accordingly, they do not include all the information and footnotes required by accounting principles generally accepted in the United States of America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2014 was derived from the audited financial statements included in the Company’s financial statements as of and for the year ended December 31, 2014 included in the Company’s Annual Report on Form 10-K filed with the Securities and Exchange Commission (the “SEC”) on March 16, 2015. These financial statements should be read in conjunction with that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2015 from the sale or licensing of any products. In addition, we have not generated any revenues from our prior business plans.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had any revenues and are still in the development stage. As shown in the accompanying condensed financial statements, we have incurred a net loss of $19.3 million for the nine months ended September 30, 2015 and used $11.8 million of cash in our operating activities during the nine months ended September 30, 2015. As of September 30, 2015, we had $110.1 million of cash, money market funds, and short term investments on hand, stockholders’ equity of $109.4 million and had working capital of $107.5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2015, we expect to further ramp up our operations, which will increase the amount of cash we will use in our operations. Our budget for 2015 includes increased spending on research and development activities, higher payroll expenses as we increase our professional staff, the costs associated with operating our new Tampa, Florida, research facility, as well as ongoing payments under the Cooperative Research and Development Agreement (CRADA) we have entered into with the National Cancer Institute (NCI). Based on the funds we had available on September 30, 2015, we believe that we have sufficient capital to fund our anticipated operating expenses for at least 24 months.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 2015, the Company sold 9,200,000 shares of its common stock in an underwritten public offering at $8.00 per share for net proceeds of $68.3 million, after deducting expenses of the offering. On December 22, 2014, the Company sold 6,000,000 shares of its common stock in an underwritten public offering at $5.75 per share for net proceeds of $32.2 million after deducting expenses of the offering. On November 5, 2013, we completed a $23.3 million private placement of our securities to various institutional and individual accredited investors. Despite the amount of funds that we have raised, the estimated cost of completing the development of our TIL-based therapy, and of obtaining all required regulatory approvals to market those product candidates, may be substantially greater than the amount of funds we have available. Therefore, while we believe that our existing cash balances will be sufficient to fund our currently planned level of operations for at least 24 months, we will have to obtain additional funds in the future to complete our development plans. We intend to seek this additional funding through various financing sources, including possible sales of our securities, and in the longer term through strategic alliances with other pharmaceutical or biopharmaceutical companies.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represent available for sale securities and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their estimated useful lives of two to five years. Maintenance and repairs of depreciable assets are charged against earnings as incurred. When properties are retired or otherwise disposed of, the cost and accumulated depreciation are removed from the accounts and gains or losses are credited or charged to earnings. Leasehold improvements are amortized over the lesser of their estimated useful life or lease term, whichever is shorter.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 average number of common shares outstanding for the period, excluding unvested shares of restricted common stock. Shares of restricted stock subject to vesting are included in basic weighted average common shares outstanding from the time they vest. Diluted earnings per share is computed by dividing the net income applicable to common stock 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 When calculating diluted net income per share, shares of restricted stock subject to vesting are included in diluted weighted average common shares outstanding as of their grant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2015 and 2014, basic and diluted net loss per share are the same, as the effect of potentially dilutive securities was antidilutive. At September 30, 2015, potentially dilutive securities include options to acquire 2,704,195 shares of common stock, warrants to acquire 7,237,216 shares of common stock, preferred stock that can be converted into 1,847,000 shares of common stock, and 494,001 shares of non-vested restricted stock. At September 30, 2014, potentially dilutive securities include options to acquire 1,098,750 shares of common stock, warrants to acquire 11,172,426 shares of common stock, and preferred stock that can be converted into 2,847,000 shares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7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fair valued assets we hold that are generally included under this Level 1 are money market securities where fair value is based on publicly quoted prices.</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62"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8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fair valued assets classified under Level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are categorized in the tables below based upon the lowest level of significant input to the valuations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Assets at Fair Value as of September 30, 2015</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43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79,374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79,374</w:t>
            </w:r>
          </w:p>
        </w:tc>
      </w:tr>
      <w:tr>
        <w:trPr>
          <w:trHeight w:val="223"/>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99,936</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accounting for potential liabilities and the assumptions made in valuing stock instruments issued for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Financial Accounting Standards Board where the value of the award is measured on the date of grant and recognized over the vesting period. The Company accounts for stock option grants to non-employees in accordance with the authoritative guidance of the Financial Accounting Standards Board where the value of the stock compensation is determined based upon the measurement date at either a) 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restricted shares of its common stock for share-based compensation programs. The Company measures the compensation cost with respect to restricted shares to employees based upon the estimated fair value of the equity instruments at the date of the grant, and is recognized as expense over the period which an employee is required to provide services in exchange for the award.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related to all of our stock-based awards was as follows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9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0"/>
        </w:trPr>
        <w:tc>
          <w:tcPr>
            <w:tcW w:w="4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3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3,726</w:t>
            </w:r>
          </w:p>
        </w:tc>
        <w:tc>
          <w:tcPr>
            <w:tcW w:w="64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w:t>
            </w:r>
          </w:p>
        </w:tc>
      </w:tr>
      <w:tr>
        <w:trPr>
          <w:trHeight w:val="230"/>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895</w:t>
            </w:r>
          </w:p>
        </w:tc>
        <w:tc>
          <w:tcPr>
            <w:tcW w:w="10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2,050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r>
      <w:tr>
        <w:trPr>
          <w:trHeight w:val="210"/>
        </w:trPr>
        <w:tc>
          <w:tcPr>
            <w:tcW w:w="4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5,776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top w:val="single" w:sz="8" w:color="CCEEFF"/>
            </w:tcBorders>
            <w:shd w:val="clear" w:color="auto" w:fill="CCEEFF"/>
          </w:tcPr>
          <w:p>
            <w:pPr>
              <w:spacing w:after="0"/>
              <w:rPr>
                <w:sz w:val="18"/>
                <w:szCs w:val="18"/>
                <w:color w:val="auto"/>
              </w:rPr>
            </w:pPr>
          </w:p>
        </w:tc>
      </w:tr>
      <w:tr>
        <w:trPr>
          <w:trHeight w:val="858"/>
        </w:trPr>
        <w:tc>
          <w:tcPr>
            <w:tcW w:w="4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consist primarily of fees paid to consultants and outside service providers, patent fees and costs, and other expenses relating to the acquisition, design, development and testing of the Company’s treatments and product candidates. Research and development costs are expensed as incurred, unless the achievement of milestones, the completion of contracted work, or other information indicates that a different expensing schedule is more appropriate. The Company reviews the status of its research and development contracts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short-term investments.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at one bank. As of September 30, 2015, the Company’s cash balances were in excess of insured limits maintained at this bank. Management believes that the financial institution that hold the Company’s cash are financially sound and, accordingly, minimal credit risk exists.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2015, the Company’s short-term investments were invested in short-term fixed income debt securities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September 30, 2015, approximately 56% of the Company’s short-term investments were invested in notes of five companies, 25% were invested in notes of various domestic issuers, and 19% were invested in notes of a foreign issuers. The average maturity of these notes was 66 days (See Note 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ASU 2014-09 is a comprehensive revenue recognition standard that will supersede nearly all existing revenue recognition guidance under current U.S. GAAP and replace it with a principle 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interim and annual periods beginning after December 15, 2017. Early adoption is permitted in annual reporting periods beginning after December 15, 2016, and the interim periods within that year, and either full retrospective adoption or modified retrospective adoption is permitted. The Company is in the process of evaluating the impact of ASU 2014-09 on the Company’s financial statements and disclosures.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2014, the FASB issued Accounting Standards Update No. 2014-12, Compensation – Stock Compensation (Topic 718). The pronouncement was issued to clarify the accounting for share-based payments when the terms of an award provide that a performance target could be achieved after the requisite service period. The pronouncement is effective for reporting periods beginning after December 15, 2015. The adoption of ASU 2014-12 is not expected to have a significant impact on the Company’s consolidated financial position or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presenting the Company’s statement of operations for the three and nine month periods ended September 30, 2014, the Company has reclassified $0.8 million and $0.3 million, respectively, of stock-based compensation that was previously reflected as operating expenses to research and development expenses. The reclassification relates to stock-based compensation attributable to individuals working in the Company’s research and development activities, and had no impact on total costs and expenses, or on net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3. CASH, MONEY MARKET FUNDS, AND SHORT-TERM INVESTMENTS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money market funds, and short-term investments consist of the following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 (reported as 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10,210</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(reported as short-term investments)</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79,374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7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79,374</w:t>
            </w:r>
          </w:p>
        </w:tc>
      </w:tr>
      <w:tr>
        <w:trPr>
          <w:trHeight w:val="210"/>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99,897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99,936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2015, the contractual maturities of our money market funds and short-term investments were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Within One</w:t>
            </w:r>
          </w:p>
        </w:tc>
      </w:tr>
      <w:tr>
        <w:trPr>
          <w:trHeight w:val="238"/>
        </w:trPr>
        <w:tc>
          <w:tcPr>
            <w:tcW w:w="4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79,374</w:t>
            </w: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2015,the Company’s short-term investments were invested in short-term fixed income debt securities and notes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September 30, 2015, the Company’s short-term investments totaled $80 million, of which 56% were invested in notes of five companies, 25% were invested in notes of other domestic issuers, and 19% were invested in notes of foreign issuers. The average maturity of these notes was 66 days. At September 30, 2015 the Company’s money-market funds totaled $20.6 million and were invested in a single fund, the Dreyfus Cash Management Money Market Fund, a no-load money market fund.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4. PROPERTY AND EQUIPMENT</w:t>
            </w:r>
          </w:p>
        </w:tc>
        <w:tc>
          <w:tcPr>
            <w:tcW w:w="3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are comprised of the following as of (in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and office equipment</w:t>
            </w:r>
          </w:p>
        </w:tc>
        <w:tc>
          <w:tcPr>
            <w:tcW w:w="10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and nine months ended September 30, 2015 and 2014 was $266, $691, $5, and $23,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 2015, the Company completed an underwritten public offering of 9,200,000 shares of its common stock at a price of $8.00 per share of common stock. The net proceeds to the Company from the offering were $68.3 million, after deducting underwriting discounts and commissions and offering expenses. The offering was made pursuant to the Company’s existing shelf registration statement on Form S-3, including a base prospectus, which was filed with the SEC on November 20, 2014 and declared effective on December 10, 2014, a preliminary prospectus supplement thereunder, and a registration statement on Form S-3 filed with the SEC on February 26,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upon conversion of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2015, the Company issued 1,000,000 shares of common stock upon the conversion of 2,000 shares of Series A Convertible Preferred Stock. The number of conversion shares issued was determined on a formula basis of 500 common shares for each Series A Convertible Preferred Stock held consistent with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with vesting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2014, the Company granted 797,500 shares of its restricted common stock to nine of its employees in accordance with the terms of their employment agreements. The 797,500 shares vest over a period of three years. As these shares were granted to employees, the Company calculated the aggregate fair value of the 797,500 shares based on the trading prices of the Company’s stock at their grant dates and determined it to be $5.3 million, of which $1.3 million was expensed in 2014. The allocable portion of the fair value of the stock that vested during the nine months ended September 30, 2015 amounted to $1.5 million and was recognized as expense in the accompanying statements of operations. As of September 30, 2015, the amount of unvested compensation related to the unvested outstanding shares of restricted common stock was $2.5 million, which will be recorded as expense in future periods as the shares vest.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calculating basic net income (loss) per share, these shares are included in basic weighted average common shares outstanding from the time they vest. When calculating diluted net income (loss) per share, these shares are included in diluted weighted average common shares outstanding from the time they are granted, unless they are antidilutive. Shares of restricted stock granted above are subject to forfeiture to the Company or other restrictions that will lapse in accordance with a vesting schedule determined by our Board.</w:t>
      </w:r>
    </w:p>
    <w:p>
      <w:pPr>
        <w:sectPr>
          <w:pgSz w:w="11900" w:h="16838" w:orient="portrait"/>
          <w:cols w:equalWidth="0" w:num="1">
            <w:col w:w="11420"/>
          </w:cols>
          <w:pgMar w:left="240" w:top="900" w:right="2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common stock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Non-vested shares,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Non-vested shares,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STOCK OPTIONS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8"/>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396"/>
        </w:trPr>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(233,499)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48"/>
        </w:trPr>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48" w:lineRule="exact"/>
        <w:rPr>
          <w:sz w:val="20"/>
          <w:szCs w:val="20"/>
          <w:color w:val="auto"/>
        </w:rPr>
      </w:pPr>
    </w:p>
    <w:p>
      <w:pPr>
        <w:sectPr>
          <w:pgSz w:w="11900" w:h="16838" w:orient="portrait"/>
          <w:cols w:equalWidth="0" w:num="2">
            <w:col w:w="7060" w:space="720"/>
            <w:col w:w="3640"/>
          </w:cols>
          <w:pgMar w:left="240" w:top="90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stock options at September 30, 2015, and the changes during the nine months then ended,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240" w:type="dxa"/>
            <w:vAlign w:val="bottom"/>
          </w:tcPr>
          <w:p>
            <w:pPr>
              <w:spacing w:after="0"/>
              <w:rPr>
                <w:sz w:val="19"/>
                <w:szCs w:val="19"/>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4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January 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1,857,877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943,750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Expired/Forfeited</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(87,432)</w:t>
            </w:r>
          </w:p>
        </w:tc>
        <w:tc>
          <w:tcPr>
            <w:tcW w:w="24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5.92</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September 30, 2015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2,704,195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Exercisable at September 30, 2015</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883,449</w:t>
            </w:r>
          </w:p>
        </w:tc>
        <w:tc>
          <w:tcPr>
            <w:tcW w:w="3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8.63</w:t>
            </w:r>
          </w:p>
        </w:tc>
        <w:tc>
          <w:tcPr>
            <w:tcW w:w="34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6.67</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2015, the Company granted options to purchase 943,750 shares of common stock to new employees and directors of the Company. The stock options generally vest between one and three years. The fair value of these options was determined to be $8.3 million using the Black-Scholes option pricing model based on the following assumptions: (i) volatility rate of 211%, (ii) discount rate of 1.57%, (iii) zero expected dividend yield, and (iv) expected life of 6 years.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2015 and 2014, the Company recorded compensation costs of $4.1 million and $1.9 million, respectively, relating to the vesting of stock options. As of September 30, 2015, the aggregate value of unvested options was $10.3 million, which will continue to be amortized as compensation cost as the options vest over terms ranging from nine months to three years, as applicable.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2014, The Company’s Board of Directors adopted the Lion Biotechnologies, Inc. 2014 Equity Incentive Plan (the “2014 Plan”). The 2014 Plan was approved by our stockholders at the annual meeting of stockholders held in November 2014. The 2014 Plan as approved by the stockholders authorized the issuance up to an aggregate of 2,350,000 shares of common stock. On April 10, 2015 the Board amended the 2014 Plan, subject to stockholder approval, to increase the total number of shares that can be issued under the 2014 Plan by 1,650,000 from 2,350,000 shares to 4,000,000 shares. The increase in shares available for issuance under the 2014 Plan was approved by stockholders on June 12,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stock warrants at September 30, 2015, and the changes during the nine months then ended, is presented in the following table:</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Outstanding at December 31, 2014</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Issued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Expired</w:t>
      </w:r>
    </w:p>
    <w:p>
      <w:pPr>
        <w:spacing w:after="0" w:line="9" w:lineRule="exact"/>
        <w:rPr>
          <w:sz w:val="20"/>
          <w:szCs w:val="20"/>
          <w:color w:val="auto"/>
        </w:rPr>
      </w:pPr>
    </w:p>
    <w:p>
      <w:pPr>
        <w:ind w:left="100"/>
        <w:spacing w:after="0" w:line="276" w:lineRule="auto"/>
        <w:rPr>
          <w:sz w:val="20"/>
          <w:szCs w:val="20"/>
          <w:color w:val="auto"/>
        </w:rPr>
      </w:pPr>
      <w:r>
        <w:rPr>
          <w:rFonts w:ascii="Times New Roman" w:cs="Times New Roman" w:eastAsia="Times New Roman" w:hAnsi="Times New Roman"/>
          <w:sz w:val="18"/>
          <w:szCs w:val="18"/>
          <w:color w:val="auto"/>
        </w:rPr>
        <w:t>Outstanding and exercisable at September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0"/>
        </w:trPr>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Under</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11,084,426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2.51</w:t>
            </w:r>
          </w:p>
        </w:tc>
        <w:tc>
          <w:tcPr>
            <w:tcW w:w="300" w:type="dxa"/>
            <w:vAlign w:val="bottom"/>
          </w:tcPr>
          <w:p>
            <w:pPr>
              <w:spacing w:after="0"/>
              <w:rPr>
                <w:sz w:val="16"/>
                <w:szCs w:val="16"/>
                <w:color w:val="auto"/>
              </w:rPr>
            </w:pP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3.85 years</w:t>
            </w:r>
          </w:p>
        </w:tc>
        <w:tc>
          <w:tcPr>
            <w:tcW w:w="3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59,518</w:t>
            </w:r>
          </w:p>
        </w:tc>
        <w:tc>
          <w:tcPr>
            <w:tcW w:w="20" w:type="dxa"/>
            <w:vAlign w:val="bottom"/>
          </w:tcPr>
          <w:p>
            <w:pPr>
              <w:spacing w:after="0"/>
              <w:rPr>
                <w:sz w:val="16"/>
                <w:szCs w:val="16"/>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(3,847,210)</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7,237,216</w:t>
            </w:r>
          </w:p>
        </w:tc>
        <w:tc>
          <w:tcPr>
            <w:tcW w:w="180" w:type="dxa"/>
            <w:vAlign w:val="bottom"/>
          </w:tcPr>
          <w:p>
            <w:pPr>
              <w:spacing w:after="0"/>
              <w:rPr>
                <w:sz w:val="24"/>
                <w:szCs w:val="24"/>
                <w:color w:val="auto"/>
              </w:rPr>
            </w:pP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2.51</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23,593</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-882650</wp:posOffset>
            </wp:positionV>
            <wp:extent cx="651764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-599440</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-316865</wp:posOffset>
            </wp:positionV>
            <wp:extent cx="6517640"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00" w:space="520"/>
            <w:col w:w="7500"/>
          </w:cols>
          <w:pgMar w:left="240" w:top="900" w:right="2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2015, the Company received $9.6 million in cash from the exercise of 3,847,210 warrants for the purchase of an equal number of shares of its common stock.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LICENSE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Institutes of Health and the National Cancer Institute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Cooperative Research and Development Agreement</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5, 2011, the Company signed a Cooperative Research and Development Agreement (CRADA) with the National Institutes of Health and the National Cancer Institute (NCI). Under the terms of the five-year cooperative research and development agreement, the Company will work with Dr. Steven A. Rosenberg, M.D., Ph.D., chief of NCI’s Surgery Branch, to develop adoptive cell immunotherapies that are designed to destroy metastatic melanoma cells using a patient’s tumor infiltrating lymphocytes.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2015, the Company executed an amendment (the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the Company with samples of all tumors covered by the Amendment for performing studies related to improving TIL selection and/or TIL scale-out production and process development. Although the CRADA has a five year term, either party to the CRADA has the right to terminate the CRADA upon 60 days’ notice to the other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Institutes of Health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and Manufacture TIL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October 5, 2011, the Company entered into a Patent License Agreement with the National Institutes of Health, an agency of the United States Public Health Service within the Department of Health and Human Services (“NIH”), which License Agreement was subsequently amended on February 9, 2015 and October 2, 2015. Pursuant to the License Agreement as amended, NIH granted to the Company an exclusive worldwide right and license to develop and manufacture certain proprietary autologous tumor infiltrating lymphocyte adoptive cell therapy products for the treatment of metastatic melanoma, ovarian cancer, breast cancer, and colorectal cancer. The License Agreement requires the Company to pay royalties based on a percentage of net sales (which percentage is in the mid-single digits and subject to certain annual minimum royalty payments), a percentage of revenues from sublicensing arrangements, and lump sum benchmark royalty payments on the achievement of certain clinical and regulatory milestones for each of the various indications and other direct costs incurred by NIH pursuant to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NIH - Exclusive Patent License Agreement</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10, 2015, the Company entered into an exclusive Patent License Agreement with the NIH under which the Company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rights granted under the exclusive Patent License Agreement, the Company agreed to pay the NIH a non-refundable upfront licensing fee which was recognized as research and development expense during the nine months ended September 30,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Lee Moffitt Cancer Center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Agreement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2014, we entered into a research collaboration agreement with the H. Lee Moffitt Cancer Center and Research Institute, Inc. to jointly engage in transitional research and development of adoptive tumor-infiltrating lymphocyte cell therapy with improved anti-tumor properties and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21, 2014, the Company entered into an Exclusive License Agreement (the “Moffitt License Agreement”), effective as of June 28, 2014, with the H. Lee Moffitt Cancer Center and Research Institute, Inc. (“Moffitt”) under which the Company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 and 2014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information)</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Moffitt License Agreement, the Company paid an upfront licensing fee which was recognized as research and development expense during 2014.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2015 and 2014, the Company recognized $2.5 million and $0.9 million respectively, of expenses related to its license agreements. The amounts were recorded as part of research and development expenses in the statement of operations. Additionally, during the nine months ended September 30, 2015,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regulatory milestones for each of the various indications.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guaranteed commitments under all of the Company’s agreements amount to (in thousands):</w:t>
      </w:r>
    </w:p>
    <w:p>
      <w:pPr>
        <w:spacing w:after="0" w:line="235" w:lineRule="exact"/>
        <w:rPr>
          <w:sz w:val="20"/>
          <w:szCs w:val="20"/>
          <w:color w:val="auto"/>
        </w:rPr>
      </w:pPr>
    </w:p>
    <w:tbl>
      <w:tblPr>
        <w:tblLayout w:type="fixed"/>
        <w:tblInd w:w="4000" w:type="dxa"/>
        <w:tblCellMar>
          <w:top w:w="0" w:type="dxa"/>
          <w:left w:w="0" w:type="dxa"/>
          <w:bottom w:w="0" w:type="dxa"/>
          <w:right w:w="0" w:type="dxa"/>
        </w:tblCellMar>
      </w:tblPr>
      <w:tr>
        <w:trPr>
          <w:trHeight w:val="238"/>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15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1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2,874</w:t>
            </w:r>
          </w:p>
        </w:tc>
      </w:tr>
      <w:tr>
        <w:trPr>
          <w:trHeight w:val="223"/>
        </w:trPr>
        <w:tc>
          <w:tcPr>
            <w:tcW w:w="170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18, 2015, MBA Holdings, LLC filed a breach of contract lawsuit against the Company in the Superior Court of California, County of Los Angeles (MBA Holdings, LLC v. Lion Biotechnologies, Inc., Case BC 591513). The complaint alleges that the Company and MBA Holdings, LLC were parties to (i) a June 15, 2012 “Finder’s Fee Agreement”, (ii) a Confidentiality, Non-Disclosure and Non-Circumvention Agreement, dated June 13, 2012, and (iii) a Consulting Agreement, dated July 9, 2012, and that the Company breached these agreements by failing to compensate MBA Holdings for introducing Roth Capital Partners, LLC and Highline Research Advisors LLC to the Company in connection with the $23.3 million equity funding the Company completed in November 2013. MBA Holdings also alleges that the Company failed to register certain shares underlying a common stock purchase warrant that the Company issued to MBA Holdings. MBA Holdings has asked for damages in the amount of $7,746,000. The Company has not yet been served in the foregoing lawsuit.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there is no merit to the claims made by MBA Holdings in the complaint. On September 9, 2015 the Company provided MBA Holdings with evidence that the Company dealt with a certain investment banker on a financing transaction at least six months before MBA Holdings purportedly introduced the Company to the banker, and that a certain research analyst group were known to the Company prior to the purported introduction. Accordingly, the Company has demanded that MBA Holdings dismiss the lawsuit. To date, MBA Holdings has not served the complaint on the Company, dismissed the lawsuit, or responded to the Company’s last communications. Accordingly, on October 26, 2015 the Company renewed its demand on MBA and its counsel to dismiss the suit or face exposure to damages for malicious prosecution, voluntarily entered an appearance in the case, and initiated discovery proceedings for the purpose of pursuing an early resolution of the case in the Company’s favor. The Company intends to vigorously defend itself in this matter and will seek a prevailing-party award of its attorney’s fees and other litigation costs pursuant to contractual provisions in the agreements appended to MBA’s complaint.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pending legal proceedings to which the Company is a party or of which its property is the subject other than as previously reported.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section, “we,” “our,” “ours” and “us” refer to Lion Biotechnologies, Inc.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as of September 30, 2015 and results of operations for the three- and nine month periods ended September 30, 2015 and 2014, respectively, should be read in conjunction with management’s discussion and analysis of financial condition and results of operations included in our Annual Report on Form 10-K for the year ended December 31, 2014 which was filed with the SEC on March 16,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2014.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the Company and Recent Events Affecting our Financial Condition and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TIL therapy is being developed in collaboration with the National Cancer Institute (NCI). A patient’s immune system, particularly their TIL, plays an important role in identifying and killing cancer cells. TIL consist of a heterogeneous population of T cells that can recognize a wide variety of cancer-specific mutations and can overcome tumor escape mechanisms. TIL therapy involves growing a patient’s TIL in special culture conditions outside the patient’s body, or ex vivo, and then infusing the T cells back into the patient in combination with interleukin-2 (IL-2). By taking TIL away from the immune-suppressive tumor microenvironment in the patient, the T cells can rapidly proliferate. Billions of TIL, when infused back into the patient, are more able to search out and eradicate the tumor.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third quarter of 2015, we initiated a Phase 2 clinical trial of our lead product candidate, LN-144, for the treatment of refractory metastatic melanoma. The single-arm study is expected to enroll approximately 20 evaluable patients with metastatic melanoma whose disease has progressed following treatment with at least one systemic therapy. The purpose of the study is to evaluate the safety, efficacy and feasibility of autologous TIL infusion (LN-144). The trial’s primary endpoints include safety, and feasibility of LN-144 production using our central manufacturing process. Secondary outcome measures include an additional feasibility measure of number of patients successfully infused with LN-144 and best overall response rate.</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2011, we acquired from the National Institutes of Health (NIH) a non-exclusive, worldwide right and license to certain NIH patents and patent applications to develop and manufacture autologous TIL for the treatment of metastatic melanoma, ovarian, breast, and colorectal cancers. Under a Cooperative Research and Development Agreement (CRADA) with the U.S. Department of Health and Human Services, as represented by the NCI, we support the in vitro development of improved methods for the generation and selection of TIL, the development of large-scale production of TIL, and clinical trials using these improved methods of generating TIL. On January 22, 2015, we executed an amendment to the CRADA to include four new indications. On February 9, 2015, the NIH granted us an exclusive, worldwide license to treat metastatic melanoma with TIL therapy, and on October 2, 2015, the NIH license agreement was amended to include the exclusive rights to treat breast, lung, bladder and HPV-associated cancers with TIL therapy. The amendment also removed our non-exclusive rights to treat colorectal and ovarian cancers with TIL therapy. In addition to our CRADA, we also conduct research and development on TIL technology at our research facility in Tampa, Florida.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 2015 we closed an underwritten public offering of 9,200,000 shares of our common stock, including shares sold pursuant to the exercise in full of the underwriters’ option to purchase additional shares, at a price of $8.00 per share. The net proceeds to us from that public offering were approximately $68.3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2015, we leased temporary office space in New York, New York, until we locate a new office in New York to serve as our headquarters. The amount of rent we have to pay for our temporary offices is not material and may vary if we change or increase the number of offices we rent. Our Woodland Hills, California, offices were closed at end of August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development stage company that is currently engaged in the development of novel cancer immunotherapy products, we have not yet generated any revenues from our biopharmaceutical business or otherwise since our formation. We currently do not anticipate that we will generate any revenues during 2015 from the sale or licensing of any products. Our ability to generate revenues in the future will depend on our ability to complete the development of our product candidates and to obtain regulatory approval for them.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Operating expenses include compensation-related costs for our employees engaged in general and administrative activities (other than employees engaged in research and development), legal fees, audit and tax fees, consultants and professional services, and general corporate expenses. For the three months ended September 30, 2015, our operating expenses increased by $0.2 million, or 9%, and for the nine months ended September 30, 2015, our operating expenses increased by $1.1 million, or 18%, when compared to the same periods in 2014. The increase in our operating expenses during the three-and nine-month periods ended September 30, 2015 is due to the expansion of our company and an increase in our overall business activities, including increases in employment related expenses, insurance costs and investor relations expenses. Since September 30, 2014, we have increased the number of our officers and employees by 12 persons. In addition, in the three and nine month periods ended September 30, 2015, we incurred $1.5 million, and $3.7 million, respectively, of non-cash stock-based compensation costs, compared to $0.7 million and $1.9 million, respectively, for such costs in the same periods in 2014. Share based compensation includes stock and options granted to our executive officers, our employees, our directors, and our consultants and advisors. As a result of our increased operations and the additional employees, our operating expenses in the future are expected to continue to increase.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activities, including compensation and benefits for research and development employees and consultants, rent at our research and development facility in Tampa, Florida, cost of laboratory supplies, manufacturing expenses, and fees paid to third parties, including the NCI and our third party contractor that will process and manufacture LN-144 for our clinical trials in patients. Research and development expenses also included amounts paid (i) to the National Institutes of Health under terms of our two license agreements, and (ii) to the NCI under the CRADA. During the three- and nine-month periods ended September 30, 2015, our research and development costs increased by $4.4 million and $10.9 million respectively, when compared to the same periods in 2014. The increases are mainly attributable to the expansion of our CRADA in 2015, the general expansion of our research and development efforts, and the establishment of our Tampa, Florida, research facility in the fourth quarter of 2014. None of these expenses were incurred in the first nine months of 2014. Research and development expenses in the first three quarters of 2015 and 2014 include payments made under license agreements. In addition, in the three and nine month periods ended September 30, 2015, we incurred $0.9 million and $2.1 million, respectively, of non-cash stock-based compensation costs, compared to $0.3 million and $0.8 million, respectively, in the same periods in 2014. We anticipate that our research and development costs will continue to increase in the future as we increase our research and development activities and accelerate the development of our technologies and product candidates.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lead product candidate, LN-144, and as we increase our research and development efforts on other cancer indications. We also expect to incur increased research and development expenses as we selectively identify and develop additional product candidates and in other licensed cancer indications. However, it is difficult to determine with certainty the duration and completion costs of our current or future preclinical programs and clinical trials of our product candidates.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commercial viability.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a net loss of $7.6 million and $19.3 million, for the three and nine month periods ended September 30, 2015, respectively, compared to $2.8 million and $7.2 million, for the three and nine month periods ended September 30, 2014, respectively. The increase in our net loss during 2015 is due to an increase in operating expenses, as described above, along with the expansion of our research and development activities. We anticipate that we will continue to incur net losses in the future as we continue to invest in our research and development, and we do not expect to generate any revenues in the near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3, 2015, we closed an underwritten public offering. The net proceeds to us from the public offering were $68.3 million, after deducting underwriting discounts and commissions and estimated offering expenses payable by us. In addition, during the nine months ended September 30, 2015, holders of our common stock purchase warrants exercised warrants to purchase a total of 3,847,210 shares for an aggregate purchase price of $9.6 million. As a result, as of September 30, 2015, we had $110.1 million in cash and cash equivalents. Cash in excess of immediate requirements is invested in accordance with our investment policy, primarily with a view to liquidity and capital preservation.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remainder of 2015, we expect to further ramp up our operations and our research and development efforts, which will increase the amount of cash we will use in our operations. Our budget for the remainder of 2015 includes increased spending on research and development activities (including costs associated with a Phase 2 multi-center clinical trial to treat about 20 patients with refractory metastatic melanoma that we initiated in the third quarter of 2015), higher payroll expenses as we increase our professional staff, increased expenses for operating a new research and development facility in Tampa, Florida, as well as ongoing payments under the CRADA. Based on the funds we had available on September 30, 2015, we believe that we have sufficient capital to fund our anticipated operating expenses for at least 24 months.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2015, we had no long-term debt obligations or other similar long-term liabilities other than various obligations under our CRADA and our license agreements. We have no financial guarantees, debt or lease agreements or other arrangements that could trigger a requirement for an early payment or that could change the value of our assets. We do not have any bank credit lines.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Cash Flow</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$11.8 million for the nine months ended September 30, 2015, compared with $5.3 million for the nine months ended September 30, 2014. The increase in cash used in operating activities of approximately $5.5 million resulted from the increase in our net loss, partially offset by increases in non-cash stock compensation expense and depreciation.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Net Cash Flow from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$100.9 million for the nine months ended September 30, 2015, compared with $0.2 million for the nine months ended September 30, 2014. The increase was primarily due to the short-term investment purchases of the cash proceeds received in our March 2015 public offering and, to a lesser extent, to purchases of laboratory equipment and furniture for our Tampa, Florida, laboratory. The Tampa facility did not exist during the 2014 period.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Net Cash Flow from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$78.0 million for the nine months ended September 30, 2015, compared with $3.0 million for the nine months ended September 30, 2014. The increase was due to net proceeds of $68.3 million received from the March 3, 2015 public offering of our common stock, and $9.6 million received from common stock warrant exercises. We received $3.0 million of net proceeds from common stock warrant exercises in the nine months ended September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off-balance sheet financing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2014, we disclosed our critical accounting policies and estimates upon which our financial statements are derived. There have been no changes to these policies since December 31, 2014 that are not included in Note 2 of the accompanying condensed consolidated financial statements for the nine months ended September 30, 2015. Readers are encouraged to read our Annual Report on Form 10-K in conjunction with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Inflation and changing prices have had no effect on our continuing operations over our two most recent fiscal years.</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We do not utilize hedging contracts or similar instruments.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certain market risks relating primarily to interest rate risk on our cash and cash equivalents and risks relating to the financial viability of the institutions which hold our capital and through which we have invested our funds. To minimize this risk, we maintain our portfolio of cash equivalents and short-term investments in a variety of securities, including corporate bonds, commercial paper, money market funds and other government and non-government debt securities with maturities of less than one year. Due to the short-term maturities of our cash equivalents, a change in interest rates would not have a material effect on the fair market value of our cash equivalents.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principal executive officer and our principal accounting officer (the “Certifying Officers”), evaluated the effectiveness of our disclosure controls and procedures. Disclosure controls and procedures are controls and procedures designed to reasonably assure that information required to be disclosed in our reports filed under the Securities Exchange Act of 1934 (the “Exchange Act”), such as this quarterly report on Form 10-Q, is recorded, processed, summarized and reported within the time periods specified in the SEC rules and forms. Disclosure controls and procedures are also designed to reasonably assure that such information is accumulated and communicated to our management, including the Certifying Officers, as appropriate to allow timely decisions regarding required disclosure. Based on these evaluations, the Certifying Officers have concluded, that, as of the end of the period covered by this quarterly report on Form 10-Q, our disclosure controls and procedures were not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Controls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September 30, 2015 that has materially affected, or is reasonably likely to materially affect, the Company’s internal control over financial reporting.</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On August 18, 2015, MBA Holdings, LLC filed a breach of contract lawsuit against the Company in the Superior Court of California, County of Los Angeles (MBA Holdings, LLC v. Lion Biotechnologies, Inc., Case BC 591513). The complaint alleges that the Company and MBA Holdings, LLC were parties to (i) a June 15, 2012 “Finder’s Fee Agreement”, (ii) a Confidentiality, Non-Disclosure and Non-Circumvention Agreement, dated June 13, 2012, and</w:t>
      </w:r>
    </w:p>
    <w:p>
      <w:pPr>
        <w:spacing w:after="0" w:line="2" w:lineRule="exact"/>
        <w:rPr>
          <w:sz w:val="20"/>
          <w:szCs w:val="20"/>
          <w:color w:val="auto"/>
        </w:rPr>
      </w:pPr>
    </w:p>
    <w:p>
      <w:pPr>
        <w:ind w:right="40" w:firstLine="8"/>
        <w:spacing w:after="0" w:line="253"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Consulting Agreement, dated July 9, 2012, and that the Company breached these agreements by failing to compensate MBA Holdings for introducing Roth Capital Partners, LLC and Highline Research Advisors LLC to the Company in connection with the $23.3 million equity funding the Company completed in November 2013. MBA Holdings also alleges that the Company failed to register certain shares underlying a common stock purchase warrant that the Company issued to MBA Holdings. MBA Holdings has asked for damages in the amount of $7,746,000. The Company has not yet been served in the foregoing lawsuit.</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believes that there is no merit to the claims made by MBA Holdings in the complaint. On September 9, 2015 the Company provided MBA Holdings with evidence that the Company dealt with a certain investment banker on a financing transaction at least six months before MBA Holdings purportedly introduced the Company to the banker, and that a certain research analyst group were known to the Company prior to the purported introduction. Accordingly, the Company has demanded that MBA Holdings dismiss the lawsuit. To date, MBA Holdings has not served the complaint on the Company, dismissed the lawsuit, or responded to the Company’s last communications. Accordingly, on October 26, 2015 the Company renewed its demand on MBA and its counsel to dismiss the suit or face exposure to damages for malicious prosecution, voluntarily entered an appearance in the case, and initiated discovery proceedings for the purpose of pursuing an early resolution of the case in the Company’s favor. The Company intends to vigorously defend itself in this matter and will seek a prevailing-party award of its attorney’s fees and other litigation costs pursuant to contractual provisions in the agreements appended to MBA’s complaint.</w:t>
      </w:r>
    </w:p>
    <w:p>
      <w:pPr>
        <w:spacing w:after="0" w:line="200" w:lineRule="exact"/>
        <w:rPr>
          <w:sz w:val="20"/>
          <w:szCs w:val="20"/>
          <w:color w:val="auto"/>
        </w:rPr>
      </w:pPr>
    </w:p>
    <w:p>
      <w:pPr>
        <w:spacing w:after="0" w:line="20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2014. There have been no material changes from the risk factors previously disclosed in the above-mentioned periodic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Securities and 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2015, 60 accredited investors who held warrants that we sold to them in the November 2013 in a private placement, exercised warrants to purchase 3,847,210 shares of common stock at an exercise price of $2.50 per share (for a total amount of $9.6 million). These shares were issued pursuant to an exemption available under Section 4(a)(2) of the Securities Act of 1933, as amended. No commissions were paid with respect to these warrants exercises.</w:t>
      </w:r>
    </w:p>
    <w:p>
      <w:pPr>
        <w:spacing w:after="0" w:line="3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00" w:type="dxa"/>
            <w:vAlign w:val="bottom"/>
          </w:tcPr>
          <w:p>
            <w:pPr>
              <w:spacing w:after="0"/>
              <w:rPr>
                <w:sz w:val="24"/>
                <w:szCs w:val="24"/>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Amendment to Patent License Agreement-Exclusive, effective October 2, 2015, between the Company and the National Institutes of</w:t>
            </w:r>
          </w:p>
        </w:tc>
      </w:tr>
      <w:tr>
        <w:trPr>
          <w:trHeight w:val="216"/>
        </w:trPr>
        <w:tc>
          <w:tcPr>
            <w:tcW w:w="80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Health*</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 13a-14 and Rule 15d-14(a), promulgated under the Securities and Exchange Act of</w:t>
            </w:r>
          </w:p>
        </w:tc>
      </w:tr>
      <w:tr>
        <w:trPr>
          <w:trHeight w:val="216"/>
        </w:trPr>
        <w:tc>
          <w:tcPr>
            <w:tcW w:w="80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 and Rule 15d 14(a), promulgated under the Securities and Exchange Act of</w:t>
            </w:r>
          </w:p>
        </w:tc>
      </w:tr>
      <w:tr>
        <w:trPr>
          <w:trHeight w:val="216"/>
        </w:trPr>
        <w:tc>
          <w:tcPr>
            <w:tcW w:w="80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(Chief Executive</w:t>
            </w:r>
          </w:p>
        </w:tc>
      </w:tr>
      <w:tr>
        <w:trPr>
          <w:trHeight w:val="216"/>
        </w:trPr>
        <w:tc>
          <w:tcPr>
            <w:tcW w:w="80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(Chief Financial</w:t>
            </w:r>
          </w:p>
        </w:tc>
      </w:tr>
      <w:tr>
        <w:trPr>
          <w:trHeight w:val="216"/>
        </w:trPr>
        <w:tc>
          <w:tcPr>
            <w:tcW w:w="80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Extension Presentation Linkbase</w:t>
            </w:r>
          </w:p>
        </w:tc>
      </w:tr>
    </w:tbl>
    <w:p>
      <w:pPr>
        <w:spacing w:after="0" w:line="198" w:lineRule="exact"/>
        <w:rPr>
          <w:sz w:val="20"/>
          <w:szCs w:val="20"/>
          <w:color w:val="auto"/>
        </w:rPr>
      </w:pPr>
    </w:p>
    <w:p>
      <w:pPr>
        <w:ind w:right="10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u w:val="single" w:color="auto"/>
          <w:color w:val="auto"/>
        </w:rPr>
        <w:t>Lion Biotechnologies,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November 6, 2015</w:t>
      </w:r>
      <w:r>
        <w:rPr>
          <w:sz w:val="20"/>
          <w:szCs w:val="20"/>
          <w:color w:val="auto"/>
        </w:rPr>
        <w:tab/>
      </w:r>
      <w:r>
        <w:rPr>
          <w:rFonts w:ascii="Times New Roman" w:cs="Times New Roman" w:eastAsia="Times New Roman" w:hAnsi="Times New Roman"/>
          <w:sz w:val="18"/>
          <w:szCs w:val="18"/>
          <w:color w:val="auto"/>
        </w:rPr>
        <w:t>By: /s/ Elma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Elma Hawkins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7"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November 6, 2015</w:t>
      </w:r>
      <w:r>
        <w:rPr>
          <w:sz w:val="20"/>
          <w:szCs w:val="20"/>
          <w:color w:val="auto"/>
        </w:rPr>
        <w:tab/>
      </w:r>
      <w:r>
        <w:rPr>
          <w:rFonts w:ascii="Times New Roman" w:cs="Times New Roman" w:eastAsia="Times New Roman" w:hAnsi="Times New Roman"/>
          <w:sz w:val="18"/>
          <w:szCs w:val="18"/>
          <w:color w:val="auto"/>
        </w:rPr>
        <w:t>By: /s/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Chief Financial Officer (Principal Financial and Accounting Officer)</w:t>
      </w: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0" w:right="5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INSTITUTES OF HEALTH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L-107-2015/0</w:t>
      </w:r>
    </w:p>
    <w:p>
      <w:pPr>
        <w:spacing w:after="0" w:line="225" w:lineRule="exact"/>
        <w:rPr>
          <w:sz w:val="20"/>
          <w:szCs w:val="20"/>
          <w:color w:val="auto"/>
        </w:rPr>
      </w:pPr>
    </w:p>
    <w:p>
      <w:pPr>
        <w:ind w:left="120" w:right="180"/>
        <w:spacing w:after="0" w:line="257" w:lineRule="auto"/>
        <w:rPr>
          <w:sz w:val="20"/>
          <w:szCs w:val="20"/>
          <w:color w:val="auto"/>
        </w:rPr>
      </w:pPr>
      <w:r>
        <w:rPr>
          <w:rFonts w:ascii="Times New Roman" w:cs="Times New Roman" w:eastAsia="Times New Roman" w:hAnsi="Times New Roman"/>
          <w:sz w:val="18"/>
          <w:szCs w:val="18"/>
          <w:color w:val="auto"/>
        </w:rPr>
        <w:t>This is the first amendment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of the agreement by and between the National Institutes of Health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within the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xml:space="preserve">”), and Lion Biotechnologies, Inc. having an effective date of February 9, 2015 and having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Reference Number L-107-2015/0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having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Reference Number L-107-2015/1, is made between the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through the Office of Technology Transfer,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having an address at 6011 Executive Boulevard, Suite 325, Rockville, Maryland 20852-3804, U.S.A., and Lion Biotechnologies, Inc., having an office at 112 West 34th Street, 17th Floor, New York, NY 10120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includes, in addition to the amendments made below, 1) a Signature Page and 2) Attachment 1 (Royalty Payment Information).</w:t>
      </w:r>
    </w:p>
    <w:p>
      <w:pPr>
        <w:spacing w:after="0" w:line="183"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color w:val="auto"/>
        </w:rPr>
        <w:t xml:space="preserve">WHEREAS, the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desire that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be amended a first time as set forth below in order to expand the </w:t>
      </w:r>
      <w:r>
        <w:rPr>
          <w:rFonts w:ascii="Times New Roman" w:cs="Times New Roman" w:eastAsia="Times New Roman" w:hAnsi="Times New Roman"/>
          <w:sz w:val="18"/>
          <w:szCs w:val="18"/>
          <w:b w:val="1"/>
          <w:bCs w:val="1"/>
          <w:color w:val="auto"/>
        </w:rPr>
        <w:t>License Field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License Patent Rights </w:t>
      </w:r>
      <w:r>
        <w:rPr>
          <w:rFonts w:ascii="Times New Roman" w:cs="Times New Roman" w:eastAsia="Times New Roman" w:hAnsi="Times New Roman"/>
          <w:sz w:val="18"/>
          <w:szCs w:val="18"/>
          <w:color w:val="auto"/>
        </w:rPr>
        <w:t>under L-107-2015/0.</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WHEREAS, the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desire that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terminates nonexclusive license L-129-2011, upon execution.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NOW, THEREFORE, in consideration of the mutual covenants and promises contained herein, the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and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intending to be bound, hereby mutually agree to the following:</w:t>
      </w:r>
    </w:p>
    <w:p>
      <w:pPr>
        <w:spacing w:after="0" w:line="207" w:lineRule="exact"/>
        <w:rPr>
          <w:sz w:val="20"/>
          <w:szCs w:val="20"/>
          <w:color w:val="auto"/>
        </w:rPr>
      </w:pPr>
    </w:p>
    <w:p>
      <w:pPr>
        <w:ind w:left="420" w:right="480" w:hanging="317"/>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Page’s "Serial Number(s) of Licensed Patent(s) or Patent Application(s)" section and Appendix A's Patent(s) or Patent Application(s)'s section shall be deleted and replaced with the following: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Group A</w:t>
      </w:r>
    </w:p>
    <w:p>
      <w:pPr>
        <w:spacing w:after="0" w:line="229" w:lineRule="exact"/>
        <w:rPr>
          <w:sz w:val="20"/>
          <w:szCs w:val="20"/>
          <w:color w:val="auto"/>
        </w:rPr>
      </w:pPr>
    </w:p>
    <w:p>
      <w:pPr>
        <w:ind w:left="1400" w:right="420" w:hanging="649"/>
        <w:spacing w:after="0" w:line="282" w:lineRule="auto"/>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Provisional Patent Application No. 61/237,889, filed August 26, 2009 entitled “Adoptive cell therapy with young T cells” (HHS Ref No. E-273-2009/0-US-01);</w:t>
      </w:r>
    </w:p>
    <w:p>
      <w:pPr>
        <w:spacing w:after="0" w:line="162" w:lineRule="exact"/>
        <w:rPr>
          <w:sz w:val="20"/>
          <w:szCs w:val="20"/>
          <w:color w:val="auto"/>
        </w:rPr>
      </w:pPr>
    </w:p>
    <w:p>
      <w:pPr>
        <w:ind w:left="1400" w:right="340" w:hanging="649"/>
        <w:spacing w:after="0" w:line="282" w:lineRule="auto"/>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8,383,099 issued February 26, 2013 entitled “Adoptive cell therapy with young T cells” (HHS Ref No. E-273-2009/0-US-02);</w:t>
      </w:r>
    </w:p>
    <w:p>
      <w:pPr>
        <w:spacing w:after="0" w:line="162" w:lineRule="exact"/>
        <w:rPr>
          <w:sz w:val="20"/>
          <w:szCs w:val="20"/>
          <w:color w:val="auto"/>
        </w:rPr>
      </w:pPr>
    </w:p>
    <w:p>
      <w:pPr>
        <w:ind w:left="1400" w:hanging="649"/>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9,074,185issued July 7, 2015 entitled “Adoptive cell therapy with young T cells” (HHS Ref No. E-273-2009/0-US-03);</w:t>
      </w:r>
    </w:p>
    <w:p>
      <w:pPr>
        <w:sectPr>
          <w:pgSz w:w="11900" w:h="16838" w:orient="portrait"/>
          <w:cols w:equalWidth="0" w:num="1">
            <w:col w:w="11420"/>
          </w:cols>
          <w:pgMar w:left="240" w:top="360" w:right="239" w:bottom="1440" w:gutter="0" w:footer="0" w:header="0"/>
        </w:sectPr>
      </w:pP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300"/>
        <w:spacing w:after="0" w:line="282" w:lineRule="auto"/>
        <w:rPr>
          <w:sz w:val="20"/>
          <w:szCs w:val="20"/>
          <w:color w:val="auto"/>
        </w:rPr>
      </w:pPr>
      <w:r>
        <w:rPr>
          <w:rFonts w:ascii="Times New Roman" w:cs="Times New Roman" w:eastAsia="Times New Roman" w:hAnsi="Times New Roman"/>
          <w:sz w:val="18"/>
          <w:szCs w:val="18"/>
          <w:color w:val="auto"/>
        </w:rPr>
        <w:t>U.S. Provisional Patent Application No. 61/466,200 filed March 22, 2011entitled “Methods of growing tumor infiltrating lymphocytes in gas-permeable containers” (HHS Ref No. E-114- 2011/0-US-01);</w:t>
      </w:r>
    </w:p>
    <w:p>
      <w:pPr>
        <w:spacing w:after="0" w:line="162" w:lineRule="exact"/>
        <w:rPr>
          <w:sz w:val="20"/>
          <w:szCs w:val="20"/>
          <w:color w:val="auto"/>
        </w:rPr>
      </w:pPr>
    </w:p>
    <w:p>
      <w:pPr>
        <w:sectPr>
          <w:pgSz w:w="11900" w:h="16838" w:orient="portrait"/>
          <w:cols w:equalWidth="0" w:num="2">
            <w:col w:w="960" w:space="440"/>
            <w:col w:w="10020"/>
          </w:cols>
          <w:pgMar w:left="240" w:top="360" w:right="239" w:bottom="1440" w:gutter="0" w:footer="0" w:header="0"/>
          <w:type w:val="continuous"/>
        </w:sectPr>
      </w:pPr>
    </w:p>
    <w:p>
      <w:pPr>
        <w:ind w:left="1400" w:right="320" w:hanging="649"/>
        <w:spacing w:after="0" w:line="282" w:lineRule="auto"/>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PCT Application No. PCT/US2012/029744 filed March 20, 2012 entitled “Methods of growing tumor infiltrating lymphocytes in gas-permeable containers” (HHS Ref No. E-114-2011/0-PCT- 02);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VI.</w:t>
            </w:r>
          </w:p>
        </w:tc>
        <w:tc>
          <w:tcPr>
            <w:tcW w:w="10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Patent Application No. 13/424,646 filed May 20, 2012 entitled “Methods of growing tumor infiltrating lymphocytes in gas-</w:t>
            </w:r>
          </w:p>
        </w:tc>
      </w:tr>
      <w:tr>
        <w:trPr>
          <w:trHeight w:val="234"/>
        </w:trPr>
        <w:tc>
          <w:tcPr>
            <w:tcW w:w="136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permeable containers” (HHS Ref No. E-114-2011/0-US-03);</w:t>
            </w:r>
          </w:p>
        </w:tc>
        <w:tc>
          <w:tcPr>
            <w:tcW w:w="3620" w:type="dxa"/>
            <w:vAlign w:val="bottom"/>
          </w:tcPr>
          <w:p>
            <w:pPr>
              <w:spacing w:after="0"/>
              <w:rPr>
                <w:sz w:val="20"/>
                <w:szCs w:val="20"/>
                <w:color w:val="auto"/>
              </w:rPr>
            </w:pPr>
          </w:p>
        </w:tc>
      </w:tr>
      <w:tr>
        <w:trPr>
          <w:trHeight w:val="414"/>
        </w:trPr>
        <w:tc>
          <w:tcPr>
            <w:tcW w:w="1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VII.</w:t>
            </w:r>
          </w:p>
        </w:tc>
        <w:tc>
          <w:tcPr>
            <w:tcW w:w="10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Provisional Patent Application No. 61/846,161 filed July 15, 2013 entitled "Methods of Preparing Anti-human Papillomavirus</w:t>
            </w:r>
          </w:p>
        </w:tc>
      </w:tr>
      <w:tr>
        <w:trPr>
          <w:trHeight w:val="234"/>
        </w:trPr>
        <w:tc>
          <w:tcPr>
            <w:tcW w:w="1360" w:type="dxa"/>
            <w:vAlign w:val="bottom"/>
          </w:tcPr>
          <w:p>
            <w:pPr>
              <w:spacing w:after="0"/>
              <w:rPr>
                <w:sz w:val="20"/>
                <w:szCs w:val="20"/>
                <w:color w:val="auto"/>
              </w:rPr>
            </w:pPr>
          </w:p>
        </w:tc>
        <w:tc>
          <w:tcPr>
            <w:tcW w:w="6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Antigen T Cells" (HHS Ref No. E-494-2013/0-US-01);</w:t>
            </w:r>
          </w:p>
        </w:tc>
        <w:tc>
          <w:tcPr>
            <w:tcW w:w="3620" w:type="dxa"/>
            <w:vAlign w:val="bottom"/>
          </w:tcPr>
          <w:p>
            <w:pPr>
              <w:spacing w:after="0"/>
              <w:rPr>
                <w:sz w:val="20"/>
                <w:szCs w:val="20"/>
                <w:color w:val="auto"/>
              </w:rPr>
            </w:pPr>
          </w:p>
        </w:tc>
      </w:tr>
      <w:tr>
        <w:trPr>
          <w:trHeight w:val="441"/>
        </w:trPr>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VIII.</w:t>
            </w: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PCT Application No. PCT/US2014/046478 filed July 14, 2014 entitled "Methods of Preparing Anti-human Papillomavirus Antigen</w:t>
            </w:r>
          </w:p>
        </w:tc>
      </w:tr>
      <w:tr>
        <w:trPr>
          <w:trHeight w:val="234"/>
        </w:trPr>
        <w:tc>
          <w:tcPr>
            <w:tcW w:w="1360" w:type="dxa"/>
            <w:vAlign w:val="bottom"/>
          </w:tcPr>
          <w:p>
            <w:pPr>
              <w:spacing w:after="0"/>
              <w:rPr>
                <w:sz w:val="20"/>
                <w:szCs w:val="20"/>
                <w:color w:val="auto"/>
              </w:rPr>
            </w:pP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 Cells" (HHS Ref No. E-494-2013/0-PCT-02);</w:t>
            </w:r>
          </w:p>
        </w:tc>
        <w:tc>
          <w:tcPr>
            <w:tcW w:w="3620" w:type="dxa"/>
            <w:vAlign w:val="bottom"/>
          </w:tcPr>
          <w:p>
            <w:pPr>
              <w:spacing w:after="0"/>
              <w:rPr>
                <w:sz w:val="20"/>
                <w:szCs w:val="20"/>
                <w:color w:val="auto"/>
              </w:rPr>
            </w:pPr>
          </w:p>
        </w:tc>
      </w:tr>
      <w:tr>
        <w:trPr>
          <w:trHeight w:val="598"/>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5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 1 of 12</w:t>
            </w:r>
          </w:p>
        </w:tc>
        <w:tc>
          <w:tcPr>
            <w:tcW w:w="3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8"/>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591"/>
        </w:trPr>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type w:val="continuous"/>
        </w:sectPr>
      </w:pPr>
    </w:p>
    <w:bookmarkStart w:id="26" w:name="page27"/>
    <w:bookmarkEnd w:id="26"/>
    <w:p>
      <w:pPr>
        <w:ind w:left="740"/>
        <w:spacing w:after="0"/>
        <w:rPr>
          <w:sz w:val="20"/>
          <w:szCs w:val="20"/>
          <w:color w:val="auto"/>
        </w:rPr>
      </w:pPr>
      <w:r>
        <w:rPr>
          <w:rFonts w:ascii="Times New Roman" w:cs="Times New Roman" w:eastAsia="Times New Roman" w:hAnsi="Times New Roman"/>
          <w:sz w:val="18"/>
          <w:szCs w:val="18"/>
          <w:b w:val="1"/>
          <w:bCs w:val="1"/>
          <w:color w:val="auto"/>
        </w:rPr>
        <w:t>Group B</w:t>
      </w:r>
    </w:p>
    <w:p>
      <w:pPr>
        <w:spacing w:after="0" w:line="229" w:lineRule="exact"/>
        <w:rPr>
          <w:sz w:val="20"/>
          <w:szCs w:val="20"/>
          <w:color w:val="auto"/>
        </w:rPr>
      </w:pPr>
    </w:p>
    <w:p>
      <w:pPr>
        <w:jc w:val="both"/>
        <w:ind w:left="1380" w:right="1040" w:hanging="643"/>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Provisional Patent Application No. 60/408,681, filed September 6, 2002 entitled “Immunotherapy with in vitro-selected antigen-specific lymphocytes after nonmyeloablative lymphodepleting chemotherapy” (HHS Ref No. E-275-2002/0-US-01);</w:t>
      </w:r>
    </w:p>
    <w:p>
      <w:pPr>
        <w:spacing w:after="0" w:line="162" w:lineRule="exact"/>
        <w:rPr>
          <w:sz w:val="20"/>
          <w:szCs w:val="20"/>
          <w:color w:val="auto"/>
        </w:rPr>
      </w:pPr>
    </w:p>
    <w:p>
      <w:pPr>
        <w:ind w:left="1380" w:right="500" w:hanging="643"/>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PCT Application No. PCT/US2003/027873 filed September 5, 2003 entitled “Immunotherapy with in vitro-selected antigen-specific lymphocytes after nonmyeloablative lymphodepleting chemotherapy” (HHS Ref No. E-275-2002/1-PCT-01);</w:t>
      </w:r>
    </w:p>
    <w:p>
      <w:pPr>
        <w:spacing w:after="0" w:line="162" w:lineRule="exact"/>
        <w:rPr>
          <w:sz w:val="20"/>
          <w:szCs w:val="20"/>
          <w:color w:val="auto"/>
        </w:rPr>
      </w:pPr>
    </w:p>
    <w:p>
      <w:pPr>
        <w:ind w:left="1380" w:right="400" w:hanging="643"/>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No. 8,034,334 issued October 11, 2011 entitled “Immunotherapy with in vitro-selected antigen-specific lymphocytes after nonmyeloablative lymphodepleting chemotherapy” (HHS Ref No. E-275-2002/1-US-02);</w:t>
      </w:r>
    </w:p>
    <w:p>
      <w:pPr>
        <w:sectPr>
          <w:pgSz w:w="11900" w:h="16838" w:orient="portrait"/>
          <w:cols w:equalWidth="0" w:num="1">
            <w:col w:w="11420"/>
          </w:cols>
          <w:pgMar w:left="240" w:top="900" w:right="239" w:bottom="1440" w:gutter="0" w:footer="0" w:header="0"/>
        </w:sectPr>
      </w:pP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European Patent Application No. 03794636.5 filed April 4, 2005 entitled “Immunotherapy with in vitro-selected antigen-specific lymphocytes after nonmyeloablative lymphodepleting chemotherapy” (HHS Ref No. E-275-2002/1-EP-03);</w:t>
      </w:r>
    </w:p>
    <w:p>
      <w:pPr>
        <w:spacing w:after="0" w:line="162" w:lineRule="exact"/>
        <w:rPr>
          <w:sz w:val="20"/>
          <w:szCs w:val="20"/>
          <w:color w:val="auto"/>
        </w:rPr>
      </w:pPr>
    </w:p>
    <w:p>
      <w:pPr>
        <w:sectPr>
          <w:pgSz w:w="11900" w:h="16838" w:orient="portrait"/>
          <w:cols w:equalWidth="0" w:num="2">
            <w:col w:w="940" w:space="440"/>
            <w:col w:w="10040"/>
          </w:cols>
          <w:pgMar w:left="240" w:top="900" w:right="239" w:bottom="1440" w:gutter="0" w:footer="0" w:header="0"/>
          <w:type w:val="continuous"/>
        </w:sectPr>
      </w:pPr>
    </w:p>
    <w:p>
      <w:pPr>
        <w:ind w:left="1380" w:right="600" w:hanging="643"/>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Patent No. 2,497,552 issued May 27, 2014 entitled “Immunotherapy with in vitro- selected antigen-specific lymphocytes after nonmyeloablative lymphodepleting chemotherapy” (HHS Ref No. E-275-2002/1-CA-04);</w:t>
      </w:r>
    </w:p>
    <w:p>
      <w:pPr>
        <w:sectPr>
          <w:pgSz w:w="11900" w:h="16838" w:orient="portrait"/>
          <w:cols w:equalWidth="0" w:num="1">
            <w:col w:w="11420"/>
          </w:cols>
          <w:pgMar w:left="240" w:top="900" w:right="239" w:bottom="1440" w:gutter="0" w:footer="0" w:header="0"/>
          <w:type w:val="continuous"/>
        </w:sectPr>
      </w:pP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Australian Patent No. 2003265948 issued September 3, 2009 entitled “Immunotherapy with in vitro-selected antigen-specific lymphocytes after nonmyeloablative lymphodepleting chemotherapy” (HHS Ref No. E-275-2002/1-AU-05);</w:t>
      </w:r>
    </w:p>
    <w:p>
      <w:pPr>
        <w:spacing w:after="0" w:line="162" w:lineRule="exact"/>
        <w:rPr>
          <w:sz w:val="20"/>
          <w:szCs w:val="20"/>
          <w:color w:val="auto"/>
        </w:rPr>
      </w:pPr>
    </w:p>
    <w:p>
      <w:pPr>
        <w:sectPr>
          <w:pgSz w:w="11900" w:h="16838" w:orient="portrait"/>
          <w:cols w:equalWidth="0" w:num="2">
            <w:col w:w="980" w:space="400"/>
            <w:col w:w="10040"/>
          </w:cols>
          <w:pgMar w:left="240" w:top="900" w:right="2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U.S. Patent No. 8,287,857 issued October 16, 2012 entitled “Immunotherapy with in vitro-selected antigen-specific lymphocytes after nonmyeloablative lymphodepleting chemotherapy” (HHS Ref No. E-275-2002/1-US-06);</w:t>
      </w:r>
    </w:p>
    <w:p>
      <w:pPr>
        <w:spacing w:after="0" w:line="162" w:lineRule="exact"/>
        <w:rPr>
          <w:sz w:val="20"/>
          <w:szCs w:val="20"/>
          <w:color w:val="auto"/>
        </w:rPr>
      </w:pPr>
    </w:p>
    <w:p>
      <w:pPr>
        <w:sectPr>
          <w:pgSz w:w="11900" w:h="16838" w:orient="portrait"/>
          <w:cols w:equalWidth="0" w:num="2">
            <w:col w:w="1040" w:space="340"/>
            <w:col w:w="10040"/>
          </w:cols>
          <w:pgMar w:left="240" w:top="900" w:right="239" w:bottom="1440" w:gutter="0" w:footer="0" w:header="0"/>
          <w:type w:val="continuous"/>
        </w:sectPr>
      </w:pPr>
    </w:p>
    <w:p>
      <w:pPr>
        <w:ind w:left="80"/>
        <w:spacing w:after="0"/>
        <w:tabs>
          <w:tab w:leader="none" w:pos="4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Appendix C, Paragraph IV shall be deleted in its entirety and replaced with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IV.</w:t>
            </w:r>
          </w:p>
        </w:tc>
        <w:tc>
          <w:tcPr>
            <w:tcW w:w="1052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pay the </w:t>
            </w:r>
            <w:r>
              <w:rPr>
                <w:rFonts w:ascii="Times New Roman" w:cs="Times New Roman" w:eastAsia="Times New Roman" w:hAnsi="Times New Roman"/>
                <w:sz w:val="18"/>
                <w:szCs w:val="18"/>
                <w:b w:val="1"/>
                <w:bCs w:val="1"/>
                <w:color w:val="auto"/>
              </w:rPr>
              <w:t>NIH Benchmark</w:t>
            </w:r>
            <w:r>
              <w:rPr>
                <w:rFonts w:ascii="Times New Roman" w:cs="Times New Roman" w:eastAsia="Times New Roman" w:hAnsi="Times New Roman"/>
                <w:sz w:val="18"/>
                <w:szCs w:val="18"/>
                <w:color w:val="auto"/>
              </w:rPr>
              <w:t xml:space="preserve"> royalties within sixty (60) days of achieving each </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listed below by </w:t>
            </w:r>
            <w:r>
              <w:rPr>
                <w:rFonts w:ascii="Times New Roman" w:cs="Times New Roman" w:eastAsia="Times New Roman" w:hAnsi="Times New Roman"/>
                <w:sz w:val="18"/>
                <w:szCs w:val="18"/>
                <w:b w:val="1"/>
                <w:bCs w:val="1"/>
                <w:color w:val="auto"/>
              </w:rPr>
              <w:t>Licensee</w:t>
            </w:r>
          </w:p>
        </w:tc>
      </w:tr>
      <w:tr>
        <w:trPr>
          <w:trHeight w:val="238"/>
        </w:trPr>
        <w:tc>
          <w:tcPr>
            <w:tcW w:w="900" w:type="dxa"/>
            <w:vAlign w:val="bottom"/>
          </w:tcPr>
          <w:p>
            <w:pPr>
              <w:spacing w:after="0"/>
              <w:rPr>
                <w:sz w:val="20"/>
                <w:szCs w:val="20"/>
                <w:color w:val="auto"/>
              </w:rPr>
            </w:pPr>
          </w:p>
        </w:tc>
        <w:tc>
          <w:tcPr>
            <w:tcW w:w="690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 xml:space="preserve">or its sublicensees for each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Licensed Process</w:t>
            </w:r>
            <w:r>
              <w:rPr>
                <w:rFonts w:ascii="Times New Roman" w:cs="Times New Roman" w:eastAsia="Times New Roman" w:hAnsi="Times New Roman"/>
                <w:sz w:val="18"/>
                <w:szCs w:val="18"/>
                <w:color w:val="auto"/>
              </w:rPr>
              <w:t>:</w:t>
            </w:r>
          </w:p>
        </w:tc>
        <w:tc>
          <w:tcPr>
            <w:tcW w:w="36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1052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 xml:space="preserve">(a)  For successful completion of the first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-sponsored Phase 2 clinical study in each indication of the </w:t>
            </w:r>
            <w:r>
              <w:rPr>
                <w:rFonts w:ascii="Times New Roman" w:cs="Times New Roman" w:eastAsia="Times New Roman" w:hAnsi="Times New Roman"/>
                <w:sz w:val="18"/>
                <w:szCs w:val="18"/>
                <w:b w:val="1"/>
                <w:bCs w:val="1"/>
                <w:color w:val="auto"/>
              </w:rPr>
              <w:t>Licensed Field of Use</w:t>
            </w:r>
            <w:r>
              <w:rPr>
                <w:rFonts w:ascii="Times New Roman" w:cs="Times New Roman" w:eastAsia="Times New Roman" w:hAnsi="Times New Roman"/>
                <w:sz w:val="18"/>
                <w:szCs w:val="18"/>
                <w:color w:val="auto"/>
              </w:rPr>
              <w:t>.</w:t>
            </w:r>
          </w:p>
        </w:tc>
      </w:tr>
      <w:tr>
        <w:trPr>
          <w:trHeight w:val="392"/>
        </w:trPr>
        <w:tc>
          <w:tcPr>
            <w:tcW w:w="900" w:type="dxa"/>
            <w:vAlign w:val="bottom"/>
          </w:tcPr>
          <w:p>
            <w:pPr>
              <w:spacing w:after="0"/>
              <w:rPr>
                <w:sz w:val="24"/>
                <w:szCs w:val="24"/>
                <w:color w:val="auto"/>
              </w:rPr>
            </w:pPr>
          </w:p>
        </w:tc>
        <w:tc>
          <w:tcPr>
            <w:tcW w:w="3180" w:type="dxa"/>
            <w:vAlign w:val="bottom"/>
            <w:gridSpan w:val="10"/>
          </w:tcPr>
          <w:p>
            <w:pPr>
              <w:ind w:left="880"/>
              <w:spacing w:after="0"/>
              <w:rPr>
                <w:sz w:val="20"/>
                <w:szCs w:val="20"/>
                <w:color w:val="auto"/>
              </w:rPr>
            </w:pPr>
            <w:r>
              <w:rPr>
                <w:rFonts w:ascii="Times New Roman" w:cs="Times New Roman" w:eastAsia="Times New Roman" w:hAnsi="Times New Roman"/>
                <w:sz w:val="18"/>
                <w:szCs w:val="18"/>
                <w:color w:val="auto"/>
              </w:rPr>
              <w:t xml:space="preserve">i.  Melanoma: </w:t>
            </w:r>
            <w:r>
              <w:rPr>
                <w:rFonts w:ascii="Times New Roman" w:cs="Times New Roman" w:eastAsia="Times New Roman" w:hAnsi="Times New Roman"/>
                <w:sz w:val="18"/>
                <w:szCs w:val="18"/>
                <w:b w:val="1"/>
                <w:bCs w:val="1"/>
                <w:color w:val="auto"/>
              </w:rPr>
              <w:t>[* * *]</w:t>
            </w:r>
          </w:p>
        </w:tc>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3180" w:type="dxa"/>
            <w:vAlign w:val="bottom"/>
            <w:gridSpan w:val="10"/>
          </w:tcPr>
          <w:p>
            <w:pPr>
              <w:ind w:left="820"/>
              <w:spacing w:after="0"/>
              <w:rPr>
                <w:sz w:val="20"/>
                <w:szCs w:val="20"/>
                <w:color w:val="auto"/>
              </w:rPr>
            </w:pPr>
            <w:r>
              <w:rPr>
                <w:rFonts w:ascii="Times New Roman" w:cs="Times New Roman" w:eastAsia="Times New Roman" w:hAnsi="Times New Roman"/>
                <w:sz w:val="18"/>
                <w:szCs w:val="18"/>
                <w:color w:val="auto"/>
              </w:rPr>
              <w:t xml:space="preserve">ii.  Breast cancer: </w:t>
            </w:r>
            <w:r>
              <w:rPr>
                <w:rFonts w:ascii="Times New Roman" w:cs="Times New Roman" w:eastAsia="Times New Roman" w:hAnsi="Times New Roman"/>
                <w:sz w:val="18"/>
                <w:szCs w:val="18"/>
                <w:b w:val="1"/>
                <w:bCs w:val="1"/>
                <w:color w:val="auto"/>
              </w:rPr>
              <w:t>[* * *]</w:t>
            </w:r>
          </w:p>
        </w:tc>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3180" w:type="dxa"/>
            <w:vAlign w:val="bottom"/>
            <w:gridSpan w:val="10"/>
          </w:tcPr>
          <w:p>
            <w:pPr>
              <w:ind w:left="780"/>
              <w:spacing w:after="0"/>
              <w:rPr>
                <w:sz w:val="20"/>
                <w:szCs w:val="20"/>
                <w:color w:val="auto"/>
              </w:rPr>
            </w:pPr>
            <w:r>
              <w:rPr>
                <w:rFonts w:ascii="Times New Roman" w:cs="Times New Roman" w:eastAsia="Times New Roman" w:hAnsi="Times New Roman"/>
                <w:sz w:val="18"/>
                <w:szCs w:val="18"/>
                <w:color w:val="auto"/>
              </w:rPr>
              <w:t xml:space="preserve">iii.  Lung cancer: </w:t>
            </w:r>
            <w:r>
              <w:rPr>
                <w:rFonts w:ascii="Times New Roman" w:cs="Times New Roman" w:eastAsia="Times New Roman" w:hAnsi="Times New Roman"/>
                <w:sz w:val="18"/>
                <w:szCs w:val="18"/>
                <w:b w:val="1"/>
                <w:bCs w:val="1"/>
                <w:color w:val="auto"/>
              </w:rPr>
              <w:t>[* * *]</w:t>
            </w:r>
          </w:p>
        </w:tc>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3180" w:type="dxa"/>
            <w:vAlign w:val="bottom"/>
            <w:gridSpan w:val="10"/>
          </w:tcPr>
          <w:p>
            <w:pPr>
              <w:ind w:left="780"/>
              <w:spacing w:after="0"/>
              <w:rPr>
                <w:sz w:val="20"/>
                <w:szCs w:val="20"/>
                <w:color w:val="auto"/>
              </w:rPr>
            </w:pPr>
            <w:r>
              <w:rPr>
                <w:rFonts w:ascii="Times New Roman" w:cs="Times New Roman" w:eastAsia="Times New Roman" w:hAnsi="Times New Roman"/>
                <w:sz w:val="18"/>
                <w:szCs w:val="18"/>
                <w:color w:val="auto"/>
              </w:rPr>
              <w:t xml:space="preserve">iv.  HPV-positive cancer: </w:t>
            </w:r>
            <w:r>
              <w:rPr>
                <w:rFonts w:ascii="Times New Roman" w:cs="Times New Roman" w:eastAsia="Times New Roman" w:hAnsi="Times New Roman"/>
                <w:sz w:val="18"/>
                <w:szCs w:val="18"/>
                <w:b w:val="1"/>
                <w:bCs w:val="1"/>
                <w:color w:val="auto"/>
              </w:rPr>
              <w:t>[* * *]</w:t>
            </w:r>
          </w:p>
        </w:tc>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39"/>
        </w:trPr>
        <w:tc>
          <w:tcPr>
            <w:tcW w:w="900" w:type="dxa"/>
            <w:vAlign w:val="bottom"/>
          </w:tcPr>
          <w:p>
            <w:pPr>
              <w:spacing w:after="0"/>
              <w:rPr>
                <w:sz w:val="24"/>
                <w:szCs w:val="24"/>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v.</w:t>
            </w:r>
          </w:p>
        </w:tc>
        <w:tc>
          <w:tcPr>
            <w:tcW w:w="21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 xml:space="preserve">Bladder cancer: </w:t>
            </w:r>
            <w:r>
              <w:rPr>
                <w:rFonts w:ascii="Times New Roman" w:cs="Times New Roman" w:eastAsia="Times New Roman" w:hAnsi="Times New Roman"/>
                <w:sz w:val="18"/>
                <w:szCs w:val="18"/>
                <w:b w:val="1"/>
                <w:bCs w:val="1"/>
                <w:color w:val="auto"/>
              </w:rPr>
              <w:t>[* * *]</w:t>
            </w:r>
          </w:p>
        </w:tc>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2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5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Final</w:t>
            </w:r>
          </w:p>
        </w:tc>
        <w:tc>
          <w:tcPr>
            <w:tcW w:w="37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Lion Biotechnologies, Inc. Page 2 of 12</w:t>
            </w:r>
          </w:p>
        </w:tc>
        <w:tc>
          <w:tcPr>
            <w:tcW w:w="3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408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372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834"/>
        </w:trPr>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type w:val="continuous"/>
        </w:sectPr>
      </w:pPr>
    </w:p>
    <w:bookmarkStart w:id="27" w:name="page28"/>
    <w:bookmarkEnd w:id="27"/>
    <w:p>
      <w:pPr>
        <w:ind w:left="1380" w:right="1040" w:hanging="319"/>
        <w:spacing w:after="0" w:line="286"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successful completion of the first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-sponsored Phase 3 clinical study for each indication in the </w:t>
      </w:r>
      <w:r>
        <w:rPr>
          <w:rFonts w:ascii="Times New Roman" w:cs="Times New Roman" w:eastAsia="Times New Roman" w:hAnsi="Times New Roman"/>
          <w:sz w:val="18"/>
          <w:szCs w:val="18"/>
          <w:b w:val="1"/>
          <w:bCs w:val="1"/>
          <w:color w:val="auto"/>
        </w:rPr>
        <w:t>Licensed Field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2040" w:hanging="263"/>
        <w:spacing w:after="0"/>
        <w:tabs>
          <w:tab w:leader="none" w:pos="20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Melanoma: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297"/>
        <w:spacing w:after="0"/>
        <w:tabs>
          <w:tab w:leader="none" w:pos="20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Breast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57"/>
        <w:spacing w:after="0"/>
        <w:tabs>
          <w:tab w:leader="none" w:pos="20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Lung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337"/>
        <w:spacing w:after="0"/>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HPV-positive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03"/>
        <w:spacing w:after="0"/>
        <w:tabs>
          <w:tab w:leader="none" w:pos="2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Bladder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1400" w:right="3080" w:hanging="339"/>
        <w:spacing w:after="0" w:line="286" w:lineRule="auto"/>
        <w:tabs>
          <w:tab w:leader="none" w:pos="1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first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approval or foreign equivalent for a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Licensed Process</w:t>
      </w:r>
      <w:r>
        <w:rPr>
          <w:rFonts w:ascii="Times New Roman" w:cs="Times New Roman" w:eastAsia="Times New Roman" w:hAnsi="Times New Roman"/>
          <w:sz w:val="18"/>
          <w:szCs w:val="18"/>
          <w:color w:val="auto"/>
        </w:rPr>
        <w:t xml:space="preserve"> for each indication in the </w:t>
      </w:r>
      <w:r>
        <w:rPr>
          <w:rFonts w:ascii="Times New Roman" w:cs="Times New Roman" w:eastAsia="Times New Roman" w:hAnsi="Times New Roman"/>
          <w:sz w:val="18"/>
          <w:szCs w:val="18"/>
          <w:b w:val="1"/>
          <w:bCs w:val="1"/>
          <w:color w:val="auto"/>
        </w:rPr>
        <w:t>Licensed Field of Use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2040" w:hanging="263"/>
        <w:spacing w:after="0"/>
        <w:tabs>
          <w:tab w:leader="none" w:pos="20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Melanoma: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297"/>
        <w:spacing w:after="0"/>
        <w:tabs>
          <w:tab w:leader="none" w:pos="20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Breast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57"/>
        <w:spacing w:after="0"/>
        <w:tabs>
          <w:tab w:leader="none" w:pos="20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Lung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337"/>
        <w:spacing w:after="0"/>
        <w:tabs>
          <w:tab w:leader="none" w:pos="2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HPV-positive cancer: </w:t>
      </w:r>
      <w:r>
        <w:rPr>
          <w:rFonts w:ascii="Times New Roman" w:cs="Times New Roman" w:eastAsia="Times New Roman" w:hAnsi="Times New Roman"/>
          <w:sz w:val="18"/>
          <w:szCs w:val="18"/>
          <w:b w:val="1"/>
          <w:bCs w:val="1"/>
          <w:u w:val="single" w:color="auto"/>
          <w:color w:val="auto"/>
        </w:rPr>
        <w:t>[*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40" w:hanging="303"/>
        <w:spacing w:after="0"/>
        <w:tabs>
          <w:tab w:leader="none" w:pos="2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Bladder cancer: </w:t>
      </w:r>
      <w:r>
        <w:rPr>
          <w:rFonts w:ascii="Times New Roman" w:cs="Times New Roman" w:eastAsia="Times New Roman" w:hAnsi="Times New Roman"/>
          <w:sz w:val="18"/>
          <w:szCs w:val="18"/>
          <w:b w:val="1"/>
          <w:bCs w:val="1"/>
          <w:u w:val="single" w:color="auto"/>
          <w:color w:val="auto"/>
        </w:rPr>
        <w:t>[* * *]</w:t>
      </w:r>
    </w:p>
    <w:p>
      <w:pPr>
        <w:spacing w:after="0" w:line="202" w:lineRule="exact"/>
        <w:rPr>
          <w:rFonts w:ascii="Times New Roman" w:cs="Times New Roman" w:eastAsia="Times New Roman" w:hAnsi="Times New Roman"/>
          <w:sz w:val="18"/>
          <w:szCs w:val="18"/>
          <w:color w:val="auto"/>
        </w:rPr>
      </w:pPr>
    </w:p>
    <w:p>
      <w:pPr>
        <w:ind w:left="1380" w:right="480" w:hanging="319"/>
        <w:spacing w:after="0" w:line="28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of a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Licensed Process</w:t>
      </w:r>
      <w:r>
        <w:rPr>
          <w:rFonts w:ascii="Times New Roman" w:cs="Times New Roman" w:eastAsia="Times New Roman" w:hAnsi="Times New Roman"/>
          <w:sz w:val="18"/>
          <w:szCs w:val="18"/>
          <w:color w:val="auto"/>
        </w:rPr>
        <w:t xml:space="preserve"> in the United States for each indication in the </w:t>
      </w:r>
      <w:r>
        <w:rPr>
          <w:rFonts w:ascii="Times New Roman" w:cs="Times New Roman" w:eastAsia="Times New Roman" w:hAnsi="Times New Roman"/>
          <w:sz w:val="18"/>
          <w:szCs w:val="18"/>
          <w:b w:val="1"/>
          <w:bCs w:val="1"/>
          <w:color w:val="auto"/>
        </w:rPr>
        <w:t>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Field of Use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2040" w:hanging="263"/>
        <w:spacing w:after="0"/>
        <w:tabs>
          <w:tab w:leader="none" w:pos="204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Melanoma: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297"/>
        <w:spacing w:after="0"/>
        <w:tabs>
          <w:tab w:leader="none" w:pos="202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Breast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57"/>
        <w:spacing w:after="0"/>
        <w:tabs>
          <w:tab w:leader="none" w:pos="204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Lung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337"/>
        <w:spacing w:after="0"/>
        <w:tabs>
          <w:tab w:leader="none" w:pos="20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HPV-positive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03"/>
        <w:spacing w:after="0"/>
        <w:tabs>
          <w:tab w:leader="none" w:pos="20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Bladder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1380" w:right="1000" w:hanging="319"/>
        <w:spacing w:after="0" w:line="28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of a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Licensed Process</w:t>
      </w:r>
      <w:r>
        <w:rPr>
          <w:rFonts w:ascii="Times New Roman" w:cs="Times New Roman" w:eastAsia="Times New Roman" w:hAnsi="Times New Roman"/>
          <w:sz w:val="18"/>
          <w:szCs w:val="18"/>
          <w:color w:val="auto"/>
        </w:rPr>
        <w:t xml:space="preserve"> in any foreign country for each indication in the </w:t>
      </w:r>
      <w:r>
        <w:rPr>
          <w:rFonts w:ascii="Times New Roman" w:cs="Times New Roman" w:eastAsia="Times New Roman" w:hAnsi="Times New Roman"/>
          <w:sz w:val="18"/>
          <w:szCs w:val="18"/>
          <w:b w:val="1"/>
          <w:bCs w:val="1"/>
          <w:color w:val="auto"/>
        </w:rPr>
        <w:t>Licensed Field of Use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2040" w:hanging="263"/>
        <w:spacing w:after="0"/>
        <w:tabs>
          <w:tab w:leader="none" w:pos="204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Melanoma: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297"/>
        <w:spacing w:after="0"/>
        <w:tabs>
          <w:tab w:leader="none" w:pos="202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Breast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57"/>
        <w:spacing w:after="0"/>
        <w:tabs>
          <w:tab w:leader="none" w:pos="204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Lung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20" w:hanging="337"/>
        <w:spacing w:after="0"/>
        <w:tabs>
          <w:tab w:leader="none" w:pos="20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HPV-positive cancer: </w:t>
      </w:r>
      <w:r>
        <w:rPr>
          <w:rFonts w:ascii="Times New Roman" w:cs="Times New Roman" w:eastAsia="Times New Roman" w:hAnsi="Times New Roman"/>
          <w:sz w:val="18"/>
          <w:szCs w:val="18"/>
          <w:b w:val="1"/>
          <w:bCs w:val="1"/>
          <w:u w:val="single" w:color="auto"/>
          <w:color w:val="auto"/>
        </w:rPr>
        <w:t>[* * *]</w:t>
      </w:r>
    </w:p>
    <w:p>
      <w:pPr>
        <w:spacing w:after="0" w:line="225" w:lineRule="exact"/>
        <w:rPr>
          <w:rFonts w:ascii="Times New Roman" w:cs="Times New Roman" w:eastAsia="Times New Roman" w:hAnsi="Times New Roman"/>
          <w:sz w:val="18"/>
          <w:szCs w:val="18"/>
          <w:color w:val="auto"/>
        </w:rPr>
      </w:pPr>
    </w:p>
    <w:p>
      <w:pPr>
        <w:ind w:left="2040" w:hanging="303"/>
        <w:spacing w:after="0"/>
        <w:tabs>
          <w:tab w:leader="none" w:pos="20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Bladder cancer: </w:t>
      </w:r>
      <w:r>
        <w:rPr>
          <w:rFonts w:ascii="Times New Roman" w:cs="Times New Roman" w:eastAsia="Times New Roman" w:hAnsi="Times New Roman"/>
          <w:sz w:val="18"/>
          <w:szCs w:val="18"/>
          <w:b w:val="1"/>
          <w:bCs w:val="1"/>
          <w:u w:val="single" w:color="auto"/>
          <w:color w:val="auto"/>
        </w:rPr>
        <w:t>[* * *]</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 3 of 12</w:t>
            </w:r>
          </w:p>
        </w:tc>
        <w:tc>
          <w:tcPr>
            <w:tcW w:w="3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834"/>
        </w:trPr>
        <w:tc>
          <w:tcPr>
            <w:tcW w:w="3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7" w:right="239" w:bottom="1440" w:gutter="0" w:footer="0" w:header="0"/>
        </w:sectPr>
      </w:pPr>
    </w:p>
    <w:bookmarkStart w:id="28" w:name="page29"/>
    <w:bookmarkEnd w:id="28"/>
    <w:p>
      <w:pPr>
        <w:ind w:left="1380" w:right="1020" w:hanging="319"/>
        <w:spacing w:after="0" w:line="28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time the aggregate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of all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achieve the following thresholds,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pays the following one-time</w:t>
      </w:r>
      <w:r>
        <w:rPr>
          <w:rFonts w:ascii="Times New Roman" w:cs="Times New Roman" w:eastAsia="Times New Roman" w:hAnsi="Times New Roman"/>
          <w:sz w:val="18"/>
          <w:szCs w:val="18"/>
          <w:b w:val="1"/>
          <w:bCs w:val="1"/>
          <w:color w:val="auto"/>
        </w:rPr>
        <w:t xml:space="preserve"> Benchmark </w:t>
      </w:r>
      <w:r>
        <w:rPr>
          <w:rFonts w:ascii="Times New Roman" w:cs="Times New Roman" w:eastAsia="Times New Roman" w:hAnsi="Times New Roman"/>
          <w:sz w:val="18"/>
          <w:szCs w:val="18"/>
          <w:color w:val="auto"/>
        </w:rPr>
        <w:t>royalties:</w:t>
      </w:r>
    </w:p>
    <w:p>
      <w:pPr>
        <w:spacing w:after="0" w:line="181" w:lineRule="exact"/>
        <w:rPr>
          <w:rFonts w:ascii="Times New Roman" w:cs="Times New Roman" w:eastAsia="Times New Roman" w:hAnsi="Times New Roman"/>
          <w:sz w:val="18"/>
          <w:szCs w:val="18"/>
          <w:color w:val="auto"/>
        </w:rPr>
      </w:pPr>
    </w:p>
    <w:p>
      <w:pPr>
        <w:ind w:left="2040" w:right="680" w:hanging="654"/>
        <w:spacing w:after="0" w:line="286" w:lineRule="auto"/>
        <w:tabs>
          <w:tab w:leader="none" w:pos="20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the aggregate</w:t>
      </w:r>
      <w:r>
        <w:rPr>
          <w:rFonts w:ascii="Times New Roman" w:cs="Times New Roman" w:eastAsia="Times New Roman" w:hAnsi="Times New Roman"/>
          <w:sz w:val="18"/>
          <w:szCs w:val="18"/>
          <w:b w:val="1"/>
          <w:bCs w:val="1"/>
          <w:color w:val="auto"/>
        </w:rPr>
        <w:t xml:space="preserve"> Net Sales </w:t>
      </w:r>
      <w:r>
        <w:rPr>
          <w:rFonts w:ascii="Times New Roman" w:cs="Times New Roman" w:eastAsia="Times New Roman" w:hAnsi="Times New Roman"/>
          <w:sz w:val="18"/>
          <w:szCs w:val="18"/>
          <w:color w:val="auto"/>
        </w:rPr>
        <w:t>of all</w:t>
      </w:r>
      <w:r>
        <w:rPr>
          <w:rFonts w:ascii="Times New Roman" w:cs="Times New Roman" w:eastAsia="Times New Roman" w:hAnsi="Times New Roman"/>
          <w:sz w:val="18"/>
          <w:szCs w:val="18"/>
          <w:b w:val="1"/>
          <w:bCs w:val="1"/>
          <w:color w:val="auto"/>
        </w:rPr>
        <w:t xml:space="preserve"> Licensed Products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Licensed Processes </w:t>
      </w:r>
      <w:r>
        <w:rPr>
          <w:rFonts w:ascii="Times New Roman" w:cs="Times New Roman" w:eastAsia="Times New Roman" w:hAnsi="Times New Roman"/>
          <w:sz w:val="18"/>
          <w:szCs w:val="18"/>
          <w:color w:val="auto"/>
        </w:rPr>
        <w:t>reaches five hundred fifty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($50,000,000.00).</w:t>
      </w:r>
    </w:p>
    <w:p>
      <w:pPr>
        <w:spacing w:after="0" w:line="154" w:lineRule="exact"/>
        <w:rPr>
          <w:rFonts w:ascii="Times New Roman" w:cs="Times New Roman" w:eastAsia="Times New Roman" w:hAnsi="Times New Roman"/>
          <w:sz w:val="18"/>
          <w:szCs w:val="18"/>
          <w:color w:val="auto"/>
        </w:rPr>
      </w:pPr>
    </w:p>
    <w:p>
      <w:pPr>
        <w:ind w:left="2040" w:right="1200" w:hanging="654"/>
        <w:spacing w:after="0" w:line="286" w:lineRule="auto"/>
        <w:tabs>
          <w:tab w:leader="none" w:pos="20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the aggregate</w:t>
      </w:r>
      <w:r>
        <w:rPr>
          <w:rFonts w:ascii="Times New Roman" w:cs="Times New Roman" w:eastAsia="Times New Roman" w:hAnsi="Times New Roman"/>
          <w:sz w:val="18"/>
          <w:szCs w:val="18"/>
          <w:b w:val="1"/>
          <w:bCs w:val="1"/>
          <w:color w:val="auto"/>
        </w:rPr>
        <w:t xml:space="preserve"> Net Sales </w:t>
      </w:r>
      <w:r>
        <w:rPr>
          <w:rFonts w:ascii="Times New Roman" w:cs="Times New Roman" w:eastAsia="Times New Roman" w:hAnsi="Times New Roman"/>
          <w:sz w:val="18"/>
          <w:szCs w:val="18"/>
          <w:color w:val="auto"/>
        </w:rPr>
        <w:t>of all</w:t>
      </w:r>
      <w:r>
        <w:rPr>
          <w:rFonts w:ascii="Times New Roman" w:cs="Times New Roman" w:eastAsia="Times New Roman" w:hAnsi="Times New Roman"/>
          <w:sz w:val="18"/>
          <w:szCs w:val="18"/>
          <w:b w:val="1"/>
          <w:bCs w:val="1"/>
          <w:color w:val="auto"/>
        </w:rPr>
        <w:t xml:space="preserve"> Licensed Products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Licensed Processes </w:t>
      </w:r>
      <w:r>
        <w:rPr>
          <w:rFonts w:ascii="Times New Roman" w:cs="Times New Roman" w:eastAsia="Times New Roman" w:hAnsi="Times New Roman"/>
          <w:sz w:val="18"/>
          <w:szCs w:val="18"/>
          <w:color w:val="auto"/>
        </w:rPr>
        <w:t>reaches one billion 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($1,000,000,000.00).</w:t>
      </w:r>
    </w:p>
    <w:p>
      <w:pPr>
        <w:spacing w:after="0" w:line="155" w:lineRule="exact"/>
        <w:rPr>
          <w:sz w:val="20"/>
          <w:szCs w:val="20"/>
          <w:color w:val="auto"/>
        </w:rPr>
      </w:pPr>
    </w:p>
    <w:p>
      <w:pPr>
        <w:ind w:left="740" w:right="220"/>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“successful completion of a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-sponsored Phase 2 Clinical Study” shall mean, with respect to a specified construct, formulation and dose of a specified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in a specified cancer indication, the statistical demonstration in a pivotal Phase 2 Clinical Study of safety and efficacy, sufficient to support a Phase 3 clinical trial submission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for such specified construct, formulation and dose of such specified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for the treatment of such specified cancer indication.</w:t>
      </w:r>
    </w:p>
    <w:p>
      <w:pPr>
        <w:spacing w:after="0" w:line="177" w:lineRule="exact"/>
        <w:rPr>
          <w:sz w:val="20"/>
          <w:szCs w:val="20"/>
          <w:color w:val="auto"/>
        </w:rPr>
      </w:pPr>
    </w:p>
    <w:p>
      <w:pPr>
        <w:jc w:val="both"/>
        <w:ind w:left="740" w:right="200"/>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“successful completion of a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-sponsored Phase 3 Clinical Study” shall mean, with respect to a specified construct, formulation and dose of a specified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in a specified cancer indication, the statistical demonstration in a pivotal Phase 3 Clinical Study of safety and efficacy, sufficient to support a BLA submission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for such specified construct, formulation and dose of such specified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for the treatment of such specified cancer indication.</w:t>
      </w:r>
    </w:p>
    <w:p>
      <w:pPr>
        <w:spacing w:after="0" w:line="177" w:lineRule="exact"/>
        <w:rPr>
          <w:sz w:val="20"/>
          <w:szCs w:val="20"/>
          <w:color w:val="auto"/>
        </w:rPr>
      </w:pPr>
    </w:p>
    <w:p>
      <w:pPr>
        <w:jc w:val="both"/>
        <w:ind w:left="740" w:right="340"/>
        <w:spacing w:after="0" w:line="268"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there will be only one royalty payment required for each indication for each milestone. For example, there will be only one royalty payment due for each milestone above in HPV- positive cancer. Therefore, sub-indications of HPV-positive cancer will not each require separate royalty payments.</w:t>
      </w:r>
    </w:p>
    <w:p>
      <w:pPr>
        <w:spacing w:after="0" w:line="175" w:lineRule="exact"/>
        <w:rPr>
          <w:sz w:val="20"/>
          <w:szCs w:val="20"/>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B will be deleted in its entirety and replaced with Appendix B in this agreement.</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D will be deleted in its entirety and replaced with Appendix D in this agreement.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E shall be deleted in its entirety and replaced with Appendix E in this agreement.</w:t>
      </w:r>
    </w:p>
    <w:p>
      <w:pPr>
        <w:spacing w:after="0" w:line="9" w:lineRule="exact"/>
        <w:rPr>
          <w:rFonts w:ascii="Times New Roman" w:cs="Times New Roman" w:eastAsia="Times New Roman" w:hAnsi="Times New Roman"/>
          <w:sz w:val="18"/>
          <w:szCs w:val="18"/>
          <w:color w:val="auto"/>
        </w:rPr>
      </w:pPr>
    </w:p>
    <w:p>
      <w:pPr>
        <w:ind w:left="420" w:right="360" w:hanging="331"/>
        <w:spacing w:after="0" w:line="253"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sixty (60) days of the execution of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pay the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an amendment issue royalty in the sum of </w:t>
      </w:r>
      <w:r>
        <w:rPr>
          <w:rFonts w:ascii="Times New Roman" w:cs="Times New Roman" w:eastAsia="Times New Roman" w:hAnsi="Times New Roman"/>
          <w:sz w:val="18"/>
          <w:szCs w:val="18"/>
          <w:b w:val="1"/>
          <w:bCs w:val="1"/>
          <w:u w:val="single" w:color="auto"/>
          <w:color w:val="auto"/>
        </w:rPr>
        <w:t>[* * *]</w:t>
      </w:r>
      <w:r>
        <w:rPr>
          <w:rFonts w:ascii="Times New Roman" w:cs="Times New Roman" w:eastAsia="Times New Roman" w:hAnsi="Times New Roman"/>
          <w:sz w:val="18"/>
          <w:szCs w:val="18"/>
          <w:color w:val="auto"/>
        </w:rPr>
        <w:t xml:space="preserve"> in two installments as follows: The first installment of </w:t>
      </w:r>
      <w:r>
        <w:rPr>
          <w:rFonts w:ascii="Times New Roman" w:cs="Times New Roman" w:eastAsia="Times New Roman" w:hAnsi="Times New Roman"/>
          <w:sz w:val="18"/>
          <w:szCs w:val="18"/>
          <w:b w:val="1"/>
          <w:bCs w:val="1"/>
          <w:u w:val="single" w:color="auto"/>
          <w:color w:val="auto"/>
        </w:rPr>
        <w:t>[* * *]</w:t>
      </w:r>
      <w:r>
        <w:rPr>
          <w:rFonts w:ascii="Times New Roman" w:cs="Times New Roman" w:eastAsia="Times New Roman" w:hAnsi="Times New Roman"/>
          <w:sz w:val="18"/>
          <w:szCs w:val="18"/>
          <w:color w:val="auto"/>
        </w:rPr>
        <w:t xml:space="preserve"> shall be payable within sixty (60) days from the effective date of this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the second installment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payable (i) on or before the one (1) year anniversary of the effective date of this</w:t>
      </w:r>
      <w:r>
        <w:rPr>
          <w:rFonts w:ascii="Times New Roman" w:cs="Times New Roman" w:eastAsia="Times New Roman" w:hAnsi="Times New Roman"/>
          <w:sz w:val="18"/>
          <w:szCs w:val="18"/>
          <w:b w:val="1"/>
          <w:bCs w:val="1"/>
          <w:color w:val="auto"/>
        </w:rPr>
        <w:t xml:space="preserve"> First Amendment </w:t>
      </w:r>
      <w:r>
        <w:rPr>
          <w:rFonts w:ascii="Times New Roman" w:cs="Times New Roman" w:eastAsia="Times New Roman" w:hAnsi="Times New Roman"/>
          <w:sz w:val="18"/>
          <w:szCs w:val="18"/>
          <w:color w:val="auto"/>
        </w:rPr>
        <w:t>or (ii) on or before the termination date of this</w:t>
      </w:r>
      <w:r>
        <w:rPr>
          <w:rFonts w:ascii="Times New Roman" w:cs="Times New Roman" w:eastAsia="Times New Roman" w:hAnsi="Times New Roman"/>
          <w:sz w:val="18"/>
          <w:szCs w:val="18"/>
          <w:b w:val="1"/>
          <w:bCs w:val="1"/>
          <w:color w:val="auto"/>
        </w:rPr>
        <w:t xml:space="preserve"> First Amendment</w:t>
      </w:r>
      <w:r>
        <w:rPr>
          <w:rFonts w:ascii="Times New Roman" w:cs="Times New Roman" w:eastAsia="Times New Roman" w:hAnsi="Times New Roman"/>
          <w:sz w:val="18"/>
          <w:szCs w:val="18"/>
          <w:color w:val="auto"/>
        </w:rPr>
        <w:t>, whichever occurs sooner. Payment options may be found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1.</w:t>
      </w:r>
    </w:p>
    <w:p>
      <w:pPr>
        <w:spacing w:after="0" w:line="183" w:lineRule="exact"/>
        <w:rPr>
          <w:rFonts w:ascii="Times New Roman" w:cs="Times New Roman" w:eastAsia="Times New Roman" w:hAnsi="Times New Roman"/>
          <w:sz w:val="18"/>
          <w:szCs w:val="18"/>
          <w:color w:val="auto"/>
        </w:rPr>
      </w:pPr>
    </w:p>
    <w:p>
      <w:pPr>
        <w:ind w:left="420" w:right="780" w:hanging="331"/>
        <w:spacing w:after="0" w:line="286"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provision(s) of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is/are inconsistent with Attachment 1 and/or 2, such provision(s) is/are hereby amended to the extent required to avoid such inconsistency and to give effect to the shipping and payment information in such Attachment 1.</w:t>
      </w:r>
    </w:p>
    <w:p>
      <w:pPr>
        <w:spacing w:after="0" w:line="154"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and conditions of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 herein amended remain binding and in effect.</w:t>
      </w:r>
    </w:p>
    <w:p>
      <w:pPr>
        <w:spacing w:after="0" w:line="225" w:lineRule="exact"/>
        <w:rPr>
          <w:rFonts w:ascii="Times New Roman" w:cs="Times New Roman" w:eastAsia="Times New Roman" w:hAnsi="Times New Roman"/>
          <w:sz w:val="18"/>
          <w:szCs w:val="18"/>
          <w:color w:val="auto"/>
        </w:rPr>
      </w:pPr>
    </w:p>
    <w:p>
      <w:pPr>
        <w:ind w:left="420" w:right="400" w:hanging="331"/>
        <w:spacing w:after="0" w:line="257"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conditions of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shall, at the </w:t>
      </w:r>
      <w:r>
        <w:rPr>
          <w:rFonts w:ascii="Times New Roman" w:cs="Times New Roman" w:eastAsia="Times New Roman" w:hAnsi="Times New Roman"/>
          <w:sz w:val="18"/>
          <w:szCs w:val="18"/>
          <w:b w:val="1"/>
          <w:bCs w:val="1"/>
          <w:color w:val="auto"/>
        </w:rPr>
        <w:t>NIH’s</w:t>
      </w:r>
      <w:r>
        <w:rPr>
          <w:rFonts w:ascii="Times New Roman" w:cs="Times New Roman" w:eastAsia="Times New Roman" w:hAnsi="Times New Roman"/>
          <w:sz w:val="18"/>
          <w:szCs w:val="18"/>
          <w:color w:val="auto"/>
        </w:rPr>
        <w:t xml:space="preserve"> sole option, be considered by the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to be withdrawn from the </w:t>
      </w: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xml:space="preserve"> consideration and the terms and conditions of 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itself, to be null and void, unless this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is executed by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and a fully executed original is received by the</w:t>
      </w:r>
      <w:r>
        <w:rPr>
          <w:rFonts w:ascii="Times New Roman" w:cs="Times New Roman" w:eastAsia="Times New Roman" w:hAnsi="Times New Roman"/>
          <w:sz w:val="18"/>
          <w:szCs w:val="18"/>
          <w:b w:val="1"/>
          <w:bCs w:val="1"/>
          <w:color w:val="auto"/>
        </w:rPr>
        <w:t xml:space="preserve"> NIH </w:t>
      </w:r>
      <w:r>
        <w:rPr>
          <w:rFonts w:ascii="Times New Roman" w:cs="Times New Roman" w:eastAsia="Times New Roman" w:hAnsi="Times New Roman"/>
          <w:sz w:val="18"/>
          <w:szCs w:val="18"/>
          <w:color w:val="auto"/>
        </w:rPr>
        <w:t>within sixty (60) days from the date of the</w:t>
      </w:r>
      <w:r>
        <w:rPr>
          <w:rFonts w:ascii="Times New Roman" w:cs="Times New Roman" w:eastAsia="Times New Roman" w:hAnsi="Times New Roman"/>
          <w:sz w:val="18"/>
          <w:szCs w:val="18"/>
          <w:b w:val="1"/>
          <w:bCs w:val="1"/>
          <w:color w:val="auto"/>
        </w:rPr>
        <w:t xml:space="preserve"> NIH’s </w:t>
      </w:r>
      <w:r>
        <w:rPr>
          <w:rFonts w:ascii="Times New Roman" w:cs="Times New Roman" w:eastAsia="Times New Roman" w:hAnsi="Times New Roman"/>
          <w:sz w:val="18"/>
          <w:szCs w:val="18"/>
          <w:color w:val="auto"/>
        </w:rPr>
        <w:t>signature found at the Signature Page.</w:t>
      </w: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is effective upon execution by all parties.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BEGIN ON NEXT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 4 of 12</w:t>
            </w:r>
          </w:p>
        </w:tc>
        <w:tc>
          <w:tcPr>
            <w:tcW w:w="3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807"/>
        </w:trPr>
        <w:tc>
          <w:tcPr>
            <w:tcW w:w="3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7"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938010" cy="9056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38010" cy="905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A-128-2015</w:t>
      </w:r>
    </w:p>
    <w:p>
      <w:pPr>
        <w:sectPr>
          <w:pgSz w:w="11900" w:h="16838" w:orient="portrait"/>
          <w:cols w:equalWidth="0" w:num="1">
            <w:col w:w="10219"/>
          </w:cols>
          <w:pgMar w:left="240" w:top="1440" w:right="1440" w:bottom="125" w:gutter="0" w:footer="0" w:header="0"/>
        </w:sectPr>
      </w:pP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Final</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Lion Biotechnologies, Inc. Page 5 of 12</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2015</w:t>
      </w:r>
    </w:p>
    <w:p>
      <w:pPr>
        <w:spacing w:after="0" w:line="1" w:lineRule="exact"/>
        <w:rPr>
          <w:sz w:val="20"/>
          <w:szCs w:val="20"/>
          <w:color w:val="auto"/>
        </w:rPr>
      </w:pPr>
    </w:p>
    <w:p>
      <w:pPr>
        <w:sectPr>
          <w:pgSz w:w="11900" w:h="16838" w:orient="portrait"/>
          <w:cols w:equalWidth="0" w:num="4">
            <w:col w:w="2920" w:space="720"/>
            <w:col w:w="360" w:space="720"/>
            <w:col w:w="3140" w:space="720"/>
            <w:col w:w="1639"/>
          </w:cols>
          <w:pgMar w:left="240" w:top="1440" w:right="1440" w:bottom="125" w:gutter="0" w:footer="0" w:header="0"/>
          <w:type w:val="continuous"/>
        </w:sectPr>
      </w:pPr>
    </w:p>
    <w:p>
      <w:pPr>
        <w:ind w:left="20"/>
        <w:spacing w:after="0" w:line="226" w:lineRule="auto"/>
        <w:rPr>
          <w:sz w:val="20"/>
          <w:szCs w:val="20"/>
          <w:color w:val="auto"/>
        </w:rPr>
      </w:pPr>
      <w:r>
        <w:rPr>
          <w:rFonts w:ascii="Times New Roman" w:cs="Times New Roman" w:eastAsia="Times New Roman" w:hAnsi="Times New Roman"/>
          <w:sz w:val="14"/>
          <w:szCs w:val="14"/>
          <w:color w:val="auto"/>
        </w:rPr>
        <w:t>First Amendment of L-107-2015/0 Model 09-</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2006 (updated 8-2012)</w:t>
      </w:r>
    </w:p>
    <w:p>
      <w:pPr>
        <w:sectPr>
          <w:pgSz w:w="11900" w:h="16838" w:orient="portrait"/>
          <w:cols w:equalWidth="0" w:num="1">
            <w:col w:w="10219"/>
          </w:cols>
          <w:pgMar w:left="240" w:top="1440" w:right="1440" w:bottom="125" w:gutter="0" w:footer="0" w:header="0"/>
          <w:type w:val="continuous"/>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color w:val="auto"/>
        </w:rPr>
        <w:t xml:space="preserve">II. Official and Mailing Address for Financial notices (the </w:t>
      </w: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xml:space="preserve"> contact person for royalty payments):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Peter Ho, Ph.D.</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Director, Business Development 112 West 34th Street, 17th Floor</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New York, NY 10120Phone: 212-946-4856</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Email: peter.ho@lionbio.com</w:t>
      </w:r>
    </w:p>
    <w:p>
      <w:pPr>
        <w:spacing w:after="0" w:line="200" w:lineRule="exact"/>
        <w:rPr>
          <w:sz w:val="20"/>
          <w:szCs w:val="20"/>
          <w:color w:val="auto"/>
        </w:rPr>
      </w:pPr>
    </w:p>
    <w:p>
      <w:pPr>
        <w:spacing w:after="0" w:line="219" w:lineRule="exact"/>
        <w:rPr>
          <w:sz w:val="20"/>
          <w:szCs w:val="20"/>
          <w:color w:val="auto"/>
        </w:rPr>
      </w:pPr>
    </w:p>
    <w:p>
      <w:pPr>
        <w:ind w:left="100" w:right="660"/>
        <w:spacing w:after="0" w:line="268" w:lineRule="auto"/>
        <w:rPr>
          <w:sz w:val="20"/>
          <w:szCs w:val="20"/>
          <w:color w:val="auto"/>
        </w:rPr>
      </w:pPr>
      <w:r>
        <w:rPr>
          <w:rFonts w:ascii="Times New Roman" w:cs="Times New Roman" w:eastAsia="Times New Roman" w:hAnsi="Times New Roman"/>
          <w:sz w:val="18"/>
          <w:szCs w:val="18"/>
          <w:color w:val="auto"/>
        </w:rPr>
        <w:t xml:space="preserve">Any false or misleading statements made, presented, or submitted to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including any relevant omissions,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during the course of negotiation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are subject to all applicable civil and criminal statutes including Federal statutes </w:t>
      </w:r>
      <w:r>
        <w:rPr>
          <w:rFonts w:ascii="Times New Roman" w:cs="Times New Roman" w:eastAsia="Times New Roman" w:hAnsi="Times New Roman"/>
          <w:sz w:val="18"/>
          <w:szCs w:val="18"/>
          <w:u w:val="single" w:color="auto"/>
          <w:color w:val="0000FF"/>
        </w:rPr>
        <w:t>31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§§3801-3812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(civil liability)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18 U.S.C. §1001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(criminal liability including fine(s) or imprisonment).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4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Page6 of 12</w:t>
            </w:r>
          </w:p>
        </w:tc>
        <w:tc>
          <w:tcPr>
            <w:tcW w:w="36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807"/>
        </w:trPr>
        <w:tc>
          <w:tcPr>
            <w:tcW w:w="3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 – LICENSED FIELDS OF USE AND TERRITORY</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VIII.</w:t>
      </w:r>
      <w:r>
        <w:rPr>
          <w:sz w:val="20"/>
          <w:szCs w:val="20"/>
          <w:color w:val="auto"/>
        </w:rPr>
        <w:tab/>
      </w:r>
      <w:r>
        <w:rPr>
          <w:rFonts w:ascii="Times New Roman" w:cs="Times New Roman" w:eastAsia="Times New Roman" w:hAnsi="Times New Roman"/>
          <w:sz w:val="18"/>
          <w:szCs w:val="18"/>
          <w:b w:val="1"/>
          <w:bCs w:val="1"/>
          <w:color w:val="auto"/>
        </w:rPr>
        <w:t>Licensed Fields of Use:</w:t>
      </w:r>
    </w:p>
    <w:p>
      <w:pPr>
        <w:spacing w:after="0" w:line="225" w:lineRule="exact"/>
        <w:rPr>
          <w:sz w:val="20"/>
          <w:szCs w:val="20"/>
          <w:color w:val="auto"/>
        </w:rPr>
      </w:pPr>
    </w:p>
    <w:p>
      <w:pPr>
        <w:ind w:left="740" w:right="480"/>
        <w:spacing w:after="0" w:line="262" w:lineRule="auto"/>
        <w:rPr>
          <w:sz w:val="20"/>
          <w:szCs w:val="20"/>
          <w:color w:val="auto"/>
        </w:rPr>
      </w:pPr>
      <w:r>
        <w:rPr>
          <w:rFonts w:ascii="Times New Roman" w:cs="Times New Roman" w:eastAsia="Times New Roman" w:hAnsi="Times New Roman"/>
          <w:sz w:val="18"/>
          <w:szCs w:val="18"/>
          <w:color w:val="auto"/>
        </w:rPr>
        <w:t xml:space="preserve">The use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to develop, manufacture, distribute, sell, and use unselected whole autologous tumor infiltrating lymphocyte (TIL) adoptive cell therapy products for the treatment of metastatic melanoma, lung, breast, bladder, and HPV-positive cancers. Specifically excluded from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are methods of generating or using selected subpopulations of TIL and the use of T cell receptors isolated from TIL.</w:t>
      </w:r>
    </w:p>
    <w:p>
      <w:pPr>
        <w:spacing w:after="0" w:line="181" w:lineRule="exact"/>
        <w:rPr>
          <w:sz w:val="20"/>
          <w:szCs w:val="20"/>
          <w:color w:val="auto"/>
        </w:rPr>
      </w:pPr>
    </w:p>
    <w:p>
      <w:pPr>
        <w:ind w:left="740" w:right="300"/>
        <w:spacing w:after="0" w:line="258" w:lineRule="auto"/>
        <w:rPr>
          <w:sz w:val="20"/>
          <w:szCs w:val="20"/>
          <w:color w:val="auto"/>
        </w:rPr>
      </w:pPr>
      <w:r>
        <w:rPr>
          <w:rFonts w:ascii="Times New Roman" w:cs="Times New Roman" w:eastAsia="Times New Roman" w:hAnsi="Times New Roman"/>
          <w:sz w:val="18"/>
          <w:szCs w:val="18"/>
          <w:color w:val="auto"/>
        </w:rPr>
        <w:t xml:space="preserve">Tumor infiltrating lymphocytes (TIL) are a subset of T lymphocytes (T cells) that migrate and are located within a tumor site. TIL isolated from these tumor sites exhibit natural anti-tumor activity without genetic modifications. For the avoidance of doubt, cell therapy products involving genetically modified TIL or TIL selected for reactivity against cancer-specific mutations are excluded from the </w:t>
      </w:r>
      <w:r>
        <w:rPr>
          <w:rFonts w:ascii="Times New Roman" w:cs="Times New Roman" w:eastAsia="Times New Roman" w:hAnsi="Times New Roman"/>
          <w:sz w:val="18"/>
          <w:szCs w:val="18"/>
          <w:b w:val="1"/>
          <w:bCs w:val="1"/>
          <w:color w:val="auto"/>
        </w:rPr>
        <w:t>Licensed Fields of Use</w:t>
      </w:r>
      <w:r>
        <w:rPr>
          <w:rFonts w:ascii="Times New Roman" w:cs="Times New Roman" w:eastAsia="Times New Roman" w:hAnsi="Times New Roman"/>
          <w:sz w:val="18"/>
          <w:szCs w:val="18"/>
          <w:color w:val="auto"/>
        </w:rPr>
        <w:t xml:space="preserve">, unless such cell therapy products are a combination of unselected, unmodified TIL therapy with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’s proprietary technologies or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’s in-licensed technologies.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IX.</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Licensed Territory: </w:t>
            </w:r>
            <w:r>
              <w:rPr>
                <w:rFonts w:ascii="Times New Roman" w:cs="Times New Roman" w:eastAsia="Times New Roman" w:hAnsi="Times New Roman"/>
                <w:sz w:val="18"/>
                <w:szCs w:val="18"/>
                <w:color w:val="auto"/>
              </w:rPr>
              <w:t>Worldwide</w:t>
            </w:r>
          </w:p>
        </w:tc>
        <w:tc>
          <w:tcPr>
            <w:tcW w:w="9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0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Final</w:t>
            </w:r>
          </w:p>
        </w:tc>
        <w:tc>
          <w:tcPr>
            <w:tcW w:w="3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 7 of 12</w:t>
            </w:r>
          </w:p>
        </w:tc>
        <w:tc>
          <w:tcPr>
            <w:tcW w:w="3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9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8"/>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9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834"/>
        </w:trPr>
        <w:tc>
          <w:tcPr>
            <w:tcW w:w="7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APPENDIX D – BENCHMARKS AND PERFORMANCE</w:t>
            </w:r>
          </w:p>
        </w:tc>
        <w:tc>
          <w:tcPr>
            <w:tcW w:w="3140" w:type="dxa"/>
            <w:vAlign w:val="bottom"/>
          </w:tcPr>
          <w:p>
            <w:pPr>
              <w:spacing w:after="0"/>
              <w:rPr>
                <w:sz w:val="17"/>
                <w:szCs w:val="17"/>
                <w:color w:val="auto"/>
              </w:rPr>
            </w:pPr>
          </w:p>
        </w:tc>
      </w:tr>
      <w:tr>
        <w:trPr>
          <w:trHeight w:val="412"/>
        </w:trPr>
        <w:tc>
          <w:tcPr>
            <w:tcW w:w="820" w:type="dxa"/>
            <w:vAlign w:val="bottom"/>
          </w:tcPr>
          <w:p>
            <w:pPr>
              <w:spacing w:after="0"/>
              <w:rPr>
                <w:sz w:val="24"/>
                <w:szCs w:val="24"/>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Benchmark</w:t>
            </w:r>
          </w:p>
        </w:tc>
        <w:tc>
          <w:tcPr>
            <w:tcW w:w="4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Deadline</w:t>
            </w: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III.</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IV</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62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VI.</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VII.</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VIII.</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IX.</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X.</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XI.</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XII.</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XIII.</w:t>
            </w: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 * *]</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618"/>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57"/>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400" w:type="dxa"/>
            <w:vAlign w:val="bottom"/>
          </w:tcPr>
          <w:p>
            <w:pPr>
              <w:spacing w:after="0"/>
              <w:rPr>
                <w:sz w:val="22"/>
                <w:szCs w:val="22"/>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Final</w:t>
            </w: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Lion Biotechnologies, Inc. Page 8 of 12</w:t>
            </w:r>
          </w:p>
        </w:tc>
        <w:tc>
          <w:tcPr>
            <w:tcW w:w="3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0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88"/>
        </w:trPr>
        <w:tc>
          <w:tcPr>
            <w:tcW w:w="3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807"/>
        </w:trPr>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-3635375</wp:posOffset>
            </wp:positionV>
            <wp:extent cx="28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E – COMMERCIAL DEVELOPMENT PLAN</w:t>
      </w:r>
    </w:p>
    <w:p>
      <w:pPr>
        <w:spacing w:after="0" w:line="225" w:lineRule="exact"/>
        <w:rPr>
          <w:sz w:val="20"/>
          <w:szCs w:val="20"/>
          <w:color w:val="auto"/>
        </w:rPr>
      </w:pPr>
    </w:p>
    <w:p>
      <w:pPr>
        <w:ind w:left="120" w:right="7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Licensee </w:t>
      </w:r>
      <w:r>
        <w:rPr>
          <w:rFonts w:ascii="Times New Roman" w:cs="Times New Roman" w:eastAsia="Times New Roman" w:hAnsi="Times New Roman"/>
          <w:sz w:val="17"/>
          <w:szCs w:val="17"/>
          <w:color w:val="auto"/>
        </w:rPr>
        <w:t>intends to use the licensed technology to develop and commercialize a product based on T cells derived from tumors or tumor-infiltrating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lymphocytes (TIL) to treat patients with melanoma, HPV-associated cancers, bladder cancer, breast cancer, lung cancer, and other solid tumors.</w:t>
      </w:r>
    </w:p>
    <w:p>
      <w:pPr>
        <w:spacing w:after="0" w:line="13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In August 2011,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entered into a Cooperative Research and Development Agreement (CRADA) with the National Cancer Institute (NCI) to develop and evaluate improved adoptive cell transfer (ACT) based immunotherapies using TIL to treat patients with metastatic melanoma utilizing the business development expertise and resources of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(C-057-2011, NCI 02734). The CRADA includes the development of improved methods for the generation and selection of TIL, standard operating procedures (SOPs) for large-scale TIL growth, selection and testing to support the FDA approval of an ACT/TIL therapy approach. It further includes clinical trials designed and implemented to evaluate the clinical effectiveness of ACT/TIL therapy resulting from large-scale techniques in patients with metastatic melanoma based on the proprietary NCI Surgery Branch technology and approaches developed as part of the CRADA.</w:t>
      </w:r>
    </w:p>
    <w:p>
      <w:pPr>
        <w:spacing w:after="0" w:line="183"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 xml:space="preserve">In January 2015,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amended its CRADA with the NCI, increasing </w:t>
      </w: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xml:space="preserve"> funding of ACT/TIL therapy research from $1 million to $2 million per year. This amendment to the original CRADA dated August 2011 expanded the scope of the research to include HPV-positive, lung, breast and bladder cancers. Specifically this CRADA will (1) support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development of improved methods for the large scale generation and selection of TIL with anti-tumor reactivity from patients with metastatic melanoma, bladder, lung, triple-negative breast, and HPV-positive cancers, based on ACT/TIL therapies developed by and proprietary to the NCI Surgery Branch, to be used for large scale production of TIL for the ACT treatment of patients with these cancers; (2) develop these approaches for large scale TIL generation that are in accord with Good Manufacturing Practice (GMP) procedures suitable for use in treating patients with metastatic melanoma, bladder, lung, triple-negative breast, and HPV- positive cancers; and (3) develop clinical trials using these improved methods of large scale TIL generation as well as improved patient preparative regimens with the goal of commercializing the ACT/TIL therapy approach for treating patients with metastatic melanoma, bladder, lung, triple-negative breast, and HPV-positive cancers.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Under the expanded CRADA,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w:t>
      </w:r>
    </w:p>
    <w:p>
      <w:pPr>
        <w:spacing w:after="0" w:line="225" w:lineRule="exact"/>
        <w:rPr>
          <w:sz w:val="20"/>
          <w:szCs w:val="20"/>
          <w:color w:val="auto"/>
        </w:rPr>
      </w:pPr>
    </w:p>
    <w:p>
      <w:pPr>
        <w:ind w:left="1080" w:right="400" w:hanging="316"/>
        <w:spacing w:after="0" w:line="28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implement and evaluate GMP procedures for the large scale production of TIL suitable for infusion into p</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tients with metastatic melanoma, bladder, lung, triple-negative breast, and HPV- positive cancers.</w:t>
      </w:r>
    </w:p>
    <w:p>
      <w:pPr>
        <w:spacing w:after="0" w:line="158" w:lineRule="exact"/>
        <w:rPr>
          <w:rFonts w:ascii="Times New Roman" w:cs="Times New Roman" w:eastAsia="Times New Roman" w:hAnsi="Times New Roman"/>
          <w:sz w:val="18"/>
          <w:szCs w:val="18"/>
          <w:color w:val="auto"/>
        </w:rPr>
      </w:pPr>
    </w:p>
    <w:p>
      <w:pPr>
        <w:ind w:left="1080" w:right="620" w:hanging="316"/>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studies including scale-out for the methods of expansion of individualized lymphocyte treatments, assays for product and in-process performance, and harmonization assays for centralized process development and determination of TIL product consistency. Additional studies may be conducted for the development of qualifying assays and process development related to scale-out of the TIL expansion process.</w:t>
      </w:r>
    </w:p>
    <w:p>
      <w:pPr>
        <w:spacing w:after="0" w:line="180" w:lineRule="exact"/>
        <w:rPr>
          <w:rFonts w:ascii="Times New Roman" w:cs="Times New Roman" w:eastAsia="Times New Roman" w:hAnsi="Times New Roman"/>
          <w:sz w:val="18"/>
          <w:szCs w:val="18"/>
          <w:color w:val="auto"/>
        </w:rPr>
      </w:pPr>
    </w:p>
    <w:p>
      <w:pPr>
        <w:ind w:left="1080" w:right="280" w:hanging="316"/>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the FDA to determine the appropriate clinical trial design necessary to secure approval for the commercial development of TIL therapy for patients with metastatic melanoma, bladder, lung, triple-negative breast, and HPV-positive cancers and sponsor the IND for these new clinical protocols and serve as the coordinating center for the multicenter licensing clinical trials.</w:t>
      </w:r>
    </w:p>
    <w:p>
      <w:pPr>
        <w:spacing w:after="0" w:line="176" w:lineRule="exact"/>
        <w:rPr>
          <w:rFonts w:ascii="Times New Roman" w:cs="Times New Roman" w:eastAsia="Times New Roman" w:hAnsi="Times New Roman"/>
          <w:sz w:val="18"/>
          <w:szCs w:val="18"/>
          <w:color w:val="auto"/>
        </w:rPr>
      </w:pPr>
    </w:p>
    <w:p>
      <w:pPr>
        <w:jc w:val="both"/>
        <w:ind w:left="1080" w:right="240" w:hanging="316"/>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TIL in sufficient quantities to the NCI Surgery Branch and other multicenter sites to complete the planned clinical trials (including the licensing trial) needed for FDA approval of TIL. Support the establishment of a central facility for the processing and provision of TIL for the planned studies.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 9 of 12</w:t>
            </w:r>
          </w:p>
        </w:tc>
        <w:tc>
          <w:tcPr>
            <w:tcW w:w="36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807"/>
        </w:trPr>
        <w:tc>
          <w:tcPr>
            <w:tcW w:w="3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5" w:name="page36"/>
    <w:bookmarkEnd w:id="35"/>
    <w:p>
      <w:pPr>
        <w:ind w:left="120"/>
        <w:spacing w:after="0"/>
        <w:rPr>
          <w:sz w:val="20"/>
          <w:szCs w:val="20"/>
          <w:color w:val="auto"/>
        </w:rPr>
      </w:pPr>
      <w:r>
        <w:rPr>
          <w:rFonts w:ascii="Times New Roman" w:cs="Times New Roman" w:eastAsia="Times New Roman" w:hAnsi="Times New Roman"/>
          <w:sz w:val="18"/>
          <w:szCs w:val="18"/>
          <w:color w:val="auto"/>
        </w:rPr>
        <w:t xml:space="preserve">Furthermore, under the expanded CRADA,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NCI and the Surgery Branch agree to:</w:t>
      </w:r>
    </w:p>
    <w:p>
      <w:pPr>
        <w:spacing w:after="0" w:line="229" w:lineRule="exact"/>
        <w:rPr>
          <w:sz w:val="20"/>
          <w:szCs w:val="20"/>
          <w:color w:val="auto"/>
        </w:rPr>
      </w:pPr>
    </w:p>
    <w:p>
      <w:pPr>
        <w:ind w:left="1080" w:right="600" w:hanging="316"/>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SOPs for large scale TIL growth, selection and testing to support the FDA approval of the ACT/TIL therapy approach. Attend joint meetings with the FDA to define the exact format and criteria needed in the clinical trial(s) to obtain FDA approval.</w:t>
      </w:r>
    </w:p>
    <w:p>
      <w:pPr>
        <w:spacing w:after="0" w:line="161" w:lineRule="exact"/>
        <w:rPr>
          <w:rFonts w:ascii="Times New Roman" w:cs="Times New Roman" w:eastAsia="Times New Roman" w:hAnsi="Times New Roman"/>
          <w:sz w:val="18"/>
          <w:szCs w:val="18"/>
          <w:color w:val="auto"/>
        </w:rPr>
      </w:pPr>
    </w:p>
    <w:p>
      <w:pPr>
        <w:ind w:left="1080" w:right="360" w:hanging="316"/>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conduct and evaluate multi-institutional clinical trials (to include the NCI Surgery Branch as a clinical trial site) for patients with metastatic melanoma, bladder, lung, triple-negative breast and HPV-positive cancers treated with TIL that can be used as licensing trials required for FDA approval and subsequent commercialization of TIL.</w:t>
      </w:r>
    </w:p>
    <w:p>
      <w:pPr>
        <w:spacing w:after="0" w:line="176" w:lineRule="exact"/>
        <w:rPr>
          <w:rFonts w:ascii="Times New Roman" w:cs="Times New Roman" w:eastAsia="Times New Roman" w:hAnsi="Times New Roman"/>
          <w:sz w:val="18"/>
          <w:szCs w:val="18"/>
          <w:color w:val="auto"/>
        </w:rPr>
      </w:pPr>
    </w:p>
    <w:p>
      <w:pPr>
        <w:ind w:left="1080" w:right="1100" w:hanging="316"/>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assays to be used in the selection of appropriate cells (based on both functional and phenotypic criteria) to optimize the effectiveness of the adoptive transfer</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color w:val="auto"/>
        </w:rPr>
      </w:pPr>
    </w:p>
    <w:p>
      <w:pPr>
        <w:ind w:left="1080" w:right="420" w:hanging="316"/>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information and expertise to further the successful development of TIL therapy for patients with metastatic melanoma, bladder, lung, triple-negative breast and HPV-positive cancers.</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overall strategy for commercial development and program prioritization for an ACT/TIL product for the treatment of metastatic melanoma, HPV-positive, breast, lung and bladder cancers will be informed by the results of the research under the amended CRADA is summarized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Clinical Development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 * *]</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Page1 0 of 12</w:t>
            </w:r>
          </w:p>
        </w:tc>
        <w:tc>
          <w:tcPr>
            <w:tcW w:w="35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807"/>
        </w:trPr>
        <w:tc>
          <w:tcPr>
            <w:tcW w:w="3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1 – ROYALTY PAYMENT OPTIONS</w:t>
      </w:r>
    </w:p>
    <w:p>
      <w:pPr>
        <w:spacing w:after="0" w:line="200" w:lineRule="exact"/>
        <w:rPr>
          <w:sz w:val="20"/>
          <w:szCs w:val="20"/>
          <w:color w:val="auto"/>
        </w:rPr>
      </w:pPr>
    </w:p>
    <w:p>
      <w:pPr>
        <w:spacing w:after="0" w:line="24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The OTT License Number MUST appear on payments, reports and correspondence.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Automated Clearing House (ACH) for payments through U.S. banks only</w:t>
      </w:r>
    </w:p>
    <w:p>
      <w:pPr>
        <w:spacing w:after="0" w:line="22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The NIH encourages its licensees to submit electronic funds transfer payments through the Automated Clearing House (ACH). Submit your ACH payment through the U.S. Treasury web site located at: </w:t>
      </w:r>
      <w:r>
        <w:rPr>
          <w:rFonts w:ascii="Times New Roman" w:cs="Times New Roman" w:eastAsia="Times New Roman" w:hAnsi="Times New Roman"/>
          <w:sz w:val="18"/>
          <w:szCs w:val="18"/>
          <w:u w:val="single" w:color="auto"/>
          <w:color w:val="0000FF"/>
        </w:rPr>
        <w:t>http</w:t>
      </w:r>
      <w:r>
        <w:rPr>
          <w:rFonts w:ascii="Times New Roman" w:cs="Times New Roman" w:eastAsia="Times New Roman" w:hAnsi="Times New Roman"/>
          <w:sz w:val="18"/>
          <w:szCs w:val="18"/>
          <w:color w:val="0000FF"/>
        </w:rPr>
        <w:t>s://w</w:t>
      </w:r>
      <w:r>
        <w:rPr>
          <w:rFonts w:ascii="Times New Roman" w:cs="Times New Roman" w:eastAsia="Times New Roman" w:hAnsi="Times New Roman"/>
          <w:sz w:val="18"/>
          <w:szCs w:val="18"/>
          <w:u w:val="single" w:color="auto"/>
          <w:color w:val="0000FF"/>
        </w:rPr>
        <w:t>ww.p</w:t>
      </w:r>
      <w:r>
        <w:rPr>
          <w:rFonts w:ascii="Times New Roman" w:cs="Times New Roman" w:eastAsia="Times New Roman" w:hAnsi="Times New Roman"/>
          <w:sz w:val="18"/>
          <w:szCs w:val="18"/>
          <w:color w:val="0000FF"/>
        </w:rPr>
        <w:t>ay.gov/public/form/start/28680443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Locate the "</w:t>
      </w:r>
      <w:r>
        <w:rPr>
          <w:rFonts w:ascii="Times New Roman" w:cs="Times New Roman" w:eastAsia="Times New Roman" w:hAnsi="Times New Roman"/>
          <w:sz w:val="18"/>
          <w:szCs w:val="18"/>
          <w:b w:val="1"/>
          <w:bCs w:val="1"/>
          <w:color w:val="auto"/>
        </w:rPr>
        <w:t>NIH Royalty Payment Page</w:t>
      </w:r>
      <w:r>
        <w:rPr>
          <w:rFonts w:ascii="Times New Roman" w:cs="Times New Roman" w:eastAsia="Times New Roman" w:hAnsi="Times New Roman"/>
          <w:sz w:val="18"/>
          <w:szCs w:val="18"/>
          <w:color w:val="auto"/>
        </w:rPr>
        <w:t xml:space="preserve">" through the </w:t>
      </w:r>
      <w:r>
        <w:rPr>
          <w:rFonts w:ascii="Times New Roman" w:cs="Times New Roman" w:eastAsia="Times New Roman" w:hAnsi="Times New Roman"/>
          <w:sz w:val="18"/>
          <w:szCs w:val="18"/>
          <w:b w:val="1"/>
          <w:bCs w:val="1"/>
          <w:color w:val="auto"/>
        </w:rPr>
        <w:t xml:space="preserve">HHS </w:t>
      </w:r>
      <w:r>
        <w:rPr>
          <w:rFonts w:ascii="Times New Roman" w:cs="Times New Roman" w:eastAsia="Times New Roman" w:hAnsi="Times New Roman"/>
          <w:sz w:val="18"/>
          <w:szCs w:val="18"/>
          <w:color w:val="auto"/>
        </w:rPr>
        <w:t>link in the Pay.gov "Agency List".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Electronic Funds Wire Transfers</w:t>
      </w:r>
    </w:p>
    <w:p>
      <w:pPr>
        <w:spacing w:after="0" w:line="229"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The following account information is provided for wire payments. In order to process payment via Electronic Funds Wire Transfer sender MUST supply the following information within the transmission: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Drawn on a </w:t>
      </w:r>
      <w:r>
        <w:rPr>
          <w:rFonts w:ascii="Times New Roman" w:cs="Times New Roman" w:eastAsia="Times New Roman" w:hAnsi="Times New Roman"/>
          <w:sz w:val="18"/>
          <w:szCs w:val="18"/>
          <w:b w:val="1"/>
          <w:bCs w:val="1"/>
          <w:color w:val="auto"/>
        </w:rPr>
        <w:t>U.S. bank account</w:t>
      </w:r>
      <w:r>
        <w:rPr>
          <w:rFonts w:ascii="Times New Roman" w:cs="Times New Roman" w:eastAsia="Times New Roman" w:hAnsi="Times New Roman"/>
          <w:sz w:val="18"/>
          <w:szCs w:val="18"/>
          <w:color w:val="auto"/>
        </w:rPr>
        <w:t xml:space="preserve"> via FEDWIRE should be sent directly to the following account:</w:t>
      </w:r>
    </w:p>
    <w:p>
      <w:pPr>
        <w:sectPr>
          <w:pgSz w:w="11900" w:h="16838" w:orient="portrait"/>
          <w:cols w:equalWidth="0" w:num="1">
            <w:col w:w="11420"/>
          </w:cols>
          <w:pgMar w:left="240" w:top="900" w:right="239" w:bottom="1440" w:gutter="0" w:footer="0" w:header="0"/>
        </w:sectPr>
      </w:pP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Beneficiary Account:</w:t>
      </w:r>
    </w:p>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Bank:</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ABA#</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Account Number: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Bank Address: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Payment Details: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Reserve Bank of New York or TREAS NYC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Reserve Bank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021030004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75080031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Liberty Street, New York, NY 10045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Number (L-XXX-XXXX)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Licensee</w:t>
      </w:r>
    </w:p>
    <w:p>
      <w:pPr>
        <w:spacing w:after="0" w:line="200" w:lineRule="exact"/>
        <w:rPr>
          <w:sz w:val="20"/>
          <w:szCs w:val="20"/>
          <w:color w:val="auto"/>
        </w:rPr>
      </w:pPr>
    </w:p>
    <w:p>
      <w:pPr>
        <w:sectPr>
          <w:pgSz w:w="11900" w:h="16838" w:orient="portrait"/>
          <w:cols w:equalWidth="0" w:num="2">
            <w:col w:w="2280" w:space="720"/>
            <w:col w:w="8420"/>
          </w:cols>
          <w:pgMar w:left="240" w:top="900" w:right="239" w:bottom="1440" w:gutter="0" w:footer="0" w:header="0"/>
          <w:type w:val="continuous"/>
        </w:sectPr>
      </w:pPr>
    </w:p>
    <w:p>
      <w:pPr>
        <w:spacing w:after="0" w:line="3" w:lineRule="exact"/>
        <w:rPr>
          <w:sz w:val="20"/>
          <w:szCs w:val="20"/>
          <w:color w:val="auto"/>
        </w:rPr>
      </w:pPr>
    </w:p>
    <w:p>
      <w:pPr>
        <w:ind w:left="760" w:right="640"/>
        <w:spacing w:after="0" w:line="286" w:lineRule="auto"/>
        <w:rPr>
          <w:sz w:val="20"/>
          <w:szCs w:val="20"/>
          <w:color w:val="auto"/>
        </w:rPr>
      </w:pPr>
      <w:r>
        <w:rPr>
          <w:rFonts w:ascii="Times New Roman" w:cs="Times New Roman" w:eastAsia="Times New Roman" w:hAnsi="Times New Roman"/>
          <w:sz w:val="18"/>
          <w:szCs w:val="18"/>
          <w:color w:val="auto"/>
        </w:rPr>
        <w:t xml:space="preserve">Drawn on a </w:t>
      </w:r>
      <w:r>
        <w:rPr>
          <w:rFonts w:ascii="Times New Roman" w:cs="Times New Roman" w:eastAsia="Times New Roman" w:hAnsi="Times New Roman"/>
          <w:sz w:val="18"/>
          <w:szCs w:val="18"/>
          <w:b w:val="1"/>
          <w:bCs w:val="1"/>
          <w:color w:val="auto"/>
        </w:rPr>
        <w:t>foreign bank account</w:t>
      </w:r>
      <w:r>
        <w:rPr>
          <w:rFonts w:ascii="Times New Roman" w:cs="Times New Roman" w:eastAsia="Times New Roman" w:hAnsi="Times New Roman"/>
          <w:sz w:val="18"/>
          <w:szCs w:val="18"/>
          <w:color w:val="auto"/>
        </w:rPr>
        <w:t xml:space="preserve"> should be sent directly to the following account. Payment must be sent in </w:t>
      </w:r>
      <w:r>
        <w:rPr>
          <w:rFonts w:ascii="Times New Roman" w:cs="Times New Roman" w:eastAsia="Times New Roman" w:hAnsi="Times New Roman"/>
          <w:sz w:val="18"/>
          <w:szCs w:val="18"/>
          <w:b w:val="1"/>
          <w:bCs w:val="1"/>
          <w:color w:val="auto"/>
        </w:rPr>
        <w:t>U.S. Dollars (USD)</w:t>
      </w:r>
      <w:r>
        <w:rPr>
          <w:rFonts w:ascii="Times New Roman" w:cs="Times New Roman" w:eastAsia="Times New Roman" w:hAnsi="Times New Roman"/>
          <w:sz w:val="18"/>
          <w:szCs w:val="18"/>
          <w:color w:val="auto"/>
        </w:rPr>
        <w:t xml:space="preserve"> using the following instructions: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Beneficiary Account:</w:t>
            </w: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 Reserve Bank of New York/ITS or FRBNY/ITS</w:t>
            </w:r>
          </w:p>
        </w:tc>
        <w:tc>
          <w:tcPr>
            <w:tcW w:w="3580" w:type="dxa"/>
            <w:vAlign w:val="bottom"/>
          </w:tcPr>
          <w:p>
            <w:pPr>
              <w:spacing w:after="0"/>
              <w:rPr>
                <w:sz w:val="18"/>
                <w:szCs w:val="18"/>
                <w:color w:val="auto"/>
              </w:rPr>
            </w:pPr>
          </w:p>
        </w:tc>
      </w:tr>
      <w:tr>
        <w:trPr>
          <w:trHeight w:val="216"/>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Bank:</w:t>
            </w: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Citibank N.A. (New York)</w:t>
            </w:r>
          </w:p>
        </w:tc>
        <w:tc>
          <w:tcPr>
            <w:tcW w:w="3580" w:type="dxa"/>
            <w:vAlign w:val="bottom"/>
          </w:tcPr>
          <w:p>
            <w:pPr>
              <w:spacing w:after="0"/>
              <w:rPr>
                <w:sz w:val="18"/>
                <w:szCs w:val="18"/>
                <w:color w:val="auto"/>
              </w:rPr>
            </w:pPr>
          </w:p>
        </w:tc>
      </w:tr>
      <w:tr>
        <w:trPr>
          <w:trHeight w:val="216"/>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SWIFT Code:</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CITIUS33</w:t>
            </w:r>
          </w:p>
        </w:tc>
        <w:tc>
          <w:tcPr>
            <w:tcW w:w="31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 Number:</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36838868</w:t>
            </w:r>
          </w:p>
        </w:tc>
        <w:tc>
          <w:tcPr>
            <w:tcW w:w="318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2"/>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Bank Address:</w:t>
            </w: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388 Greenwich Street, New York, NY 10013</w:t>
            </w:r>
          </w:p>
        </w:tc>
        <w:tc>
          <w:tcPr>
            <w:tcW w:w="3580" w:type="dxa"/>
            <w:vAlign w:val="bottom"/>
          </w:tcPr>
          <w:p>
            <w:pPr>
              <w:spacing w:after="0"/>
              <w:rPr>
                <w:sz w:val="18"/>
                <w:szCs w:val="18"/>
                <w:color w:val="auto"/>
              </w:rPr>
            </w:pPr>
          </w:p>
        </w:tc>
      </w:tr>
      <w:tr>
        <w:trPr>
          <w:trHeight w:val="220"/>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 Details (Line 70):</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NIH </w:t>
            </w:r>
            <w:r>
              <w:rPr>
                <w:rFonts w:ascii="Times New Roman" w:cs="Times New Roman" w:eastAsia="Times New Roman" w:hAnsi="Times New Roman"/>
                <w:sz w:val="18"/>
                <w:szCs w:val="18"/>
                <w:color w:val="auto"/>
              </w:rPr>
              <w:t>75080031</w:t>
            </w:r>
          </w:p>
        </w:tc>
        <w:tc>
          <w:tcPr>
            <w:tcW w:w="31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License Number (L-XXX-XXXX)</w:t>
            </w:r>
          </w:p>
        </w:tc>
        <w:tc>
          <w:tcPr>
            <w:tcW w:w="3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 of the Licensee</w:t>
            </w:r>
          </w:p>
        </w:tc>
        <w:tc>
          <w:tcPr>
            <w:tcW w:w="31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2"/>
        </w:trPr>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Detail of Charges (line 71a):</w:t>
            </w: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 Our</w:t>
            </w:r>
          </w:p>
        </w:tc>
        <w:tc>
          <w:tcPr>
            <w:tcW w:w="31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82"/>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7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7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Final</w:t>
            </w:r>
          </w:p>
        </w:tc>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Lion Biotechnologies, Inc. Page 11 of 12</w:t>
            </w:r>
          </w:p>
        </w:tc>
        <w:tc>
          <w:tcPr>
            <w:tcW w:w="35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2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7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88"/>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7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807"/>
        </w:trPr>
        <w:tc>
          <w:tcPr>
            <w:tcW w:w="2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type w:val="continuous"/>
        </w:sectPr>
      </w:pPr>
    </w:p>
    <w:bookmarkStart w:id="37" w:name="page38"/>
    <w:bookmarkEnd w:id="37"/>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Checks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All checks should be made payable to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Patent Licensing”</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Checks drawn on a </w:t>
      </w:r>
      <w:r>
        <w:rPr>
          <w:rFonts w:ascii="Times New Roman" w:cs="Times New Roman" w:eastAsia="Times New Roman" w:hAnsi="Times New Roman"/>
          <w:sz w:val="18"/>
          <w:szCs w:val="18"/>
          <w:b w:val="1"/>
          <w:bCs w:val="1"/>
          <w:u w:val="single" w:color="auto"/>
          <w:color w:val="auto"/>
        </w:rPr>
        <w:t>U.S. bank account</w:t>
      </w:r>
      <w:r>
        <w:rPr>
          <w:rFonts w:ascii="Times New Roman" w:cs="Times New Roman" w:eastAsia="Times New Roman" w:hAnsi="Times New Roman"/>
          <w:sz w:val="18"/>
          <w:szCs w:val="18"/>
          <w:color w:val="auto"/>
        </w:rPr>
        <w:t xml:space="preserve"> and sent by US Postal Service should be sent directly to the following address: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National Institutes of Health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P.O. Box 979071</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 Louis, MO 63197-9000</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Checks drawn on a U.S. bank account and sent by </w:t>
      </w:r>
      <w:r>
        <w:rPr>
          <w:rFonts w:ascii="Times New Roman" w:cs="Times New Roman" w:eastAsia="Times New Roman" w:hAnsi="Times New Roman"/>
          <w:sz w:val="18"/>
          <w:szCs w:val="18"/>
          <w:b w:val="1"/>
          <w:bCs w:val="1"/>
          <w:u w:val="single" w:color="auto"/>
          <w:color w:val="auto"/>
        </w:rPr>
        <w:t>overnight or courier</w:t>
      </w:r>
      <w:r>
        <w:rPr>
          <w:rFonts w:ascii="Times New Roman" w:cs="Times New Roman" w:eastAsia="Times New Roman" w:hAnsi="Times New Roman"/>
          <w:sz w:val="18"/>
          <w:szCs w:val="18"/>
          <w:color w:val="auto"/>
        </w:rPr>
        <w:t xml:space="preserve"> should be sent to the following address: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US Bank</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Government Lockbox SL-MO-C2GL 1005 Convention Plaza</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 Louis, MO 63101 Phone: 314-418-4087</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Checks drawn on a </w:t>
      </w:r>
      <w:r>
        <w:rPr>
          <w:rFonts w:ascii="Times New Roman" w:cs="Times New Roman" w:eastAsia="Times New Roman" w:hAnsi="Times New Roman"/>
          <w:sz w:val="18"/>
          <w:szCs w:val="18"/>
          <w:b w:val="1"/>
          <w:bCs w:val="1"/>
          <w:u w:val="single" w:color="auto"/>
          <w:color w:val="auto"/>
        </w:rPr>
        <w:t>foreign bank account</w:t>
      </w:r>
      <w:r>
        <w:rPr>
          <w:rFonts w:ascii="Times New Roman" w:cs="Times New Roman" w:eastAsia="Times New Roman" w:hAnsi="Times New Roman"/>
          <w:sz w:val="18"/>
          <w:szCs w:val="18"/>
          <w:color w:val="auto"/>
        </w:rPr>
        <w:t xml:space="preserve"> should be sent directly to the following address: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National Institutes of Health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Office of Technology Transfer</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Royalties Administration Unit 6011 Executive Boulevard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Suite 325, MSC 7660</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A-128-2015</w:t>
            </w:r>
          </w:p>
        </w:tc>
        <w:tc>
          <w:tcPr>
            <w:tcW w:w="1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CONFIDENTIAL -NIH</w:t>
            </w:r>
          </w:p>
        </w:tc>
        <w:tc>
          <w:tcPr>
            <w:tcW w:w="1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Final</w:t>
            </w:r>
          </w:p>
        </w:tc>
        <w:tc>
          <w:tcPr>
            <w:tcW w:w="3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Lion Biotechnologies, Inc. Page 12 of 12</w:t>
            </w:r>
          </w:p>
        </w:tc>
        <w:tc>
          <w:tcPr>
            <w:tcW w:w="35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First Amendment of L-107-2015/0 Model 09-</w:t>
            </w:r>
          </w:p>
        </w:tc>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18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2006 (updated 8-2012)</w:t>
            </w:r>
          </w:p>
        </w:tc>
        <w:tc>
          <w:tcPr>
            <w:tcW w:w="1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834"/>
        </w:trPr>
        <w:tc>
          <w:tcPr>
            <w:tcW w:w="3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Elma Hawkins, Chief Executive Officer of Lion Biotechnologies, Inc., certify that:</w:t>
      </w:r>
    </w:p>
    <w:p>
      <w:pPr>
        <w:spacing w:after="0" w:line="225" w:lineRule="exact"/>
        <w:rPr>
          <w:sz w:val="20"/>
          <w:szCs w:val="20"/>
          <w:color w:val="auto"/>
        </w:rPr>
      </w:pPr>
    </w:p>
    <w:p>
      <w:pPr>
        <w:ind w:left="820" w:hanging="81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Lion Biotechnologies, Inc.;</w:t>
      </w:r>
    </w:p>
    <w:p>
      <w:pPr>
        <w:spacing w:after="0" w:line="225"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20" w:right="740" w:hanging="81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2015</w:t>
            </w:r>
          </w:p>
        </w:tc>
        <w:tc>
          <w:tcPr>
            <w:tcW w:w="6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By:/s/ Elma Hawkins</w:t>
            </w:r>
          </w:p>
        </w:tc>
        <w:tc>
          <w:tcPr>
            <w:tcW w:w="1140" w:type="dxa"/>
            <w:vAlign w:val="bottom"/>
          </w:tcPr>
          <w:p>
            <w:pPr>
              <w:spacing w:after="0"/>
              <w:rPr>
                <w:sz w:val="20"/>
                <w:szCs w:val="20"/>
                <w:color w:val="auto"/>
              </w:rPr>
            </w:pPr>
          </w:p>
        </w:tc>
      </w:tr>
      <w:tr>
        <w:trPr>
          <w:trHeight w:val="191"/>
        </w:trPr>
        <w:tc>
          <w:tcPr>
            <w:tcW w:w="39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Elma Hawkins</w:t>
            </w:r>
          </w:p>
        </w:tc>
        <w:tc>
          <w:tcPr>
            <w:tcW w:w="1140" w:type="dxa"/>
            <w:vAlign w:val="bottom"/>
          </w:tcPr>
          <w:p>
            <w:pPr>
              <w:spacing w:after="0"/>
              <w:rPr>
                <w:sz w:val="16"/>
                <w:szCs w:val="16"/>
                <w:color w:val="auto"/>
              </w:rPr>
            </w:pPr>
          </w:p>
        </w:tc>
      </w:tr>
      <w:tr>
        <w:trPr>
          <w:trHeight w:val="234"/>
        </w:trPr>
        <w:tc>
          <w:tcPr>
            <w:tcW w:w="3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40" w:type="dxa"/>
            <w:vAlign w:val="bottom"/>
          </w:tcPr>
          <w:p>
            <w:pPr>
              <w:spacing w:after="0"/>
              <w:rPr>
                <w:sz w:val="20"/>
                <w:szCs w:val="20"/>
                <w:color w:val="auto"/>
              </w:rPr>
            </w:pPr>
          </w:p>
        </w:tc>
      </w:tr>
      <w:tr>
        <w:trPr>
          <w:trHeight w:val="675"/>
        </w:trPr>
        <w:tc>
          <w:tcPr>
            <w:tcW w:w="3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Molly Henderson, Chief Financial Officer of Lion Biotechnologies, Inc., certify that:</w:t>
      </w:r>
    </w:p>
    <w:p>
      <w:pPr>
        <w:spacing w:after="0" w:line="225" w:lineRule="exact"/>
        <w:rPr>
          <w:sz w:val="20"/>
          <w:szCs w:val="20"/>
          <w:color w:val="auto"/>
        </w:rPr>
      </w:pPr>
    </w:p>
    <w:p>
      <w:pPr>
        <w:ind w:left="820" w:hanging="812"/>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Lion Biotechnologies, Inc.;</w:t>
      </w:r>
    </w:p>
    <w:p>
      <w:pPr>
        <w:spacing w:after="0" w:line="225"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20" w:right="74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2015</w:t>
            </w:r>
          </w:p>
        </w:tc>
        <w:tc>
          <w:tcPr>
            <w:tcW w:w="75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By:/s/ Molly Henderson</w:t>
            </w:r>
          </w:p>
        </w:tc>
      </w:tr>
      <w:tr>
        <w:trPr>
          <w:trHeight w:val="20"/>
        </w:trPr>
        <w:tc>
          <w:tcPr>
            <w:tcW w:w="3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2"/>
        </w:trPr>
        <w:tc>
          <w:tcPr>
            <w:tcW w:w="3900" w:type="dxa"/>
            <w:vAlign w:val="bottom"/>
          </w:tcPr>
          <w:p>
            <w:pPr>
              <w:spacing w:after="0"/>
              <w:rPr>
                <w:sz w:val="20"/>
                <w:szCs w:val="20"/>
                <w:color w:val="auto"/>
              </w:rPr>
            </w:pPr>
          </w:p>
        </w:tc>
        <w:tc>
          <w:tcPr>
            <w:tcW w:w="752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Molly Henderson</w:t>
            </w:r>
          </w:p>
        </w:tc>
      </w:tr>
      <w:tr>
        <w:trPr>
          <w:trHeight w:val="234"/>
        </w:trPr>
        <w:tc>
          <w:tcPr>
            <w:tcW w:w="3900" w:type="dxa"/>
            <w:vAlign w:val="bottom"/>
          </w:tcPr>
          <w:p>
            <w:pPr>
              <w:spacing w:after="0"/>
              <w:rPr>
                <w:sz w:val="20"/>
                <w:szCs w:val="20"/>
                <w:color w:val="auto"/>
              </w:rPr>
            </w:pPr>
          </w:p>
        </w:tc>
        <w:tc>
          <w:tcPr>
            <w:tcW w:w="752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9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Lion Biotechnologies, Inc. (the “Company”) for the quarter ended September 30, 2015, as filed with the Securities and Exchange Commission on the date hereof (the “Report”), Elma Hawkins, Chief Executive Officer of the Company, hereby certifies, pursuant to 18 U.S.C. §1350, as adopted pursuant to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2015</w:t>
            </w:r>
          </w:p>
        </w:tc>
        <w:tc>
          <w:tcPr>
            <w:tcW w:w="64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Elma Hawkins</w:t>
            </w:r>
          </w:p>
        </w:tc>
      </w:tr>
      <w:tr>
        <w:trPr>
          <w:trHeight w:val="191"/>
        </w:trPr>
        <w:tc>
          <w:tcPr>
            <w:tcW w:w="3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Elma Hawkins</w:t>
            </w:r>
          </w:p>
        </w:tc>
      </w:tr>
      <w:tr>
        <w:trPr>
          <w:trHeight w:val="234"/>
        </w:trPr>
        <w:tc>
          <w:tcPr>
            <w:tcW w:w="39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Lion Biotechnologies, Inc. (the “Company”) for the quarter ended September 30, 2015, as filed with the Securities and Exchange Commission on the date hereof (the “Report”), Molly Henderson, Chief Financial Officer of the Company, hereby certifies, pursuant to 18 U.S.C. §1350, as adopted pursuant to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2015</w:t>
            </w:r>
          </w:p>
        </w:tc>
        <w:tc>
          <w:tcPr>
            <w:tcW w:w="64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Molly Henderson</w:t>
            </w:r>
          </w:p>
        </w:tc>
      </w:tr>
      <w:tr>
        <w:trPr>
          <w:trHeight w:val="191"/>
        </w:trPr>
        <w:tc>
          <w:tcPr>
            <w:tcW w:w="39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Molly Henderson</w:t>
            </w:r>
          </w:p>
        </w:tc>
      </w:tr>
      <w:tr>
        <w:trPr>
          <w:trHeight w:val="234"/>
        </w:trPr>
        <w:tc>
          <w:tcPr>
            <w:tcW w:w="39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þ"/>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3"/>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upperLetter"/>
      <w:start w:val="9"/>
    </w:lvl>
  </w:abstractNum>
  <w:abstractNum w:abstractNumId="6">
    <w:nsid w:val="4E6AFB66"/>
    <w:multiLevelType w:val="hybridMultilevel"/>
    <w:lvl w:ilvl="0">
      <w:lvlJc w:val="left"/>
      <w:lvlText w:val="%1."/>
      <w:numFmt w:val="upperLetter"/>
      <w:start w:val="35"/>
    </w:lvl>
  </w:abstractNum>
  <w:abstractNum w:abstractNumId="7">
    <w:nsid w:val="25E45D32"/>
    <w:multiLevelType w:val="hybridMultilevel"/>
    <w:lvl w:ilvl="0">
      <w:lvlJc w:val="left"/>
      <w:lvlText w:val="%1."/>
      <w:numFmt w:val="upperLetter"/>
      <w:start w:val="61"/>
    </w:lvl>
  </w:abstractNum>
  <w:abstractNum w:abstractNumId="8">
    <w:nsid w:val="519B500D"/>
    <w:multiLevelType w:val="hybridMultilevel"/>
    <w:lvl w:ilvl="0">
      <w:lvlJc w:val="left"/>
      <w:lvlText w:val="%1."/>
      <w:numFmt w:val="upperLetter"/>
      <w:start w:val="22"/>
    </w:lvl>
  </w:abstractNum>
  <w:abstractNum w:abstractNumId="9">
    <w:nsid w:val="431BD7B7"/>
    <w:multiLevelType w:val="hybridMultilevel"/>
    <w:lvl w:ilvl="0">
      <w:lvlJc w:val="left"/>
      <w:lvlText w:val="%1."/>
      <w:numFmt w:val="upperLetter"/>
      <w:start w:val="9"/>
    </w:lvl>
  </w:abstractNum>
  <w:abstractNum w:abstractNumId="10">
    <w:nsid w:val="3F2DBA31"/>
    <w:multiLevelType w:val="hybridMultilevel"/>
    <w:lvl w:ilvl="0">
      <w:lvlJc w:val="left"/>
      <w:lvlText w:val="%1."/>
      <w:numFmt w:val="upperLetter"/>
      <w:start w:val="35"/>
    </w:lvl>
  </w:abstractNum>
  <w:abstractNum w:abstractNumId="11">
    <w:nsid w:val="7C83E458"/>
    <w:multiLevelType w:val="hybridMultilevel"/>
    <w:lvl w:ilvl="0">
      <w:lvlJc w:val="left"/>
      <w:lvlText w:val="%1."/>
      <w:numFmt w:val="upperLetter"/>
      <w:start w:val="61"/>
    </w:lvl>
  </w:abstractNum>
  <w:abstractNum w:abstractNumId="12">
    <w:nsid w:val="257130A3"/>
    <w:multiLevelType w:val="hybridMultilevel"/>
    <w:lvl w:ilvl="0">
      <w:lvlJc w:val="left"/>
      <w:lvlText w:val="%1."/>
      <w:numFmt w:val="upperLetter"/>
      <w:start w:val="22"/>
    </w:lvl>
  </w:abstractNum>
  <w:abstractNum w:abstractNumId="13">
    <w:nsid w:val="62BBD95A"/>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14">
    <w:nsid w:val="436C6125"/>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5">
    <w:nsid w:val="628C895D"/>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lvl w:ilvl="3">
      <w:lvlJc w:val="left"/>
      <w:lvlText w:val="%4"/>
      <w:numFmt w:val="lowerRoman"/>
      <w:start w:val="1"/>
    </w:lvl>
  </w:abstractNum>
  <w:abstractNum w:abstractNumId="16">
    <w:nsid w:val="333AB105"/>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3"/>
    </w:lvl>
    <w:lvl w:ilvl="3">
      <w:lvlJc w:val="left"/>
      <w:lvlText w:val="%4."/>
      <w:numFmt w:val="lowerRoman"/>
      <w:start w:val="1"/>
    </w:lvl>
  </w:abstractNum>
  <w:abstractNum w:abstractNumId="17">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18">
    <w:nsid w:val="2443A858"/>
    <w:multiLevelType w:val="hybridMultilevel"/>
    <w:lvl w:ilvl="0">
      <w:lvlJc w:val="left"/>
      <w:lvlText w:val="(%1)"/>
      <w:numFmt w:val="lowerLetter"/>
      <w:start w:val="6"/>
    </w:lvl>
    <w:lvl w:ilvl="1">
      <w:lvlJc w:val="left"/>
      <w:lvlText w:val="(%2)"/>
      <w:numFmt w:val="decimal"/>
      <w:start w:val="1"/>
    </w:lvl>
  </w:abstractNum>
  <w:abstractNum w:abstractNumId="19">
    <w:nsid w:val="2D1D5AE9"/>
    <w:multiLevelType w:val="hybridMultilevel"/>
    <w:lvl w:ilvl="0">
      <w:lvlJc w:val="left"/>
      <w:lvlText w:val="%1)"/>
      <w:numFmt w:val="decimal"/>
      <w:start w:val="3"/>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5"/>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2019-12-29T15:05:15Z</dcterms:created>
  <dcterms:modified xsi:type="dcterms:W3CDTF">2019-12-29T15:05:15Z</dcterms:modified>
</cp:coreProperties>
</file>