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5" w:lineRule="exact"/>
        <w:rPr>
          <w:rFonts w:ascii="MS PGothic" w:cs="MS PGothic" w:eastAsia="MS PGothic" w:hAnsi="MS PGothic"/>
          <w:sz w:val="18"/>
          <w:szCs w:val="18"/>
          <w:color w:val="auto"/>
        </w:rPr>
      </w:pPr>
    </w:p>
    <w:p>
      <w:pPr>
        <w:ind w:left="3320"/>
        <w:spacing w:after="0"/>
        <w:rPr>
          <w:rFonts w:ascii="MS PGothic" w:cs="MS PGothic" w:eastAsia="MS PGothic" w:hAnsi="MS PGothic"/>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2020</w:t>
      </w:r>
    </w:p>
    <w:p>
      <w:pPr>
        <w:spacing w:after="0" w:line="11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 w:lineRule="exact"/>
        <w:rPr>
          <w:rFonts w:ascii="MS PGothic" w:cs="MS PGothic" w:eastAsia="MS PGothic" w:hAnsi="MS PGothic"/>
          <w:sz w:val="18"/>
          <w:szCs w:val="18"/>
          <w:color w:val="auto"/>
        </w:rPr>
      </w:pPr>
    </w:p>
    <w:p>
      <w:pPr>
        <w:ind w:left="374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to .</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001-36860</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w:t>
      </w:r>
    </w:p>
    <w:p>
      <w:pPr>
        <w:spacing w:after="0" w:line="128"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3700" w:type="dxa"/>
            <w:vAlign w:val="bottom"/>
          </w:tcPr>
          <w:p>
            <w:pPr>
              <w:jc w:val="center"/>
              <w:ind w:right="1430"/>
              <w:spacing w:after="0"/>
              <w:rPr>
                <w:sz w:val="20"/>
                <w:szCs w:val="20"/>
                <w:color w:val="auto"/>
              </w:rPr>
            </w:pPr>
            <w:r>
              <w:rPr>
                <w:rFonts w:ascii="Arial" w:cs="Arial" w:eastAsia="Arial" w:hAnsi="Arial"/>
                <w:sz w:val="18"/>
                <w:szCs w:val="18"/>
                <w:color w:val="auto"/>
                <w:w w:val="92"/>
              </w:rPr>
              <w:t>Delaware</w:t>
            </w:r>
          </w:p>
        </w:tc>
        <w:tc>
          <w:tcPr>
            <w:tcW w:w="3140" w:type="dxa"/>
            <w:vAlign w:val="bottom"/>
          </w:tcPr>
          <w:p>
            <w:pPr>
              <w:jc w:val="center"/>
              <w:ind w:left="1430"/>
              <w:spacing w:after="0"/>
              <w:rPr>
                <w:sz w:val="20"/>
                <w:szCs w:val="20"/>
                <w:color w:val="auto"/>
              </w:rPr>
            </w:pPr>
            <w:r>
              <w:rPr>
                <w:rFonts w:ascii="Arial" w:cs="Arial" w:eastAsia="Arial" w:hAnsi="Arial"/>
                <w:sz w:val="18"/>
                <w:szCs w:val="18"/>
                <w:color w:val="auto"/>
                <w:w w:val="89"/>
              </w:rPr>
              <w:t>75-3254381</w:t>
            </w:r>
          </w:p>
        </w:tc>
      </w:tr>
      <w:tr>
        <w:trPr>
          <w:trHeight w:val="216"/>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left="1450"/>
              <w:spacing w:after="0"/>
              <w:rPr>
                <w:sz w:val="20"/>
                <w:szCs w:val="20"/>
                <w:color w:val="auto"/>
              </w:rPr>
            </w:pPr>
            <w:r>
              <w:rPr>
                <w:rFonts w:ascii="Arial" w:cs="Arial" w:eastAsia="Arial" w:hAnsi="Arial"/>
                <w:sz w:val="18"/>
                <w:szCs w:val="18"/>
                <w:color w:val="auto"/>
                <w:w w:val="92"/>
              </w:rPr>
              <w:t>(I.R.S. employer</w:t>
            </w:r>
          </w:p>
        </w:tc>
      </w:tr>
      <w:tr>
        <w:trPr>
          <w:trHeight w:val="230"/>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430"/>
              <w:spacing w:after="0"/>
              <w:rPr>
                <w:sz w:val="20"/>
                <w:szCs w:val="20"/>
                <w:color w:val="auto"/>
              </w:rPr>
            </w:pPr>
            <w:r>
              <w:rPr>
                <w:rFonts w:ascii="Arial" w:cs="Arial" w:eastAsia="Arial" w:hAnsi="Arial"/>
                <w:sz w:val="18"/>
                <w:szCs w:val="18"/>
                <w:color w:val="auto"/>
                <w:w w:val="94"/>
              </w:rPr>
              <w:t>identification number)</w:t>
            </w:r>
          </w:p>
        </w:tc>
      </w:tr>
    </w:tbl>
    <w:p>
      <w:pPr>
        <w:spacing w:after="0" w:line="107" w:lineRule="exact"/>
        <w:rPr>
          <w:sz w:val="24"/>
          <w:szCs w:val="24"/>
          <w:color w:val="auto"/>
        </w:rPr>
      </w:pPr>
    </w:p>
    <w:p>
      <w:pPr>
        <w:ind w:left="3060"/>
        <w:spacing w:after="0"/>
        <w:rPr>
          <w:sz w:val="20"/>
          <w:szCs w:val="20"/>
          <w:color w:val="auto"/>
        </w:rPr>
      </w:pPr>
      <w:r>
        <w:rPr>
          <w:rFonts w:ascii="Arial" w:cs="Arial" w:eastAsia="Arial" w:hAnsi="Arial"/>
          <w:sz w:val="18"/>
          <w:szCs w:val="18"/>
          <w:u w:val="single" w:color="auto"/>
          <w:color w:val="auto"/>
        </w:rPr>
        <w:t>999 Skyway Road, Suite 150, San Carlos, CA 94070</w:t>
      </w:r>
    </w:p>
    <w:p>
      <w:pPr>
        <w:spacing w:after="0" w:line="23"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(Address of principal executive offices and zip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 260-7120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ind w:right="160" w:firstLine="648"/>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89"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3">
            <w:col w:w="1780" w:space="40"/>
            <w:col w:w="2420" w:space="720"/>
            <w:col w:w="4960"/>
          </w:cols>
          <w:pgMar w:left="980" w:top="665" w:right="999" w:bottom="1440" w:gutter="0" w:footer="0" w:header="0"/>
          <w:type w:val="continuous"/>
        </w:sect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3440" w:type="dxa"/>
            <w:vAlign w:val="bottom"/>
          </w:tcPr>
          <w:p>
            <w:pP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Common stock, par value $0.000041666 per value</w:t>
            </w:r>
          </w:p>
        </w:tc>
        <w:tc>
          <w:tcPr>
            <w:tcW w:w="140" w:type="dxa"/>
            <w:vAlign w:val="bottom"/>
          </w:tcPr>
          <w:p>
            <w:pPr>
              <w:spacing w:after="0"/>
              <w:rPr>
                <w:sz w:val="19"/>
                <w:szCs w:val="19"/>
                <w:color w:val="auto"/>
              </w:rPr>
            </w:pPr>
          </w:p>
        </w:tc>
        <w:tc>
          <w:tcPr>
            <w:tcW w:w="2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IOVA</w:t>
            </w:r>
          </w:p>
        </w:tc>
        <w:tc>
          <w:tcPr>
            <w:tcW w:w="120" w:type="dxa"/>
            <w:vAlign w:val="bottom"/>
          </w:tcPr>
          <w:p>
            <w:pPr>
              <w:spacing w:after="0"/>
              <w:rPr>
                <w:sz w:val="19"/>
                <w:szCs w:val="19"/>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Nasdaq Stock Market, LLC</w:t>
            </w:r>
          </w:p>
        </w:tc>
      </w:tr>
    </w:tbl>
    <w:p>
      <w:pPr>
        <w:spacing w:after="0" w:line="93"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At July 28, 2020, the issuer had 146,443,212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1068070</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142240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Borders>
              <w:bottom w:val="single" w:sz="8" w:color="CCEEFF"/>
            </w:tcBorders>
          </w:tcPr>
          <w:p>
            <w:pPr>
              <w:spacing w:after="0"/>
              <w:rPr>
                <w:sz w:val="14"/>
                <w:szCs w:val="14"/>
                <w:color w:val="auto"/>
              </w:rPr>
            </w:pPr>
          </w:p>
        </w:tc>
        <w:tc>
          <w:tcPr>
            <w:tcW w:w="86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09"/>
        </w:trPr>
        <w:tc>
          <w:tcPr>
            <w:tcW w:w="9380" w:type="dxa"/>
            <w:vAlign w:val="bottom"/>
            <w:gridSpan w:val="2"/>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5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600" w:type="dxa"/>
            <w:vAlign w:val="bottom"/>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2.</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3.</w:t>
              </w:r>
            </w:hyperlink>
          </w:p>
        </w:tc>
        <w:tc>
          <w:tcPr>
            <w:tcW w:w="8600" w:type="dxa"/>
            <w:vAlign w:val="bottom"/>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4.</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Controls and Procedures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380" w:type="dxa"/>
            <w:vAlign w:val="bottom"/>
            <w:gridSpan w:val="2"/>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PART II OTHER INFORMATION</w:t>
              </w:r>
            </w:hyperlink>
          </w:p>
        </w:tc>
        <w:tc>
          <w:tcPr>
            <w:tcW w:w="54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Legal Proceedings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80" w:type="dxa"/>
            <w:vAlign w:val="bottom"/>
          </w:tcPr>
          <w:p>
            <w:pPr>
              <w:spacing w:after="0"/>
              <w:rPr>
                <w:rFonts w:ascii="Arial" w:cs="Arial" w:eastAsia="Arial" w:hAnsi="Arial"/>
                <w:sz w:val="18"/>
                <w:szCs w:val="18"/>
                <w:color w:val="0000EE"/>
              </w:rPr>
            </w:pPr>
            <w:hyperlink w:anchor="page42">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600" w:type="dxa"/>
            <w:vAlign w:val="bottom"/>
          </w:tcPr>
          <w:p>
            <w:pPr>
              <w:ind w:left="1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2.</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Unregistered Sales of Securities and Use of Proceeds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3.</w:t>
              </w:r>
            </w:hyperlink>
          </w:p>
        </w:tc>
        <w:tc>
          <w:tcPr>
            <w:tcW w:w="8600" w:type="dxa"/>
            <w:vAlign w:val="bottom"/>
          </w:tcPr>
          <w:p>
            <w:pPr>
              <w:ind w:left="1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Defaults Upon Senior Securities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4.</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Mine Safety Disclosure</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Item 5.</w:t>
              </w:r>
            </w:hyperlink>
          </w:p>
        </w:tc>
        <w:tc>
          <w:tcPr>
            <w:tcW w:w="8600" w:type="dxa"/>
            <w:vAlign w:val="bottom"/>
          </w:tcPr>
          <w:p>
            <w:pPr>
              <w:ind w:left="14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Other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Item 6.</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Exhibits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9380" w:type="dxa"/>
            <w:vAlign w:val="bottom"/>
            <w:gridSpan w:val="2"/>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SIGNATURES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7400" w:type="dxa"/>
            <w:vAlign w:val="bottom"/>
          </w:tcPr>
          <w:p>
            <w:pPr>
              <w:jc w:val="center"/>
              <w:ind w:left="241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400" w:type="dxa"/>
            <w:vAlign w:val="bottom"/>
          </w:tcPr>
          <w:p>
            <w:pPr>
              <w:jc w:val="center"/>
              <w:ind w:left="2390"/>
              <w:spacing w:after="0"/>
              <w:rPr>
                <w:sz w:val="20"/>
                <w:szCs w:val="20"/>
                <w:color w:val="auto"/>
              </w:rPr>
            </w:pPr>
            <w:r>
              <w:rPr>
                <w:rFonts w:ascii="Arial" w:cs="Arial" w:eastAsia="Arial" w:hAnsi="Arial"/>
                <w:sz w:val="18"/>
                <w:szCs w:val="18"/>
                <w:b w:val="1"/>
                <w:bCs w:val="1"/>
                <w:color w:val="auto"/>
              </w:rPr>
              <w:t>IOVANCE BIOTHERAPEUTICS, INC.</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jc w:val="center"/>
              <w:ind w:left="24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tcPr>
          <w:p>
            <w:pPr>
              <w:jc w:val="center"/>
              <w:ind w:left="2390"/>
              <w:spacing w:after="0"/>
              <w:rPr>
                <w:sz w:val="20"/>
                <w:szCs w:val="20"/>
                <w:color w:val="auto"/>
              </w:rPr>
            </w:pPr>
            <w:r>
              <w:rPr>
                <w:rFonts w:ascii="Arial" w:cs="Arial" w:eastAsia="Arial" w:hAnsi="Arial"/>
                <w:sz w:val="18"/>
                <w:szCs w:val="18"/>
                <w:b w:val="1"/>
                <w:bCs w:val="1"/>
                <w:color w:val="auto"/>
                <w:w w:val="89"/>
              </w:rPr>
              <w:t>(in thousands, except share and per share information)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160,614</w:t>
            </w:r>
          </w:p>
        </w:tc>
        <w:tc>
          <w:tcPr>
            <w:tcW w:w="120" w:type="dxa"/>
            <w:vAlign w:val="bottom"/>
          </w:tcPr>
          <w:p>
            <w:pPr>
              <w:spacing w:after="0"/>
              <w:rPr>
                <w:sz w:val="18"/>
                <w:szCs w:val="18"/>
                <w:color w:val="auto"/>
              </w:rPr>
            </w:pPr>
          </w:p>
        </w:tc>
        <w:tc>
          <w:tcPr>
            <w:tcW w:w="3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782,654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0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Long-term assets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344,655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10,238</w:t>
            </w:r>
          </w:p>
        </w:tc>
        <w:tc>
          <w:tcPr>
            <w:tcW w:w="120" w:type="dxa"/>
            <w:vAlign w:val="bottom"/>
          </w:tcPr>
          <w:p>
            <w:pPr>
              <w:spacing w:after="0"/>
              <w:rPr>
                <w:sz w:val="18"/>
                <w:szCs w:val="18"/>
                <w:color w:val="auto"/>
              </w:rPr>
            </w:pPr>
          </w:p>
        </w:tc>
        <w:tc>
          <w:tcPr>
            <w:tcW w:w="3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Operating lease liabilities - current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00"/>
              <w:spacing w:after="0"/>
              <w:rPr>
                <w:sz w:val="20"/>
                <w:szCs w:val="20"/>
                <w:color w:val="auto"/>
              </w:rPr>
            </w:pPr>
            <w:r>
              <w:rPr>
                <w:rFonts w:ascii="Arial" w:cs="Arial" w:eastAsia="Arial" w:hAnsi="Arial"/>
                <w:sz w:val="18"/>
                <w:szCs w:val="18"/>
                <w:color w:val="auto"/>
              </w:rPr>
              <w:t>Operating lease liabilities – noncurrent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 Non-Current Liabilities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 and 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ind w:left="100"/>
              <w:spacing w:after="0" w:line="201" w:lineRule="exact"/>
              <w:rPr>
                <w:sz w:val="20"/>
                <w:szCs w:val="20"/>
                <w:color w:val="auto"/>
              </w:rPr>
            </w:pPr>
            <w:r>
              <w:rPr>
                <w:rFonts w:ascii="Arial" w:cs="Arial" w:eastAsia="Arial" w:hAnsi="Arial"/>
                <w:sz w:val="18"/>
                <w:szCs w:val="18"/>
                <w:color w:val="auto"/>
                <w:w w:val="90"/>
              </w:rPr>
              <w:t>Series A Convertible Preferred stock, $0.001 par value; 17,000 shares designated, 194 shares issued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100"/>
              <w:spacing w:after="0"/>
              <w:rPr>
                <w:sz w:val="20"/>
                <w:szCs w:val="20"/>
                <w:color w:val="auto"/>
              </w:rPr>
            </w:pPr>
            <w:r>
              <w:rPr>
                <w:rFonts w:ascii="Arial" w:cs="Arial" w:eastAsia="Arial" w:hAnsi="Arial"/>
                <w:sz w:val="18"/>
                <w:szCs w:val="18"/>
                <w:color w:val="auto"/>
                <w:w w:val="92"/>
              </w:rPr>
              <w:t>and outstanding as of June 30, 2020 and December 31, 2019 (aggregate liquidation value of $194)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Series B Convertible Preferred stock, $0.001 par value; 11,500,000 shares designated, 3,581,119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shares issued and outstanding as of June 30, 2020 and December 31, 2019 (aggregate liquidation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value of $17,010)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0" w:type="dxa"/>
            <w:vAlign w:val="bottom"/>
          </w:tcPr>
          <w:p>
            <w:pPr>
              <w:ind w:left="100"/>
              <w:spacing w:after="0" w:line="201" w:lineRule="exact"/>
              <w:rPr>
                <w:sz w:val="20"/>
                <w:szCs w:val="20"/>
                <w:color w:val="auto"/>
              </w:rPr>
            </w:pPr>
            <w:r>
              <w:rPr>
                <w:rFonts w:ascii="Arial" w:cs="Arial" w:eastAsia="Arial" w:hAnsi="Arial"/>
                <w:sz w:val="18"/>
                <w:szCs w:val="18"/>
                <w:color w:val="auto"/>
              </w:rPr>
              <w:t>Common stock, $0.000041666 par value; 300,000,000 shares authorized, 146,434,810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00"/>
              <w:spacing w:after="0"/>
              <w:rPr>
                <w:sz w:val="20"/>
                <w:szCs w:val="20"/>
                <w:color w:val="auto"/>
              </w:rPr>
            </w:pPr>
            <w:r>
              <w:rPr>
                <w:rFonts w:ascii="Arial" w:cs="Arial" w:eastAsia="Arial" w:hAnsi="Arial"/>
                <w:sz w:val="18"/>
                <w:szCs w:val="18"/>
                <w:color w:val="auto"/>
              </w:rPr>
              <w:t>126,411,808 shares issued and outstanding as of June 30, 2020 and December 31, 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10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1,461,207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(703,225)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758,309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817,567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00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49,274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106,226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63,627</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(63,627)</w:t>
            </w: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(50,165)</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(134,437)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(90,151)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net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(63,018)</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(47,551)</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(132,613)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of Common Stock, Basic and Diluted</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gridSpan w:val="2"/>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(0.47)</w:t>
            </w:r>
          </w:p>
        </w:tc>
        <w:tc>
          <w:tcPr>
            <w:tcW w:w="220" w:type="dxa"/>
            <w:vAlign w:val="bottom"/>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(0.38)</w:t>
            </w:r>
          </w:p>
        </w:tc>
        <w:tc>
          <w:tcPr>
            <w:tcW w:w="22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1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34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Weighted Average Shares of Common Stock Outstanding, Basic</w:t>
            </w:r>
          </w:p>
        </w:tc>
        <w:tc>
          <w:tcPr>
            <w:tcW w:w="22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133,162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123,567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129,848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123,491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and Diluted</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(63,018)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(47,551)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(132,613)</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(84,501)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gain / (loss) on short-term investments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(63,613)</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(47,317)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(132,516)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(84,087)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86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9"/>
              </w:rPr>
              <w:t>Series A</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89"/>
              </w:rPr>
              <w:t>Series B</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6"/>
              </w:rPr>
              <w:t>Additional</w:t>
            </w:r>
          </w:p>
        </w:tc>
        <w:tc>
          <w:tcPr>
            <w:tcW w:w="13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7"/>
              </w:rPr>
              <w:t>Accumulated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126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8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02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60" w:type="dxa"/>
            <w:vAlign w:val="bottom"/>
          </w:tcPr>
          <w:p>
            <w:pPr>
              <w:spacing w:after="0"/>
              <w:rPr>
                <w:sz w:val="14"/>
                <w:szCs w:val="14"/>
                <w:color w:val="auto"/>
              </w:rPr>
            </w:pPr>
          </w:p>
        </w:tc>
        <w:tc>
          <w:tcPr>
            <w:tcW w:w="12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Preferred Sock</w:t>
            </w:r>
          </w:p>
        </w:tc>
        <w:tc>
          <w:tcPr>
            <w:tcW w:w="118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2"/>
              </w:rPr>
              <w:t>Preferred Stock</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4"/>
            <w:vMerge w:val="continue"/>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6"/>
        </w:trPr>
        <w:tc>
          <w:tcPr>
            <w:tcW w:w="186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w:t>
            </w:r>
          </w:p>
        </w:tc>
        <w:tc>
          <w:tcPr>
            <w:tcW w:w="4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3,581,119</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4</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126,411,808</w:t>
            </w: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869,354</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(570,612)</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298,971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spacing w:after="0"/>
              <w:rPr>
                <w:sz w:val="20"/>
                <w:szCs w:val="20"/>
                <w:color w:val="auto"/>
              </w:rPr>
            </w:pPr>
            <w:r>
              <w:rPr>
                <w:rFonts w:ascii="Arial" w:cs="Arial" w:eastAsia="Arial" w:hAnsi="Arial"/>
                <w:sz w:val="14"/>
                <w:szCs w:val="14"/>
                <w:color w:val="auto"/>
              </w:rPr>
              <w:t>expense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19,949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19,949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shares issued for</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Tax payments related to</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line="149" w:lineRule="exact"/>
              <w:rPr>
                <w:sz w:val="20"/>
                <w:szCs w:val="20"/>
                <w:color w:val="auto"/>
              </w:rPr>
            </w:pPr>
            <w:r>
              <w:rPr>
                <w:rFonts w:ascii="Arial" w:cs="Arial" w:eastAsia="Arial" w:hAnsi="Arial"/>
                <w:sz w:val="14"/>
                <w:szCs w:val="14"/>
                <w:color w:val="auto"/>
              </w:rPr>
              <w:t>shares withheld for vested</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(283)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533,747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Unrealized gain on short-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spacing w:after="0"/>
              <w:rPr>
                <w:sz w:val="20"/>
                <w:szCs w:val="20"/>
                <w:color w:val="auto"/>
              </w:rPr>
            </w:pPr>
            <w:r>
              <w:rPr>
                <w:rFonts w:ascii="Arial" w:cs="Arial" w:eastAsia="Arial" w:hAnsi="Arial"/>
                <w:sz w:val="14"/>
                <w:szCs w:val="14"/>
                <w:color w:val="auto"/>
              </w:rPr>
              <w:t>term investments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sold in public</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offering, net of offering costs</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19,475,806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566,999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(132,613)</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(132,613)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tcBorders>
              <w:top w:val="single" w:sz="8" w:color="CCEEFF"/>
              <w:bottom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Balance - June 30, 2020</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3,581,119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146,434,810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1,461,207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(703,225)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758,309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w:t>
            </w: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2018</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5,854,845</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6</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123,415,576</w:t>
            </w: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838,984</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w:t>
            </w: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(372,760)</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line="149" w:lineRule="exact"/>
              <w:rPr>
                <w:sz w:val="20"/>
                <w:szCs w:val="20"/>
                <w:color w:val="auto"/>
              </w:rPr>
            </w:pPr>
            <w:r>
              <w:rPr>
                <w:rFonts w:ascii="Arial" w:cs="Arial" w:eastAsia="Arial" w:hAnsi="Arial"/>
                <w:sz w:val="14"/>
                <w:szCs w:val="14"/>
                <w:color w:val="auto"/>
              </w:rPr>
              <w:t>Adoption of ASU 2018-07</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(296)</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spacing w:after="0"/>
              <w:rPr>
                <w:sz w:val="20"/>
                <w:szCs w:val="20"/>
                <w:color w:val="auto"/>
              </w:rPr>
            </w:pPr>
            <w:r>
              <w:rPr>
                <w:rFonts w:ascii="Arial" w:cs="Arial" w:eastAsia="Arial" w:hAnsi="Arial"/>
                <w:sz w:val="14"/>
                <w:szCs w:val="14"/>
                <w:color w:val="auto"/>
              </w:rPr>
              <w:t>issued for services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14,532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payments related to</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withheld for vested</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Common stock issued upon</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422,900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3,474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 on short-</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term investments</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Cancellation of common</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line="149" w:lineRule="exact"/>
              <w:rPr>
                <w:sz w:val="20"/>
                <w:szCs w:val="20"/>
                <w:color w:val="auto"/>
              </w:rPr>
            </w:pPr>
            <w:r>
              <w:rPr>
                <w:rFonts w:ascii="Arial" w:cs="Arial" w:eastAsia="Arial" w:hAnsi="Arial"/>
                <w:sz w:val="14"/>
                <w:szCs w:val="14"/>
                <w:color w:val="auto"/>
              </w:rPr>
              <w:t>stock from settlement of</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60" w:type="dxa"/>
            <w:vAlign w:val="bottom"/>
          </w:tcPr>
          <w:p>
            <w:pPr>
              <w:spacing w:after="0"/>
              <w:rPr>
                <w:sz w:val="20"/>
                <w:szCs w:val="20"/>
                <w:color w:val="auto"/>
              </w:rPr>
            </w:pPr>
            <w:r>
              <w:rPr>
                <w:rFonts w:ascii="Arial" w:cs="Arial" w:eastAsia="Arial" w:hAnsi="Arial"/>
                <w:sz w:val="14"/>
                <w:szCs w:val="14"/>
                <w:color w:val="auto"/>
              </w:rPr>
              <w:t>dispute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(32,500)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(335)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(84,501)</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Balance - June 30, 2019</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w:t>
            </w:r>
          </w:p>
        </w:tc>
        <w:tc>
          <w:tcPr>
            <w:tcW w:w="1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5,854,845</w:t>
            </w:r>
          </w:p>
        </w:tc>
        <w:tc>
          <w:tcPr>
            <w:tcW w:w="14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6</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123,820,508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854,596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(457,557)</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397,422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For the Three Months Ended June 30, 2020 and 2019</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2"/>
              </w:rPr>
              <w:t>Series A</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89"/>
              </w:rPr>
              <w:t>Series B</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Additional</w:t>
            </w: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w w:val="97"/>
              </w:rPr>
              <w:t>Accumulated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gridSpan w:val="3"/>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0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Preferred Sock</w:t>
            </w:r>
          </w:p>
        </w:tc>
        <w:tc>
          <w:tcPr>
            <w:tcW w:w="118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2"/>
              </w:rPr>
              <w:t>Preferred Stock</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4"/>
            <w:vMerge w:val="continue"/>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March 31, 2020</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3,581,119</w:t>
            </w:r>
          </w:p>
        </w:tc>
        <w:tc>
          <w:tcPr>
            <w:tcW w:w="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4</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126,823,156</w:t>
            </w: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882,599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(640,207)</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6,176</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Tax payments related to</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shares withheld for vested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restricted stock units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129,672</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Unrealized loss on short-</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term investments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sold in</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public offering, net of</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offering costs</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19,475,806</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566,999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loss</w:t>
            </w: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(63,018)</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Borders>
              <w:bottom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rPr>
              <w:t>Balance - June 30, 2020</w:t>
            </w: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3,581,119</w:t>
            </w:r>
          </w:p>
        </w:tc>
        <w:tc>
          <w:tcPr>
            <w:tcW w:w="1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4</w:t>
            </w:r>
          </w:p>
        </w:tc>
        <w:tc>
          <w:tcPr>
            <w:tcW w:w="16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146,434,810</w:t>
            </w:r>
          </w:p>
        </w:tc>
        <w:tc>
          <w:tcPr>
            <w:tcW w:w="1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1,461,207</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(703,225)</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758,309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March 31, 2019</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480" w:type="dxa"/>
            <w:vAlign w:val="bottom"/>
            <w:gridSpan w:val="2"/>
            <w:shd w:val="clear" w:color="auto" w:fill="CCEEFF"/>
          </w:tcPr>
          <w:p>
            <w:pPr>
              <w:jc w:val="right"/>
              <w:ind w:right="203"/>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5,854,845</w:t>
            </w:r>
          </w:p>
        </w:tc>
        <w:tc>
          <w:tcPr>
            <w:tcW w:w="54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6</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123,395,113</w:t>
            </w:r>
          </w:p>
        </w:tc>
        <w:tc>
          <w:tcPr>
            <w:tcW w:w="46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844,789</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(410,006)</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434,932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expense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7,495</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Tax payments related to</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shares withheld for vested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restricted stock units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417,900</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Unrealized gain on short-</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40" w:type="dxa"/>
            <w:vAlign w:val="bottom"/>
            <w:gridSpan w:val="2"/>
          </w:tcPr>
          <w:p>
            <w:pPr>
              <w:spacing w:after="0"/>
              <w:rPr>
                <w:sz w:val="20"/>
                <w:szCs w:val="20"/>
                <w:color w:val="auto"/>
              </w:rPr>
            </w:pPr>
            <w:r>
              <w:rPr>
                <w:rFonts w:ascii="Arial" w:cs="Arial" w:eastAsia="Arial" w:hAnsi="Arial"/>
                <w:sz w:val="14"/>
                <w:szCs w:val="14"/>
                <w:color w:val="auto"/>
              </w:rPr>
              <w:t>term investments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(47,551)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Balance - June 30, 2019</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5,854,845</w:t>
            </w:r>
          </w:p>
        </w:tc>
        <w:tc>
          <w:tcPr>
            <w:tcW w:w="140" w:type="dxa"/>
            <w:vAlign w:val="bottom"/>
          </w:tcPr>
          <w:p>
            <w:pPr>
              <w:spacing w:after="0"/>
              <w:rPr>
                <w:sz w:val="12"/>
                <w:szCs w:val="12"/>
                <w:color w:val="auto"/>
              </w:rPr>
            </w:pPr>
          </w:p>
        </w:tc>
        <w:tc>
          <w:tcPr>
            <w:tcW w:w="4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6</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123,820,508</w:t>
            </w:r>
          </w:p>
        </w:tc>
        <w:tc>
          <w:tcPr>
            <w:tcW w:w="140" w:type="dxa"/>
            <w:vAlign w:val="bottom"/>
          </w:tcPr>
          <w:p>
            <w:pPr>
              <w:spacing w:after="0"/>
              <w:rPr>
                <w:sz w:val="12"/>
                <w:szCs w:val="12"/>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854,596</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(457,557)</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397,422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756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20" w:type="dxa"/>
            <w:vAlign w:val="bottom"/>
          </w:tcPr>
          <w:p>
            <w:pPr>
              <w:spacing w:after="0"/>
              <w:rPr>
                <w:sz w:val="24"/>
                <w:szCs w:val="24"/>
                <w:color w:val="auto"/>
              </w:rPr>
            </w:pPr>
          </w:p>
        </w:tc>
        <w:tc>
          <w:tcPr>
            <w:tcW w:w="7540" w:type="dxa"/>
            <w:vAlign w:val="bottom"/>
          </w:tcPr>
          <w:p>
            <w:pPr>
              <w:jc w:val="center"/>
              <w:ind w:left="2250"/>
              <w:spacing w:after="0"/>
              <w:rPr>
                <w:sz w:val="20"/>
                <w:szCs w:val="20"/>
                <w:color w:val="auto"/>
              </w:rPr>
            </w:pPr>
            <w:r>
              <w:rPr>
                <w:rFonts w:ascii="Arial" w:cs="Arial" w:eastAsia="Arial" w:hAnsi="Arial"/>
                <w:sz w:val="18"/>
                <w:szCs w:val="18"/>
                <w:b w:val="1"/>
                <w:bCs w:val="1"/>
                <w:color w:val="auto"/>
              </w:rPr>
              <w:t>IOVANCE BIOTHERAPEUTICS, INC.</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jc w:val="center"/>
              <w:ind w:left="225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jc w:val="center"/>
              <w:ind w:left="2270"/>
              <w:spacing w:after="0"/>
              <w:rPr>
                <w:sz w:val="20"/>
                <w:szCs w:val="20"/>
                <w:color w:val="auto"/>
              </w:rPr>
            </w:pPr>
            <w:r>
              <w:rPr>
                <w:rFonts w:ascii="Arial" w:cs="Arial" w:eastAsia="Arial" w:hAnsi="Arial"/>
                <w:sz w:val="18"/>
                <w:szCs w:val="18"/>
                <w:b w:val="1"/>
                <w:bCs w:val="1"/>
                <w:color w:val="auto"/>
                <w:w w:val="89"/>
              </w:rPr>
              <w:t>(unaudited; in thousands)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(132,613)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lease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Gain on settlement of dispute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Amortization of premiums on investments</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other assets, and long-term assets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(1,064)</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Operating lease liabilities (Right-of-use assets)</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(3,739)</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(7,096)</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(101,927)</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(62,885)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Maturities of short-term investments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216,678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short-term investments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(534,717)</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(5,612)</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(323,651)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Tax payments related to shares withheld for vested restricted stock awards</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Proceeds from the issuance of common stock, net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567,393</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572,298</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146,720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19,419</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166,139</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gain on short-term investments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Acquisitions of property and equipment included in accounts payable and accrued expense</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(5,212)</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offering costs in accrued expenses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02"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Iovance Biotherapeutics, Inc. (the “Company”, “we”, “us” or “our”) is a clinical-stage biopharmaceutical company focused on the development and commercialization of cell therapies as novel cancer immunotherapy products designed to harness the power of a patient’s own immune system to eradicate cancer cells. Tumor infiltrating lymphocyte (“TIL”) therapy is an autologous cell therapy platform technology that was originally developed by the National Cancer Institute (“NCI”), which conducted initial clinical trials in diseases such as metastatic melanoma and cervical cancer. The Company has developed a new, shorter manufacturing process for TIL therapy known as Generation 2 (“Gen 2”), which yields a cryopreserved TIL product. This proprietary and scalable manufacturing method is being further investigated in multiple indications. The Company’s lead product candidates include lifileucel for metastatic melanoma and LN-145 for metastatic cervical cancer. In addition to metastatic melanoma and metastatic cervical cancer, the Company is investigating the effectiveness and safety of TIL therapy and peripheral blood lymphocyte therapy for the treatment of squamous cell carcinoma of the head and neck, non-small cell lung cancer, and chronic lymphocytic leukemia through its sponsored trials, as well as in other oncology indications through collaborations. On June 1, 2017, the Company reincorporated from a Nevada corporation to a Delaware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185"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The unaudited condensed consolidated financial statements of the Company for the three and six months ended June 30, 2020 and 2019 have been prepared in accordance with accounting principles generally accepted in the United States of America (“GAAP”) for interim financial information and pursuant to the requirements for reporting on Form 10-Q and Regulation S-X. Accordingly, they do not include all the information and footnotes required by GAAP for audited financial statements. However, such information reflects all adjustments (consisting solely of normal recurring adjustments), which are, in the opinion of management, necessary for the fair presentation of the Company's financial position and results of operations. Results shown for interim periods are not necessarily indicative of the results to be obtained for a full fiscal year. The balance sheet information as of December 31, 2019, was derived from the audited financial statements included in the Company's Annual Report on Form 10-K filed with the Securities and Exchange Commission (the “SEC”) on February 25, 2020. These interim financial statements should be read in conjunction with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ind w:right="60" w:firstLine="492"/>
        <w:spacing w:after="0" w:line="253" w:lineRule="auto"/>
        <w:rPr>
          <w:sz w:val="20"/>
          <w:szCs w:val="20"/>
          <w:color w:val="auto"/>
        </w:rPr>
      </w:pPr>
      <w:r>
        <w:rPr>
          <w:rFonts w:ascii="Arial" w:cs="Arial" w:eastAsia="Arial" w:hAnsi="Arial"/>
          <w:sz w:val="18"/>
          <w:szCs w:val="18"/>
          <w:color w:val="auto"/>
        </w:rPr>
        <w:t>The Company is currently developing therapeutics for the treatment of cancer, including solid tumors and hematological malignancies. The Company currently does not have any commercial products and has not yet generated any revenues from its business. The Company currently does not anticipate that it will generate any significant revenues from the sale or licensing of any of its product candidates during the 12 months from the date these financial statements are issued. The Company has incurred a net loss of $132.6 million for the six months ended June 30, 2020 and used $101.9 million of cash in its operating activities during the six months ended June 30, 2020. In June 2020, the Company received net proceeds of approximately $567.0 million from the June 2020 Public Offering (as discussed in Note 5). As of June 30, 2020, the Company had $777.4 million in cash, cash equivalents, short-term investments, and restricted cash ($160.6 million of cash and cash equivalents, $611.3 million in short-term investments and $5.5 million in restricted cash).</w:t>
      </w:r>
    </w:p>
    <w:p>
      <w:pPr>
        <w:spacing w:after="0" w:line="196"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The Company expects to continue its research and development activities, increase pre-commercial activities and initiate the construction on the tenant improvements for its new manufacturing facility, which will increase the amount of cash used during 2020 and beyond. Specifically, the Company expects continued spending on its current and planned clinical trials, continued expansion of manufacturing activities, including construction of a manufacturing facility, higher payroll expenses as the Company increases its professional and scientific staff and continuation of pre-commercial activities. Based on the funds the Company has available as of the date these financial statements are issued, the Company believes that it has sufficient capital to fund its anticipated operating expenses and capital expenditures as planned for at least the next twelve months from the date these financial statements are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98" w:lineRule="exact"/>
        <w:rPr>
          <w:sz w:val="20"/>
          <w:szCs w:val="20"/>
          <w:color w:val="auto"/>
        </w:rPr>
      </w:pPr>
    </w:p>
    <w:p>
      <w:pPr>
        <w:jc w:val="both"/>
        <w:ind w:right="320" w:firstLine="492"/>
        <w:spacing w:after="0" w:line="342" w:lineRule="auto"/>
        <w:rPr>
          <w:sz w:val="20"/>
          <w:szCs w:val="20"/>
          <w:color w:val="auto"/>
        </w:rPr>
      </w:pPr>
      <w:r>
        <w:rPr>
          <w:rFonts w:ascii="Arial" w:cs="Arial" w:eastAsia="Arial" w:hAnsi="Arial"/>
          <w:sz w:val="16"/>
          <w:szCs w:val="16"/>
          <w:color w:val="auto"/>
        </w:rPr>
        <w:t>In December 2019, a novel (new) coronavirus known as SARS-CoV-2 was first detected in Wuhan, Hubei Province, People’s Republic of China, causing outbreaks of the coronavirus disease, known as COVID-19, that has now spread globally. On January 30,</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2020, the World Health Organization (WHO) declared COVID-19 a pandemic (the "COVID-19 Pandemic"). The Secretary of Health and Human Services declared a public health emergency on January 31, 2020, under section 319 of the Public Health Service Act (42 U.S.C. 247d), in response to the COVID-19 Pandemic. 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in U.S. government securities, the Company does not believe the COVID-19 Pandemic has had or will have a material impact on the Company's current investment liquidity.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85"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The Company is subject to credit risk from its portfolio of cash equivalents and short-term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in order of priority, are as follows: safety and preservation of principal and diversification of risk and liquidity of investments sufficient to meet cash flow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85" w:lineRule="exact"/>
        <w:rPr>
          <w:sz w:val="20"/>
          <w:szCs w:val="20"/>
          <w:color w:val="auto"/>
        </w:rPr>
      </w:pPr>
    </w:p>
    <w:p>
      <w:pPr>
        <w:ind w:right="80" w:firstLine="492"/>
        <w:spacing w:after="0" w:line="286" w:lineRule="auto"/>
        <w:rPr>
          <w:sz w:val="20"/>
          <w:szCs w:val="20"/>
          <w:color w:val="auto"/>
        </w:rPr>
      </w:pPr>
      <w:r>
        <w:rPr>
          <w:rFonts w:ascii="Arial" w:cs="Arial" w:eastAsia="Arial" w:hAnsi="Arial"/>
          <w:sz w:val="16"/>
          <w:szCs w:val="16"/>
          <w:color w:val="auto"/>
        </w:rPr>
        <w:t>The Company’s cash and cash equivalents include short-term investments with original maturities of three months or less when purchased. The Company's short-term investments are classified as “available-for-sale.” The Company includes these investments in current assets and carries them at fair value. Unrealized gains and losses on available-for-sale securities are included in accumulated other comprehensive income. Any impairment losses related to credit losses (if any) are included in an allowance for credit losses with an offsetting entry to net loss. No impairment losses related to credit losses were recognized for the three and six months ended June 30, 2020 and 2019. The cost of debt securities is adjusted for the amortization of premiums and accretion of discounts to maturity. Such amortization and accretion are included in net interest income in the condensed consolidated statements of operations. Gains and losses on securities sold are recorded based on the specific identification method and are included in net interest income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except for securities issued by the U.S. government. Currently the Company invests excess cash only in obligations issued by the U.S. government and U.S. government agencies.</w:t>
      </w:r>
    </w:p>
    <w:p>
      <w:pPr>
        <w:spacing w:after="0" w:line="133"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The Company maintains a required minimum balance, currently $5.5 million in a segregated bank account in connection with two letters of credit, one for $5.45 million for the benefit of the landlord for its commercial manufacturing facility used as a security deposit for the lease (See Note 9 - Leases), and a second one for $74,685 for the benefit of a utilities service provider. The total amount is classified as Restricted Cash on the Balance Sheet. The original term of the letter of credit expired on May 28, 2020; however, the term was automatically extended for an additional one-year period on May 28, 2020, and will be automatically extended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$1,000,000, with a minimum security deposit of $1,450,000 maintained through the end of the lease term. The $74,685 letter of credit will expire on February 25, 2021, however, it will be automatically extended, without written agreement, to the expiration date of December 1, 2022. As of June 30, 2020, restricted cash consisted of $5.5 million and this amount has been classified as a non-current asset on the Company’s condensed consolidated balance sheets.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firstLine="492"/>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193"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5"/>
              </w:rPr>
              <w:t>June 30,</w:t>
            </w:r>
          </w:p>
        </w:tc>
      </w:tr>
      <w:tr>
        <w:trPr>
          <w:trHeight w:val="234"/>
        </w:trPr>
        <w:tc>
          <w:tcPr>
            <w:tcW w:w="6840" w:type="dxa"/>
            <w:vAlign w:val="bottom"/>
          </w:tcPr>
          <w:p>
            <w:pPr>
              <w:spacing w:after="0"/>
              <w:rPr>
                <w:sz w:val="20"/>
                <w:szCs w:val="20"/>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$160,614</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$ 76,912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w w:val="89"/>
              </w:rPr>
              <w:t>Restricted cash (included in non-current assets on the condensed consolidated balance sheets)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5,525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5,450</w:t>
            </w:r>
          </w:p>
        </w:tc>
      </w:tr>
      <w:tr>
        <w:trPr>
          <w:trHeight w:val="210"/>
        </w:trPr>
        <w:tc>
          <w:tcPr>
            <w:tcW w:w="68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cash equivalents and restricted cash</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166,139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$ 82,362</w:t>
            </w:r>
          </w:p>
        </w:tc>
      </w:tr>
      <w:tr>
        <w:trPr>
          <w:trHeight w:val="20"/>
        </w:trPr>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jc w:val="both"/>
        <w:ind w:right="700" w:firstLine="492"/>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 average number of shares of common stock outstanding during the period.</w:t>
      </w:r>
    </w:p>
    <w:p>
      <w:pPr>
        <w:spacing w:after="0" w:line="143"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shares of common stock issuable upon (i) the exercise of outstanding stock options, (ii) vesting of restricted stock units, and (iii) conversion of preferred stock, are only included in the calculation of diluted net loss per share when their effect is dilutive.</w:t>
      </w:r>
    </w:p>
    <w:p>
      <w:pPr>
        <w:spacing w:after="0" w:line="147"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At June 30, 2020 and 2019, the following outstanding common stock equivalents have been excluded from the calculation of net loss per share because their impact would be anti-dilutive.</w:t>
      </w:r>
    </w:p>
    <w:p>
      <w:pPr>
        <w:spacing w:after="0" w:line="18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500" w:type="dxa"/>
            <w:vAlign w:val="bottom"/>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39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r>
      <w:tr>
        <w:trPr>
          <w:trHeight w:val="210"/>
        </w:trPr>
        <w:tc>
          <w:tcPr>
            <w:tcW w:w="50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12,594,736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9,205,672</w:t>
            </w:r>
          </w:p>
        </w:tc>
      </w:tr>
      <w:tr>
        <w:trPr>
          <w:trHeight w:val="216"/>
        </w:trPr>
        <w:tc>
          <w:tcPr>
            <w:tcW w:w="50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Series A Convertible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97,000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50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3,581,119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5,854,845</w:t>
            </w:r>
          </w:p>
        </w:tc>
      </w:tr>
      <w:tr>
        <w:trPr>
          <w:trHeight w:val="216"/>
        </w:trPr>
        <w:tc>
          <w:tcPr>
            <w:tcW w:w="50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45,828</w:t>
            </w:r>
          </w:p>
        </w:tc>
      </w:tr>
      <w:tr>
        <w:trPr>
          <w:trHeight w:val="210"/>
        </w:trPr>
        <w:tc>
          <w:tcPr>
            <w:tcW w:w="500" w:type="dxa"/>
            <w:vAlign w:val="bottom"/>
          </w:tcPr>
          <w:p>
            <w:pPr>
              <w:spacing w:after="0"/>
              <w:rPr>
                <w:sz w:val="18"/>
                <w:szCs w:val="18"/>
                <w:color w:val="auto"/>
              </w:rPr>
            </w:pP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16,272,855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15,203,345</w:t>
            </w:r>
          </w:p>
        </w:tc>
      </w:tr>
      <w:tr>
        <w:trPr>
          <w:trHeight w:val="20"/>
        </w:trPr>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50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3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on an as-converted basis</w:t>
      </w:r>
    </w:p>
    <w:p>
      <w:pPr>
        <w:spacing w:after="0" w:line="185" w:lineRule="exact"/>
        <w:rPr>
          <w:sz w:val="20"/>
          <w:szCs w:val="20"/>
          <w:color w:val="auto"/>
        </w:rPr>
      </w:pPr>
    </w:p>
    <w:p>
      <w:pPr>
        <w:ind w:right="60" w:firstLine="492"/>
        <w:spacing w:after="0" w:line="263" w:lineRule="auto"/>
        <w:rPr>
          <w:sz w:val="20"/>
          <w:szCs w:val="20"/>
          <w:color w:val="auto"/>
        </w:rPr>
      </w:pPr>
      <w:r>
        <w:rPr>
          <w:rFonts w:ascii="Arial" w:cs="Arial" w:eastAsia="Arial" w:hAnsi="Arial"/>
          <w:sz w:val="18"/>
          <w:szCs w:val="18"/>
          <w:color w:val="auto"/>
        </w:rPr>
        <w:t>The effect of potentially dilutive securities would be reflected in diluted earnings per share of common stock by application of the treasury stock method. Under the treasury stock method, an increase in the fair market value of the Company's common stock could result in a greater dilutive effect from potentially dilutive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320" w:firstLine="492"/>
        <w:spacing w:after="0" w:line="257" w:lineRule="auto"/>
        <w:rPr>
          <w:sz w:val="20"/>
          <w:szCs w:val="20"/>
          <w:color w:val="auto"/>
        </w:rPr>
      </w:pPr>
      <w:r>
        <w:rPr>
          <w:rFonts w:ascii="Arial" w:cs="Arial" w:eastAsia="Arial" w:hAnsi="Arial"/>
          <w:sz w:val="18"/>
          <w:szCs w:val="18"/>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firstLine="492"/>
        <w:spacing w:after="0" w:line="263" w:lineRule="auto"/>
        <w:rPr>
          <w:sz w:val="20"/>
          <w:szCs w:val="20"/>
          <w:color w:val="auto"/>
        </w:rPr>
      </w:pPr>
      <w:r>
        <w:rPr>
          <w:rFonts w:ascii="Arial" w:cs="Arial" w:eastAsia="Arial" w:hAnsi="Arial"/>
          <w:sz w:val="18"/>
          <w:szCs w:val="18"/>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43" w:lineRule="exact"/>
        <w:rPr>
          <w:sz w:val="20"/>
          <w:szCs w:val="20"/>
          <w:color w:val="auto"/>
        </w:rPr>
      </w:pPr>
    </w:p>
    <w:p>
      <w:pPr>
        <w:ind w:right="40" w:firstLine="492"/>
        <w:spacing w:after="0" w:line="277" w:lineRule="auto"/>
        <w:rPr>
          <w:sz w:val="20"/>
          <w:szCs w:val="20"/>
          <w:color w:val="auto"/>
        </w:rPr>
      </w:pPr>
      <w:r>
        <w:rPr>
          <w:rFonts w:ascii="Arial" w:cs="Arial" w:eastAsia="Arial" w:hAnsi="Arial"/>
          <w:sz w:val="18"/>
          <w:szCs w:val="18"/>
          <w:color w:val="auto"/>
        </w:rPr>
        <w:t>Level 1–These are investments where values are based on unadjusted quoted prices for identical assets in an active market that the Company has the ability to access.</w:t>
      </w:r>
    </w:p>
    <w:p>
      <w:pPr>
        <w:spacing w:after="0" w:line="143"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Level 2–These are investments where values are based on quoted market prices in markets that are not active or model derived valuations in which all significant inputs are observable in active markets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have fair valued assets classified under Level 2 as of June 30, 2020 and December 31, 2019.</w:t>
      </w:r>
    </w:p>
    <w:p>
      <w:pPr>
        <w:spacing w:after="0" w:line="185" w:lineRule="exact"/>
        <w:rPr>
          <w:sz w:val="20"/>
          <w:szCs w:val="20"/>
          <w:color w:val="auto"/>
        </w:rPr>
      </w:pPr>
    </w:p>
    <w:p>
      <w:pPr>
        <w:ind w:right="340" w:firstLine="492"/>
        <w:spacing w:after="0" w:line="277" w:lineRule="auto"/>
        <w:rPr>
          <w:sz w:val="20"/>
          <w:szCs w:val="20"/>
          <w:color w:val="auto"/>
        </w:rPr>
      </w:pPr>
      <w:r>
        <w:rPr>
          <w:rFonts w:ascii="Arial" w:cs="Arial" w:eastAsia="Arial" w:hAnsi="Arial"/>
          <w:sz w:val="18"/>
          <w:szCs w:val="18"/>
          <w:color w:val="auto"/>
        </w:rPr>
        <w:t>Level 3–These are financial instruments where values are derived from techniques in which one or more significant inputs are unobservable.</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have fair valued assets classified under Level 3 as of June 30, 2020 and December 31, 2019.</w:t>
      </w:r>
    </w:p>
    <w:p>
      <w:pPr>
        <w:spacing w:after="0" w:line="185" w:lineRule="exact"/>
        <w:rPr>
          <w:sz w:val="20"/>
          <w:szCs w:val="20"/>
          <w:color w:val="auto"/>
        </w:rPr>
      </w:pPr>
    </w:p>
    <w:p>
      <w:pPr>
        <w:ind w:right="40" w:firstLine="492"/>
        <w:spacing w:after="0" w:line="277" w:lineRule="auto"/>
        <w:rPr>
          <w:sz w:val="20"/>
          <w:szCs w:val="20"/>
          <w:color w:val="auto"/>
        </w:rPr>
      </w:pPr>
      <w:r>
        <w:rPr>
          <w:rFonts w:ascii="Arial" w:cs="Arial" w:eastAsia="Arial" w:hAnsi="Arial"/>
          <w:sz w:val="18"/>
          <w:szCs w:val="18"/>
          <w:color w:val="auto"/>
        </w:rPr>
        <w:t>The Company’s financial instruments consist of cash and cash equivalents and short-term investments, all of which are reported at their respective fair value on its condensed consolidated balance sheets.</w:t>
      </w:r>
    </w:p>
    <w:p>
      <w:pPr>
        <w:spacing w:after="0" w:line="130" w:lineRule="exact"/>
        <w:rPr>
          <w:sz w:val="20"/>
          <w:szCs w:val="20"/>
          <w:color w:val="auto"/>
        </w:rPr>
      </w:pPr>
    </w:p>
    <w:p>
      <w:pPr>
        <w:ind w:right="340" w:firstLine="492"/>
        <w:spacing w:after="0" w:line="277" w:lineRule="auto"/>
        <w:rPr>
          <w:sz w:val="20"/>
          <w:szCs w:val="20"/>
          <w:color w:val="auto"/>
        </w:rPr>
      </w:pPr>
      <w:r>
        <w:rPr>
          <w:rFonts w:ascii="Arial" w:cs="Arial" w:eastAsia="Arial" w:hAnsi="Arial"/>
          <w:sz w:val="18"/>
          <w:szCs w:val="18"/>
          <w:color w:val="auto"/>
        </w:rPr>
        <w:t>As of June 30, 2020 and December 31, 2019, financial assets measured at fair value on a recurring basis are categorized in the table below based upon the lowest level of significant input to the valuations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0"/>
          </w:tcPr>
          <w:p>
            <w:pPr>
              <w:ind w:left="340"/>
              <w:spacing w:after="0"/>
              <w:rPr>
                <w:sz w:val="20"/>
                <w:szCs w:val="20"/>
                <w:color w:val="auto"/>
              </w:rPr>
            </w:pPr>
            <w:r>
              <w:rPr>
                <w:rFonts w:ascii="Arial" w:cs="Arial" w:eastAsia="Arial" w:hAnsi="Arial"/>
                <w:sz w:val="18"/>
                <w:szCs w:val="18"/>
                <w:b w:val="1"/>
                <w:bCs w:val="1"/>
                <w:color w:val="auto"/>
              </w:rPr>
              <w:t>Assets at Fair Value as of June 30, 2020</w:t>
            </w:r>
          </w:p>
        </w:tc>
      </w:t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5"/>
              </w:rPr>
              <w:t>340,698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270,567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95"/>
              </w:rPr>
              <w:t>270,567</w:t>
            </w:r>
          </w:p>
        </w:tc>
      </w:tr>
      <w:tr>
        <w:trPr>
          <w:trHeight w:val="210"/>
        </w:trPr>
        <w:tc>
          <w:tcPr>
            <w:tcW w:w="59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5"/>
              </w:rPr>
              <w:t>611,265</w:t>
            </w: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0"/>
          </w:tcPr>
          <w:p>
            <w:pPr>
              <w:jc w:val="right"/>
              <w:ind w:right="170"/>
              <w:spacing w:after="0"/>
              <w:rPr>
                <w:sz w:val="20"/>
                <w:szCs w:val="20"/>
                <w:color w:val="auto"/>
              </w:rPr>
            </w:pPr>
            <w:r>
              <w:rPr>
                <w:rFonts w:ascii="Arial" w:cs="Arial" w:eastAsia="Arial" w:hAnsi="Arial"/>
                <w:sz w:val="18"/>
                <w:szCs w:val="18"/>
                <w:b w:val="1"/>
                <w:bCs w:val="1"/>
                <w:color w:val="auto"/>
                <w:w w:val="91"/>
              </w:rPr>
              <w:t>Assets at Fair Value as of December 31, 2019</w:t>
            </w:r>
          </w:p>
        </w:tc>
      </w:t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242,249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242,249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50,863</w:t>
            </w:r>
          </w:p>
        </w:tc>
      </w:tr>
      <w:tr>
        <w:trPr>
          <w:trHeight w:val="210"/>
        </w:trPr>
        <w:tc>
          <w:tcPr>
            <w:tcW w:w="59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293,112</w:t>
            </w: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right="200" w:firstLine="492"/>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the assumptions made in valuing stock instruments issued for services and used in measuring operating right-of-use assets and operating lease liabilities, valuation of short-term investments, accounting for potential liabilities, and the valuation allowance associated with the Company’s deferred tax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right="420" w:firstLine="492"/>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Iovance Biotherapeutics, Inc. and its wholly-owned subsidiaries, Iovance Biotherapeutics Manufacturing LLC and Iovance Biotherapeutics GmbH. All intercompany accounts and transactions have been eliminated. The U.S. dollar is the functional currency for all of the Company's consolidated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40" w:firstLine="492"/>
        <w:spacing w:after="0" w:line="311"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valuation allowance when, in the opinion of management, it is more likely than not that some portion or all of the deferred tax assets will be realized. Deferred tax assets and liabilities are adjusted for the effects of changes in tax laws and rates on the date of enactment.</w:t>
      </w:r>
    </w:p>
    <w:p>
      <w:pPr>
        <w:spacing w:after="0" w:line="83"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ASC Topic 740-10-30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Topic 740-10-40 provides guidance on de-recognition, classification, interest and penalties, accounting in interim periods, disclosure, and transition. The Company will classify as income tax expense any interest and penalties. The Company has no material uncertain tax positions for any of the reporting periods presented.</w:t>
      </w:r>
    </w:p>
    <w:p>
      <w:pPr>
        <w:spacing w:after="0" w:line="13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The tax relief measures for business include a five-year net operating loss (“NOL”) carrybacks, suspension of annual deduction limitation of 80% taxable income from net operating losses generated in a tax year beginning after December 31, 2017, changes in the deductibility of interest, acceleration of alternative minimum tax credit refunds, payroll tax relief, and technical correction to allow accelerated deductions for qualified improvement property. The CARES Act also provides other non-tax benefits to assist those impacted by the pandemic. The Company evaluated the impact of the CARES Act and determined no material tax provision impact for the quarter ended June 30,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Company determines if an arrangement includes a lease at inception. Operating leases are included in its condensed consolidated balance sheet as Operating lease right-of-use assets and Operating lease liabilities as of June 30, 2020 and December 31, 2019.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date or the date of adoption of Accounting Standard Update (ASU) No. 2016-02 and ASU No. 2018-10, Leases (together “Topic 842”). 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The Company has elected not to apply the recognition requirements of Topic 842 for short-term leases.</w:t>
      </w:r>
    </w:p>
    <w:p>
      <w:pPr>
        <w:spacing w:after="0" w:line="152"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For lease agreements entered into after the adoption of Topic 842 that include lease and non-lease components, such components are generally accounted for separately.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40" w:firstLine="492"/>
        <w:spacing w:after="0" w:line="291" w:lineRule="auto"/>
        <w:rPr>
          <w:sz w:val="20"/>
          <w:szCs w:val="20"/>
          <w:color w:val="auto"/>
        </w:rPr>
      </w:pPr>
      <w:r>
        <w:rPr>
          <w:rFonts w:ascii="Arial" w:cs="Arial" w:eastAsia="Arial" w:hAnsi="Arial"/>
          <w:sz w:val="16"/>
          <w:szCs w:val="16"/>
          <w:color w:val="auto"/>
        </w:rPr>
        <w:t>The Company periodically grants stock options to 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Upon the adoption of ASU No. 2018-07, Compensation-Stock Compensation (“Topic 718”),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spacing w:after="0" w:line="139"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The stock-based compensation expense is recorded based upon the value derived from the Black-Scholes option pricing model. The assumptions used in the Black-Scholes option pricing model could materially affect compensation expense recorded in future periods.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492"/>
        <w:spacing w:after="0" w:line="279" w:lineRule="auto"/>
        <w:rPr>
          <w:sz w:val="20"/>
          <w:szCs w:val="20"/>
          <w:color w:val="auto"/>
        </w:rPr>
      </w:pPr>
      <w:r>
        <w:rPr>
          <w:rFonts w:ascii="Arial" w:cs="Arial" w:eastAsia="Arial" w:hAnsi="Arial"/>
          <w:sz w:val="17"/>
          <w:szCs w:val="17"/>
          <w:color w:val="auto"/>
        </w:rPr>
        <w:t>The Company has in the past issued restricted stock units (“RSUs”) and restricted stock awards (“RSAs”) as part of its share-based compensation programs. The Company measures the compensation cost with respect to RSUs and RSAs issued to employees based upon the estimated fair value of the equity instruments at the date of the grant, which is recognized as an expense over the period during which an employee is required to provide services in exchange for the awards.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RSUs and RSAs is based on the closing price of the Company’s common stock on the grant date.</w:t>
      </w:r>
    </w:p>
    <w:p>
      <w:pPr>
        <w:spacing w:after="0" w:line="198"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color w:val="auto"/>
        </w:rPr>
        <w:t>Total stock-based compensation expense related to all of the Company’s stock-based awards was recorded on the statements of operations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7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4"/>
              </w:rPr>
              <w:t>Six Months Ended</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2019</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w:t>
            </w: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12,272</w:t>
            </w: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Total stock-based compensation expenses broken down based on each individual instrument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7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4"/>
              </w:rPr>
              <w:t>Six Months Ended</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2019</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12,138</w:t>
            </w: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 expenses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12,272</w:t>
            </w: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100" w:firstLine="492"/>
        <w:spacing w:after="0" w:line="275" w:lineRule="auto"/>
        <w:rPr>
          <w:sz w:val="20"/>
          <w:szCs w:val="20"/>
          <w:color w:val="auto"/>
        </w:rPr>
      </w:pPr>
      <w:r>
        <w:rPr>
          <w:rFonts w:ascii="Arial" w:cs="Arial" w:eastAsia="Arial" w:hAnsi="Arial"/>
          <w:sz w:val="17"/>
          <w:szCs w:val="17"/>
          <w:color w:val="auto"/>
        </w:rPr>
        <w:t>The Company applies the accounting standards for distinguishing liabilities from equity when determining the classification and measurement of its preferred stock. Preferred stock subject to mandatory redemption are classified as liability instruments and are measured at fair value. Conditionally redeemable preferred stock (including preferred stock that feature redemption rights that are either within the control of the holder or subject to redemption upon the occurrence of uncertain events not solely within the Company’s control) are classified as temporary equity. At all other times, preferred stock is classified as stockholders’ equity.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198" w:lineRule="exact"/>
        <w:rPr>
          <w:sz w:val="20"/>
          <w:szCs w:val="20"/>
          <w:color w:val="auto"/>
        </w:rPr>
      </w:pPr>
    </w:p>
    <w:p>
      <w:pPr>
        <w:ind w:right="60" w:firstLine="492"/>
        <w:spacing w:after="0" w:line="289" w:lineRule="auto"/>
        <w:rPr>
          <w:sz w:val="20"/>
          <w:szCs w:val="20"/>
          <w:color w:val="auto"/>
        </w:rPr>
      </w:pPr>
      <w:r>
        <w:rPr>
          <w:rFonts w:ascii="Arial" w:cs="Arial" w:eastAsia="Arial" w:hAnsi="Arial"/>
          <w:sz w:val="16"/>
          <w:szCs w:val="16"/>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free-standing derivative financial instruments according to certain criteria. The criteria include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26"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43" w:lineRule="exact"/>
        <w:rPr>
          <w:sz w:val="20"/>
          <w:szCs w:val="20"/>
          <w:color w:val="auto"/>
        </w:rPr>
      </w:pPr>
    </w:p>
    <w:p>
      <w:pPr>
        <w:ind w:right="460" w:firstLine="492"/>
        <w:spacing w:after="0" w:line="263" w:lineRule="auto"/>
        <w:rPr>
          <w:sz w:val="20"/>
          <w:szCs w:val="20"/>
          <w:color w:val="auto"/>
        </w:rPr>
      </w:pPr>
      <w:r>
        <w:rPr>
          <w:rFonts w:ascii="Arial" w:cs="Arial" w:eastAsia="Arial" w:hAnsi="Arial"/>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98"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In June 2016, the FASB issued ASU 2016-13, Financial Instruments - Credit Losses, and also issued subsequent amendments to the initial guidance, ASU 2018-19, ASU 2019-04, ASU 2019-05, ASU 2019-11, and ASU 2020-03 (collectively, Topic 326), to introduce a new impairment model for recognizing credit losses on financial instruments based on an estimate of current expected credit losses (“CECL”). Under Topic 326, an entity is required to estimate CECL on available-for-sale (“AFS”) debt securities only when the fair value is below the amortized cost of the asset and is no longer based on an impairment being “other-than-temporary”. Topic 326 also requires the impairment calculation on an individual security level and requires an entity use present value of cash flows when estimating the CECL. The credit-related losses are required to be recognized through earnings and non-credit related losses are reported in other comprehensive income. In April 2019, the FASB further clarified the scope of Topic 326 and addressed issues related to accrued interest receivable balances, recoveries, variable interest rates and prepayment. Topic 326 will be effective for public entities in fiscal years beginning after December 15, 2019, including interim periods within those fiscal years. The new guidance requires modified retrospective application to all outstanding instruments, with a cumulative effect adjustment recorded to opening retained earnings as of the beginning of the first period in which the guidance becomes effective. The Company adopted this guidance on January 1, 2020, however, the adoption of this new guidance did not have any material impact on its condensed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185"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(ASU 2018-15). The guidance requires a customer in a cloud computing arrangement that is a service contract to follow the internal use software guidance to determine which implementation costs to defer and recognize as an asset. It therefore requires a customer to defer potentially significant implementation costs incurred in a cloud computing arrangement that were often expensed as incurred under the legacy GAAP and recognize them as expense over the term of the hosting arrangement. ASU 2018-15 is effective for fiscal years beginning subsequent to December 15, 2019. The Company adopted this guidance on January 1, 2020. There was no impact on the Company's condensed consolidated balance sheets and statements of operations as of and for the three and six months ended June 30, 2020. However, the Company believes it will have a material impact on its condensed consolidated balance sheets and statements of operations in the future by deferring recognition of costs as it prepares to invest in information technology infrastructure for its commercial manufacturing build-out.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85"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The Company’s management evaluates events that have occurred after the balance sheet date but before the financial statements are issued. See Note 11 Subsequent Event.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NOTE 3. CASH EQUIVALENTS AND SHORT-TERM INVESTMENTS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780" w:type="dxa"/>
            <w:vAlign w:val="bottom"/>
            <w:gridSpan w:val="3"/>
          </w:tcPr>
          <w:p>
            <w:pPr>
              <w:ind w:left="500"/>
              <w:spacing w:after="0"/>
              <w:rPr>
                <w:sz w:val="20"/>
                <w:szCs w:val="20"/>
                <w:color w:val="auto"/>
              </w:rPr>
            </w:pPr>
            <w:r>
              <w:rPr>
                <w:rFonts w:ascii="Arial" w:cs="Arial" w:eastAsia="Arial" w:hAnsi="Arial"/>
                <w:sz w:val="18"/>
                <w:szCs w:val="18"/>
                <w:color w:val="auto"/>
                <w:w w:val="93"/>
              </w:rPr>
              <w:t>Cash equivalents and short-term investments consist of the following (in thousands):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4"/>
              </w:rPr>
              <w:t>June 30,</w:t>
            </w:r>
          </w:p>
        </w:tc>
        <w:tc>
          <w:tcPr>
            <w:tcW w:w="200" w:type="dxa"/>
            <w:vAlign w:val="bottom"/>
          </w:tcPr>
          <w:p>
            <w:pPr>
              <w:spacing w:after="0"/>
              <w:rPr>
                <w:sz w:val="24"/>
                <w:szCs w:val="24"/>
                <w:color w:val="auto"/>
              </w:rPr>
            </w:pPr>
          </w:p>
        </w:tc>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46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 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Cash equivalents - U.S. treasury securities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 U.S. government agency securities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780" w:type="dxa"/>
            <w:vAlign w:val="bottom"/>
            <w:gridSpan w:val="2"/>
          </w:tcPr>
          <w:p>
            <w:pPr>
              <w:ind w:left="100"/>
              <w:spacing w:after="0"/>
              <w:rPr>
                <w:sz w:val="20"/>
                <w:szCs w:val="20"/>
                <w:color w:val="auto"/>
              </w:rPr>
            </w:pPr>
            <w:r>
              <w:rPr>
                <w:rFonts w:ascii="Arial" w:cs="Arial" w:eastAsia="Arial" w:hAnsi="Arial"/>
                <w:sz w:val="18"/>
                <w:szCs w:val="18"/>
                <w:color w:val="auto"/>
              </w:rPr>
              <w:t>Cash equivalents 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151,131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470"/>
              <w:spacing w:after="0"/>
              <w:rPr>
                <w:sz w:val="20"/>
                <w:szCs w:val="20"/>
                <w:color w:val="auto"/>
              </w:rPr>
            </w:pPr>
            <w:r>
              <w:rPr>
                <w:rFonts w:ascii="Arial" w:cs="Arial" w:eastAsia="Arial" w:hAnsi="Arial"/>
                <w:sz w:val="18"/>
                <w:szCs w:val="18"/>
                <w:color w:val="auto"/>
              </w:rPr>
              <w:t>15</w:t>
            </w: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6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firstLine="492"/>
        <w:spacing w:after="0" w:line="277" w:lineRule="auto"/>
        <w:rPr>
          <w:sz w:val="20"/>
          <w:szCs w:val="20"/>
          <w:color w:val="auto"/>
        </w:rPr>
      </w:pPr>
      <w:r>
        <w:rPr>
          <w:rFonts w:ascii="Arial" w:cs="Arial" w:eastAsia="Arial" w:hAnsi="Arial"/>
          <w:sz w:val="18"/>
          <w:szCs w:val="18"/>
          <w:color w:val="auto"/>
        </w:rPr>
        <w:t>Cash equivalents in the tables above exclude cash demand deposits of $9.5 million and $3.9 million as of June 30, 2020 and December 31, 2019, respectively (in thousands).</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4"/>
              </w:rPr>
              <w:t>June 30,</w:t>
            </w:r>
          </w:p>
        </w:tc>
        <w:tc>
          <w:tcPr>
            <w:tcW w:w="2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340,698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242,249</w:t>
            </w:r>
          </w:p>
        </w:tc>
      </w:tr>
      <w:tr>
        <w:trPr>
          <w:trHeight w:val="216"/>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270,567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50,863</w:t>
            </w:r>
          </w:p>
        </w:tc>
      </w:tr>
      <w:tr>
        <w:trPr>
          <w:trHeight w:val="210"/>
        </w:trPr>
        <w:tc>
          <w:tcPr>
            <w:tcW w:w="5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Short-term investments 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611,265</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r>
      <w:tr>
        <w:trPr>
          <w:trHeight w:val="20"/>
        </w:trPr>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The cost and fair value of cash equivalents and short-term investments at June 30, 2020 and December 31, 2019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Gross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Accretion</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Unrealized</w:t>
            </w:r>
          </w:p>
        </w:tc>
        <w:tc>
          <w:tcPr>
            <w:tcW w:w="20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As of June 30, 2020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Gains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Fair Value</w:t>
            </w:r>
          </w:p>
        </w:tc>
      </w:tr>
      <w:tr>
        <w:trPr>
          <w:trHeight w:val="209"/>
        </w:trPr>
        <w:tc>
          <w:tcPr>
            <w:tcW w:w="4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16"/>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340,552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340,698</w:t>
            </w: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w w:val="95"/>
              </w:rPr>
              <w:t>270,501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270,567</w:t>
            </w:r>
          </w:p>
        </w:tc>
      </w:tr>
      <w:tr>
        <w:trPr>
          <w:trHeight w:val="210"/>
        </w:trPr>
        <w:tc>
          <w:tcPr>
            <w:tcW w:w="4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2"/>
              </w:rPr>
              <w:t>611,053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611,265</w:t>
            </w:r>
          </w:p>
        </w:tc>
      </w:tr>
      <w:tr>
        <w:trPr>
          <w:trHeight w:val="20"/>
        </w:trPr>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Gross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Unrealized</w:t>
            </w:r>
          </w:p>
        </w:tc>
        <w:tc>
          <w:tcPr>
            <w:tcW w:w="2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2019</w:t>
            </w:r>
          </w:p>
        </w:tc>
        <w:tc>
          <w:tcPr>
            <w:tcW w:w="18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Accretion</w:t>
            </w:r>
          </w:p>
        </w:tc>
        <w:tc>
          <w:tcPr>
            <w:tcW w:w="18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Gains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Fair Value</w:t>
            </w:r>
          </w:p>
        </w:tc>
      </w:tr>
      <w:tr>
        <w:trPr>
          <w:trHeight w:val="210"/>
        </w:trPr>
        <w:tc>
          <w:tcPr>
            <w:tcW w:w="4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16"/>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242,249</w:t>
            </w:r>
          </w:p>
        </w:tc>
      </w:tr>
      <w:tr>
        <w:trPr>
          <w:trHeight w:val="216"/>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50,712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50,863</w:t>
            </w:r>
          </w:p>
        </w:tc>
      </w:tr>
      <w:tr>
        <w:trPr>
          <w:trHeight w:val="210"/>
        </w:trPr>
        <w:tc>
          <w:tcPr>
            <w:tcW w:w="44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r>
      <w:tr>
        <w:trPr>
          <w:trHeight w:val="20"/>
        </w:trPr>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Upon adoption of Topic 326 on January 1, 2020, the Company is required to assess and estimate CECL on AFS debt securities only when the fair value is below the amortized cost of the asset and is no longer based on an impairment being “other-than-temporary”. The credit-related losses are required to be recognized through the statements of operations and non-credit related losses are reported in other comprehensive income. For the three and six months ended June 30, 2020, no CECL was recognized in the condensed consolidated statement of operations and all unrealized gains and losses are included in accumulated other comprehensive income. All short-term investments held by the Company as of June 30, 2020 and December 31, 2019 have a maturity of less than one year.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NOTE 4. BALANCE SHEET COMPONENTS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80" w:type="dxa"/>
            <w:vAlign w:val="bottom"/>
            <w:gridSpan w:val="2"/>
          </w:tcPr>
          <w:p>
            <w:pPr>
              <w:ind w:left="500"/>
              <w:spacing w:after="0"/>
              <w:rPr>
                <w:sz w:val="20"/>
                <w:szCs w:val="20"/>
                <w:color w:val="auto"/>
              </w:rPr>
            </w:pPr>
            <w:r>
              <w:rPr>
                <w:rFonts w:ascii="Arial" w:cs="Arial" w:eastAsia="Arial" w:hAnsi="Arial"/>
                <w:sz w:val="18"/>
                <w:szCs w:val="18"/>
                <w:color w:val="auto"/>
                <w:w w:val="94"/>
              </w:rPr>
              <w:t>Accrued liabilities consist of the following (in thousands):</w:t>
            </w: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June 30,</w:t>
            </w:r>
          </w:p>
        </w:tc>
        <w:tc>
          <w:tcPr>
            <w:tcW w:w="24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36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Accrued payroll and employee related expenses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6,866</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related</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Commercial manufacturing facility related</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and related services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other</w:t>
            </w:r>
          </w:p>
        </w:tc>
        <w:tc>
          <w:tcPr>
            <w:tcW w:w="2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09"/>
        </w:trPr>
        <w:tc>
          <w:tcPr>
            <w:tcW w:w="36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38,794</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60" w:type="dxa"/>
            <w:vAlign w:val="bottom"/>
            <w:vMerge w:val="restart"/>
          </w:tcPr>
          <w:p>
            <w:pPr>
              <w:jc w:val="right"/>
              <w:ind w:right="2390"/>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Authorized Shares of Common Stock</w:t>
      </w:r>
    </w:p>
    <w:p>
      <w:pPr>
        <w:spacing w:after="0" w:line="198"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On June 10, 2019, the certificate of incorporation of the Company was amended to increase the number of authorized shares of the Company's common stock, par value $0.000041666, from 150,000,000 shares to 300,000,000 shares (the "Certificate of Amendment"). The Certificate of Amendment was approved by the Company's stockholders at the Company's 2019 Annual Meeting of Stockholders held on June 10,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Offerings</w:t>
      </w:r>
    </w:p>
    <w:p>
      <w:pPr>
        <w:spacing w:after="0" w:line="185"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In June 2020, the Company closed an underwritten public offering of 16,935,484 shares of the Company’s common stock at a public offering price of $31.00 per share, before underwriting discounts, which included 2,540,322 shares issued upon the exercise in full by the underwriter of its option to purchase additional shares at the public offering price less the underwriting discount (the "June 2020 Public Offering"). The gross proceeds from the offering, before deducting the underwriting discounts and commissions and other offering expenses payable by the Company, were $603.7 million, with net proceeds to the Company of approximately $567.0 million.</w:t>
      </w:r>
    </w:p>
    <w:p>
      <w:pPr>
        <w:spacing w:after="0" w:line="134"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In October 2018, the Company completed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were $252.2 million, with net proceeds to the Company of $236.7 million.</w:t>
      </w:r>
    </w:p>
    <w:p>
      <w:pPr>
        <w:spacing w:after="0" w:line="136"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were $172.5 million, with net proceeds to the Company of $162.0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198" w:lineRule="exact"/>
        <w:rPr>
          <w:sz w:val="20"/>
          <w:szCs w:val="20"/>
          <w:color w:val="auto"/>
        </w:rPr>
      </w:pPr>
    </w:p>
    <w:p>
      <w:pPr>
        <w:jc w:val="both"/>
        <w:ind w:right="180" w:firstLine="492"/>
        <w:spacing w:after="0" w:line="311" w:lineRule="auto"/>
        <w:rPr>
          <w:sz w:val="20"/>
          <w:szCs w:val="20"/>
          <w:color w:val="auto"/>
        </w:rPr>
      </w:pPr>
      <w:r>
        <w:rPr>
          <w:rFonts w:ascii="Arial" w:cs="Arial" w:eastAsia="Arial" w:hAnsi="Arial"/>
          <w:sz w:val="16"/>
          <w:szCs w:val="16"/>
          <w:color w:val="auto"/>
        </w:rPr>
        <w:t>The Company’s certificate of incorporation authorizes the issuance of up to 50,000,000 shares of “blank check” preferred stock. At June 30, 2020, 17,000 shares were designated as Series A Convertible Preferred Stock (“Series A Convertible Preferred Stock”) and 11,500,000 shares were designated as Series B Convertible Preferred Stock (“Series B Convertible Preferred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185" w:lineRule="exact"/>
        <w:rPr>
          <w:sz w:val="20"/>
          <w:szCs w:val="20"/>
          <w:color w:val="auto"/>
        </w:rPr>
      </w:pPr>
    </w:p>
    <w:p>
      <w:pPr>
        <w:ind w:right="180" w:firstLine="492"/>
        <w:spacing w:after="0" w:line="301" w:lineRule="auto"/>
        <w:rPr>
          <w:sz w:val="20"/>
          <w:szCs w:val="20"/>
          <w:color w:val="auto"/>
        </w:rPr>
      </w:pPr>
      <w:r>
        <w:rPr>
          <w:rFonts w:ascii="Arial" w:cs="Arial" w:eastAsia="Arial" w:hAnsi="Arial"/>
          <w:sz w:val="16"/>
          <w:szCs w:val="16"/>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spacing w:after="0" w:line="130"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spacing w:after="0" w:line="137" w:lineRule="exact"/>
        <w:rPr>
          <w:sz w:val="20"/>
          <w:szCs w:val="20"/>
          <w:color w:val="auto"/>
        </w:rPr>
      </w:pPr>
    </w:p>
    <w:p>
      <w:pPr>
        <w:ind w:right="340" w:firstLine="492"/>
        <w:spacing w:after="0" w:line="263" w:lineRule="auto"/>
        <w:rPr>
          <w:sz w:val="20"/>
          <w:szCs w:val="20"/>
          <w:color w:val="auto"/>
        </w:rPr>
      </w:pPr>
      <w:r>
        <w:rPr>
          <w:rFonts w:ascii="Arial" w:cs="Arial" w:eastAsia="Arial" w:hAnsi="Arial"/>
          <w:sz w:val="18"/>
          <w:szCs w:val="18"/>
          <w:color w:val="auto"/>
        </w:rPr>
        <w:t>No Shares of Series A Convertible Preferred Stock were converted during the six months ended June 30, 2020 or 2019. At June 30, 2020 and December 31, 2019, 194 shares of Series A Convertible Preferred Stock (that are convertible into 97,000 shares of common stock) remained outstanding.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Convertible Preferred Stock</w:t>
      </w:r>
    </w:p>
    <w:p>
      <w:pPr>
        <w:spacing w:after="0" w:line="185" w:lineRule="exact"/>
        <w:rPr>
          <w:sz w:val="20"/>
          <w:szCs w:val="20"/>
          <w:color w:val="auto"/>
        </w:rPr>
      </w:pPr>
    </w:p>
    <w:p>
      <w:pPr>
        <w:ind w:right="80" w:firstLine="492"/>
        <w:spacing w:after="0" w:line="301" w:lineRule="auto"/>
        <w:rPr>
          <w:sz w:val="20"/>
          <w:szCs w:val="20"/>
          <w:color w:val="auto"/>
        </w:rPr>
      </w:pPr>
      <w:r>
        <w:rPr>
          <w:rFonts w:ascii="Arial" w:cs="Arial" w:eastAsia="Arial" w:hAnsi="Arial"/>
          <w:sz w:val="16"/>
          <w:szCs w:val="16"/>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spacing w:after="0" w:line="130"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The Series B Convertible Preferred Stock may, at the option of each investor, be converted into fully paid and non-assessable shares of common stock. The holders of shares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38"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No shares of Series B Convertible Preferred Stock were converted during the six months ended June 30, 2020 and 2019. At June 30, 2020 and December 31, 2019, 3,581,119 shares of Series B Preferred Stock (that are convertible into 3,581,119 shares of common stock) remained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Cancellation of Common Stock</w:t>
      </w:r>
    </w:p>
    <w:p>
      <w:pPr>
        <w:spacing w:after="0" w:line="198"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On September 30, 2013, the Company and a third party entered into an agreement under which the Company issued 50,000 shares of unregistered stock in the Company to the third party. On January 16, 2019, the two parties entered into a confidential settlement agreement in connection with a dispute related to their prior relationship and activities. As part of the settlement, the third party returned 32,500 shares of common stock to the Company for cancellation and retained the remaining 17,500 shares. The Company included a gain of $335,000 on cancellation of 32,500 shares in Other income in its condensed consolidated statement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 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On October 14, 2011, the Company’s Board of Directors (the "Board")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the 2011 Plan. In August 2013, the Board and a majority of the Company’s stockholders approved an amendment to increase the number of shares available under the 2011 Plan from 180,000 shares to 1,700,000 shares, and an amendment to increase the number options or other awards that can be granted to any one person during a twelve (12) month period from 50,000 shares to 300,000 shares. The foregoing amendment to the 2011 Plan became effective in September 2013. On August 20, 2014, the Board amended the 2011 Plan to increase the number of shares available for issuance upon the exercise of stock options under the 2011 Plan from 1,700,000 to 1,900,000 shares, effective immediately. At June 30, 2020, 11,240 shares were available for future grant under the 2011 Plan.</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September 19, 2014, the Board adopted the Iovance Biotherapeutics, Inc. 2014 Equity Incentive Plan (the “2014 Plan”).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 Plan was approved by the Company’s stockholders at the Company’s 2014 Annual Meeting of Stockholders held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November 2014. The 2014 Plan, as approved by the stockholders, authorized the issuance up to an aggregate of 2,350,000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On April 10, 2015, the Board amended the 2014 Plan to increase the total number of shares that can be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2014 Plan to 4,000,000 shares of the Company’s common stock. The increase in shares available for issuance under the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was approved by the Company’s stockholders at the Company’s 2015 Annual Meeting of Stockholders in June 2015.</w:t>
      </w:r>
    </w:p>
    <w:p>
      <w:pPr>
        <w:spacing w:after="0" w:line="170"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On August 16, 2016, the Company’s stockholders approved an increase in the total number of shares that can be issued under the 2014 Plan to 9,000,000 shares of the Company’s common stock. At June 30, 2020, 5,962 shares were available for grant under the Company’s 2014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On April 22, 2018, the Board adopted the Iovance Biotherapeutics, Inc. 2018 Equity Incentive Plan (the “2018 Plan”). The 2018 Plan was approved by the Company’s stockholders at the annual meeting of stockholders held in June 2018. The 2018 Plan as 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 from 6,000,000 to 14,000,000 shares, which became effective immediately. At June 30, 2020, 7,972,159 shares of common stock were available for grant under the Company’s 2018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8"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On June 1, 2016, the Company entered into an RSU agreement with the Company’s new Chief Executive Officer, Maria Fardis, Ph.D., M.B.A., pursuant to which the Company granted Dr. Fardis 550,000 non-transferrable RSUs at a fair market value price of $5.87 per share as an inducement to her employment pursuant to the exception to The Nasdaq Global Market rules that generally require stockholder approval of equity incentive plans. The 550,000 RSUs vested in installments as follows: (i) 137,500 restricted stock units vested upon the first anniversary of the effective date of Dr. Fardis’ employment agreement; (ii) 275,000 restricted stock units vested upon the satisfaction of certain clinical trial milestones; and (iii) 137,500 restricted stock units vested in equal monthly installments over the 36-month period following the first anniversary of the effective date of Dr. Fardis’ employment, such that the RSUs were fully vested as of June 1, 2020. At June 30, 2020, the Company had no RSUs outstanding.</w:t>
      </w:r>
    </w:p>
    <w:p>
      <w:pPr>
        <w:spacing w:after="0" w:line="138"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Stock-based compensation expense for RSUs are measured based on the closing fair market value of the Company’s common stock on the date of grant. The stock-based compensation expenses relating to RSUs were $0.04 million and $0.1 million for the three months ended June 30, 2020 and 2019, respectively, and $0.1 million and $0.1 million for the six months ended June 30, 2020 and 2019, respectively, recorded as part of general and administrative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ind w:right="400" w:firstLine="492"/>
        <w:spacing w:after="0" w:line="259" w:lineRule="auto"/>
        <w:rPr>
          <w:sz w:val="20"/>
          <w:szCs w:val="20"/>
          <w:color w:val="auto"/>
        </w:rPr>
      </w:pPr>
      <w:r>
        <w:rPr>
          <w:rFonts w:ascii="Arial" w:cs="Arial" w:eastAsia="Arial" w:hAnsi="Arial"/>
          <w:sz w:val="18"/>
          <w:szCs w:val="18"/>
          <w:color w:val="auto"/>
        </w:rPr>
        <w:t>In June 2020, the Company adopted the 2020 Employee Stock Purchase Plan (the "2020 ESPP") upon its approval by the Company's shareholders at its Annual Stockholders Meeting on June 8, 2020. The Company reserved 500,000 shares of its common stock for issuance under the 2020 ESPP, and as of June 30, 2020, no shares were issued under the 2020 ESPP and there was no unrecognized compensation cost related to the 2020 ESPP.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A summary of the status of stock options at June 30, 2020, and the changes during the six months then ended, is presented in the following table:</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20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Value (in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 Life</w:t>
            </w:r>
          </w:p>
        </w:tc>
        <w:tc>
          <w:tcPr>
            <w:tcW w:w="10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6"/>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9,494,712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3,951,151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25.89</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(317,380)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12,594,736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5,705,709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The Company recorded stock-based compensation expenses related to stock options of $10.5 million and $6.4 million for the three months ended June 30, 2020 and 2019 respectively, and $19.8 million and $12.1 million for the six months ended June 30, 2020 and 2019, respectively. As of June 30, 2020, there was $82.0 million of total unrecognized compensation expense related to the options to be recognized over a weighted average period of 2.09 years.</w:t>
      </w:r>
    </w:p>
    <w:p>
      <w:pPr>
        <w:spacing w:after="0" w:line="160"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six months ended June 30, 2020 and 2019 was $16.20 and $7.98 per option, respectively.</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(the difference between the Company’s closing stock price on the last trading day of the quarter ended June 30, 2020 and the exercise price of the options, multiplied by the number of in-the-money stock options) that would have been received by the option holders had all option holders exercised their options on June 30, 2020. The intrinsic value of the Company’s stock options changes based on the closing price of the Company’s common stock.</w:t>
      </w:r>
    </w:p>
    <w:p>
      <w:pPr>
        <w:spacing w:after="0" w:line="188" w:lineRule="exact"/>
        <w:rPr>
          <w:sz w:val="20"/>
          <w:szCs w:val="20"/>
          <w:color w:val="auto"/>
        </w:rPr>
      </w:pPr>
    </w:p>
    <w:p>
      <w:pPr>
        <w:ind w:right="100" w:firstLine="492"/>
        <w:spacing w:after="0" w:line="277" w:lineRule="auto"/>
        <w:rPr>
          <w:sz w:val="20"/>
          <w:szCs w:val="20"/>
          <w:color w:val="auto"/>
        </w:rPr>
      </w:pPr>
      <w:r>
        <w:rPr>
          <w:rFonts w:ascii="Arial" w:cs="Arial" w:eastAsia="Arial" w:hAnsi="Arial"/>
          <w:sz w:val="18"/>
          <w:szCs w:val="18"/>
          <w:color w:val="auto"/>
        </w:rPr>
        <w:t>The following table summarizes the assumptions relating to options granted pursuant to the Company’s equity incentive plans for the six months ended June 30, 2020 and 2019:</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500" w:type="dxa"/>
            <w:vAlign w:val="bottom"/>
            <w:gridSpan w:val="4"/>
          </w:tcPr>
          <w:p>
            <w:pPr>
              <w:ind w:left="16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34"/>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Assumptions:</w:t>
            </w:r>
          </w:p>
        </w:tc>
        <w:tc>
          <w:tcPr>
            <w:tcW w:w="13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- 6.19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6.06</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jc w:val="right"/>
              <w:spacing w:after="0"/>
              <w:rPr>
                <w:sz w:val="20"/>
                <w:szCs w:val="20"/>
                <w:color w:val="auto"/>
              </w:rPr>
            </w:pPr>
            <w:r>
              <w:rPr>
                <w:rFonts w:ascii="Arial" w:cs="Arial" w:eastAsia="Arial" w:hAnsi="Arial"/>
                <w:sz w:val="18"/>
                <w:szCs w:val="18"/>
                <w:color w:val="auto"/>
                <w:w w:val="88"/>
              </w:rPr>
              <w:t>69.99%</w:t>
            </w:r>
          </w:p>
        </w:tc>
        <w:tc>
          <w:tcPr>
            <w:tcW w:w="700" w:type="dxa"/>
            <w:vAlign w:val="bottom"/>
          </w:tcPr>
          <w:p>
            <w:pPr>
              <w:ind w:left="20"/>
              <w:spacing w:after="0"/>
              <w:rPr>
                <w:sz w:val="20"/>
                <w:szCs w:val="20"/>
                <w:color w:val="auto"/>
              </w:rPr>
            </w:pPr>
            <w:r>
              <w:rPr>
                <w:rFonts w:ascii="Arial" w:cs="Arial" w:eastAsia="Arial" w:hAnsi="Arial"/>
                <w:sz w:val="18"/>
                <w:szCs w:val="18"/>
                <w:color w:val="auto"/>
                <w:w w:val="91"/>
              </w:rPr>
              <w:t>- 70.75%</w:t>
            </w: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70.78%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- 1.83%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2.59%</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00" w:type="dxa"/>
            <w:vAlign w:val="bottom"/>
            <w:gridSpan w:val="2"/>
          </w:tcPr>
          <w:p>
            <w:pPr>
              <w:jc w:val="right"/>
              <w:ind w:right="45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Expected Dividend Yield —The Company has never paid dividends and does not expect to pay dividends in the foreseeable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170"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color w:val="auto"/>
        </w:rPr>
        <w:t>Risk-Free Interest Rate —The risk-free interest rate was based on the market yield currently available on United States Treasury securities with maturities approximately equal to the option’s expected term.</w:t>
      </w:r>
    </w:p>
    <w:p>
      <w:pPr>
        <w:spacing w:after="0" w:line="143" w:lineRule="exact"/>
        <w:rPr>
          <w:sz w:val="20"/>
          <w:szCs w:val="20"/>
          <w:color w:val="auto"/>
        </w:rPr>
      </w:pPr>
    </w:p>
    <w:p>
      <w:pPr>
        <w:ind w:right="320" w:firstLine="492"/>
        <w:spacing w:after="0" w:line="277" w:lineRule="auto"/>
        <w:rPr>
          <w:sz w:val="20"/>
          <w:szCs w:val="20"/>
          <w:color w:val="auto"/>
        </w:rPr>
      </w:pPr>
      <w:r>
        <w:rPr>
          <w:rFonts w:ascii="Arial" w:cs="Arial" w:eastAsia="Arial" w:hAnsi="Arial"/>
          <w:sz w:val="18"/>
          <w:szCs w:val="18"/>
          <w:color w:val="auto"/>
        </w:rPr>
        <w:t>Expected Term —The expected term of the stock option grants was calculated based on historical exercises, cancellations, and forfeitures of stock options and outstanding option shares</w:t>
      </w:r>
    </w:p>
    <w:p>
      <w:pPr>
        <w:spacing w:after="0" w:line="130"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Expected Volatility —The expected volatility is based on the historical volatility for the Company’s stock over a period equal to the expected terms of the options.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Forfeiture Rate —The Company recognizes forfeitures as they occur.</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of the inputs discussed above is subjective and generally requires significant management judgment.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LICENSES AND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198" w:lineRule="exact"/>
        <w:rPr>
          <w:sz w:val="20"/>
          <w:szCs w:val="20"/>
          <w:color w:val="auto"/>
        </w:rPr>
      </w:pPr>
    </w:p>
    <w:p>
      <w:pPr>
        <w:ind w:right="220" w:firstLine="492"/>
        <w:spacing w:after="0" w:line="342" w:lineRule="auto"/>
        <w:rPr>
          <w:sz w:val="20"/>
          <w:szCs w:val="20"/>
          <w:color w:val="auto"/>
        </w:rPr>
      </w:pPr>
      <w:r>
        <w:rPr>
          <w:rFonts w:ascii="Arial" w:cs="Arial" w:eastAsia="Arial" w:hAnsi="Arial"/>
          <w:sz w:val="16"/>
          <w:szCs w:val="16"/>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83"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In January 2015, the Company executed an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43"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In August 2016, the NCI and the Company entered a second amendment to the CRADA. The principal changes effected by the second amendment included (i) extending the term of the CRADA by another five years to August 2021, and (ii) modifying the focus on the development of unmodified TIL as a stand-alone therapy or in combination with U.S. Food and Drug Administration ("FDA") -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65" w:lineRule="exact"/>
        <w:rPr>
          <w:sz w:val="20"/>
          <w:szCs w:val="20"/>
          <w:color w:val="auto"/>
        </w:rPr>
      </w:pPr>
    </w:p>
    <w:p>
      <w:pPr>
        <w:ind w:right="300" w:firstLine="492"/>
        <w:spacing w:after="0" w:line="296" w:lineRule="auto"/>
        <w:rPr>
          <w:sz w:val="20"/>
          <w:szCs w:val="20"/>
          <w:color w:val="auto"/>
        </w:rPr>
      </w:pPr>
      <w:r>
        <w:rPr>
          <w:rFonts w:ascii="Arial" w:cs="Arial" w:eastAsia="Arial" w:hAnsi="Arial"/>
          <w:sz w:val="16"/>
          <w:szCs w:val="16"/>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$0.5 million for the three months ended June 30, 2020 and 2019, and $1.0 million for the six months ended June 30, 2020 and 2019 as research and development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198" w:lineRule="exact"/>
        <w:rPr>
          <w:sz w:val="20"/>
          <w:szCs w:val="20"/>
          <w:color w:val="auto"/>
        </w:rPr>
      </w:pPr>
    </w:p>
    <w:p>
      <w:pPr>
        <w:ind w:right="100" w:firstLine="492"/>
        <w:spacing w:after="0" w:line="269" w:lineRule="auto"/>
        <w:rPr>
          <w:sz w:val="20"/>
          <w:szCs w:val="20"/>
          <w:color w:val="auto"/>
        </w:rPr>
      </w:pPr>
      <w:r>
        <w:rPr>
          <w:rFonts w:ascii="Arial" w:cs="Arial" w:eastAsia="Arial" w:hAnsi="Arial"/>
          <w:sz w:val="17"/>
          <w:szCs w:val="17"/>
          <w:color w:val="auto"/>
        </w:rPr>
        <w:t>Effective October 5, 2011, the Company entered into an Exclusive Patent License Agreement (the “Patent License Agreement”) with the NIH, an agency of the United States Public Health Service within the Department of Health and Human Services (NIH), which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 The Company anticipates making a milestone payment in conjunction with the submission of Biologics License Application.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8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 cell populations that express various inhibitory receptors. Unless terminated sooner, the license shall remain in effect until the last licensed patent right expires.</w:t>
      </w:r>
    </w:p>
    <w:p>
      <w:pPr>
        <w:spacing w:after="0" w:line="161"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98" w:lineRule="exact"/>
        <w:rPr>
          <w:sz w:val="20"/>
          <w:szCs w:val="20"/>
          <w:color w:val="auto"/>
        </w:rPr>
      </w:pPr>
    </w:p>
    <w:p>
      <w:pPr>
        <w:ind w:right="60" w:firstLine="492"/>
        <w:spacing w:after="0" w:line="287" w:lineRule="auto"/>
        <w:rPr>
          <w:sz w:val="20"/>
          <w:szCs w:val="20"/>
          <w:color w:val="auto"/>
        </w:rPr>
      </w:pPr>
      <w:r>
        <w:rPr>
          <w:rFonts w:ascii="Arial" w:cs="Arial" w:eastAsia="Arial" w:hAnsi="Arial"/>
          <w:sz w:val="16"/>
          <w:szCs w:val="16"/>
          <w:color w:val="auto"/>
        </w:rPr>
        <w:t>In December 2016, the Company entered into a new three-year Sponsored Research Agreement with H. Lee Moffitt Cancer Center (“Moffitt"), which expired in December 2019. In June 2020, the Company entered into a new Sponsored Research Agreement with Moffitt, with a term that ends either upon completion of the research thereunder or on July 1, 2022, whichever is sooner, and under which immaterial payments will be made to Moffitt in connection with the research services thereunder.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The Company recorded research and development costs of $0.1 and $0.2 million for the three months ended June 30, 2020 and 2019, respectively, and $0.3 million and $0.5 million for the six months ended June 30, 2020 and 2019, respectively, in connection with the research collaboration and clinical grant agreements with Moffitt.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85" w:lineRule="exact"/>
        <w:rPr>
          <w:sz w:val="20"/>
          <w:szCs w:val="20"/>
          <w:color w:val="auto"/>
        </w:rPr>
      </w:pPr>
    </w:p>
    <w:p>
      <w:pPr>
        <w:ind w:right="220" w:firstLine="492"/>
        <w:spacing w:after="0" w:line="311" w:lineRule="auto"/>
        <w:rPr>
          <w:sz w:val="20"/>
          <w:szCs w:val="20"/>
          <w:color w:val="auto"/>
        </w:rPr>
      </w:pPr>
      <w:r>
        <w:rPr>
          <w:rFonts w:ascii="Arial" w:cs="Arial" w:eastAsia="Arial" w:hAnsi="Arial"/>
          <w:sz w:val="16"/>
          <w:szCs w:val="16"/>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w:t>
      </w:r>
    </w:p>
    <w:p>
      <w:pPr>
        <w:sectPr>
          <w:pgSz w:w="11900" w:h="16838" w:orient="portrait"/>
          <w:cols w:equalWidth="0" w:num="1">
            <w:col w:w="9880"/>
          </w:cols>
          <w:pgMar w:left="980" w:top="665" w:right="1039" w:bottom="1440" w:gutter="0" w:footer="0" w:header="0"/>
        </w:sect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earlier of the expiration of the last issued patent related to the licensed technology or 20 years after the effective date of the license agreement.</w:t>
      </w:r>
    </w:p>
    <w:p>
      <w:pPr>
        <w:spacing w:after="0" w:line="130"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United States, Europe and Japan and in other countries designated by the Company in agreement with Moffitt. No expenses were recorded for the First Moffitt License for the three and six months ended June 30, 2020 and 2019.</w:t>
      </w:r>
    </w:p>
    <w:p>
      <w:pPr>
        <w:spacing w:after="0" w:line="167" w:lineRule="exact"/>
        <w:rPr>
          <w:sz w:val="20"/>
          <w:szCs w:val="20"/>
          <w:color w:val="auto"/>
        </w:rPr>
      </w:pPr>
    </w:p>
    <w:p>
      <w:pPr>
        <w:ind w:right="280" w:firstLine="492"/>
        <w:spacing w:after="0" w:line="263" w:lineRule="auto"/>
        <w:rPr>
          <w:sz w:val="20"/>
          <w:szCs w:val="20"/>
          <w:color w:val="auto"/>
        </w:rPr>
      </w:pPr>
      <w:r>
        <w:rPr>
          <w:rFonts w:ascii="Arial" w:cs="Arial" w:eastAsia="Arial" w:hAnsi="Arial"/>
          <w:sz w:val="18"/>
          <w:szCs w:val="18"/>
          <w:color w:val="auto"/>
        </w:rPr>
        <w:t>The Company entered into a license agreement with Moffitt effective as of May 7, 2018 (the “Second Moffitt License”), under which the Company received a license to Moffitt’s rights to patent-pending technologies related to the use of 4-1BB agonists in conjunction with TIL manufacturing processes and therapies.</w:t>
      </w:r>
    </w:p>
    <w:p>
      <w:pPr>
        <w:spacing w:after="0" w:line="143" w:lineRule="exact"/>
        <w:rPr>
          <w:sz w:val="20"/>
          <w:szCs w:val="20"/>
          <w:color w:val="auto"/>
        </w:rPr>
      </w:pPr>
    </w:p>
    <w:p>
      <w:pPr>
        <w:ind w:right="80" w:firstLine="492"/>
        <w:spacing w:after="0" w:line="273" w:lineRule="auto"/>
        <w:rPr>
          <w:sz w:val="20"/>
          <w:szCs w:val="20"/>
          <w:color w:val="auto"/>
        </w:rPr>
      </w:pPr>
      <w:r>
        <w:rPr>
          <w:rFonts w:ascii="Arial" w:cs="Arial" w:eastAsia="Arial" w:hAnsi="Arial"/>
          <w:sz w:val="17"/>
          <w:szCs w:val="17"/>
          <w:color w:val="auto"/>
        </w:rPr>
        <w:t>Pursuant to the Second Moffitt License, the Company paid an upfront licensing fee in the amount of $0.1 million in 2018. An annual license maintenance fee will be also payable commencing on the first anniversary of the effective date. In addition, the Company agreed to pay an annual commercial use payment for each indication for which a first sale has occurred, which in the aggregate amounts to up to $0.4 million a year. The Company recorded de minimis amount and $0.1 million for the three months ended June 30, 2020 and 2019, respectively, and de minimis amount and $0.1 million for the six months ended June 30, 2020 and 2019, respectively, as research and development expenses in connection with the Second Moffit License.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85" w:lineRule="exact"/>
        <w:rPr>
          <w:sz w:val="20"/>
          <w:szCs w:val="20"/>
          <w:color w:val="auto"/>
        </w:rPr>
      </w:pPr>
    </w:p>
    <w:p>
      <w:pPr>
        <w:ind w:right="60" w:firstLine="492"/>
        <w:spacing w:after="0" w:line="268" w:lineRule="auto"/>
        <w:rPr>
          <w:sz w:val="20"/>
          <w:szCs w:val="20"/>
          <w:color w:val="auto"/>
        </w:rPr>
      </w:pPr>
      <w:r>
        <w:rPr>
          <w:rFonts w:ascii="Arial" w:cs="Arial" w:eastAsia="Arial" w:hAnsi="Arial"/>
          <w:sz w:val="17"/>
          <w:szCs w:val="17"/>
          <w:color w:val="auto"/>
        </w:rPr>
        <w:t>On April 17, 2017, the Company entered into a Strategic Alliance Agreement (the “SAA”) with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In May 2017, the Company made a prepayment of $1.4 million under this agreement. In light of the COVID-19 Pandemic, MDACC has temporarily suspended their research programs and decommissioned their research labs, and as a result, enrollment in the Company’s MDACC-sponsored studies under the SAA is temporarily paused. The Company recorded $0.4 million associated with the MDACC SAA for the three months ended June 30, 2019, and $0.2 million and $1.6 million for the six months ended June 30, 2020 and 2019, respectively as research and development expenses. The Company did not record any expenses associated with the MDACC SAA for the three months ended June 30,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Apptech, Inc. (WuXi)</w:t>
      </w:r>
    </w:p>
    <w:p>
      <w:pPr>
        <w:spacing w:after="0" w:line="202" w:lineRule="exact"/>
        <w:rPr>
          <w:sz w:val="20"/>
          <w:szCs w:val="20"/>
          <w:color w:val="auto"/>
        </w:rPr>
      </w:pPr>
    </w:p>
    <w:p>
      <w:pPr>
        <w:ind w:right="80" w:firstLine="492"/>
        <w:spacing w:after="0" w:line="288" w:lineRule="auto"/>
        <w:rPr>
          <w:sz w:val="20"/>
          <w:szCs w:val="20"/>
          <w:color w:val="auto"/>
        </w:rPr>
      </w:pPr>
      <w:r>
        <w:rPr>
          <w:rFonts w:ascii="Arial" w:cs="Arial" w:eastAsia="Arial" w:hAnsi="Arial"/>
          <w:sz w:val="16"/>
          <w:szCs w:val="16"/>
          <w:color w:val="auto"/>
        </w:rPr>
        <w:t>In November 2016, the Company entered into a three-year manufacturing and services agreement (“MSA”) with WuXi AppTech, Inc. (“WuXi”) pursuant to which WuXi agreed to provide manufacturing and other services, which has since been amended and assigned to our subsidiary Iovance Biotherapeutics Manufacturing LLC. Under the agreement, the Company entered into two statements of work for two cGMP manufacturing suites to be established and operated by WuXi for the Company, both of the suites are expected to be capable of being used for the commercial manufacture of its products. The statements of work for each of the suites were amended in 2019. The statements of work for facility include a fixed component to reserve a dedicated suite and a trained work force, and a variable component, mainly materials and testing used during the manufacturing processes. Both statements of work provide for adjustments to the targeted production capacity levels and the corresponding fixed quarterly fees upon written notice from the Company of 30 days and 90 days for the first and second dedicated suites, respectively. The quarterly fixed fees payable for each of the dedicated manufacturing suites ranges from $1.2 million to $2.7 million depending on the production capacity level targeted.</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terms of the related statements of work for the first and second dedicated manufacturing suites currently extend to May 2020 and June 2021, respectively. The Company recorded costs associated with agreements with WuXi of $5.7 million and $6.8 million for the three months ended June 30, 2020 and 2019 respectively, and $12.3 million and $10.7 million for the six months ended June 30, 2020 and 2019, respectively, as research and development expenses.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Cellectis S.A. (Cellectis)</w:t>
      </w:r>
    </w:p>
    <w:p>
      <w:pPr>
        <w:spacing w:after="0" w:line="202" w:lineRule="exact"/>
        <w:rPr>
          <w:sz w:val="20"/>
          <w:szCs w:val="20"/>
          <w:color w:val="auto"/>
        </w:rPr>
      </w:pPr>
    </w:p>
    <w:p>
      <w:pPr>
        <w:ind w:right="100" w:firstLine="492"/>
        <w:spacing w:after="0" w:line="255" w:lineRule="auto"/>
        <w:rPr>
          <w:sz w:val="20"/>
          <w:szCs w:val="20"/>
          <w:color w:val="auto"/>
        </w:rPr>
      </w:pPr>
      <w:r>
        <w:rPr>
          <w:rFonts w:ascii="Arial" w:cs="Arial" w:eastAsia="Arial" w:hAnsi="Arial"/>
          <w:sz w:val="18"/>
          <w:szCs w:val="18"/>
          <w:color w:val="auto"/>
        </w:rPr>
        <w:t>On January 12, 2020, the Company entered into a research collaboration and exclusive worldwide license agreement whereby the Company will license gene-editing technology from Cellectis S.A. ("Cellectis"), a clinical-stage biopharmaceutical company, in order to develop TIL therapies that have been genetically edited. Financial terms of the license include development, regulatory and sales milestone payments from the Company to Cellectis, as well as royalty payments based on net sales of TALEN-modified TIL products. The Company recorded costs associated with the license agreement from Cellectis of $0.1 million and $0.2 million for the three and six months ended June 30, 2020,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Pharma AG (Novartis)</w:t>
      </w:r>
    </w:p>
    <w:p>
      <w:pPr>
        <w:spacing w:after="0" w:line="189" w:lineRule="exact"/>
        <w:rPr>
          <w:sz w:val="20"/>
          <w:szCs w:val="20"/>
          <w:color w:val="auto"/>
        </w:rPr>
      </w:pPr>
    </w:p>
    <w:p>
      <w:pPr>
        <w:ind w:right="80" w:firstLine="492"/>
        <w:spacing w:after="0" w:line="254" w:lineRule="auto"/>
        <w:rPr>
          <w:sz w:val="20"/>
          <w:szCs w:val="20"/>
          <w:color w:val="auto"/>
        </w:rPr>
      </w:pPr>
      <w:r>
        <w:rPr>
          <w:rFonts w:ascii="Arial" w:cs="Arial" w:eastAsia="Arial" w:hAnsi="Arial"/>
          <w:sz w:val="18"/>
          <w:szCs w:val="18"/>
          <w:color w:val="auto"/>
        </w:rPr>
        <w:t>On January 12, 2020, the Company obtained a license from Novartis Pharma AG (“Novartis”) to develop and commercialize an antibody cytokine engrafted protein, which the Company refers to as IOV-3001. Under the agreement, the Company has paid an upfront payment to Novartis and may pay future milestones related to initiation of patient dosing in various phases of clinical development for IOV-3001 and approval of the product in the U.S, EU and Japan. Novartis is also entitled to low-to-mid single digit royalties from commercial sales of the product. The Company recorded costs associated with the license agreement from Novartis of $ 10.0 million as research and development expenses for the three months ended March 31, 2020. The Company did not record any expenses for the three months ended June 30,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LEGAL PROCEEDINGS</w:t>
      </w:r>
    </w:p>
    <w:p>
      <w:pPr>
        <w:spacing w:after="0" w:line="202"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u w:val="single" w:color="auto"/>
          <w:color w:val="auto"/>
        </w:rPr>
        <w:t>Class Action Lawsuit</w:t>
      </w:r>
      <w:r>
        <w:rPr>
          <w:rFonts w:ascii="Arial" w:cs="Arial" w:eastAsia="Arial" w:hAnsi="Arial"/>
          <w:sz w:val="16"/>
          <w:szCs w:val="16"/>
          <w:color w:val="auto"/>
        </w:rPr>
        <w:t xml:space="preserve">. On April 10, 2017, the SEC announced settlements with the Company and with other public companies 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The Company’s settlement with the SEC is consistent with its previous disclosures (including in its Annual Report on Form 10-K that the Company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6"/>
          <w:szCs w:val="16"/>
          <w:i w:val="1"/>
          <w:iCs w:val="1"/>
          <w:color w:val="auto"/>
        </w:rPr>
        <w:t>Leonard DeSilvio v. Lion Biotechnologies, Inc., et al.,</w:t>
      </w:r>
      <w:r>
        <w:rPr>
          <w:rFonts w:ascii="Arial" w:cs="Arial" w:eastAsia="Arial" w:hAnsi="Arial"/>
          <w:sz w:val="16"/>
          <w:szCs w:val="16"/>
          <w:color w:val="auto"/>
        </w:rPr>
        <w:t xml:space="preserve"> case no. 3:17cv2086) against the Company and three of its former officers and directors. On April 19, 2017, a second class action complaint </w:t>
      </w:r>
      <w:r>
        <w:rPr>
          <w:rFonts w:ascii="Arial" w:cs="Arial" w:eastAsia="Arial" w:hAnsi="Arial"/>
          <w:sz w:val="16"/>
          <w:szCs w:val="16"/>
          <w:i w:val="1"/>
          <w:iCs w:val="1"/>
          <w:color w:val="auto"/>
        </w:rPr>
        <w:t>(Amra Kuc vs.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et al., </w:t>
      </w:r>
      <w:r>
        <w:rPr>
          <w:rFonts w:ascii="Arial" w:cs="Arial" w:eastAsia="Arial" w:hAnsi="Arial"/>
          <w:sz w:val="16"/>
          <w:szCs w:val="16"/>
          <w:color w:val="auto"/>
        </w:rPr>
        <w:t>case no. 3:17-cv-2188) was filed in the same court. Both complaints allege, among other things,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defendants violated the federal securities laws by making materially false and misleading statements, or by failing to make certain disclosures, regarding the actions taken by Manish Singh, the Company’s former CEO, and the Company’s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On July 20, 2017, the plaintiff in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case filed a notice to voluntarily dismiss that case. The court entered an order 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 lead plaintiff. On September 8, 2017, the lead plaintiff filed an amended complaint (</w:t>
      </w:r>
      <w:r>
        <w:rPr>
          <w:rFonts w:ascii="Arial" w:cs="Arial" w:eastAsia="Arial" w:hAnsi="Arial"/>
          <w:sz w:val="16"/>
          <w:szCs w:val="16"/>
          <w:i w:val="1"/>
          <w:iCs w:val="1"/>
          <w:color w:val="auto"/>
        </w:rPr>
        <w:t>Jay Rabkin v. Lion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Biotechnologies, Inc., et al., </w:t>
      </w:r>
      <w:r>
        <w:rPr>
          <w:rFonts w:ascii="Arial" w:cs="Arial" w:eastAsia="Arial" w:hAnsi="Arial"/>
          <w:sz w:val="16"/>
          <w:szCs w:val="16"/>
          <w:color w:val="auto"/>
        </w:rPr>
        <w:t>case no. 3:17-cv-2086) seeking class action status that alleges, among other things, that the defendants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violated federal securities laws by making materially false and misleading statements, or by failing to make certain disclosures, regarding the actions taken by Manish Singh and the Company’s former investor relations firm that were the subject of the </w:t>
      </w:r>
      <w:r>
        <w:rPr>
          <w:rFonts w:ascii="Arial" w:cs="Arial" w:eastAsia="Arial" w:hAnsi="Arial"/>
          <w:sz w:val="16"/>
          <w:szCs w:val="16"/>
          <w:i w:val="1"/>
          <w:iCs w:val="1"/>
          <w:color w:val="auto"/>
        </w:rPr>
        <w:t>In the Matter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Promotions </w:t>
      </w:r>
      <w:r>
        <w:rPr>
          <w:rFonts w:ascii="Arial" w:cs="Arial" w:eastAsia="Arial" w:hAnsi="Arial"/>
          <w:sz w:val="16"/>
          <w:szCs w:val="16"/>
          <w:color w:val="auto"/>
        </w:rPr>
        <w:t>SEC investigation. On February 5, 2018, the court entered an order dismissing two of plaintiff’s six claims.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mediation, on September 28, 2018, lead plaintiff filed an unopposed motion for settlement. The court granted preliminary approval to the proposed settlement on November 30, 2018 . A final hearing was held on April 12, 2019 to determine whether the proposed settlement was fair, reasonable, and adequate, and whether the claims should be dismissed. On April 17, 2019, the court approved the final settlement, involving a payment of $3,250,000 by the Company’s insurance carrier to a settlement fund, awarded attorney’s fees and costs to be paid to plaintiff’s counsel from the settlement fund, approved the plan of allocation for settlement class members, and ordered that the claims against the Company should be dismissed with prejudice. The Company does not expect to incur any significant costs or expenses in connection with this settlement.</w:t>
      </w:r>
    </w:p>
    <w:p>
      <w:pPr>
        <w:spacing w:after="0" w:line="136"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u w:val="single" w:color="auto"/>
          <w:color w:val="auto"/>
        </w:rPr>
        <w:t>Derivative Lawsuits.</w:t>
      </w:r>
      <w:r>
        <w:rPr>
          <w:rFonts w:ascii="Arial" w:cs="Arial" w:eastAsia="Arial" w:hAnsi="Arial"/>
          <w:sz w:val="16"/>
          <w:szCs w:val="16"/>
          <w:color w:val="auto"/>
        </w:rPr>
        <w:t xml:space="preserve"> On December 15, 2017, a purported stockholder derivative complaint was filed by plaintiff Kevin Fong against the Company, as nominal defendant, and certain of its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its April 10, 2017 settlement thereof, and seeks unspecified damages on behalf of the Company and injunctive relief. On March 28, 2018, a purported stockholder</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the Company’s April 10, 2017 settlement thereof, and seeks unspecified damages on behalf of the Company and injunctive relief. On May 1, 2018, the court consolidated this case with the aforementioned purported stockholder derivative case filed by plaintiff Kevin Fong. The consolidated case is titled </w:t>
      </w:r>
      <w:r>
        <w:rPr>
          <w:rFonts w:ascii="Arial" w:cs="Arial" w:eastAsia="Arial" w:hAnsi="Arial"/>
          <w:sz w:val="16"/>
          <w:szCs w:val="16"/>
          <w:i w:val="1"/>
          <w:iCs w:val="1"/>
          <w:color w:val="auto"/>
        </w:rPr>
        <w:t>In re Iovance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Biotherapeutics, Inc. Stockholder Derivative Litigation </w:t>
      </w:r>
      <w:r>
        <w:rPr>
          <w:rFonts w:ascii="Arial" w:cs="Arial" w:eastAsia="Arial" w:hAnsi="Arial"/>
          <w:sz w:val="16"/>
          <w:szCs w:val="16"/>
          <w:color w:val="auto"/>
        </w:rPr>
        <w:t>(lead case no. 17-cv-1806). On January 28, 2020, the parties reached a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On April 24, 2020, the court granted preliminary approval for the proposed settlement. The terms of the settlement were disseminated to shareholders as part of the notice process on May 8, 2020. On July 2, 2020, the court granted final approval for the settlement. The Company does not expect to incur any significant costs or expenses in connection with this settlement.</w:t>
      </w:r>
    </w:p>
    <w:p>
      <w:pPr>
        <w:spacing w:after="0" w:line="131"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(“the First Solomon Suit”) titled </w:t>
      </w:r>
      <w:r>
        <w:rPr>
          <w:rFonts w:ascii="Arial" w:cs="Arial" w:eastAsia="Arial" w:hAnsi="Arial"/>
          <w:sz w:val="16"/>
          <w:szCs w:val="16"/>
          <w:i w:val="1"/>
          <w:iCs w:val="1"/>
          <w:color w:val="auto"/>
        </w:rPr>
        <w:t>Solomon Capital, LLC, Solomon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401(K) Trust, Solomon Sharbat and Shelhav Raff v. Lion Biotechnologies, Inc. </w:t>
      </w:r>
      <w:r>
        <w:rPr>
          <w:rFonts w:ascii="Arial" w:cs="Arial" w:eastAsia="Arial" w:hAnsi="Arial"/>
          <w:sz w:val="16"/>
          <w:szCs w:val="16"/>
          <w:color w:val="auto"/>
        </w:rPr>
        <w:t>was filed by Solomon Capital, LLC, Solomon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401(k) Trust, Solomon Sharbat and Shelhav Raff (“Solomon Plaintiffs”) against the Company in the Supreme Court of the State of New York, County of New York (index no. 651881/2016 ). The Solomon Plaintiffs allege that, between June and November 2012, they provided to the Company $0.1 million and that they advanced and paid on behalf of the Company an additional $0.2 million. The complaint further alleges that the Company agreed to (i) provide them with promissory notes totaling $0.2 million, plus interest, (ii) issue a total of 1,110 shares to the Solomon Plaintiffs (after the 1-for-100 reverse split of the Company’s common stock effected in March 2013) (the “Equity Claim”), and (iii) allow the Solomon Plaintiffs to convert the foregoing funds into its securities in the next transaction. The Solomon Plaintiffs allege that they should have been able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 In its counterclaims, the Company is seeking damages in an amount exceeding $0.5 million and an order rescinding any and all agreements that the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July 31, 2020, the Solomon Plaintiffs filed a motion seeking leave to reargue the court’s decision to dismiss the First Solomon Suit for want of prosecution.</w:t>
      </w:r>
    </w:p>
    <w:p>
      <w:pPr>
        <w:spacing w:after="0" w:line="153" w:lineRule="exact"/>
        <w:rPr>
          <w:sz w:val="20"/>
          <w:szCs w:val="20"/>
          <w:color w:val="auto"/>
        </w:rPr>
      </w:pPr>
    </w:p>
    <w:p>
      <w:pPr>
        <w:ind w:right="20" w:firstLine="492"/>
        <w:spacing w:after="0" w:line="286" w:lineRule="auto"/>
        <w:rPr>
          <w:sz w:val="20"/>
          <w:szCs w:val="20"/>
          <w:color w:val="auto"/>
        </w:rPr>
      </w:pPr>
      <w:r>
        <w:rPr>
          <w:rFonts w:ascii="Arial" w:cs="Arial" w:eastAsia="Arial" w:hAnsi="Arial"/>
          <w:sz w:val="16"/>
          <w:szCs w:val="16"/>
          <w:color w:val="auto"/>
        </w:rPr>
        <w:t xml:space="preserve">On September 27, 2019, the Solomon Plaintiffs filed a new lawsuit (through new legal counsel) (“the Second Solomon Suit”) titled </w:t>
      </w:r>
      <w:r>
        <w:rPr>
          <w:rFonts w:ascii="Arial" w:cs="Arial" w:eastAsia="Arial" w:hAnsi="Arial"/>
          <w:sz w:val="16"/>
          <w:szCs w:val="16"/>
          <w:i w:val="1"/>
          <w:iCs w:val="1"/>
          <w:color w:val="auto"/>
        </w:rPr>
        <w:t>Solomon Capital, LLC, Solomon Capital 401(K) Trust, Solomon Sharbat and Shelhav Raff v. Iovance Biotherapeutics, Inc., f/k/a/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f/k/a/ Genesis Biopharma Inc., and Manish Singh </w:t>
      </w:r>
      <w:r>
        <w:rPr>
          <w:rFonts w:ascii="Arial" w:cs="Arial" w:eastAsia="Arial" w:hAnsi="Arial"/>
          <w:sz w:val="16"/>
          <w:szCs w:val="16"/>
          <w:color w:val="auto"/>
        </w:rPr>
        <w:t>in the Supreme Court of the State of New York, County of</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United States District Court for the Southern District of New York, where the case has been assigned case no. 1:20-cv-1391. The Company has not yet responded to the complaint in the Second Solomon Suit. On May 22, 2020, the Company moved to dismiss the Second Solomon Suit for lack of personal jurisdiction.</w:t>
      </w:r>
    </w:p>
    <w:p>
      <w:pPr>
        <w:spacing w:after="0" w:line="130" w:lineRule="exact"/>
        <w:rPr>
          <w:sz w:val="20"/>
          <w:szCs w:val="20"/>
          <w:color w:val="auto"/>
        </w:rPr>
      </w:pPr>
    </w:p>
    <w:p>
      <w:pPr>
        <w:jc w:val="both"/>
        <w:ind w:right="120" w:firstLine="492"/>
        <w:spacing w:after="0" w:line="263" w:lineRule="auto"/>
        <w:rPr>
          <w:sz w:val="20"/>
          <w:szCs w:val="20"/>
          <w:color w:val="auto"/>
        </w:rPr>
      </w:pPr>
      <w:r>
        <w:rPr>
          <w:rFonts w:ascii="Arial" w:cs="Arial" w:eastAsia="Arial" w:hAnsi="Arial"/>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92"/>
        <w:spacing w:after="0" w:line="269"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 Biotechnologies, Inc. and</w:t>
      </w:r>
      <w:r>
        <w:rPr>
          <w:rFonts w:ascii="Arial" w:cs="Arial" w:eastAsia="Arial" w:hAnsi="Arial"/>
          <w:sz w:val="17"/>
          <w:szCs w:val="17"/>
          <w:color w:val="auto"/>
        </w:rPr>
        <w:t xml:space="preserve"> </w:t>
      </w:r>
      <w:r>
        <w:rPr>
          <w:rFonts w:ascii="Arial" w:cs="Arial" w:eastAsia="Arial" w:hAnsi="Arial"/>
          <w:sz w:val="17"/>
          <w:szCs w:val="17"/>
          <w:i w:val="1"/>
          <w:iCs w:val="1"/>
          <w:color w:val="auto"/>
        </w:rPr>
        <w:t>Maria Fardis</w:t>
      </w:r>
      <w:r>
        <w:rPr>
          <w:rFonts w:ascii="Arial" w:cs="Arial" w:eastAsia="Arial" w:hAnsi="Arial"/>
          <w:sz w:val="17"/>
          <w:szCs w:val="17"/>
          <w:color w:val="auto"/>
        </w:rPr>
        <w:t>, Dr. Steven Fischkoff, the Company’s former Vice President and Chief Medical Officer, filed a lawsuit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 the Supreme Court of the State of New York, County of New York. Dr. Fischkoff was dismissed by the Company on March 28, 2017. Dr. Fischkoff was terminated “for cause” as that term is defined in his employment agreement. In his complaint,</w:t>
      </w:r>
    </w:p>
    <w:p>
      <w:pPr>
        <w:spacing w:after="0" w:line="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the Company’s common stock, together with prejudgment interest, costs, expenses and attorneys’ fees. On July 5, 2017, the Company filed a removal petition and removed the lawsuit to the United States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the Company’s materials, prohibiting him from disclosing or using the Company’s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the Company and Dr. Fardis. On October 18, 2018, Dr. Fischkoff amended his complaint to assert a new claim for defamation arising from SEC filings in which the Company provided the information about this litigation. On August 4, 2020, the parties agreed in principle to a confidential settlement subject to final negotiation and, accordingly, the court dismissed the litigation without prejudice during such negotiation.</w:t>
      </w:r>
    </w:p>
    <w:p>
      <w:pPr>
        <w:spacing w:after="0" w:line="135"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The Company intends to vigorously defend against Dr. Fischkoff’s lawsuit and pursue the Company’s counterclaims if a settlement is not reached after negotiation.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60"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xml:space="preserve"> In connection with the Company’s reincorporation from Nevada to Delaware in 2017, the Company (as a Delaware corporation) untimely filed a post-effective amendment to adopt a Form S-8 registration statement that the Company filed (as a Nevada corporation) to register the shares underlying the Company’s 2011 Equity Incentive Plan. Before the Company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the Company, and the amount of any such liability to the Company, as a result of the issuance of the 200,000 shares is uncertain. Accordingly, no accrual for a potential claim has been made by the Company in its condensed consolidated financial statements.</w:t>
      </w:r>
    </w:p>
    <w:p>
      <w:pPr>
        <w:spacing w:after="0" w:line="138"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189"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The Company has evaluated the following existing facility leases and determined that, effective upon the adoption of Topic 842, they were all operating leases. Operating lease right-of-use assets and liabilities were recognized as of January 1, 2019 based on the present value of the remaining lease payments over the lease term. As the Company’s leases do not provide an implicit rate, the Company utilized a third party in determining an incremental borrowing rate based on the information available as of the adoption date of Topic 842 to obtain the present value of lease payments. The Company’s lease terms may include options to extend or terminate the lease which are included in the lease term when it is reasonably certain that it will exercise any such options. Lease expense is recognized on a straight-line basis over the expected lease term. The Company elected not to apply the recognition requirements of Topic 842 for short-term leases that have a lease term of 12 months or less.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185"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had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61" w:lineRule="exact"/>
        <w:rPr>
          <w:sz w:val="20"/>
          <w:szCs w:val="20"/>
          <w:color w:val="auto"/>
        </w:rPr>
      </w:pPr>
    </w:p>
    <w:p>
      <w:pPr>
        <w:ind w:right="180" w:firstLine="492"/>
        <w:spacing w:after="0" w:line="259"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In December 2019, the Company entered into an agreement to extend the lease term to December 18, 2024 for approximately $20,500 a month.</w:t>
      </w:r>
    </w:p>
    <w:p>
      <w:pPr>
        <w:spacing w:after="0" w:line="146"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In June 2020, the Company amended the lease agreement to further increase the rentable space to 13,139 square feet and extend the lease term to June 5, 2025 for approximately $34,500 a month.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198" w:lineRule="exact"/>
        <w:rPr>
          <w:sz w:val="20"/>
          <w:szCs w:val="20"/>
          <w:color w:val="auto"/>
        </w:rPr>
      </w:pPr>
    </w:p>
    <w:p>
      <w:pPr>
        <w:ind w:right="180" w:firstLine="492"/>
        <w:spacing w:after="0" w:line="263" w:lineRule="auto"/>
        <w:rPr>
          <w:sz w:val="20"/>
          <w:szCs w:val="20"/>
          <w:color w:val="auto"/>
        </w:rPr>
      </w:pPr>
      <w:r>
        <w:rPr>
          <w:rFonts w:ascii="Arial" w:cs="Arial" w:eastAsia="Arial" w:hAnsi="Arial"/>
          <w:sz w:val="18"/>
          <w:szCs w:val="18"/>
          <w:color w:val="auto"/>
        </w:rPr>
        <w:t>On August 4, 2016, the Company entered into an agreement to lease 8,733 square feet in San Carlos, California. The term of the lease is 54 months subsequent to the commencement date and will expire in April 2021. Monthly lease payments are approximately $38,000.</w:t>
      </w:r>
    </w:p>
    <w:p>
      <w:pPr>
        <w:spacing w:after="0" w:line="143"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On April 28, 2017, the Company entered into a sublease agreement with Teradata US, Inc., pursuant to which the Company agreed to sublease certain office space located adjacent to the Company’s headquarters for approximately $26,000 per month. The space consists of approximately 11,449 rentable square feet in the building located in San Carlos, California. The sublease for this space expired on October 31, 2018. Monthly lease payments were approximately $26,000.</w:t>
      </w:r>
    </w:p>
    <w:p>
      <w:pPr>
        <w:spacing w:after="0" w:line="146"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On October 19, 2018, the Company entered into an agreement to lease 12,322 square feet of office space located adjacent to the Company’s headquarters in San Carlos, California. This lease replaces the sublease of 11,449 square feet of office space in the same facility that expired on October 31, 2018. The term of the lease is 30 months subsequent to the commencement date, November 1, 2018, and will expire in April 2021. Monthly lease payments are approximately $59,000, subject to an annual increase of 3%.</w:t>
      </w:r>
    </w:p>
    <w:p>
      <w:pPr>
        <w:spacing w:after="0" w:line="130"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On June 19, 2019, the Company entered into a first amendment (the “Amended Lease”) to its previously disclosed lease agreement with Hudson Skyway Landing, LLC (the “Lease”) for additional space at its corporate headquarters in San Carlos, California. Under the Amended Lease, the Company will lease an additional 8,110 square feet (the “Expansion Space”), for a total of approximately 20,432 square feet of space on the first floor of the building located at 999 Skyway Road, San Carlos, California, commonly known as Skyway Landing II. The term of the Amended Lease remains the same as that of the Lease and expires on April 30, 2021, unless earlier terminated in accordance with the Amended Lease. The Company’s monthly base rent for the Expansion Space under the Amended Lease will be approximately $39,000 for the first year, and $40,000 for the second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185"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The Company leased office space in New York for a monthly rental of approximately $18,000 a month from January 2017 through July 2017. On June 5, 2017, the Company entered into an agreement whereby the Company will lease office space from August 1, 2017 to July 31, 2018, for approximately $9,000 a month. On April 20, 2018, the Company entered into an agreement to extend the lease term to January 31, 2019 for approximately $7,000 a month. On November 2, 2018, the Company entered into an agreement to extend the lease term to July 31, 2019 for approximately $4,000 a month. On May 1, 2019, the Company entered into an agreement to extend the lease term to January 31, 2020 for approximately $4,000 a month. On October 24, 2019, the Company entered into an agreement to extend the lease term to April 30, 2020 for approximately $4,000 a month. On January 23, 2020, the Company entered into an agreement to extend the lease term to July 31, 2020 for approximately $4,000 a month. On May 24, 2020, the Company entered into an agreement to extend the lease term to October 31, 2020 for approximately $4,000 a month.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Office Lease</w:t>
      </w:r>
    </w:p>
    <w:p>
      <w:pPr>
        <w:spacing w:after="0" w:line="185" w:lineRule="exact"/>
        <w:rPr>
          <w:sz w:val="20"/>
          <w:szCs w:val="20"/>
          <w:color w:val="auto"/>
        </w:rPr>
      </w:pPr>
    </w:p>
    <w:p>
      <w:pPr>
        <w:jc w:val="both"/>
        <w:ind w:right="40" w:firstLine="492"/>
        <w:spacing w:after="0" w:line="286" w:lineRule="auto"/>
        <w:rPr>
          <w:sz w:val="20"/>
          <w:szCs w:val="20"/>
          <w:color w:val="auto"/>
        </w:rPr>
      </w:pPr>
      <w:r>
        <w:rPr>
          <w:rFonts w:ascii="Arial" w:cs="Arial" w:eastAsia="Arial" w:hAnsi="Arial"/>
          <w:sz w:val="17"/>
          <w:szCs w:val="17"/>
          <w:color w:val="auto"/>
        </w:rPr>
        <w:t>On May 2, 2019, the Company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Manufacturing Facility Agreement</w:t>
      </w:r>
    </w:p>
    <w:p>
      <w:pPr>
        <w:spacing w:after="0" w:line="185"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On May 28, 2019, the Company entered into a lease agreement with 300 Rouse Boulevard, LLC (the “Commercial Manufacturing Facility Lease”) for a build-to-suit commercial manufacturing facility, laboratories, and offices located in Philadelphia, Pennsylvania. Under the Commercial Manufacturing Facility Lease, the Company will lease approximately 136,000 rentable square feet of space in a building to be located at 300 Rouse Boulevard, Philadelphia, Pennsylvania (the “Premises”). The commercial manufacturing facility is expected to be constructed in two phases: Phase I-A, the construction of the commercial manufacturing facility, with approximately 66,000 rentable square feet of space; and Phase I-B, the construction of offices and laboratories, with approximately 70,000 rentable square feet of space. The Commercial Manufacturing Facility Lease is for a term of 242 months, commencing on the earlier of (i) the date on which the Company occupies any portion of the Premises for the normal operation of its business or (ii) the date that is the later of (A) one hundred sixty (160) days after the Phase I-A substantial completion date, currently anticipated to be July 16, 2020, or (B) the Phase I-B Substantial Completion Date (the “Commencement Date”). The Commencement Date shall be extended by one day for each day of landlord delay, net of any tenant delay, as defined in the Lease. The Commercial Manufacturing Facility Lease includes an option to extend the term of the lease, exercisable under certain conditions as described in the Commercial Manufacturing Facility Lease, such that the overall term, when added to the initial term, shall be 359 months, by giving the landlord prior written notice thereof at least 18 months in advance of the expiration date.</w:t>
      </w:r>
    </w:p>
    <w:p>
      <w:pPr>
        <w:spacing w:after="0" w:line="157" w:lineRule="exact"/>
        <w:rPr>
          <w:sz w:val="20"/>
          <w:szCs w:val="20"/>
          <w:color w:val="auto"/>
        </w:rPr>
      </w:pPr>
    </w:p>
    <w:p>
      <w:pPr>
        <w:ind w:right="320" w:firstLine="537"/>
        <w:spacing w:after="0" w:line="259" w:lineRule="auto"/>
        <w:rPr>
          <w:sz w:val="20"/>
          <w:szCs w:val="20"/>
          <w:color w:val="auto"/>
        </w:rPr>
      </w:pPr>
      <w:r>
        <w:rPr>
          <w:rFonts w:ascii="Arial" w:cs="Arial" w:eastAsia="Arial" w:hAnsi="Arial"/>
          <w:sz w:val="18"/>
          <w:szCs w:val="18"/>
          <w:color w:val="auto"/>
        </w:rPr>
        <w:t>Beginning on the Commencement Date, the Company’s monthly base rent under the Lease will be approximately $320,000, subject to an annual increase of 2% for the first ten years, and an annual increase of the greater of 2% or 75% of the average ten-year consumer price index. The Company will also be responsible for paying operating expenses, which are expected to be approximately $53,000 per month in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189"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In conjunction with the adoption of Topic 842 on January 1, 2019, the Company reevaluated all of its material contracts it has, to determine whether they contain a lease under Topic 840. An arrangement is considered a lease or contains a lease if an underlying asset is explicitly or implicitly identified and use of the asset is controlled by the customer. Based on this evaluation, the Company concluded that all of its contracts with CMOs contained embedded operating leases because the suites used for its production are implicitly identified, is only used by the Company exclusively during the contractual term of the arrangements, and the CMOs have no substantive contractual rights to substitute the facilities used by the Company. Further, the Company controls the use of the facilities by obtaining all of the economic benefits from the use of the facilities and direct the use of the facilities throughout the period of use. The terms of the CMO 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140"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The guidance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used estimates and assumptions in determining relative standalone selling price of lease of a suite and labor service using information that includes market and other observable inputs to the extent possible.</w:t>
      </w:r>
    </w:p>
    <w:p>
      <w:pPr>
        <w:spacing w:after="0" w:line="126" w:lineRule="exact"/>
        <w:rPr>
          <w:sz w:val="20"/>
          <w:szCs w:val="20"/>
          <w:color w:val="auto"/>
        </w:rPr>
      </w:pPr>
    </w:p>
    <w:p>
      <w:pPr>
        <w:ind w:right="60" w:firstLine="492"/>
        <w:spacing w:after="0" w:line="259" w:lineRule="auto"/>
        <w:rPr>
          <w:sz w:val="20"/>
          <w:szCs w:val="20"/>
          <w:color w:val="auto"/>
        </w:rPr>
      </w:pPr>
      <w:r>
        <w:rPr>
          <w:rFonts w:ascii="Arial" w:cs="Arial" w:eastAsia="Arial" w:hAnsi="Arial"/>
          <w:sz w:val="18"/>
          <w:szCs w:val="18"/>
          <w:color w:val="auto"/>
        </w:rPr>
        <w:t>The Company leases certain furniture and equipment that has a lease term of 12 months or less. Since the commencement date does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balance sheet classification of the Company’s right-of-use asset and lease liabilities was as follows: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420" w:type="dxa"/>
            <w:vAlign w:val="bottom"/>
            <w:gridSpan w:val="6"/>
          </w:tcPr>
          <w:p>
            <w:pPr>
              <w:ind w:left="680"/>
              <w:spacing w:after="0"/>
              <w:rPr>
                <w:sz w:val="20"/>
                <w:szCs w:val="20"/>
                <w:color w:val="auto"/>
              </w:rPr>
            </w:pPr>
            <w:r>
              <w:rPr>
                <w:rFonts w:ascii="Arial" w:cs="Arial" w:eastAsia="Arial" w:hAnsi="Arial"/>
                <w:sz w:val="18"/>
                <w:szCs w:val="18"/>
                <w:b w:val="1"/>
                <w:bCs w:val="1"/>
                <w:color w:val="auto"/>
                <w:w w:val="94"/>
              </w:rPr>
              <w:t>June 30, 2020  December 31, 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70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Operating lease liabilities</w:t>
            </w: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portion included in current liabilities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long-term portion included in non-current liabilities</w:t>
            </w:r>
          </w:p>
        </w:tc>
        <w:tc>
          <w:tcPr>
            <w:tcW w:w="6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2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lease liabilities</w:t>
            </w:r>
          </w:p>
        </w:tc>
        <w:tc>
          <w:tcPr>
            <w:tcW w:w="6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92"/>
        <w:spacing w:after="0" w:line="263" w:lineRule="auto"/>
        <w:rPr>
          <w:sz w:val="20"/>
          <w:szCs w:val="20"/>
          <w:color w:val="auto"/>
        </w:rPr>
      </w:pPr>
      <w:r>
        <w:rPr>
          <w:rFonts w:ascii="Arial" w:cs="Arial" w:eastAsia="Arial" w:hAnsi="Arial"/>
          <w:sz w:val="18"/>
          <w:szCs w:val="18"/>
          <w:color w:val="auto"/>
        </w:rPr>
        <w:t>The following table summarizes components of lease expenses, which were included in Total expenses in the Company’s condensed consolidated statement of operations, and other information related to our operating leases as follows (in thousands except weighted-average remaining lease terms and discount rates):</w:t>
      </w:r>
    </w:p>
    <w:p>
      <w:pPr>
        <w:spacing w:after="0" w:line="193"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660" w:type="dxa"/>
            <w:vAlign w:val="bottom"/>
            <w:gridSpan w:val="7"/>
          </w:tcPr>
          <w:p>
            <w:pPr>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164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6"/>
          </w:tcPr>
          <w:p>
            <w:pPr>
              <w:ind w:left="36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0"/>
                <w:szCs w:val="20"/>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June 30,</w:t>
            </w:r>
          </w:p>
        </w:tc>
      </w:tr>
      <w:tr>
        <w:trPr>
          <w:trHeight w:val="209"/>
        </w:trPr>
        <w:tc>
          <w:tcPr>
            <w:tcW w:w="5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r>
      <w:tr>
        <w:trPr>
          <w:trHeight w:val="210"/>
        </w:trPr>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8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Variable lease cost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1,941</w:t>
            </w:r>
          </w:p>
        </w:tc>
        <w:tc>
          <w:tcPr>
            <w:tcW w:w="18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r>
      <w:tr>
        <w:trPr>
          <w:trHeight w:val="250"/>
        </w:trPr>
        <w:tc>
          <w:tcPr>
            <w:tcW w:w="5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w:t>
            </w:r>
          </w:p>
        </w:tc>
        <w:tc>
          <w:tcPr>
            <w:tcW w:w="180" w:type="dxa"/>
            <w:vAlign w:val="bottom"/>
            <w:tcBorders>
              <w:bottom w:val="single" w:sz="8" w:color="CCEEFF"/>
            </w:tcBorders>
          </w:tcPr>
          <w:p>
            <w:pPr>
              <w:spacing w:after="0"/>
              <w:rPr>
                <w:sz w:val="21"/>
                <w:szCs w:val="21"/>
                <w:color w:val="auto"/>
              </w:rPr>
            </w:pPr>
          </w:p>
        </w:tc>
      </w:tr>
      <w:tr>
        <w:trPr>
          <w:trHeight w:val="196"/>
        </w:trPr>
        <w:tc>
          <w:tcPr>
            <w:tcW w:w="5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2"/>
        </w:trPr>
        <w:tc>
          <w:tcPr>
            <w:tcW w:w="5100" w:type="dxa"/>
            <w:vAlign w:val="bottom"/>
          </w:tcPr>
          <w:p>
            <w:pPr>
              <w:spacing w:after="0" w:line="201" w:lineRule="exact"/>
              <w:rPr>
                <w:sz w:val="20"/>
                <w:szCs w:val="20"/>
                <w:color w:val="auto"/>
              </w:rPr>
            </w:pPr>
            <w:r>
              <w:rPr>
                <w:rFonts w:ascii="Arial" w:cs="Arial" w:eastAsia="Arial" w:hAnsi="Arial"/>
                <w:sz w:val="18"/>
                <w:szCs w:val="18"/>
                <w:color w:val="auto"/>
              </w:rPr>
              <w:t>Cash paid for amounts included in the measurement of lease</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liabilities included in Operating cashflows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1,906</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1,977</w:t>
            </w: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4,102</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3,398</w:t>
            </w:r>
          </w:p>
        </w:tc>
        <w:tc>
          <w:tcPr>
            <w:tcW w:w="180" w:type="dxa"/>
            <w:vAlign w:val="bottom"/>
          </w:tcPr>
          <w:p>
            <w:pPr>
              <w:spacing w:after="0"/>
              <w:rPr>
                <w:sz w:val="20"/>
                <w:szCs w:val="20"/>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Increase in right-of-use assets from the adoption of Topic 842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10,380</w:t>
            </w:r>
          </w:p>
        </w:tc>
        <w:tc>
          <w:tcPr>
            <w:tcW w:w="18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Right-of-use assets obtained from entering new leases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4"/>
              </w:rPr>
              <w:t>Increase /(decrease) in right-of-use assets from lease modifications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8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Weighted-average remaining lease terms (years)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8.2 %</w:t>
            </w:r>
          </w:p>
        </w:tc>
      </w:tr>
    </w:tbl>
    <w:p>
      <w:pPr>
        <w:spacing w:after="0" w:line="202"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2020, the maturities of the Company’s operating lease liabilities were as follows (in thousands):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rPr>
              <w:t>CMO</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Facility</w:t>
            </w:r>
          </w:p>
        </w:tc>
        <w:tc>
          <w:tcPr>
            <w:tcW w:w="1000" w:type="dxa"/>
            <w:vAlign w:val="bottom"/>
            <w:gridSpan w:val="3"/>
          </w:tcPr>
          <w:p>
            <w:pPr>
              <w:ind w:left="200"/>
              <w:spacing w:after="0"/>
              <w:rPr>
                <w:sz w:val="20"/>
                <w:szCs w:val="20"/>
                <w:color w:val="auto"/>
              </w:rPr>
            </w:pPr>
            <w:r>
              <w:rPr>
                <w:rFonts w:ascii="Arial" w:cs="Arial" w:eastAsia="Arial" w:hAnsi="Arial"/>
                <w:sz w:val="18"/>
                <w:szCs w:val="18"/>
                <w:b w:val="1"/>
                <w:bCs w:val="1"/>
                <w:color w:val="auto"/>
                <w:w w:val="86"/>
              </w:rPr>
              <w:t>embedded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5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leases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7"/>
              </w:rPr>
              <w:t>leases</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4,140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09"/>
        </w:trPr>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w:t>
            </w: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adjustment</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r>
      <w:tr>
        <w:trPr>
          <w:trHeight w:val="210"/>
        </w:trPr>
        <w:tc>
          <w:tcPr>
            <w:tcW w:w="5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92"/>
        <w:spacing w:after="0" w:line="311" w:lineRule="auto"/>
        <w:rPr>
          <w:sz w:val="20"/>
          <w:szCs w:val="20"/>
          <w:color w:val="auto"/>
        </w:rPr>
      </w:pPr>
      <w:r>
        <w:rPr>
          <w:rFonts w:ascii="Arial" w:cs="Arial" w:eastAsia="Arial" w:hAnsi="Arial"/>
          <w:sz w:val="16"/>
          <w:szCs w:val="16"/>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Topic 842. As of June 30, 2020, the weighted average remaining lease term is 1.69 years and the weighted</w:t>
      </w:r>
    </w:p>
    <w:p>
      <w:pPr>
        <w:sectPr>
          <w:pgSz w:w="11900" w:h="16838" w:orient="portrait"/>
          <w:cols w:equalWidth="0" w:num="1">
            <w:col w:w="9840"/>
          </w:cols>
          <w:pgMar w:left="980" w:top="665" w:right="1079" w:bottom="1440" w:gutter="0" w:footer="0" w:header="0"/>
        </w:sectPr>
      </w:pPr>
    </w:p>
    <w:p>
      <w:pPr>
        <w:spacing w:after="0" w:line="36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average discount rate used to determine the operating lease liabilities was 7.5%. As of June 30, 2020, the Company has a finance lease for the commercial manufacturing facility that has not yet commenced. This finance lease will commence in December 2020 with a lease term of 20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189" w:lineRule="exact"/>
        <w:rPr>
          <w:sz w:val="20"/>
          <w:szCs w:val="20"/>
          <w:color w:val="auto"/>
        </w:rPr>
      </w:pPr>
    </w:p>
    <w:p>
      <w:pPr>
        <w:ind w:right="60" w:firstLine="492"/>
        <w:spacing w:after="0" w:line="287" w:lineRule="auto"/>
        <w:rPr>
          <w:sz w:val="20"/>
          <w:szCs w:val="20"/>
          <w:color w:val="auto"/>
        </w:rPr>
      </w:pPr>
      <w:r>
        <w:rPr>
          <w:rFonts w:ascii="Arial" w:cs="Arial" w:eastAsia="Arial" w:hAnsi="Arial"/>
          <w:sz w:val="16"/>
          <w:szCs w:val="16"/>
          <w:color w:val="auto"/>
        </w:rPr>
        <w:t>On September 14, 2017, the Company entered into a three-year consulting agreement with Iain Dukes, D. Phil, the Chairman of the Board.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The Company recognized $0.1 million and $0.1 million in stock-based compensation expense related to this consulting agreement during the three months ended June 30, 2020 and 2019, respectively, and $0.2 million and $0.2 million for the six months ended June 30, 2020 and 2019, respectively. In addition, in connection with the adoption of ASC 2018-07, the Company recognized $0.3 million to retained earnings as of January 1,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SUBSEQUENT EVENTS</w:t>
      </w:r>
    </w:p>
    <w:p>
      <w:pPr>
        <w:spacing w:after="0" w:line="202"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On August 1, 2020, the Company entered into an agreement to lease approximately 2,965 square feet of a training facility space in Philadelphia, Pennsylvania for a twelve month term at a rate of approximately $6,500 per month.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89" w:lineRule="exact"/>
        <w:rPr>
          <w:sz w:val="20"/>
          <w:szCs w:val="20"/>
          <w:color w:val="auto"/>
        </w:rPr>
      </w:pPr>
    </w:p>
    <w:p>
      <w:pPr>
        <w:ind w:right="80" w:firstLine="492"/>
        <w:spacing w:after="0" w:line="287" w:lineRule="auto"/>
        <w:rPr>
          <w:sz w:val="20"/>
          <w:szCs w:val="20"/>
          <w:color w:val="auto"/>
        </w:rPr>
      </w:pPr>
      <w:r>
        <w:rPr>
          <w:rFonts w:ascii="Arial" w:cs="Arial" w:eastAsia="Arial" w:hAnsi="Arial"/>
          <w:sz w:val="16"/>
          <w:szCs w:val="16"/>
          <w:i w:val="1"/>
          <w:iCs w:val="1"/>
          <w:color w:val="auto"/>
        </w:rPr>
        <w:t>The management’s discussion and analysis of financial condition as of June 30, 2020 and results of operations for the three and six months ended June 30, 2020, should be read in conjunction with management’s discussion and analysis of financial condition and results of operations included in our Annual Report on Form 10-K for the year ended December 31, 2019 which was filed with the Securities and Exchange Commission, or SEC, on February 25, 2020.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and other reports we file with the SEC. We use words such as “anticipate,” “estimate,” “plan,” “project,” “continuing,” “ongoing,” “expect,” “believe,” “intend,” “may,” “will,” “should,” “could,” and similar expressions to identify forward-looking statements. All forward-looking statements included in this report are based on information available to us on the date hereof and, except as required by law, we assume no obligation to update any such forward-looking statements. Unless the context requires otherwise, references in this Quarterly Report on Form 10-Q to “Iovance,” “we,” “us” and “our” refer to Iovance Biotherapeutics, Inc. and our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486"/>
        <w:spacing w:after="0" w:line="288"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cell therapies as novel cancer immunotherapy products designed to harness the power of a patient’s own immune system to eradicate cancer cells. Tumor infiltrating lymphocyte, or TIL, therapy is an autologous cell therapy platform technology that was originally developed by the National Cancer Institute, or NCI, which conducted initial clinical trials in diseases such as metastatic melanoma and cervical cancer. We have developed a new, shorter manufacturing process for TIL known as Generation 2, or Gen 2, which yields a cryopreserved TIL product. This proprietary and scalable manufacturing method is being further investigated in multiple indications. Our lead product candidates include lifileucel for metastatic melanoma and LN-145 for metastatic cervical cancer. In addition to metastatic melanoma and metastatic cervical cancer, we are investigating the effectiveness and safety of TIL for the treatment of squamous cell carcinoma of the head and neck, non-small cell lung cancer, and peripheral blood lymphocyte, or PBL, therapy for chronic lymphocytic leukemia through our sponsored trials, as well as in other oncology indications through collaborations.</w:t>
      </w:r>
    </w:p>
    <w:p>
      <w:pPr>
        <w:spacing w:after="0" w:line="168"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are conducting a Phase 2 clinical trial, C-144-01, of our lead product candidate, lifileucel, for the treatment of metastatic melanoma. This multicenter pivotal trial enrolled patients with melanoma whose disease has progressed following treatment with at least one systemic therapy, including a PD-1 inhibitor and if BRAF mutated, a BRAF inhibitor, or a combination of BRAF and MEK inhibitors. Cohort 4 of the C-144-01 clinical trial is a single-arm cohort intended to support a biologics license application, or BLA, submission for lifileucel. The C-144-01 trial uses our proprietary Gen 2 manufacturing process. We completed and closed enrollment of patients into Cohort 2 of the C-144-01 trial in 2018. Results from Cohort 2 of the C-144-01 clinical trial were initially reported at the American Society of Clinical Oncology, or ASCO, annual meeting on June 1, 2019 and subsequently updated at the ASCO annual meeting on May 29, 2020, or ASCO 2020. In 66 patients with metastatic melanoma, treatment with lifileucel resulted in an objective response rate, or ORR, of 36%, as assessed by investigator, with 2 complete responses and 22 partial responses. The disease control rate, or DCR, was 80.3%. Patients were heavily pretreated and had a mean of 3.3 prior therapies. The data released at ASCO 2020 disclosed that after a median study follow up of 18.7 months for Cohort 2 patients, the median duration of response, or DOR, has not been reached per investigator assessment. Furthermore, durable responses have been observed across a wide age range of metastatic melanoma patients, and among those who have received prior anti-CTLA-4 and BRAF targeted treatments, regardless of BRAF mutation status, and equally in patients with PD-L1 high and low status. The adverse event profile was generally consistent with the underlying advanced disease and the profile of the lymphodepletion and IL-2 regimens.</w:t>
      </w:r>
    </w:p>
    <w:p>
      <w:pPr>
        <w:spacing w:after="0" w:line="16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Cohort 4 of in the C-144-01 trial was enrolled to evaluate ORR as read out by an Independent Review Committee, or IRC, as the primary endpoint based on our interpretation of discussions with the U.S. Food and Drug Administration, or FDA, as part of an End of Phase 2, or EOP2, meeting held with the FDA in the third quarter of 2018. In October 2018 and based on the data provided to the FDA during the EOP2 meeting, we announced that lifileucel had received a Regenerative Medicine Advanced Therapy, or RMAT, designation from the FDA.</w:t>
      </w:r>
    </w:p>
    <w:p>
      <w:pPr>
        <w:spacing w:after="0" w:line="188"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Enrollment in pivotal Cohort 4 in the C-144-01 trial commenced in March 2019 and patient dosing was completed in January 2020. A total of 89 patients were dosed in Cohort 4. Initial results from the pivotal Cohort 4 are available for 68 patients with two radiological assessments, as determined by investigator. Lifileucel shows a 32.4% ORR, including 1 complete response and 21 partial responses, 2 of which are yet to be confirmed with follow up visits, and a DCR of 72.1% as of the data cut off of March 16, 2020,</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corresponding to 5.3 months of median study follow up. This data is highly consistent with the Cohort 2 data read out at a similar median duration of study follow up. The ORR of Cohort 2 at a median study follow up of 6 months was 33%.</w:t>
      </w:r>
    </w:p>
    <w:p>
      <w:pPr>
        <w:spacing w:after="0" w:line="170"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are also conducting a Phase 2 clinical trial, C-145-04, which is a multicenter pivotal trial that will assess the safety and efficacy of LN-145 for the treatment of patients with recurrent, metastatic or persistent cervical cancer. In February 2019, LN-145 received Fast Track designation from the FDA for development in the treatment of cervical cancer with disease progression on or after chemotherapy. In March 2019, the protocol for this trial was amended to modify the primary endpoint of ORR to be determined by IRC. In May 2019, LN-145 received Breakthrough Therapy designation, or BTD, from the FDA for the development in the treatment of cervical cancer. Updated results from the C-145-04 clinical trial were reported at the ASCO annual meeting on June 1, 2019. In 27 patients with metastatic cervical cancer, treatment with LN-145 resulted in an ORR of 44%. At the time of study data cut, there were 3 complete responses and 9 partial responses. The DCR was 85%. Patients were heavily pretreated and had a mean of 2.4 prior therapies. The DOR had not been reached. The adverse event profile was generally consistent with the underlying advanced disease and the profile of the lymphodepletion and IL-2 regimens. Based on an EOP2 meeting held with the FDA in June 2019, we believe that results from the C-145-04 clinical trial may be sufficient to support registration of LN-145 for the treatment of patients with metastatic cervical cancer. In accordance with the FDA’s recommendations, the protocol was amended to further define the patient population. In November 2019, in order to position LN-145 for potential future use in broader lines of therapy in cervical cancer, we have further amended the C-145-04 trial to collect additional data on early-line patients as well as late-line patients by adding additional cohorts, in anticipation of a changing landscape in this indication, including Cohort 2 for patients that had previously received anti-PD-1 therapy. These additional cohorts also allow access to TIL therapy when the pivotal Cohort 1 is completed and we believe may support expanded access to LN-145. Cohort 2 of the C-145-04 trial continues and is expected to complete enrollment during the second half of 2020. We intend to initiate a dialog with the FDA subsequent to such completion to discuss BLA submission plans.</w:t>
      </w:r>
    </w:p>
    <w:p>
      <w:pPr>
        <w:spacing w:after="0" w:line="17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C-145-03 is our ongoing Phase 2, multicenter trial that we are conducting to assess the safety and efficacy of LN-145 for the treatment of patients with recurrent metastatic squamous cell carcinoma of the head and neck. In October 2018, we reported that, to date, preliminary data for 13 patients in the C-145-03 clinical trial yielded an ORR of 31% with a DOR ranging from 2.8 to 7.6 months. The adverse event profile remained consistent with previous reports. We continue to enroll patients in this study. We have redesigned our C-145-03 trial to include multiple cohorts, in order to allow for dosing of TIL therapies produced by multiple manufacturing methods, including our Gen 2 manufacturing process, our Generation 3, or Gen 3, manufacturing process, and our PD-1 selected TIL manufacturing process. Our PD-1 selected TIL manufacturing process is referred to as LN-145-S1.</w:t>
      </w:r>
    </w:p>
    <w:p>
      <w:pPr>
        <w:spacing w:after="0" w:line="177"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We are also investigating the potential of our TIL therapies in earlier lines of treatment and in combination with pembrolizumab, and are studying LN-145 as a monotherapy in relapsed refractory non-small cell lung cancer, or NSCLC, patients. IOV-COM-202 is a Phase 2, multicenter trial that is composed of five cohorts which can enroll up to a total of 75 patients. In May 2019, we reported that the first patient was dosed in the IOV-COM-202 trial. In Cohort 1A, we are enrolling unresectable or metastatic melanoma patients who have not received prior immunotherapy, including checkpoint inhibitors such as anti-PD-1/anti-PD-L1 therapy. The patients receive lifileucel in combination with pembrolizumab. In Cohort 2A, we are enrolling advanced, recurrent, or metastatic head and neck squamous cell carcinoma patients who are naïve to prior immunotherapy including anti-PD-1/anti-PD-L1 therapy. The patients will receive LN-145 in combination with pembrolizumab. Cohort 3A is enrolling advanced or metastatic NSCLC patients who are naïve to prior immunotherapy including anti-PD-1/anti-PD-L1 therapy. The patients in Cohort 3A will receive LN-145 in combination with pembrolizumab. In Cohort 3B, we are enrolling NSCLC patients who have previously received systemic therapy which could include checkpoint inhibitors. The patients are receiving LN-145. In February 2020, we announced the addition of Cohort 1B to the IOV-COM-202 trial, for patients with melanoma whose disease has progressed following treatment with at least one systemic therapy, including a PD-1 inhibitor and if BRAF mutated, a BRAF inhibitor, or a combination of BRAF and MEK inhibitors. The patients will receive LN-145-S1. In addition to its ongoing enrollment in the U.S., the IOV-COM-202 trial has also received regulatory approval in Canada and in certain European countries.</w:t>
      </w:r>
    </w:p>
    <w:p>
      <w:pPr>
        <w:spacing w:after="0" w:line="182"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In November 2019, we announced that our investigational new drug application, or IND, for our PBL therapy, IOV-2001, was authorized by the FDA and our sponsored clinical trial using this therapy, IOV-CLL-01, was cleared to proceed. IOV-2001 is a non-genetically modified, polyclonal T cell product that is manufactured using a nine-day process from 50 mL of patient’s blood. IOV-CLL-01 is Phase 1/2 clinical trial evaluating the safety and efficacy of IOV-2001 in patients with relapsed or refractory chronic lymphocytic leukemia or small lymphocytic leukemia. The IOV-CLL-01 trial is expected to enroll up to approximately 70 patients.</w:t>
      </w:r>
    </w:p>
    <w:p>
      <w:pPr>
        <w:spacing w:after="0" w:line="176"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As part of our collaboration program with the MD Anderson Cancer Center, or MDACC, two Phase 2 trials were initiated in 2018. Both trials are sponsored by MDACC. The first trial, NCT03449108, is intended to allow for investigation of LN-145</w:t>
      </w:r>
    </w:p>
    <w:p>
      <w:pPr>
        <w:sectPr>
          <w:pgSz w:w="11900" w:h="16838" w:orient="portrait"/>
          <w:cols w:equalWidth="0" w:num="1">
            <w:col w:w="9920"/>
          </w:cols>
          <w:pgMar w:left="980" w:top="665"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manufactured by Iovance using our manufacturing processes to treat patients with soft tissue sarcoma, osteosarcoma and platinum resistant ovarian cancer. A second trial under the collaboration with MDACC, NCT03610490, is active as well. This trial is treating patients with platinum resistant ovarian cancer, pancreatic and colorectal cancer. This trial uses TIL manufactured by MDACC using urelumab, a 4-1BB agonistic antibody, as part of the manufacturing process. The data obtained using this manufacturing process may not be representative of our data using our Gen 2 manufacturing process.</w:t>
      </w:r>
    </w:p>
    <w:p>
      <w:pPr>
        <w:spacing w:after="0" w:line="18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are also collaborating with Centre hospitalier de l’Université de Montreal, or CHUM, Yale University, or Yale, and Moffitt on investigator-sponsored clinical trials of TIL therapies in other indications. The clinical trials sponsored by CHUM and Moffitt use, or will use, TIL manufactured by different manufacturing processes, which may not be representative of our data using our Gen 2 manufacturing process.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current product candidate pipeline and selected investigator-sponsored proof-of-concept studies are summarized in the graph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142875</wp:posOffset>
            </wp:positionV>
            <wp:extent cx="6172200" cy="26574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200" w:firstLine="492"/>
        <w:spacing w:after="0" w:line="259" w:lineRule="auto"/>
        <w:rPr>
          <w:sz w:val="20"/>
          <w:szCs w:val="20"/>
          <w:color w:val="auto"/>
        </w:rPr>
      </w:pPr>
      <w:r>
        <w:rPr>
          <w:rFonts w:ascii="Arial" w:cs="Arial" w:eastAsia="Arial" w:hAnsi="Arial"/>
          <w:sz w:val="18"/>
          <w:szCs w:val="18"/>
          <w:color w:val="auto"/>
        </w:rPr>
        <w:t>We have not yet generated any revenues since our formation, and we currently do not anticipate that we will generate any significant revenues from the sale or licensing of our product candidates during the 12 months from the date these financial statements are issued. Our ability to generate revenues in the future will depend on our ability to complete the development of our product candidates and to obtain regulatory approval for them.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8"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47" w:lineRule="exact"/>
        <w:rPr>
          <w:sz w:val="20"/>
          <w:szCs w:val="20"/>
          <w:color w:val="auto"/>
        </w:rPr>
      </w:pPr>
    </w:p>
    <w:p>
      <w:pPr>
        <w:ind w:right="160" w:firstLine="492"/>
        <w:spacing w:after="0" w:line="301" w:lineRule="auto"/>
        <w:rPr>
          <w:sz w:val="20"/>
          <w:szCs w:val="20"/>
          <w:color w:val="auto"/>
        </w:rPr>
      </w:pPr>
      <w:r>
        <w:rPr>
          <w:rFonts w:ascii="Arial" w:cs="Arial" w:eastAsia="Arial" w:hAnsi="Arial"/>
          <w:sz w:val="16"/>
          <w:szCs w:val="16"/>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w:t>
      </w:r>
    </w:p>
    <w:p>
      <w:pPr>
        <w:sectPr>
          <w:pgSz w:w="11900" w:h="16838" w:orient="portrait"/>
          <w:cols w:equalWidth="0" w:num="1">
            <w:col w:w="9880"/>
          </w:cols>
          <w:pgMar w:left="980" w:top="665" w:right="1039" w:bottom="1440" w:gutter="0" w:footer="0" w:header="0"/>
        </w:sect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estimates of work completed to date of the individual trial in accordance with agreements established with contract research organizations and clinical trial sites. We determine our estimates through discussions with internal clinical personnel and outside service providers as to the progress or stage of completion of trials or services and the agreed upon fee to be paid for such services.</w:t>
      </w:r>
    </w:p>
    <w:p>
      <w:pPr>
        <w:spacing w:after="0" w:line="108" w:lineRule="exact"/>
        <w:rPr>
          <w:sz w:val="20"/>
          <w:szCs w:val="20"/>
          <w:color w:val="auto"/>
        </w:rPr>
      </w:pPr>
    </w:p>
    <w:p>
      <w:pPr>
        <w:ind w:right="140" w:firstLine="492"/>
        <w:spacing w:after="0" w:line="311" w:lineRule="auto"/>
        <w:rPr>
          <w:sz w:val="20"/>
          <w:szCs w:val="20"/>
          <w:color w:val="auto"/>
        </w:rPr>
      </w:pPr>
      <w:r>
        <w:rPr>
          <w:rFonts w:ascii="Arial" w:cs="Arial" w:eastAsia="Arial" w:hAnsi="Arial"/>
          <w:sz w:val="16"/>
          <w:szCs w:val="16"/>
          <w:color w:val="auto"/>
        </w:rPr>
        <w:t>We expect our research and development expenses to increase over the next couple of years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General and administrative expenses consist primarily of salaries, recruiting fees, sign on, retention and special bonuses and other related costs, including stock-based compensation, for personnel in executive, finance, accounting, legal, investor relations, facilities, business development, marketing, commercial, information technology and human resources functions. Other significant costs include facility costs not otherwise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138"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color w:val="auto"/>
        </w:rPr>
        <w:t>We anticipate general and administrative expenses will increase in 2020 as we continue to prepare for commercialization and support an expected increase in total headcount.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results from our interest-bearing cash and short term investment balances.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generate any revenues during the three and six months ended June 30, 2020 or June 30,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2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Increase</w:t>
            </w:r>
          </w:p>
        </w:tc>
        <w:tc>
          <w:tcPr>
            <w:tcW w:w="18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Six Months Ended</w:t>
            </w:r>
          </w:p>
        </w:tc>
        <w:tc>
          <w:tcPr>
            <w:tcW w:w="88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87"/>
              </w:rPr>
              <w:t>Increase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18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2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(Decrease)</w:t>
            </w:r>
          </w:p>
        </w:tc>
        <w:tc>
          <w:tcPr>
            <w:tcW w:w="18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86"/>
              </w:rPr>
              <w:t>(Decrease)</w:t>
            </w:r>
          </w:p>
        </w:tc>
      </w:tr>
      <w:tr>
        <w:trPr>
          <w:trHeight w:val="210"/>
        </w:trPr>
        <w:tc>
          <w:tcPr>
            <w:tcW w:w="36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49,274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$ 39,298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$ 106,226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$ 70,203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w w:val="94"/>
              </w:rPr>
              <w:t>Stock-based compensation expense included in</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740" w:type="dxa"/>
            <w:vAlign w:val="bottom"/>
          </w:tcPr>
          <w:p>
            <w:pPr>
              <w:jc w:val="right"/>
              <w:spacing w:after="0"/>
              <w:rPr>
                <w:sz w:val="20"/>
                <w:szCs w:val="20"/>
                <w:color w:val="auto"/>
              </w:rPr>
            </w:pPr>
            <w:r>
              <w:rPr>
                <w:rFonts w:ascii="Arial" w:cs="Arial" w:eastAsia="Arial" w:hAnsi="Arial"/>
                <w:sz w:val="18"/>
                <w:szCs w:val="18"/>
                <w:color w:val="auto"/>
              </w:rPr>
              <w:t>5,465</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2,720</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2,745</w:t>
            </w:r>
          </w:p>
        </w:tc>
        <w:tc>
          <w:tcPr>
            <w:tcW w:w="18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7"/>
              </w:rPr>
              <w:t>101 %</w:t>
            </w:r>
          </w:p>
        </w:tc>
        <w:tc>
          <w:tcPr>
            <w:tcW w:w="780" w:type="dxa"/>
            <w:vAlign w:val="bottom"/>
          </w:tcPr>
          <w:p>
            <w:pPr>
              <w:jc w:val="right"/>
              <w:spacing w:after="0"/>
              <w:rPr>
                <w:sz w:val="20"/>
                <w:szCs w:val="20"/>
                <w:color w:val="auto"/>
              </w:rPr>
            </w:pPr>
            <w:r>
              <w:rPr>
                <w:rFonts w:ascii="Arial" w:cs="Arial" w:eastAsia="Arial" w:hAnsi="Arial"/>
                <w:sz w:val="18"/>
                <w:szCs w:val="18"/>
                <w:color w:val="auto"/>
              </w:rPr>
              <w:t>9,783</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5,421</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4,362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97"/>
              </w:rPr>
              <w:t>80 %</w:t>
            </w:r>
          </w:p>
        </w:tc>
      </w:tr>
    </w:tbl>
    <w:p>
      <w:pPr>
        <w:spacing w:after="0" w:line="202"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Research and development expense for the three months ended June 30, 2020 increased by $10.0 million, or 25%, compared to the same period in 2019. The increase was attributable to (i) a $6.9 million increase in clinical trial costs due primarily to higher costs for the purchase of drugs used in the clinical trials, specifically IL-2, (ii) a $4.6 million increase in payroll and related expenses driven by a higher number of full-time research and development employees, and (iii) a $2.7 million increase in stock-based compensation expenses. These increases were partially offset by a $3.1 million decrease in manufacturing costs due to decreased production runs during the three months ended June 30, 2020.</w:t>
      </w:r>
    </w:p>
    <w:p>
      <w:pPr>
        <w:spacing w:after="0" w:line="152" w:lineRule="exact"/>
        <w:rPr>
          <w:sz w:val="20"/>
          <w:szCs w:val="20"/>
          <w:color w:val="auto"/>
        </w:rPr>
      </w:pPr>
    </w:p>
    <w:p>
      <w:pPr>
        <w:ind w:right="160" w:firstLine="492"/>
        <w:spacing w:after="0" w:line="257" w:lineRule="auto"/>
        <w:rPr>
          <w:sz w:val="20"/>
          <w:szCs w:val="20"/>
          <w:color w:val="auto"/>
        </w:rPr>
      </w:pPr>
      <w:r>
        <w:rPr>
          <w:rFonts w:ascii="Arial" w:cs="Arial" w:eastAsia="Arial" w:hAnsi="Arial"/>
          <w:sz w:val="18"/>
          <w:szCs w:val="18"/>
          <w:color w:val="auto"/>
        </w:rPr>
        <w:t>Research and development expense for the six months ended June 30, 2020 increased by $36.0 million, or 51%, compared to the same period in 2019. The increase was primarily attributable to (i) a $12.0 million increase in clinical trial costs due to an increase in enrollment across all the trials, (ii) a $10.0 million increase for the license to further develop IOV-3001 obtained from Novartis, (iii) a $9.9 million increase in payroll and related expenses driven by a higher number of full-time research and development employees, and (iv) a $4.4 million increase in stock-based compensation expenses.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8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200" w:type="dxa"/>
            <w:vAlign w:val="bottom"/>
            <w:gridSpan w:val="4"/>
          </w:tcPr>
          <w:p>
            <w:pPr>
              <w:ind w:left="180"/>
              <w:spacing w:after="0"/>
              <w:rPr>
                <w:sz w:val="20"/>
                <w:szCs w:val="20"/>
                <w:color w:val="auto"/>
              </w:rPr>
            </w:pPr>
            <w:r>
              <w:rPr>
                <w:rFonts w:ascii="Arial" w:cs="Arial" w:eastAsia="Arial" w:hAnsi="Arial"/>
                <w:sz w:val="18"/>
                <w:szCs w:val="18"/>
                <w:b w:val="1"/>
                <w:bCs w:val="1"/>
                <w:color w:val="auto"/>
              </w:rPr>
              <w:t>Increase</w:t>
            </w:r>
          </w:p>
        </w:tc>
        <w:tc>
          <w:tcPr>
            <w:tcW w:w="17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Six Months Ended</w:t>
            </w:r>
          </w:p>
        </w:tc>
        <w:tc>
          <w:tcPr>
            <w:tcW w:w="1200" w:type="dxa"/>
            <w:vAlign w:val="bottom"/>
            <w:gridSpan w:val="4"/>
          </w:tcPr>
          <w:p>
            <w:pPr>
              <w:ind w:left="180"/>
              <w:spacing w:after="0"/>
              <w:rPr>
                <w:sz w:val="20"/>
                <w:szCs w:val="20"/>
                <w:color w:val="auto"/>
              </w:rPr>
            </w:pPr>
            <w:r>
              <w:rPr>
                <w:rFonts w:ascii="Arial" w:cs="Arial" w:eastAsia="Arial" w:hAnsi="Arial"/>
                <w:sz w:val="18"/>
                <w:szCs w:val="18"/>
                <w:b w:val="1"/>
                <w:bCs w:val="1"/>
                <w:color w:val="auto"/>
              </w:rPr>
              <w:t>Increase</w:t>
            </w:r>
          </w:p>
        </w:tc>
      </w:tr>
      <w:tr>
        <w:trPr>
          <w:trHeight w:val="234"/>
        </w:trPr>
        <w:tc>
          <w:tcPr>
            <w:tcW w:w="3880" w:type="dxa"/>
            <w:vAlign w:val="bottom"/>
          </w:tcPr>
          <w:p>
            <w:pPr>
              <w:spacing w:after="0"/>
              <w:rPr>
                <w:sz w:val="20"/>
                <w:szCs w:val="20"/>
                <w:color w:val="auto"/>
              </w:rPr>
            </w:pPr>
          </w:p>
        </w:tc>
        <w:tc>
          <w:tcPr>
            <w:tcW w:w="18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gridSpan w:val="4"/>
          </w:tcPr>
          <w:p>
            <w:pPr>
              <w:ind w:left="120"/>
              <w:spacing w:after="0"/>
              <w:rPr>
                <w:sz w:val="20"/>
                <w:szCs w:val="20"/>
                <w:color w:val="auto"/>
              </w:rPr>
            </w:pPr>
            <w:r>
              <w:rPr>
                <w:rFonts w:ascii="Arial" w:cs="Arial" w:eastAsia="Arial" w:hAnsi="Arial"/>
                <w:sz w:val="18"/>
                <w:szCs w:val="18"/>
                <w:b w:val="1"/>
                <w:bCs w:val="1"/>
                <w:color w:val="auto"/>
              </w:rPr>
              <w:t>(Decrease)</w:t>
            </w:r>
          </w:p>
        </w:tc>
        <w:tc>
          <w:tcPr>
            <w:tcW w:w="17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gridSpan w:val="4"/>
          </w:tcPr>
          <w:p>
            <w:pPr>
              <w:ind w:left="12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3880" w:type="dxa"/>
            <w:vAlign w:val="bottom"/>
          </w:tcPr>
          <w:p>
            <w:pPr>
              <w:spacing w:after="0"/>
              <w:rPr>
                <w:sz w:val="18"/>
                <w:szCs w:val="18"/>
                <w:color w:val="auto"/>
              </w:rPr>
            </w:pPr>
          </w:p>
        </w:tc>
        <w:tc>
          <w:tcPr>
            <w:tcW w:w="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56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8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56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14,353</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$ 10,867</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7"/>
              </w:rPr>
              <w:t>3,486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$ 28,211</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$ 19,948</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7"/>
              </w:rPr>
              <w:t>8,263</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included in</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jc w:val="right"/>
              <w:spacing w:after="0"/>
              <w:rPr>
                <w:sz w:val="20"/>
                <w:szCs w:val="20"/>
                <w:color w:val="auto"/>
              </w:rPr>
            </w:pPr>
            <w:r>
              <w:rPr>
                <w:rFonts w:ascii="Arial" w:cs="Arial" w:eastAsia="Arial" w:hAnsi="Arial"/>
                <w:sz w:val="18"/>
                <w:szCs w:val="18"/>
                <w:color w:val="auto"/>
              </w:rPr>
              <w:t>5,072</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3,706</w:t>
            </w:r>
          </w:p>
        </w:tc>
        <w:tc>
          <w:tcPr>
            <w:tcW w:w="18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w w:val="97"/>
              </w:rPr>
              <w:t>1,366</w:t>
            </w: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w w:val="92"/>
              </w:rPr>
              <w:t>37 %</w:t>
            </w:r>
          </w:p>
        </w:tc>
        <w:tc>
          <w:tcPr>
            <w:tcW w:w="700" w:type="dxa"/>
            <w:vAlign w:val="bottom"/>
          </w:tcPr>
          <w:p>
            <w:pPr>
              <w:jc w:val="right"/>
              <w:spacing w:after="0"/>
              <w:rPr>
                <w:sz w:val="20"/>
                <w:szCs w:val="20"/>
                <w:color w:val="auto"/>
              </w:rPr>
            </w:pPr>
            <w:r>
              <w:rPr>
                <w:rFonts w:ascii="Arial" w:cs="Arial" w:eastAsia="Arial" w:hAnsi="Arial"/>
                <w:sz w:val="18"/>
                <w:szCs w:val="18"/>
                <w:color w:val="auto"/>
              </w:rPr>
              <w:t>10,166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6,851</w:t>
            </w:r>
          </w:p>
        </w:tc>
        <w:tc>
          <w:tcPr>
            <w:tcW w:w="200" w:type="dxa"/>
            <w:vAlign w:val="bottom"/>
          </w:tcPr>
          <w:p>
            <w:pPr>
              <w:spacing w:after="0"/>
              <w:rPr>
                <w:sz w:val="20"/>
                <w:szCs w:val="20"/>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w w:val="97"/>
              </w:rPr>
              <w:t>3,315</w:t>
            </w: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w w:val="92"/>
              </w:rPr>
              <w:t>48 %</w:t>
            </w:r>
          </w:p>
        </w:tc>
      </w:tr>
    </w:tbl>
    <w:p>
      <w:pPr>
        <w:spacing w:after="0" w:line="202"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General and administrative expenses for the three months ended June 30, 2020 increased by $3.5 million, or 32%, compared to the same period in 2019. The increase was primarily attributable to a $2.1 million increase in payroll and related expenses and a $1.4 million increase in stock-based compensation expenses driven by a higher number of full-time general and administrative employees and a higher average stock price.</w:t>
      </w:r>
    </w:p>
    <w:p>
      <w:pPr>
        <w:spacing w:after="0" w:line="146" w:lineRule="exact"/>
        <w:rPr>
          <w:sz w:val="20"/>
          <w:szCs w:val="20"/>
          <w:color w:val="auto"/>
        </w:rPr>
      </w:pPr>
    </w:p>
    <w:p>
      <w:pPr>
        <w:ind w:right="160" w:firstLine="492"/>
        <w:spacing w:after="0" w:line="279" w:lineRule="auto"/>
        <w:rPr>
          <w:sz w:val="20"/>
          <w:szCs w:val="20"/>
          <w:color w:val="auto"/>
        </w:rPr>
      </w:pPr>
      <w:r>
        <w:rPr>
          <w:rFonts w:ascii="Arial" w:cs="Arial" w:eastAsia="Arial" w:hAnsi="Arial"/>
          <w:sz w:val="17"/>
          <w:szCs w:val="17"/>
          <w:color w:val="auto"/>
        </w:rPr>
        <w:t>General and administrative expenses for the six months ended June 30, 2020 increased by $8.3 million, or 41%, compared to the same period in 2019. The increase was primarily attributable to (i) a $3.5 million increase in payroll and related expenses driven by a higher number of full-time general and administrative employees and a higher average stock price, (ii) a $3.3 million increase in stock-based compensation expenses, and (iii) a $1.2 million increase in director’s and officer’s insurance premiums.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Arial" w:cs="Arial" w:eastAsia="Arial" w:hAnsi="Arial"/>
                <w:sz w:val="18"/>
                <w:szCs w:val="18"/>
                <w:i w:val="1"/>
                <w:iCs w:val="1"/>
                <w:color w:val="auto"/>
              </w:rPr>
              <w:t>Interest Income (in thousands)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48"/>
        </w:trPr>
        <w:tc>
          <w:tcPr>
            <w:tcW w:w="220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188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w:t>
            </w:r>
          </w:p>
        </w:tc>
        <w:tc>
          <w:tcPr>
            <w:tcW w:w="128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7"/>
              </w:rPr>
              <w:t>Increase</w:t>
            </w:r>
          </w:p>
        </w:tc>
        <w:tc>
          <w:tcPr>
            <w:tcW w:w="16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0"/>
              </w:rPr>
              <w:t>Six Months Ended</w:t>
            </w:r>
          </w:p>
        </w:tc>
        <w:tc>
          <w:tcPr>
            <w:tcW w:w="130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0"/>
              </w:rPr>
              <w:t>Increase</w:t>
            </w:r>
          </w:p>
        </w:tc>
      </w:tr>
      <w:tr>
        <w:trPr>
          <w:trHeight w:val="234"/>
        </w:trPr>
        <w:tc>
          <w:tcPr>
            <w:tcW w:w="2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4"/>
          </w:tcPr>
          <w:p>
            <w:pPr>
              <w:ind w:left="380"/>
              <w:spacing w:after="0"/>
              <w:rPr>
                <w:sz w:val="20"/>
                <w:szCs w:val="20"/>
                <w:color w:val="auto"/>
              </w:rPr>
            </w:pPr>
            <w:r>
              <w:rPr>
                <w:rFonts w:ascii="Arial" w:cs="Arial" w:eastAsia="Arial" w:hAnsi="Arial"/>
                <w:sz w:val="18"/>
                <w:szCs w:val="18"/>
                <w:b w:val="1"/>
                <w:bCs w:val="1"/>
                <w:color w:val="auto"/>
              </w:rPr>
              <w:t>June 30,</w:t>
            </w:r>
          </w:p>
        </w:tc>
        <w:tc>
          <w:tcPr>
            <w:tcW w:w="128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6"/>
              </w:rPr>
              <w:t>(Decrease)</w:t>
            </w:r>
          </w:p>
        </w:tc>
        <w:tc>
          <w:tcPr>
            <w:tcW w:w="1680" w:type="dxa"/>
            <w:vAlign w:val="bottom"/>
            <w:gridSpan w:val="4"/>
          </w:tcPr>
          <w:p>
            <w:pPr>
              <w:ind w:left="440"/>
              <w:spacing w:after="0"/>
              <w:rPr>
                <w:sz w:val="20"/>
                <w:szCs w:val="20"/>
                <w:color w:val="auto"/>
              </w:rPr>
            </w:pPr>
            <w:r>
              <w:rPr>
                <w:rFonts w:ascii="Arial" w:cs="Arial" w:eastAsia="Arial" w:hAnsi="Arial"/>
                <w:sz w:val="18"/>
                <w:szCs w:val="18"/>
                <w:b w:val="1"/>
                <w:bCs w:val="1"/>
                <w:color w:val="auto"/>
              </w:rPr>
              <w:t>June 30,</w:t>
            </w:r>
          </w:p>
        </w:tc>
        <w:tc>
          <w:tcPr>
            <w:tcW w:w="130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9"/>
              </w:rPr>
              <w:t>(Decrease)</w:t>
            </w:r>
          </w:p>
        </w:tc>
      </w:tr>
      <w:tr>
        <w:trPr>
          <w:trHeight w:val="210"/>
        </w:trPr>
        <w:tc>
          <w:tcPr>
            <w:tcW w:w="2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5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6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2,614</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(2,005)</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$ 1,824</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$ 5,650</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134" w:lineRule="exact"/>
        <w:rPr>
          <w:sz w:val="20"/>
          <w:szCs w:val="20"/>
          <w:color w:val="auto"/>
        </w:rPr>
      </w:pPr>
    </w:p>
    <w:p>
      <w:pPr>
        <w:jc w:val="both"/>
        <w:ind w:right="20" w:firstLine="492"/>
        <w:spacing w:after="0" w:line="301" w:lineRule="auto"/>
        <w:rPr>
          <w:sz w:val="20"/>
          <w:szCs w:val="20"/>
          <w:color w:val="auto"/>
        </w:rPr>
      </w:pPr>
      <w:r>
        <w:rPr>
          <w:rFonts w:ascii="Arial" w:cs="Arial" w:eastAsia="Arial" w:hAnsi="Arial"/>
          <w:sz w:val="16"/>
          <w:szCs w:val="16"/>
          <w:color w:val="auto"/>
        </w:rPr>
        <w:t>Net interest income for the three and six months ended June 30, 2020 and 2019 decreased by $2.0 million or 77% and $3.8 million or 68% respectively, due to interest income earned on the lower cash balance, and a decrease in interest rates for the three and six months period ended June 30, 2020 as compared to the same period in 2019. Interest income earned on the net proceeds received from the public offering in June 2020 was minimal during the three months ended June 30, 2020 due to the timing of investment.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gridSpan w:val="2"/>
          </w:tcPr>
          <w:p>
            <w:pPr>
              <w:spacing w:after="0"/>
              <w:rPr>
                <w:sz w:val="20"/>
                <w:szCs w:val="20"/>
                <w:color w:val="auto"/>
              </w:rPr>
            </w:pPr>
            <w:r>
              <w:rPr>
                <w:rFonts w:ascii="Arial" w:cs="Arial" w:eastAsia="Arial" w:hAnsi="Arial"/>
                <w:sz w:val="18"/>
                <w:szCs w:val="18"/>
                <w:i w:val="1"/>
                <w:iCs w:val="1"/>
                <w:color w:val="auto"/>
              </w:rPr>
              <w:t>Net Loss (in thousands)</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48"/>
        </w:trPr>
        <w:tc>
          <w:tcPr>
            <w:tcW w:w="172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87"/>
              </w:rPr>
              <w:t>Increase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Six Months Ended</w:t>
            </w:r>
          </w:p>
        </w:tc>
        <w:tc>
          <w:tcPr>
            <w:tcW w:w="90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87"/>
              </w:rPr>
              <w:t>Increase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86"/>
              </w:rPr>
              <w:t>(Decrease)</w:t>
            </w:r>
          </w:p>
        </w:tc>
        <w:tc>
          <w:tcPr>
            <w:tcW w:w="19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32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86"/>
              </w:rPr>
              <w:t>(Decrease)</w:t>
            </w:r>
          </w:p>
        </w:tc>
      </w:tr>
      <w:tr>
        <w:trPr>
          <w:trHeight w:val="209"/>
        </w:trPr>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8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2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(63,018)</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(47,551)</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(15,467)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(132,613)</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(84,501)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(48,112)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right="80" w:firstLine="492"/>
        <w:spacing w:after="0" w:line="257" w:lineRule="auto"/>
        <w:rPr>
          <w:sz w:val="20"/>
          <w:szCs w:val="20"/>
          <w:color w:val="auto"/>
        </w:rPr>
      </w:pPr>
      <w:r>
        <w:rPr>
          <w:rFonts w:ascii="Arial" w:cs="Arial" w:eastAsia="Arial" w:hAnsi="Arial"/>
          <w:sz w:val="18"/>
          <w:szCs w:val="18"/>
          <w:color w:val="auto"/>
        </w:rPr>
        <w:t>Net loss for the three and six months ended June 30, 2020 increased by $15.5 million or 33% and $48.1 million or 57% compared to the same periods in 2019. The increase in our net loss was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and commercial preparation activities.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We have incurred losses and generated negative cash flows from operations since inception. We expect to continue to incur significant losses in 2020 and may incur significant losses and negative cash flows from operations for the foreseeable future.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w:t>
      </w:r>
    </w:p>
    <w:p>
      <w:pPr>
        <w:spacing w:after="0" w:line="147" w:lineRule="exact"/>
        <w:rPr>
          <w:sz w:val="20"/>
          <w:szCs w:val="20"/>
          <w:color w:val="auto"/>
        </w:rPr>
      </w:pPr>
    </w:p>
    <w:p>
      <w:pPr>
        <w:ind w:right="140" w:firstLine="492"/>
        <w:spacing w:after="0" w:line="301" w:lineRule="auto"/>
        <w:rPr>
          <w:sz w:val="20"/>
          <w:szCs w:val="20"/>
          <w:color w:val="auto"/>
        </w:rPr>
      </w:pPr>
      <w:r>
        <w:rPr>
          <w:rFonts w:ascii="Arial" w:cs="Arial" w:eastAsia="Arial" w:hAnsi="Arial"/>
          <w:sz w:val="16"/>
          <w:szCs w:val="16"/>
          <w:color w:val="auto"/>
        </w:rPr>
        <w:t>On December 28, 2017, we filed a shelf registration statement, or the 2017 Shelf Registration Statement, with the SEC, for the issuance of common stock, preferred stock, warrants, rights, debt securities and units, which we refer to collectively as Shelf Securities, up to an aggregate amount of $250 million. The 2017 Shelf Registration Statement was declared effective on January 19, 2018. On January 29, 2018, we sold 15,000,000 shares of our common stock at a public offering price of $11.50 per share pursuant to</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2017 Shelf Registration Statement. We received gross proceeds of approximately $172.5 million and net proceeds of approximately $162.0 million, after deducting underwriting discounts and offering expenses. The 2017 Shelf Registration Statement was terminated upon effectiveness of the 2018 Shelf Registration Statement (as discussed below).</w:t>
      </w:r>
    </w:p>
    <w:p>
      <w:pPr>
        <w:spacing w:after="0" w:line="143"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On September 7, 2018, we filed a shelf registration statement with the SEC for the issuance of up to an aggregate amount of $250 million of Shelf Securities, which we refer to as the 2018 Shelf Registration Statement. The 2018 Shelf Registration Statement was declared effective on October 3, 2018 and the aggregate amount of securities we could issue thereunder was subsequently increased by $50 million through a post-effective amendment that we filed on October 11, 2018, pursuant to Rule 462(b) under the Securities Act of 1933, as amended. On October 17, 2018, we sold 25,300,000 shares of our common stock at a public offering price of $9.97 per share pursuant to the 2018 Shelf Registration Statement. We received gross proceeds of approximately $252.2 million and net proceeds of $236.7 million, after deducting underwriting discounts and offering expenses. The 2018 Shelf Registration Statement is no longer available for future offerings.</w:t>
      </w:r>
    </w:p>
    <w:p>
      <w:pPr>
        <w:spacing w:after="0" w:line="151" w:lineRule="exact"/>
        <w:rPr>
          <w:sz w:val="20"/>
          <w:szCs w:val="20"/>
          <w:color w:val="auto"/>
        </w:rPr>
      </w:pPr>
    </w:p>
    <w:p>
      <w:pPr>
        <w:ind w:right="40" w:firstLine="492"/>
        <w:spacing w:after="0" w:line="257" w:lineRule="auto"/>
        <w:rPr>
          <w:sz w:val="20"/>
          <w:szCs w:val="20"/>
          <w:color w:val="auto"/>
        </w:rPr>
      </w:pPr>
      <w:r>
        <w:rPr>
          <w:rFonts w:ascii="Arial" w:cs="Arial" w:eastAsia="Arial" w:hAnsi="Arial"/>
          <w:sz w:val="18"/>
          <w:szCs w:val="18"/>
          <w:color w:val="auto"/>
        </w:rPr>
        <w:t>On September 17, 2019, we filed a shelf registration statement with the SEC for the issuance of up to an aggregate amount of $400 million of Shelf Securities, which we refer to as the 2019 Shelf Registration Statement. The 2019 Shelf Registration Statement was declared effective on September 24, 2019. The 2019 Shelf Registration Statement was terminated upon effectiveness of the 2020 Automatic Shelf Registration Statement (as discussed below). No shares were sold under the 2019 Shelf Registration Statement prior to its termination.</w:t>
      </w:r>
    </w:p>
    <w:p>
      <w:pPr>
        <w:spacing w:after="0" w:line="147"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On May 27, 2020, we filed an automatic shelf registration statement with the SEC for the issuance of an indeterminate amount of Shelf Securities, which we refer to as the 2020 Automatic Shelf Registration Statement. The 2020 Automatic Shelf Registration Statement was immediately effective upon filing with the SEC, and the 2019 Shelf Registration Statement was simultaneously terminated.</w:t>
      </w:r>
    </w:p>
    <w:p>
      <w:pPr>
        <w:spacing w:after="0" w:line="146" w:lineRule="exact"/>
        <w:rPr>
          <w:sz w:val="20"/>
          <w:szCs w:val="20"/>
          <w:color w:val="auto"/>
        </w:rPr>
      </w:pPr>
    </w:p>
    <w:p>
      <w:pPr>
        <w:ind w:right="160" w:firstLine="492"/>
        <w:spacing w:after="0" w:line="301" w:lineRule="auto"/>
        <w:rPr>
          <w:sz w:val="20"/>
          <w:szCs w:val="20"/>
          <w:color w:val="auto"/>
        </w:rPr>
      </w:pPr>
      <w:r>
        <w:rPr>
          <w:rFonts w:ascii="Arial" w:cs="Arial" w:eastAsia="Arial" w:hAnsi="Arial"/>
          <w:sz w:val="16"/>
          <w:szCs w:val="16"/>
          <w:color w:val="auto"/>
        </w:rPr>
        <w:t>On June 2, 2020, we sold 19,475,806 shares of our common stock at a public offering price of $31.0 per share pursuant to the 2020 Automatic Shelf Registration Statement. We received gross proceeds of $603.7 million and net proceeds of approximately $567.0 million, after deducting underwriting discounts and offering expenses. Following the public offering, the 2020 Automatic Shelf Registration Statement remains available for the future issuance of an indeterminate amount of Shelf Securities.</w:t>
      </w:r>
    </w:p>
    <w:p>
      <w:pPr>
        <w:spacing w:after="0" w:line="130"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In the future, we may periodically offer one or more of the Shelf Securities in amounts, prices and terms to be announced when and if the securities are offered. If any of the Shelf Securities covered by the 2020 Automatic Shelf Registration Statement are offered for sale, a prospectus supplement will be prepared and filed with the SEC containing specific information about the terms of such offering at that time.</w:t>
      </w:r>
    </w:p>
    <w:p>
      <w:pPr>
        <w:spacing w:after="0" w:line="146"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color w:val="auto"/>
        </w:rPr>
        <w:t>We are currently engaged in the development of therapeutics to fight cancer. We do not have any commercial products and have not yet generated any revenues from our biopharmaceutical business. We currently do not anticipate that we will generate any significant revenues from the sale or licensing of any products during the 12 months from the date these financial statements are issued. We have incurred a net loss of $132.6 million for the six months ended June 30, 2020 and used $101.9 million of cash in our operating activities for the six months ended June 30, 2020. As of June 30, 2020, we had $160.6 million of cash and cash equivalents, $611.3 million of short-term investments, $5.5 million of restricted cash, $758.3 million of stockholders’ equity and had working capital of $727.7 million.</w:t>
      </w:r>
    </w:p>
    <w:p>
      <w:pPr>
        <w:spacing w:after="0" w:line="124" w:lineRule="exact"/>
        <w:rPr>
          <w:sz w:val="20"/>
          <w:szCs w:val="20"/>
          <w:color w:val="auto"/>
        </w:rPr>
      </w:pPr>
    </w:p>
    <w:p>
      <w:pPr>
        <w:ind w:right="40" w:firstLine="492"/>
        <w:spacing w:after="0" w:line="272" w:lineRule="auto"/>
        <w:rPr>
          <w:sz w:val="20"/>
          <w:szCs w:val="20"/>
          <w:color w:val="auto"/>
        </w:rPr>
      </w:pPr>
      <w:r>
        <w:rPr>
          <w:rFonts w:ascii="Arial" w:cs="Arial" w:eastAsia="Arial" w:hAnsi="Arial"/>
          <w:sz w:val="17"/>
          <w:szCs w:val="17"/>
          <w:color w:val="auto"/>
        </w:rPr>
        <w:t>We expect to continue our research and development activities, initiate pre-commercial activities and to begin construction on our tenant improvements to our new production facility, which will increase the amount of cash we will use during 2020 and beyond. Specifically, we expect continued spending on clinical trials, research and development activities, higher payroll expenses as we increase our professional, commercial and scientific staff and continue our expansion of manufacturing activities including building our own facility. Based on the funds we have available as of the date of filing of this Quarterly Report on Form 10-Q, and after consideration of the possible impacts of the COVID-19 Pandemic, we believe that we have sufficient capital to fund our anticipated operating expenses and capital expenditure for at least the next 12 months from the date of filing this report.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summarizes our cash flows for the periods presented from Operating, Investing and Financing Activities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(101,927)</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(62,885)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(323,651)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59,716</w:t>
            </w:r>
          </w:p>
        </w:tc>
      </w:tr>
      <w:tr>
        <w:trPr>
          <w:trHeight w:val="216"/>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572,298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w:t>
            </w:r>
          </w:p>
        </w:tc>
      </w:tr>
      <w:tr>
        <w:trPr>
          <w:trHeight w:val="21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146,720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jc w:val="both"/>
        <w:ind w:right="40" w:firstLine="492"/>
        <w:spacing w:after="0" w:line="263" w:lineRule="auto"/>
        <w:rPr>
          <w:sz w:val="20"/>
          <w:szCs w:val="20"/>
          <w:color w:val="auto"/>
        </w:rPr>
      </w:pPr>
      <w:r>
        <w:rPr>
          <w:rFonts w:ascii="Arial" w:cs="Arial" w:eastAsia="Arial" w:hAnsi="Arial"/>
          <w:sz w:val="18"/>
          <w:szCs w:val="18"/>
          <w:color w:val="auto"/>
        </w:rPr>
        <w:t>Net cash used in operating activities for the six months ended June 30, 2020 was $101.9 million compared to $62.9 million for the same period in 2019. The increase of $38.8 million was primarily due to increased costs in research and development activities. Included in $38.8 million was the $10.0 million upfront payment we paid for IOV-3001.</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ind w:right="160" w:firstLine="492"/>
        <w:spacing w:after="0" w:line="311" w:lineRule="auto"/>
        <w:rPr>
          <w:sz w:val="20"/>
          <w:szCs w:val="20"/>
          <w:color w:val="auto"/>
        </w:rPr>
      </w:pPr>
      <w:r>
        <w:rPr>
          <w:rFonts w:ascii="Arial" w:cs="Arial" w:eastAsia="Arial" w:hAnsi="Arial"/>
          <w:sz w:val="16"/>
          <w:szCs w:val="16"/>
          <w:color w:val="auto"/>
        </w:rPr>
        <w:t>Net cash used in investing activities for the six months ended June 30, 2020 was $323.7 million compared to net cash used provided by investing activities of $59.7 million for the same period in 2019. The increase in cash used in investing activities of $383.2 million was primarily due to the purchase of short-term investments to invest the net proceeds from our June 2020 public offering.</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 Activities</w:t>
      </w:r>
    </w:p>
    <w:p>
      <w:pPr>
        <w:spacing w:after="0" w:line="198"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Net cash provided by financing activities for the six months ended June 30, 2020 was $572.3 million compared to $3.4 million for the same period in 2019. The increase of $568.5 million was primarily due to net proceeds of $567.4 million from our June 2020 public offering.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CARES Act</w:t>
      </w:r>
    </w:p>
    <w:p>
      <w:pPr>
        <w:spacing w:after="0" w:line="185"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The CARES Act, among other things, permits net operating losses, or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are currently evaluating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85"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In December 2019, a novel coronavirus known as SARS-CoV-2 was first detected in Wuhan, Hubei Province, People’s Republic of China, causing outbreaks of the coronavirus disease, known as COVID-19, that has now spread globally. On January 30, 2020, the World Health Organization (WHO) declared COVID-19 a pandemic, which we refer to herein as the COVID-19 Pandemic. The Secretary of Health and Human Services declared a public health emergency on January 31, 2020, under section 319 of the Public Health Service Act (42 U.S.C. 247d), in response to the COVID-19 Pandemic.</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 and Liquidity</w:t>
      </w:r>
    </w:p>
    <w:p>
      <w:pPr>
        <w:spacing w:after="0" w:line="198" w:lineRule="exact"/>
        <w:rPr>
          <w:sz w:val="20"/>
          <w:szCs w:val="20"/>
          <w:color w:val="auto"/>
        </w:rPr>
      </w:pPr>
    </w:p>
    <w:p>
      <w:pPr>
        <w:ind w:right="260" w:firstLine="492"/>
        <w:spacing w:after="0" w:line="290" w:lineRule="auto"/>
        <w:rPr>
          <w:sz w:val="20"/>
          <w:szCs w:val="20"/>
          <w:color w:val="auto"/>
        </w:rPr>
      </w:pPr>
      <w:r>
        <w:rPr>
          <w:rFonts w:ascii="Arial" w:cs="Arial" w:eastAsia="Arial" w:hAnsi="Arial"/>
          <w:sz w:val="16"/>
          <w:szCs w:val="16"/>
          <w:color w:val="auto"/>
        </w:rPr>
        <w:t>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To date, the COVID-19 Pandemic has not had significant effects on our clinical trial enrollment. Given the nature and type of our short-term</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investments in U.S. government securities, we do not believe that the COVID-19 Pandemic will have a material impact on our current investment liquidity.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98"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Although there is uncertainty related to the anticipated impact of the recent COVID-19 Pandemic on our future results, we believe our current cash reserves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46"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results for the fiscal year ending December 31, 2020.</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 As such, given the dynamic nature of this situation, we cannot reasonably estimate the impacts of COVID-19 on our financial condition, results of operations or cash flows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2020, we had no obligations that would require disclosure as off-balance sheet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Recent Accounting Standards</w:t>
      </w:r>
    </w:p>
    <w:p>
      <w:pPr>
        <w:spacing w:after="0" w:line="198"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See Note 2 of the financial statements for a discussion of our significant accounting policies, including the discussion of recently issued and adopted accounting standards.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jc w:val="both"/>
        <w:ind w:firstLine="492"/>
        <w:spacing w:after="0" w:line="284" w:lineRule="auto"/>
        <w:rPr>
          <w:sz w:val="20"/>
          <w:szCs w:val="20"/>
          <w:color w:val="auto"/>
        </w:rPr>
      </w:pPr>
      <w:r>
        <w:rPr>
          <w:rFonts w:ascii="Arial" w:cs="Arial" w:eastAsia="Arial" w:hAnsi="Arial"/>
          <w:sz w:val="16"/>
          <w:szCs w:val="16"/>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At June 30, 2020, we had $611.3 million invested in short-term marketable securities with a maturity date of less than one year. As such we believe that we are not exposed to any material market risk. If interest rates had varied by 1% in the three months ended June 30, 2020, the fair value of our investment portfolio would increase or decrease by approximately $1.5 million.</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62"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2"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quarter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680"/>
          </w:cols>
          <w:pgMar w:left="980" w:top="665" w:right="1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ind w:firstLine="492"/>
        <w:spacing w:after="0" w:line="284" w:lineRule="auto"/>
        <w:rPr>
          <w:sz w:val="20"/>
          <w:szCs w:val="20"/>
          <w:color w:val="auto"/>
        </w:rPr>
      </w:pPr>
      <w:r>
        <w:rPr>
          <w:rFonts w:ascii="Arial" w:cs="Arial" w:eastAsia="Arial" w:hAnsi="Arial"/>
          <w:sz w:val="16"/>
          <w:szCs w:val="16"/>
          <w:u w:val="single" w:color="auto"/>
          <w:color w:val="auto"/>
        </w:rPr>
        <w:t>Class Action Lawsuit</w:t>
      </w:r>
      <w:r>
        <w:rPr>
          <w:rFonts w:ascii="Arial" w:cs="Arial" w:eastAsia="Arial" w:hAnsi="Arial"/>
          <w:sz w:val="16"/>
          <w:szCs w:val="16"/>
          <w:color w:val="auto"/>
        </w:rPr>
        <w:t xml:space="preserve">. On April 10, 2017, the SEC announced settlements with us and with other public companies 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Our settlement with the SEC is consistent with our previous disclosures (including in our Annual Report on Form 10-K that we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6"/>
          <w:szCs w:val="16"/>
          <w:i w:val="1"/>
          <w:iCs w:val="1"/>
          <w:color w:val="auto"/>
        </w:rPr>
        <w:t>Leonard DeSilvio v. Lion Biotechnologies, Inc., et al.,</w:t>
      </w:r>
      <w:r>
        <w:rPr>
          <w:rFonts w:ascii="Arial" w:cs="Arial" w:eastAsia="Arial" w:hAnsi="Arial"/>
          <w:sz w:val="16"/>
          <w:szCs w:val="16"/>
          <w:color w:val="auto"/>
        </w:rPr>
        <w:t xml:space="preserve"> case no. 3:17cv2086) against our company and three of our former officers and directors. On April 19, 2017, a second class action complaint </w:t>
      </w:r>
      <w:r>
        <w:rPr>
          <w:rFonts w:ascii="Arial" w:cs="Arial" w:eastAsia="Arial" w:hAnsi="Arial"/>
          <w:sz w:val="16"/>
          <w:szCs w:val="16"/>
          <w:i w:val="1"/>
          <w:iCs w:val="1"/>
          <w:color w:val="auto"/>
        </w:rPr>
        <w:t>(Amra Kuc vs. Lion Biotechnologies, Inc., et al.,</w:t>
      </w:r>
      <w:r>
        <w:rPr>
          <w:rFonts w:ascii="Arial" w:cs="Arial" w:eastAsia="Arial" w:hAnsi="Arial"/>
          <w:sz w:val="16"/>
          <w:szCs w:val="16"/>
          <w:color w:val="auto"/>
        </w:rPr>
        <w:t xml:space="preserve"> case no. 3:17-cv-2188) was filed in the same court. Both complaints allege, among other things, that the defendants violated the federal securities laws by making materially false and misleading statements, or by failing to make certain disclosures, regarding the actions taken by Manish Singh, our former CEO, and our former investor relations firm that were the subject of the </w:t>
      </w:r>
      <w:r>
        <w:rPr>
          <w:rFonts w:ascii="Arial" w:cs="Arial" w:eastAsia="Arial" w:hAnsi="Arial"/>
          <w:sz w:val="16"/>
          <w:szCs w:val="16"/>
          <w:i w:val="1"/>
          <w:iCs w:val="1"/>
          <w:color w:val="auto"/>
        </w:rPr>
        <w:t>In the Matter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Promotions </w:t>
      </w:r>
      <w:r>
        <w:rPr>
          <w:rFonts w:ascii="Arial" w:cs="Arial" w:eastAsia="Arial" w:hAnsi="Arial"/>
          <w:sz w:val="16"/>
          <w:szCs w:val="16"/>
          <w:color w:val="auto"/>
        </w:rPr>
        <w:t>investigation. On July 20, 2017, the plaintiff in the</w:t>
      </w:r>
      <w:r>
        <w:rPr>
          <w:rFonts w:ascii="Arial" w:cs="Arial" w:eastAsia="Arial" w:hAnsi="Arial"/>
          <w:sz w:val="16"/>
          <w:szCs w:val="16"/>
          <w:i w:val="1"/>
          <w:iCs w:val="1"/>
          <w:color w:val="auto"/>
        </w:rPr>
        <w:t xml:space="preserve"> Kuc </w:t>
      </w:r>
      <w:r>
        <w:rPr>
          <w:rFonts w:ascii="Arial" w:cs="Arial" w:eastAsia="Arial" w:hAnsi="Arial"/>
          <w:sz w:val="16"/>
          <w:szCs w:val="16"/>
          <w:color w:val="auto"/>
        </w:rPr>
        <w:t>case filed a notice to voluntarily dismiss that case. The court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entered an order 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 lead plaintiff. On September 8, 2017, the lead plaintiff filed an amended complaint (</w:t>
      </w:r>
      <w:r>
        <w:rPr>
          <w:rFonts w:ascii="Arial" w:cs="Arial" w:eastAsia="Arial" w:hAnsi="Arial"/>
          <w:sz w:val="16"/>
          <w:szCs w:val="16"/>
          <w:i w:val="1"/>
          <w:iCs w:val="1"/>
          <w:color w:val="auto"/>
        </w:rPr>
        <w:t>Jay Rabkin v. Lion Biotechnologies, Inc., et al.,</w:t>
      </w:r>
      <w:r>
        <w:rPr>
          <w:rFonts w:ascii="Arial" w:cs="Arial" w:eastAsia="Arial" w:hAnsi="Arial"/>
          <w:sz w:val="16"/>
          <w:szCs w:val="16"/>
          <w:color w:val="auto"/>
        </w:rPr>
        <w:t xml:space="preserve"> case no. 3:17-cv-2086) seeking class action status that alleges, among other things, that the defendants violated federal securities laws by 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SEC investigation. On February 5, 2018, the court entered an order dismissing two of plaintiff’s six claims. As a result of mediation, on September 28, 2018, the lead plaintiff filed an unopposed motion for settlement. The court granted preliminary approval to the proposed settlement on November 30, 2018. A final hearing was held on April 12, 2019 to determine whether the proposed settlement was fair, reasonable, and adequate, and whether the claims should be dismissed. On April 17, 2019, the court approved the final settlement, involving a payment of $3,250,000 by our insurance carrier to a settlement fund, awarded attorney’s fees and costs to be paid to plaintiff’s counsel from the settlement fund, approved the plan of allocation for settlement class members, and ordered that the claims against us should be dismissed with prejudice. We do not expect to incur any significant costs or expenses in connection with this settlement.</w:t>
      </w:r>
    </w:p>
    <w:p>
      <w:pPr>
        <w:spacing w:after="0" w:line="138" w:lineRule="exact"/>
        <w:rPr>
          <w:sz w:val="20"/>
          <w:szCs w:val="20"/>
          <w:color w:val="auto"/>
        </w:rPr>
      </w:pPr>
    </w:p>
    <w:p>
      <w:pPr>
        <w:ind w:firstLine="492"/>
        <w:spacing w:after="0" w:line="267" w:lineRule="auto"/>
        <w:rPr>
          <w:sz w:val="20"/>
          <w:szCs w:val="20"/>
          <w:color w:val="auto"/>
        </w:rPr>
      </w:pPr>
      <w:r>
        <w:rPr>
          <w:rFonts w:ascii="Arial" w:cs="Arial" w:eastAsia="Arial" w:hAnsi="Arial"/>
          <w:sz w:val="17"/>
          <w:szCs w:val="17"/>
          <w:u w:val="single" w:color="auto"/>
          <w:color w:val="auto"/>
        </w:rPr>
        <w:t>Derivative Lawsuits.</w:t>
      </w:r>
      <w:r>
        <w:rPr>
          <w:rFonts w:ascii="Arial" w:cs="Arial" w:eastAsia="Arial" w:hAnsi="Arial"/>
          <w:sz w:val="17"/>
          <w:szCs w:val="17"/>
          <w:color w:val="auto"/>
        </w:rPr>
        <w:t xml:space="preserve"> On December 15, 2017, a purported stockholder derivative complaint was filed by plaintiff Kevin Fong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investigation and our April 10, 2017 settlement thereof, and seeks unspecified damages on behalf of our company and injunctive relief. On March 28, 2018, a purported stockholder derivative complaint was filed by plaintiff Nazeer Khaleeluddin on our behalf, against us,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7"/>
          <w:szCs w:val="17"/>
          <w:i w:val="1"/>
          <w:iCs w:val="1"/>
          <w:color w:val="auto"/>
        </w:rPr>
        <w:t>In the Matter of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Stock Promotions </w:t>
      </w:r>
      <w:r>
        <w:rPr>
          <w:rFonts w:ascii="Arial" w:cs="Arial" w:eastAsia="Arial" w:hAnsi="Arial"/>
          <w:sz w:val="17"/>
          <w:szCs w:val="17"/>
          <w:color w:val="auto"/>
        </w:rPr>
        <w:t>investigation and our April 10, 2017 settlement thereof and seeks unspecified damages on behalf of our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injunctive relief. On May 1, 2018, the court consolidated this case with the aforementioned purported stockholder derivative case filed by plaintiff Kevin Fong. The consolidated case is titled </w:t>
      </w:r>
      <w:r>
        <w:rPr>
          <w:rFonts w:ascii="Arial" w:cs="Arial" w:eastAsia="Arial" w:hAnsi="Arial"/>
          <w:sz w:val="17"/>
          <w:szCs w:val="17"/>
          <w:i w:val="1"/>
          <w:iCs w:val="1"/>
          <w:color w:val="auto"/>
        </w:rPr>
        <w:t>In re Iovance Biotherapeutics, Inc. Stockholder Derivative Litigation</w:t>
      </w:r>
      <w:r>
        <w:rPr>
          <w:rFonts w:ascii="Arial" w:cs="Arial" w:eastAsia="Arial" w:hAnsi="Arial"/>
          <w:sz w:val="17"/>
          <w:szCs w:val="17"/>
          <w:color w:val="auto"/>
        </w:rPr>
        <w:t xml:space="preserve"> (lead case no. 17-cv-1806). On January 28, 2020, we reached a proposed settlement with the plaintiffs. On April 24, 2020, the court granted preliminary approval for the proposed settlement. The terms of the settlement were disseminated to shareholders as part of the notice process on May 8, 2020. On July 2, 2020, the court granted final approval for the settlement. We do not expect to incur any significant costs or expenses in connection with this settlement.</w:t>
      </w:r>
    </w:p>
    <w:p>
      <w:pPr>
        <w:spacing w:after="0" w:line="151" w:lineRule="exact"/>
        <w:rPr>
          <w:sz w:val="20"/>
          <w:szCs w:val="20"/>
          <w:color w:val="auto"/>
        </w:rPr>
      </w:pPr>
    </w:p>
    <w:p>
      <w:pPr>
        <w:ind w:firstLine="492"/>
        <w:spacing w:after="0" w:line="288"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or the First Solomon Suit, titled </w:t>
      </w:r>
      <w:r>
        <w:rPr>
          <w:rFonts w:ascii="Arial" w:cs="Arial" w:eastAsia="Arial" w:hAnsi="Arial"/>
          <w:sz w:val="16"/>
          <w:szCs w:val="16"/>
          <w:i w:val="1"/>
          <w:iCs w:val="1"/>
          <w:color w:val="auto"/>
        </w:rPr>
        <w:t>Solomon Capital, LLC, Solomon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401(K) Trust, Solomon Sharbat and Shelhav Raff v. Lion Biotechnologies, Inc. </w:t>
      </w:r>
      <w:r>
        <w:rPr>
          <w:rFonts w:ascii="Arial" w:cs="Arial" w:eastAsia="Arial" w:hAnsi="Arial"/>
          <w:sz w:val="16"/>
          <w:szCs w:val="16"/>
          <w:color w:val="auto"/>
        </w:rPr>
        <w:t>was filed by Solomon Capital, LLC, Solomon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401(k) Trust, Solomon Sharbat and Shelhav Raff, which we refer to as the Solomon Plaintiffs, against us in the Supreme Court of the State of New York, County of New York (index no. 651881/2016). The Solomon Plaintiffs allege that, between June and November 2012, they provided to us $0.1 million and that they advanced and paid on our behalf an additional $0.2 million. The complaint further alleges that we agreed to (i) provide them with promissory notes totaling $0.2 million, plus interest, (ii) issue a total of 1,110 shares to the Solomon Plaintiffs (after the 1-for-100 reverse split of our common stock effected in March 2013), which we refer to as the Equity Claim, and (iii) allow the Solomon Plaintiffs to convert the foregoing funds into our securities in the next transaction. The Solomon Plaintiffs allege that they should have been able to convert their advances and payments into shares of our common stock in the restructuring that took effect in May 2013. Based on the foregoing, the Solomon Plaintiffs allege causes for breach of contract and</w:t>
      </w:r>
    </w:p>
    <w:p>
      <w:pPr>
        <w:sectPr>
          <w:pgSz w:w="11900" w:h="16838" w:orient="portrait"/>
          <w:cols w:equalWidth="0" w:num="1">
            <w:col w:w="9920"/>
          </w:cols>
          <w:pgMar w:left="980" w:top="66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unjust enrichment and demand judgment against us in an unspecified amount exceeding $1.5 million, plus interest. On June 3, 2016, we filed an answer and counterclaims in the lawsuit. We have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or FINRA, that resulted in the loss of his FINRA license. In our counterclaims, we are seeking damages in an amount exceeding $0.5 million and an order rescinding any and all agreements that the Solomon Plaintiffs contend entitled them to obtain shares of our stock. On May 12, 2020, the court granted our motion for summary judgment limiting the Solomon Plaintiffs' damages for the Equity Claim to $47,420. The Solomon Plaintiffs filed a notice of appeal of this summary judgment on June 9, 2020. On July 2, 2020, the court granted our motion to dismiss the First Solomon Suit for want of prosecution. On July 31, 2020, the Solomon Plaintiffs filed a motion seeking leave to reargue the court’s decision to dismiss the First Solomon Suit for want of prosecution.</w:t>
      </w:r>
    </w:p>
    <w:p>
      <w:pPr>
        <w:spacing w:after="0" w:line="128"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 xml:space="preserve">On September 27, 2019, the Solomon Plaintiffs filed a new lawsuit (through new legal counsel), or the Second Solomon Suit, titled </w:t>
      </w:r>
      <w:r>
        <w:rPr>
          <w:rFonts w:ascii="Arial" w:cs="Arial" w:eastAsia="Arial" w:hAnsi="Arial"/>
          <w:sz w:val="17"/>
          <w:szCs w:val="17"/>
          <w:i w:val="1"/>
          <w:iCs w:val="1"/>
          <w:color w:val="auto"/>
        </w:rPr>
        <w:t>Solomon Capital, LLC, Solomon Capital 401(K) Trust, Solomon Sharbat and Shelhav Raff v. Iovance Biotherapeutics, Inc., f/k/a/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Lion Biotechnologies Inc. f/k/a/ Genesis Biopharma Inc., and Manish Singh </w:t>
      </w:r>
      <w:r>
        <w:rPr>
          <w:rFonts w:ascii="Arial" w:cs="Arial" w:eastAsia="Arial" w:hAnsi="Arial"/>
          <w:sz w:val="17"/>
          <w:szCs w:val="17"/>
          <w:color w:val="auto"/>
        </w:rPr>
        <w:t>in the Supreme Court of the State of New York, County of</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us and the plaintiffs that the plaintiffs would be paid fees and commissions (in cash and stock) if they obtained financing for us, and that they directly and indirectly introduced investors to us who invested, or were willing to invest in our company. Finally, the Solomon Plaintiffs allege that they were promised a license to use our technology in Israel. The plaintiffs claim that we breached the foregoing understandings, promises and agreements and, as a result, they are entitled to certain damages. The Solomon Plaintiffs also allege that Manish Singh, our former Chief Executive Officer, committed fraud and took shares belonging to them. On February 18, 2020, we filed a removal petition and removed the Second Solomon Suit to the United States District Court for the Southern District of New York, where the case has been assigned case no. 1:20-cv-1391. We have not yet responded to the complaint in the Second Solomon Suit. On May 22, 2020, we moved to dismiss the Second Solomon Suit for lack of personal jurisdiction.</w:t>
      </w:r>
    </w:p>
    <w:p>
      <w:pPr>
        <w:spacing w:after="0" w:line="157" w:lineRule="exact"/>
        <w:rPr>
          <w:sz w:val="20"/>
          <w:szCs w:val="20"/>
          <w:color w:val="auto"/>
        </w:rPr>
      </w:pPr>
    </w:p>
    <w:p>
      <w:pPr>
        <w:jc w:val="both"/>
        <w:ind w:right="20" w:firstLine="492"/>
        <w:spacing w:after="0" w:line="263" w:lineRule="auto"/>
        <w:rPr>
          <w:sz w:val="20"/>
          <w:szCs w:val="20"/>
          <w:color w:val="auto"/>
        </w:rPr>
      </w:pPr>
      <w:r>
        <w:rPr>
          <w:rFonts w:ascii="Arial" w:cs="Arial" w:eastAsia="Arial" w:hAnsi="Arial"/>
          <w:sz w:val="18"/>
          <w:szCs w:val="18"/>
          <w:color w:val="auto"/>
        </w:rPr>
        <w:t>We intend to vigorously defend these complaints and pursue our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43"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u w:val="single" w:color="auto"/>
          <w:color w:val="auto"/>
        </w:rPr>
        <w:t>Litigation Involving Dr. Steven Fischkoff</w:t>
      </w:r>
      <w:r>
        <w:rPr>
          <w:rFonts w:ascii="Arial" w:cs="Arial" w:eastAsia="Arial" w:hAnsi="Arial"/>
          <w:sz w:val="16"/>
          <w:szCs w:val="16"/>
          <w:color w:val="auto"/>
        </w:rPr>
        <w:t xml:space="preserve">. On June 13, 2017, in an action titled </w:t>
      </w:r>
      <w:r>
        <w:rPr>
          <w:rFonts w:ascii="Arial" w:cs="Arial" w:eastAsia="Arial" w:hAnsi="Arial"/>
          <w:sz w:val="16"/>
          <w:szCs w:val="16"/>
          <w:i w:val="1"/>
          <w:iCs w:val="1"/>
          <w:color w:val="auto"/>
        </w:rPr>
        <w:t>Steven Fischkoff v. Lion Biotechnologies, Inc. and</w:t>
      </w:r>
      <w:r>
        <w:rPr>
          <w:rFonts w:ascii="Arial" w:cs="Arial" w:eastAsia="Arial" w:hAnsi="Arial"/>
          <w:sz w:val="16"/>
          <w:szCs w:val="16"/>
          <w:color w:val="auto"/>
        </w:rPr>
        <w:t xml:space="preserve"> </w:t>
      </w:r>
      <w:r>
        <w:rPr>
          <w:rFonts w:ascii="Arial" w:cs="Arial" w:eastAsia="Arial" w:hAnsi="Arial"/>
          <w:sz w:val="16"/>
          <w:szCs w:val="16"/>
          <w:i w:val="1"/>
          <w:iCs w:val="1"/>
          <w:color w:val="auto"/>
        </w:rPr>
        <w:t>Maria Fardis</w:t>
      </w:r>
      <w:r>
        <w:rPr>
          <w:rFonts w:ascii="Arial" w:cs="Arial" w:eastAsia="Arial" w:hAnsi="Arial"/>
          <w:sz w:val="16"/>
          <w:szCs w:val="16"/>
          <w:color w:val="auto"/>
        </w:rPr>
        <w:t>, Dr. Steven Fischkoff, our former Vice President and Chief Medical Officer, filed a lawsuit against us in the Supreme Court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State of New York, County of New York. Dr. Fischkoff was dismissed by us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we filed a removal petition and removed the lawsuit to the United States District Court for the Southern District of New York, where the case has been assigned case no. 1:17-cv-05041. On July 14, 2017, we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our materials, prohibiting him from disclosing or using our company materials, and granting expedited discovery. On June 25, 2018, pursuant to a stipulation between the parties, the court entered a permanent injunction prohibiting Dr. Fischkoff from disclosing, possessing, or using any of our proprietary materials or trade secrets. On July 5, 2018, the court entered an order dismissing two of Dr. Fischkoff’s claims against us and Dr. Fardis. On October 18, 2018, Dr. Fischkoff amended his complaint to assert a new claim for defamation arising from SEC filings in which we provided the information about this litigation. On August 4, 2020, the parties agreed in principle to a confidential settlement subject to final negotiation and, accordingly, the court dismissed the litigation without prejudice during such negotiation.</w:t>
      </w:r>
    </w:p>
    <w:p>
      <w:pPr>
        <w:spacing w:after="0" w:line="131"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We intend to vigorously defend against Dr. Fischkoff’s lawsuit and pursue our counterclaims if a settlement is not reached after negotiation.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u w:val="single" w:color="auto"/>
          <w:color w:val="auto"/>
        </w:rPr>
        <w:t>Other Matters.</w:t>
      </w:r>
      <w:r>
        <w:rPr>
          <w:rFonts w:ascii="Arial" w:cs="Arial" w:eastAsia="Arial" w:hAnsi="Arial"/>
          <w:sz w:val="16"/>
          <w:szCs w:val="16"/>
          <w:color w:val="auto"/>
        </w:rPr>
        <w:t xml:space="preserve"> In connection with our reincorporation from Nevada to Delaware in 2017, we (as a Delaware corporation) untimely filed a post-effective amendment to adopt a Form S-8 registration statement that we filed (as a Nevada corporation) to register the shares underlying our 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as a result of the issuance of the 200,000 shares is uncertain. Accordingly, we have not made any accrual for a potential claim in our condensed consolidated financial statements.</w:t>
      </w:r>
    </w:p>
    <w:p>
      <w:pPr>
        <w:spacing w:after="0" w:line="126"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We may be involved, from time to time, in legal proceedings and claims arising in the ordinary course of our business. Such matters are subject to many uncertainties and outcomes are not predictable with assurance. We accrue amounts, to the extent they can be reasonably estimated, that we believe are adequate to address any liabilities related to legal proceedings and other loss contingencies that we believe will result in a probable loss. While there can be no assurances as to the ultimate outcome of any legal proceeding or other loss contingency involving us, management does not believe any pending matter will be resolved in a manner that would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jc w:val="both"/>
        <w:ind w:firstLine="492"/>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our </w:t>
      </w:r>
      <w:hyperlink r:id="rId52">
        <w:r>
          <w:rPr>
            <w:rFonts w:ascii="Arial" w:cs="Arial" w:eastAsia="Arial" w:hAnsi="Arial"/>
            <w:sz w:val="18"/>
            <w:szCs w:val="18"/>
            <w:i w:val="1"/>
            <w:iCs w:val="1"/>
            <w:u w:val="single" w:color="auto"/>
            <w:color w:val="0000EE"/>
          </w:rPr>
          <w:t>Annual Report on Form 10-K for the year ended December 31, 2019 filed on February 25, 2020,</w:t>
        </w:r>
      </w:hyperlink>
      <w:r>
        <w:rPr>
          <w:rFonts w:ascii="Arial" w:cs="Arial" w:eastAsia="Arial" w:hAnsi="Arial"/>
          <w:sz w:val="18"/>
          <w:szCs w:val="18"/>
          <w:i w:val="1"/>
          <w:iCs w:val="1"/>
          <w:color w:val="auto"/>
        </w:rPr>
        <w:t xml:space="preserve"> including our financial statements and related notes, and our other filings from time to time with the Securities and Exchange Commission or SEC.</w:t>
      </w:r>
    </w:p>
    <w:p>
      <w:pPr>
        <w:spacing w:after="0" w:line="165" w:lineRule="exact"/>
        <w:rPr>
          <w:sz w:val="20"/>
          <w:szCs w:val="20"/>
          <w:color w:val="auto"/>
        </w:rPr>
      </w:pPr>
    </w:p>
    <w:p>
      <w:pPr>
        <w:jc w:val="both"/>
        <w:ind w:firstLine="492"/>
        <w:spacing w:after="0" w:line="277" w:lineRule="auto"/>
        <w:rPr>
          <w:sz w:val="20"/>
          <w:szCs w:val="20"/>
          <w:color w:val="auto"/>
        </w:rPr>
      </w:pPr>
      <w:r>
        <w:rPr>
          <w:rFonts w:ascii="Arial" w:cs="Arial" w:eastAsia="Arial" w:hAnsi="Arial"/>
          <w:sz w:val="18"/>
          <w:szCs w:val="18"/>
          <w:i w:val="1"/>
          <w:iCs w:val="1"/>
          <w:color w:val="auto"/>
        </w:rPr>
        <w:t>We have marked with an asterisk (*) those risk factors below that reflect a substantive change from the risk factors included in our Annual Report on Form 10-K filed with the SEC on February 25,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p>
    <w:p>
      <w:pPr>
        <w:spacing w:after="0" w:line="198"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June 30, 2020, we had an accumulated deficit of $703.2 million. In addition, during the six months ended June 30, 2020, we incurred a net loss of $132.6 million. Since our inception we have not generated any revenues from operations. We are preparing for the commercial launch of our products, if approved, in 2021. We do not expect to generate any meaningful product sales or royalty revenues until we have a product approved. We expect to incur significant additional operating losses in the future as we expand our development and clinical trial activities in support of demonstrating the effectiveness of our products.</w:t>
      </w:r>
    </w:p>
    <w:p>
      <w:pPr>
        <w:spacing w:after="0" w:line="151"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43"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current line of business, and the biotechnology industry in which we operate, makes it difficult to evaluate our business plan and our prospects.</w:t>
      </w:r>
    </w:p>
    <w:p>
      <w:pPr>
        <w:spacing w:after="0" w:line="143" w:lineRule="exact"/>
        <w:rPr>
          <w:sz w:val="20"/>
          <w:szCs w:val="20"/>
          <w:color w:val="auto"/>
        </w:rPr>
      </w:pPr>
    </w:p>
    <w:p>
      <w:pPr>
        <w:ind w:right="200" w:firstLine="492"/>
        <w:spacing w:after="0" w:line="275"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36" w:lineRule="exact"/>
        <w:rPr>
          <w:sz w:val="20"/>
          <w:szCs w:val="20"/>
          <w:color w:val="auto"/>
        </w:rPr>
      </w:pPr>
    </w:p>
    <w:p>
      <w:pPr>
        <w:ind w:right="80" w:firstLine="492"/>
        <w:spacing w:after="0" w:line="271" w:lineRule="auto"/>
        <w:rPr>
          <w:sz w:val="20"/>
          <w:szCs w:val="20"/>
          <w:color w:val="auto"/>
        </w:rPr>
      </w:pPr>
      <w:r>
        <w:rPr>
          <w:rFonts w:ascii="Arial" w:cs="Arial" w:eastAsia="Arial" w:hAnsi="Arial"/>
          <w:sz w:val="17"/>
          <w:szCs w:val="17"/>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38"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97" w:lineRule="exact"/>
        <w:rPr>
          <w:sz w:val="20"/>
          <w:szCs w:val="20"/>
          <w:color w:val="auto"/>
        </w:rPr>
      </w:pPr>
    </w:p>
    <w:p>
      <w:pPr>
        <w:ind w:right="20" w:firstLine="492"/>
        <w:spacing w:after="0" w:line="254" w:lineRule="auto"/>
        <w:rPr>
          <w:sz w:val="20"/>
          <w:szCs w:val="20"/>
          <w:color w:val="auto"/>
        </w:rPr>
      </w:pPr>
      <w:r>
        <w:rPr>
          <w:rFonts w:ascii="Arial" w:cs="Arial" w:eastAsia="Arial" w:hAnsi="Arial"/>
          <w:sz w:val="18"/>
          <w:szCs w:val="18"/>
          <w:color w:val="auto"/>
        </w:rPr>
        <w:t>We currently have no products approved for commercial sale. We have invested a significant portion of our efforts and financial resources in the development of our current product candidates, lifileucel and LN-145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 successfully commercialize our product candidates. We currently generate no revenue from the sale of any products, and we may never be able to develop or commercialize a marketable product.</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301"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 including the negative impact of the COVID-19 Pandemic.</w:t>
      </w:r>
    </w:p>
    <w:p>
      <w:pPr>
        <w:spacing w:after="0" w:line="117" w:lineRule="exact"/>
        <w:rPr>
          <w:sz w:val="20"/>
          <w:szCs w:val="20"/>
          <w:color w:val="auto"/>
        </w:rPr>
      </w:pPr>
    </w:p>
    <w:p>
      <w:pPr>
        <w:ind w:right="80" w:firstLine="492"/>
        <w:spacing w:after="0" w:line="254" w:lineRule="auto"/>
        <w:rPr>
          <w:sz w:val="20"/>
          <w:szCs w:val="20"/>
          <w:color w:val="auto"/>
        </w:rPr>
      </w:pPr>
      <w:r>
        <w:rPr>
          <w:rFonts w:ascii="Arial" w:cs="Arial" w:eastAsia="Arial" w:hAnsi="Arial"/>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United States in the foreseeable future, or at all. Any significant delays in obtaining approval for and commercializing our product candidates will have a material adverse impact on our business and financial condition.</w:t>
      </w:r>
    </w:p>
    <w:p>
      <w:pPr>
        <w:spacing w:after="0" w:line="168"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We have not previously submitted a Biologics License Application, or BLA, to the FDA, or similar marketing application to comparable foreign authorities, for any product candidate, and we cannot be certain that our current or any future product candidates will be successful in clinical trials or receive regulatory approval. Furthermore, although we do not expect to submit our BLA with comparisons to existing or more established therapies and likewise do not expect FDA to base its determination with respect to product approval on such comparisons, FDA may factor these comparisons into its decision whether to approve our TIL therapies, including lifileucel for metastatic melanoma and LN-145 for metastatic cervical cancer. FDA may also consider its approvals of competing products, which may alter the treatment landscape concurrently with their review of our BLA filings, and which may lead to changes in FDA’s review requirements that have been previously communicated to us and our interpretation thereof, including changes to requirements for clinical data or clinical study design. Such changes could delay approval or necessitate withdrawal of our BLA filings.</w:t>
      </w:r>
    </w:p>
    <w:p>
      <w:pPr>
        <w:spacing w:after="0" w:line="126"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43"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43" w:lineRule="exact"/>
        <w:rPr>
          <w:sz w:val="20"/>
          <w:szCs w:val="20"/>
          <w:color w:val="auto"/>
        </w:rPr>
      </w:pPr>
    </w:p>
    <w:p>
      <w:pPr>
        <w:ind w:left="820" w:right="540" w:hanging="320"/>
        <w:spacing w:after="0" w:line="258"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820" w:right="38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commercialize our products;</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820" w:right="66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9" w:lineRule="exact"/>
        <w:rPr>
          <w:rFonts w:ascii="Arial" w:cs="Arial" w:eastAsia="Arial" w:hAnsi="Arial"/>
          <w:sz w:val="18"/>
          <w:szCs w:val="18"/>
          <w:color w:val="auto"/>
        </w:rPr>
      </w:pPr>
    </w:p>
    <w:p>
      <w:pPr>
        <w:ind w:left="820" w:right="22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820" w:right="20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following launch, assure that our product will be used as directed and that additional unexpected safety risks will not arise.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face risks due to the need to rely on third parties, including clinical trial sites.*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As a result, clinical trials may be delayed or otherwise may be more difficult to execute in the future.</w:t>
      </w:r>
    </w:p>
    <w:p>
      <w:pPr>
        <w:spacing w:after="0" w:line="158"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52" w:lineRule="exact"/>
        <w:rPr>
          <w:sz w:val="20"/>
          <w:szCs w:val="20"/>
          <w:color w:val="auto"/>
        </w:rPr>
      </w:pPr>
    </w:p>
    <w:p>
      <w:pPr>
        <w:ind w:right="40" w:firstLine="492"/>
        <w:spacing w:after="0" w:line="254" w:lineRule="auto"/>
        <w:rPr>
          <w:sz w:val="20"/>
          <w:szCs w:val="20"/>
          <w:color w:val="auto"/>
        </w:rPr>
      </w:pPr>
      <w:r>
        <w:rPr>
          <w:rFonts w:ascii="Arial" w:cs="Arial" w:eastAsia="Arial" w:hAnsi="Arial"/>
          <w:sz w:val="18"/>
          <w:szCs w:val="18"/>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United States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51" w:lineRule="exact"/>
        <w:rPr>
          <w:sz w:val="20"/>
          <w:szCs w:val="20"/>
          <w:color w:val="auto"/>
        </w:rPr>
      </w:pPr>
    </w:p>
    <w:p>
      <w:pPr>
        <w:ind w:right="20" w:firstLine="492"/>
        <w:spacing w:after="0" w:line="289" w:lineRule="auto"/>
        <w:rPr>
          <w:sz w:val="20"/>
          <w:szCs w:val="20"/>
          <w:color w:val="auto"/>
        </w:rPr>
      </w:pPr>
      <w:r>
        <w:rPr>
          <w:rFonts w:ascii="Arial" w:cs="Arial" w:eastAsia="Arial" w:hAnsi="Arial"/>
          <w:sz w:val="16"/>
          <w:szCs w:val="16"/>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39"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these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filed with the FDA) of trial sponsors, clinical investigators,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86" w:lineRule="auto"/>
        <w:rPr>
          <w:sz w:val="20"/>
          <w:szCs w:val="20"/>
          <w:color w:val="auto"/>
        </w:rPr>
      </w:pPr>
      <w:r>
        <w:rPr>
          <w:rFonts w:ascii="Arial" w:cs="Arial" w:eastAsia="Arial" w:hAnsi="Arial"/>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2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61"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46"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If any of our relationships with these third parties terminate, we may not be able to enter into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24"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60" w:lineRule="exact"/>
        <w:rPr>
          <w:sz w:val="20"/>
          <w:szCs w:val="20"/>
          <w:color w:val="auto"/>
        </w:rPr>
      </w:pPr>
    </w:p>
    <w:p>
      <w:pPr>
        <w:jc w:val="both"/>
        <w:ind w:right="220" w:firstLine="492"/>
        <w:spacing w:after="0" w:line="26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43" w:lineRule="exact"/>
        <w:rPr>
          <w:sz w:val="20"/>
          <w:szCs w:val="20"/>
          <w:color w:val="auto"/>
        </w:rPr>
      </w:pPr>
    </w:p>
    <w:p>
      <w:pPr>
        <w:ind w:right="80" w:firstLine="492"/>
        <w:spacing w:after="0" w:line="269" w:lineRule="auto"/>
        <w:rPr>
          <w:sz w:val="20"/>
          <w:szCs w:val="20"/>
          <w:color w:val="auto"/>
        </w:rPr>
      </w:pPr>
      <w:r>
        <w:rPr>
          <w:rFonts w:ascii="Arial" w:cs="Arial" w:eastAsia="Arial" w:hAnsi="Arial"/>
          <w:sz w:val="17"/>
          <w:szCs w:val="17"/>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study for melanoma, C-144-01 and have not experienced any delays in this study so far. We remain on track to file the BLA by the end of 2020. We plan to initiate trials in new indications, and new cohorts in existing trials. Even as these trials progress, issues may arise that could require us to suspend or terminate such clinical trials or could cause the results of one cohort to differ from a prior cohort. For example, we may experience slower than anticipated enrollment in our pivotal clinical trials, which may consequently delay our BLA filing timelines or permit competitors to obtain approvals that may alter our BLA filing strategy. A failure of one or more clinical studies can occur at any stage of testing, and our future clinical studies may not be successful. Events that may prevent successful or timely initiation or completion of clinical development, or product approval include:</w:t>
      </w:r>
    </w:p>
    <w:p>
      <w:pPr>
        <w:spacing w:after="0" w:line="141" w:lineRule="exact"/>
        <w:rPr>
          <w:sz w:val="20"/>
          <w:szCs w:val="20"/>
          <w:color w:val="auto"/>
        </w:rPr>
      </w:pPr>
    </w:p>
    <w:p>
      <w:pPr>
        <w:ind w:left="820" w:right="20" w:hanging="320"/>
        <w:spacing w:after="0" w:line="263" w:lineRule="auto"/>
        <w:tabs>
          <w:tab w:leader="none" w:pos="81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conduct a clinical trial at a prospective trial site, or amend trial protocols, or regulators or IRBs may require that we modify or amend our clinical trial protocols;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study design;</w:t>
      </w:r>
    </w:p>
    <w:p>
      <w:pPr>
        <w:spacing w:after="0" w:line="23"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820" w:right="44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jc w:val="both"/>
        <w:ind w:left="820" w:right="6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 w:lineRule="exact"/>
        <w:rPr>
          <w:rFonts w:ascii="Arial" w:cs="Arial" w:eastAsia="Arial" w:hAnsi="Arial"/>
          <w:sz w:val="18"/>
          <w:szCs w:val="18"/>
          <w:color w:val="auto"/>
        </w:rPr>
      </w:pPr>
    </w:p>
    <w:p>
      <w:pPr>
        <w:ind w:left="820" w:right="300" w:hanging="320"/>
        <w:spacing w:after="0" w:line="281" w:lineRule="auto"/>
        <w:tabs>
          <w:tab w:leader="none" w:pos="814" w:val="left"/>
        </w:tabs>
        <w:numPr>
          <w:ilvl w:val="0"/>
          <w:numId w:val="5"/>
        </w:numPr>
        <w:rPr>
          <w:rFonts w:ascii="Arial" w:cs="Arial" w:eastAsia="Arial" w:hAnsi="Arial"/>
          <w:sz w:val="16"/>
          <w:szCs w:val="16"/>
          <w:color w:val="auto"/>
        </w:rPr>
      </w:pPr>
      <w:r>
        <w:rPr>
          <w:rFonts w:ascii="Arial" w:cs="Arial" w:eastAsia="Arial" w:hAnsi="Arial"/>
          <w:sz w:val="16"/>
          <w:szCs w:val="16"/>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spacing w:after="0" w:line="1" w:lineRule="exact"/>
        <w:rPr>
          <w:rFonts w:ascii="Arial" w:cs="Arial" w:eastAsia="Arial" w:hAnsi="Arial"/>
          <w:sz w:val="16"/>
          <w:szCs w:val="16"/>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ind w:left="820" w:right="60" w:hanging="320"/>
        <w:spacing w:after="0" w:line="281" w:lineRule="auto"/>
        <w:tabs>
          <w:tab w:leader="none" w:pos="814" w:val="left"/>
        </w:tabs>
        <w:numPr>
          <w:ilvl w:val="0"/>
          <w:numId w:val="5"/>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2" w:lineRule="exact"/>
        <w:rPr>
          <w:rFonts w:ascii="Arial" w:cs="Arial" w:eastAsia="Arial" w:hAnsi="Arial"/>
          <w:sz w:val="16"/>
          <w:szCs w:val="16"/>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study;</w:t>
      </w:r>
    </w:p>
    <w:p>
      <w:pPr>
        <w:spacing w:after="0" w:line="9" w:lineRule="exact"/>
        <w:rPr>
          <w:rFonts w:ascii="Arial" w:cs="Arial" w:eastAsia="Arial" w:hAnsi="Arial"/>
          <w:sz w:val="18"/>
          <w:szCs w:val="18"/>
          <w:color w:val="auto"/>
        </w:rPr>
      </w:pPr>
    </w:p>
    <w:p>
      <w:pPr>
        <w:jc w:val="both"/>
        <w:ind w:left="820" w:right="12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trial and the final patient population and results, including differences in patient population, or from different interpretations of investigator results by IRC;</w:t>
      </w:r>
    </w:p>
    <w:p>
      <w:pPr>
        <w:spacing w:after="0" w:line="1" w:lineRule="exact"/>
        <w:rPr>
          <w:rFonts w:ascii="Arial" w:cs="Arial" w:eastAsia="Arial" w:hAnsi="Arial"/>
          <w:sz w:val="18"/>
          <w:szCs w:val="18"/>
          <w:color w:val="auto"/>
        </w:rPr>
      </w:pPr>
    </w:p>
    <w:p>
      <w:pPr>
        <w:ind w:left="82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820" w:hanging="320"/>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to perform in accordance with the FDA’s cGCP requirements, or applicable regulatory guidelines in other countries;</w:t>
      </w:r>
    </w:p>
    <w:p>
      <w:pPr>
        <w:spacing w:after="0" w:line="32" w:lineRule="exact"/>
        <w:rPr>
          <w:rFonts w:ascii="Arial" w:cs="Arial" w:eastAsia="Arial" w:hAnsi="Arial"/>
          <w:sz w:val="16"/>
          <w:szCs w:val="16"/>
          <w:color w:val="auto"/>
        </w:rPr>
      </w:pPr>
    </w:p>
    <w:p>
      <w:pPr>
        <w:ind w:left="820" w:right="14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1"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w:t>
      </w:r>
    </w:p>
    <w:p>
      <w:pPr>
        <w:spacing w:after="0" w:line="20" w:lineRule="exact"/>
        <w:rPr>
          <w:rFonts w:ascii="Arial" w:cs="Arial" w:eastAsia="Arial" w:hAnsi="Arial"/>
          <w:sz w:val="17"/>
          <w:szCs w:val="17"/>
          <w:color w:val="auto"/>
        </w:rPr>
      </w:pPr>
    </w:p>
    <w:p>
      <w:pPr>
        <w:ind w:left="820" w:right="340" w:hanging="320"/>
        <w:spacing w:after="0" w:line="281" w:lineRule="auto"/>
        <w:tabs>
          <w:tab w:leader="none" w:pos="814"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6"/>
          <w:szCs w:val="16"/>
          <w:color w:val="auto"/>
        </w:rPr>
      </w:pPr>
    </w:p>
    <w:p>
      <w:pPr>
        <w:ind w:left="820" w:right="38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hanging="320"/>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the standard of care on which a clinical development plan was based, which may require new or additional trials;</w:t>
      </w:r>
    </w:p>
    <w:p>
      <w:pPr>
        <w:spacing w:after="0" w:line="32" w:lineRule="exact"/>
        <w:rPr>
          <w:rFonts w:ascii="Arial" w:cs="Arial" w:eastAsia="Arial" w:hAnsi="Arial"/>
          <w:sz w:val="16"/>
          <w:szCs w:val="16"/>
          <w:color w:val="auto"/>
        </w:rPr>
      </w:pPr>
    </w:p>
    <w:p>
      <w:pPr>
        <w:ind w:left="820" w:right="10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820" w:right="8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spacing w:after="0" w:line="1" w:lineRule="exact"/>
        <w:rPr>
          <w:rFonts w:ascii="Arial" w:cs="Arial" w:eastAsia="Arial" w:hAnsi="Arial"/>
          <w:sz w:val="18"/>
          <w:szCs w:val="18"/>
          <w:color w:val="auto"/>
        </w:rPr>
      </w:pPr>
    </w:p>
    <w:p>
      <w:pPr>
        <w:ind w:left="820" w:right="80" w:hanging="320"/>
        <w:spacing w:after="0" w:line="281" w:lineRule="auto"/>
        <w:tabs>
          <w:tab w:leader="none" w:pos="814" w:val="left"/>
        </w:tabs>
        <w:numPr>
          <w:ilvl w:val="0"/>
          <w:numId w:val="5"/>
        </w:numPr>
        <w:rPr>
          <w:rFonts w:ascii="Arial" w:cs="Arial" w:eastAsia="Arial" w:hAnsi="Arial"/>
          <w:sz w:val="16"/>
          <w:szCs w:val="16"/>
          <w:color w:val="auto"/>
        </w:rPr>
      </w:pPr>
      <w:r>
        <w:rPr>
          <w:rFonts w:ascii="Arial" w:cs="Arial" w:eastAsia="Arial" w:hAnsi="Arial"/>
          <w:sz w:val="16"/>
          <w:szCs w:val="16"/>
          <w:color w:val="auto"/>
        </w:rPr>
        <w:t>early results from our clinical studies of our product candidates may be negatively affected by changes in efficacy measures such as overall response rate and duration of response as more patients are enrolled in our clinical trials or as new cohorts of our clinical trials are tested, and overall response rate and duration of response may be negatively affected by the inclusion of unconfirmed responses in preliminary results that we report if such responses are not later confirmed;</w:t>
      </w:r>
    </w:p>
    <w:p>
      <w:pPr>
        <w:spacing w:after="0" w:line="2" w:lineRule="exact"/>
        <w:rPr>
          <w:rFonts w:ascii="Arial" w:cs="Arial" w:eastAsia="Arial" w:hAnsi="Arial"/>
          <w:sz w:val="16"/>
          <w:szCs w:val="16"/>
          <w:color w:val="auto"/>
        </w:rPr>
      </w:pPr>
    </w:p>
    <w:p>
      <w:pPr>
        <w:ind w:left="820" w:right="4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820" w:right="560" w:hanging="320"/>
        <w:spacing w:after="0" w:line="26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180" w:hanging="320"/>
        <w:spacing w:after="0" w:line="258"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1" w:lineRule="exact"/>
        <w:rPr>
          <w:rFonts w:ascii="Arial" w:cs="Arial" w:eastAsia="Arial" w:hAnsi="Arial"/>
          <w:sz w:val="18"/>
          <w:szCs w:val="18"/>
          <w:color w:val="auto"/>
        </w:rPr>
      </w:pPr>
    </w:p>
    <w:p>
      <w:pPr>
        <w:ind w:left="820" w:right="80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ind w:left="82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 of our manufacturing processes to our CMOs or other larger-scale facilities operated by a CMO or by us and delays or failure by our CMOs or us to make any necessary changes to such manufacturing process;</w:t>
      </w:r>
    </w:p>
    <w:p>
      <w:pPr>
        <w:ind w:left="820" w:right="26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ind w:left="820" w:right="420" w:hanging="320"/>
        <w:spacing w:after="0" w:line="255"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49" w:lineRule="exact"/>
        <w:rPr>
          <w:sz w:val="20"/>
          <w:szCs w:val="20"/>
          <w:color w:val="auto"/>
        </w:rPr>
      </w:pPr>
    </w:p>
    <w:p>
      <w:pPr>
        <w:ind w:right="20" w:firstLine="492"/>
        <w:spacing w:after="0" w:line="296" w:lineRule="auto"/>
        <w:rPr>
          <w:sz w:val="20"/>
          <w:szCs w:val="20"/>
          <w:color w:val="auto"/>
        </w:rPr>
      </w:pPr>
      <w:r>
        <w:rPr>
          <w:rFonts w:ascii="Arial" w:cs="Arial" w:eastAsia="Arial" w:hAnsi="Arial"/>
          <w:sz w:val="16"/>
          <w:szCs w:val="16"/>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34" w:lineRule="exact"/>
        <w:rPr>
          <w:sz w:val="20"/>
          <w:szCs w:val="20"/>
          <w:color w:val="auto"/>
        </w:rPr>
      </w:pPr>
    </w:p>
    <w:p>
      <w:pPr>
        <w:ind w:right="20" w:firstLine="492"/>
        <w:spacing w:after="0" w:line="253"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the FDA approval or notification, may not have their desired effect and the FDA may not accept data from prior versions of the product to support an application, delaying our clinical trials or programs or necessitating additional clinical or preclinical studies. For example, we changed our manufacturing process from our first generation, or Gen 1 to our second generation, or Gen 2 to decrease the production time and allow for the cryopreservation of the product. We may find that this update has unintended consequences that necessitates additional development and manufacturing work, additional clinical and preclinical studies, or that results in refusal to file or non-approval of a BLA.</w:t>
      </w:r>
    </w:p>
    <w:p>
      <w:pPr>
        <w:spacing w:after="0" w:line="156"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43"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It may take longer and cost more to complete our clinical trials than we project, or we may not be able to complete them at all.*</w:t>
      </w:r>
    </w:p>
    <w:p>
      <w:pPr>
        <w:spacing w:after="0" w:line="219" w:lineRule="exact"/>
        <w:rPr>
          <w:sz w:val="20"/>
          <w:szCs w:val="20"/>
          <w:color w:val="auto"/>
        </w:rPr>
      </w:pPr>
    </w:p>
    <w:p>
      <w:pPr>
        <w:ind w:right="160" w:firstLine="492"/>
        <w:spacing w:after="0" w:line="301" w:lineRule="auto"/>
        <w:rPr>
          <w:sz w:val="20"/>
          <w:szCs w:val="20"/>
          <w:color w:val="auto"/>
        </w:rPr>
      </w:pPr>
      <w:r>
        <w:rPr>
          <w:rFonts w:ascii="Arial" w:cs="Arial" w:eastAsia="Arial" w:hAnsi="Arial"/>
          <w:sz w:val="16"/>
          <w:szCs w:val="16"/>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and difficulties in identifying and enrolling patients who meet trial eligibility criteria, may cause significant delays. We may not commence or complete clinical trials involving any of our products as projected or may not conduct them successfully.</w:t>
      </w:r>
    </w:p>
    <w:p>
      <w:pPr>
        <w:spacing w:after="0" w:line="117" w:lineRule="exact"/>
        <w:rPr>
          <w:sz w:val="20"/>
          <w:szCs w:val="20"/>
          <w:color w:val="auto"/>
        </w:rPr>
      </w:pPr>
    </w:p>
    <w:p>
      <w:pPr>
        <w:ind w:right="140" w:firstLine="492"/>
        <w:spacing w:after="0" w:line="342" w:lineRule="auto"/>
        <w:rPr>
          <w:sz w:val="20"/>
          <w:szCs w:val="20"/>
          <w:color w:val="auto"/>
        </w:rPr>
      </w:pPr>
      <w:r>
        <w:rPr>
          <w:rFonts w:ascii="Arial" w:cs="Arial" w:eastAsia="Arial" w:hAnsi="Arial"/>
          <w:sz w:val="16"/>
          <w:szCs w:val="16"/>
          <w:color w:val="auto"/>
        </w:rPr>
        <w:t>We are currently enrolling our company-sponsored, Phase 2 clinical trials to assess its overall safety and efficacy in patients with melanoma, cervical, head and neck and lung cancers. However, we may experience difficulties in patient enrollment in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trials. For example, our studies of TIL therapy LN-145 in patients with recurrent, metastatic or persistent cervical cancers and TIL therapy lifileucel in advanced melanoma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of TIL therapy LN-145 in patients with recurrent, metastatic or persistent cervical cancers and TIL therapy lifileucel in metastatic melanoma, the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357"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Furthermore, the timely completion of clinical trials in accordance with their protocols depends, among other things, on our ability to enroll a sufficient number of patients who remain in the study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69" w:lineRule="exact"/>
        <w:rPr>
          <w:sz w:val="20"/>
          <w:szCs w:val="20"/>
          <w:color w:val="auto"/>
        </w:rPr>
      </w:pPr>
    </w:p>
    <w:p>
      <w:pPr>
        <w:ind w:right="140" w:firstLine="492"/>
        <w:spacing w:after="0" w:line="259" w:lineRule="auto"/>
        <w:rPr>
          <w:sz w:val="20"/>
          <w:szCs w:val="20"/>
          <w:color w:val="auto"/>
        </w:rPr>
      </w:pPr>
      <w:r>
        <w:rPr>
          <w:rFonts w:ascii="Arial" w:cs="Arial" w:eastAsia="Arial" w:hAnsi="Arial"/>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46" w:lineRule="exact"/>
        <w:rPr>
          <w:sz w:val="20"/>
          <w:szCs w:val="20"/>
          <w:color w:val="auto"/>
        </w:rPr>
      </w:pPr>
    </w:p>
    <w:p>
      <w:pPr>
        <w:jc w:val="both"/>
        <w:ind w:right="40" w:firstLine="492"/>
        <w:spacing w:after="0" w:line="259" w:lineRule="auto"/>
        <w:rPr>
          <w:sz w:val="20"/>
          <w:szCs w:val="20"/>
          <w:color w:val="auto"/>
        </w:rPr>
      </w:pPr>
      <w:r>
        <w:rPr>
          <w:rFonts w:ascii="Arial" w:cs="Arial" w:eastAsia="Arial" w:hAnsi="Arial"/>
          <w:sz w:val="18"/>
          <w:szCs w:val="18"/>
          <w:color w:val="auto"/>
        </w:rPr>
        <w:t>We currently anticipate that we will have to rely on our CMOs to manufacture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146"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43" w:lineRule="exact"/>
        <w:rPr>
          <w:sz w:val="20"/>
          <w:szCs w:val="20"/>
          <w:color w:val="auto"/>
        </w:rPr>
      </w:pPr>
    </w:p>
    <w:p>
      <w:pPr>
        <w:ind w:right="60" w:firstLine="492"/>
        <w:spacing w:after="0" w:line="288" w:lineRule="auto"/>
        <w:rPr>
          <w:sz w:val="20"/>
          <w:szCs w:val="20"/>
          <w:color w:val="auto"/>
        </w:rPr>
      </w:pPr>
      <w:r>
        <w:rPr>
          <w:rFonts w:ascii="Arial" w:cs="Arial" w:eastAsia="Arial" w:hAnsi="Arial"/>
          <w:sz w:val="16"/>
          <w:szCs w:val="16"/>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w:t>
      </w:r>
    </w:p>
    <w:p>
      <w:pPr>
        <w:sectPr>
          <w:pgSz w:w="11900" w:h="16838" w:orient="portrait"/>
          <w:cols w:equalWidth="0" w:num="1">
            <w:col w:w="9920"/>
          </w:cols>
          <w:pgMar w:left="980" w:top="66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patients that we ultimately screen and enroll in our trials, and the number of trials that we may need to conduct, our overall clinical trial costs may be higher than for more conventional treatments.</w:t>
      </w:r>
    </w:p>
    <w:p>
      <w:pPr>
        <w:spacing w:after="0" w:line="130"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43"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344"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37"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pacing w:after="0" w:line="150" w:lineRule="exact"/>
        <w:rPr>
          <w:sz w:val="20"/>
          <w:szCs w:val="20"/>
          <w:color w:val="auto"/>
        </w:rPr>
      </w:pPr>
    </w:p>
    <w:p>
      <w:pPr>
        <w:jc w:val="both"/>
        <w:ind w:right="20" w:firstLine="492"/>
        <w:spacing w:after="0" w:line="257"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47"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design, these outcomes may result in the failure to meet an initial efficacy threshold for the first stage. Furthermore, other measures of efficacy for these clinical trials and product candidates may not be as favorable.</w:t>
      </w:r>
    </w:p>
    <w:p>
      <w:pPr>
        <w:spacing w:after="0" w:line="130" w:lineRule="exact"/>
        <w:rPr>
          <w:sz w:val="20"/>
          <w:szCs w:val="20"/>
          <w:color w:val="auto"/>
        </w:rPr>
      </w:pPr>
    </w:p>
    <w:p>
      <w:pPr>
        <w:ind w:right="440" w:firstLine="492"/>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43" w:lineRule="exact"/>
        <w:rPr>
          <w:sz w:val="20"/>
          <w:szCs w:val="20"/>
          <w:color w:val="auto"/>
        </w:rPr>
      </w:pPr>
    </w:p>
    <w:p>
      <w:pPr>
        <w:ind w:right="140" w:firstLine="492"/>
        <w:spacing w:after="0" w:line="286"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or similar patients in the pivotal program to the Phase 2, who remain in the trial until its conclusion. We may experience difficulties or delays in patient enrollment in our clinical trials for a variety of reasons, including:</w:t>
      </w:r>
    </w:p>
    <w:p>
      <w:pPr>
        <w:spacing w:after="0" w:line="125" w:lineRule="exact"/>
        <w:rPr>
          <w:sz w:val="20"/>
          <w:szCs w:val="20"/>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9" w:lineRule="exact"/>
        <w:rPr>
          <w:rFonts w:ascii="Arial" w:cs="Arial" w:eastAsia="Arial" w:hAnsi="Arial"/>
          <w:sz w:val="18"/>
          <w:szCs w:val="18"/>
          <w:color w:val="auto"/>
        </w:rPr>
      </w:pPr>
    </w:p>
    <w:p>
      <w:pPr>
        <w:jc w:val="both"/>
        <w:ind w:left="820" w:right="18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 w:lineRule="exact"/>
        <w:rPr>
          <w:rFonts w:ascii="Arial" w:cs="Arial" w:eastAsia="Arial" w:hAnsi="Arial"/>
          <w:sz w:val="18"/>
          <w:szCs w:val="18"/>
          <w:color w:val="auto"/>
        </w:rPr>
      </w:pPr>
    </w:p>
    <w:p>
      <w:pPr>
        <w:ind w:left="820" w:right="12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 w:lineRule="exact"/>
        <w:rPr>
          <w:rFonts w:ascii="Arial" w:cs="Arial" w:eastAsia="Arial" w:hAnsi="Arial"/>
          <w:sz w:val="18"/>
          <w:szCs w:val="18"/>
          <w:color w:val="auto"/>
        </w:rPr>
      </w:pPr>
    </w:p>
    <w:p>
      <w:pPr>
        <w:ind w:left="820" w:hanging="320"/>
        <w:spacing w:after="0" w:line="253"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52"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 Amendments to our clinical protocols may affect enrollment in, or results of, our trials, including amendments we have made to further define the patient population to be studied.</w:t>
      </w:r>
    </w:p>
    <w:p>
      <w:pPr>
        <w:spacing w:after="0" w:line="155"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43"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Results of our trials could reveal a high and unacceptable severity and prevalence of side effects or unexpected characteristics. Undesirable side effects caused by our product candidates could cause us, IRBs, Drug Safety Monitoring Boards or DSMBs, or regulatory authorities to interrupt, delay or halt clinical trials and could result in a more restrictive label or the delay or denial of regulatory approval by the FDA or other comparable foreign regulatory authorities. Even if we were to receive product approval, such</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2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5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37" w:lineRule="exact"/>
        <w:rPr>
          <w:sz w:val="20"/>
          <w:szCs w:val="20"/>
          <w:color w:val="auto"/>
        </w:rPr>
      </w:pPr>
    </w:p>
    <w:p>
      <w:pPr>
        <w:ind w:right="200" w:firstLine="486"/>
        <w:spacing w:after="0" w:line="327" w:lineRule="auto"/>
        <w:rPr>
          <w:sz w:val="20"/>
          <w:szCs w:val="20"/>
          <w:color w:val="auto"/>
        </w:rPr>
      </w:pPr>
      <w:r>
        <w:rPr>
          <w:rFonts w:ascii="Arial" w:cs="Arial" w:eastAsia="Arial" w:hAnsi="Arial"/>
          <w:sz w:val="15"/>
          <w:szCs w:val="15"/>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99" w:lineRule="exact"/>
        <w:rPr>
          <w:sz w:val="20"/>
          <w:szCs w:val="20"/>
          <w:color w:val="auto"/>
        </w:rPr>
      </w:pPr>
    </w:p>
    <w:p>
      <w:pPr>
        <w:ind w:right="40" w:firstLine="486"/>
        <w:spacing w:after="0" w:line="285"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 cells from the tumor fragments,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4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ectPr>
          <w:pgSz w:w="11900" w:h="16838" w:orient="portrait"/>
          <w:cols w:equalWidth="0" w:num="1">
            <w:col w:w="9920"/>
          </w:cols>
          <w:pgMar w:left="980" w:top="665"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FDA not agreeing with all of the details of our validation data or our potency assay for Cohort 4 of our C-144-01 clinical trial.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45"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Our current manufacturing strategy involves the use of CMOs. Currently our product candidates are manufactured by WuXi, Lonza Netherlands,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58"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30" w:lineRule="exact"/>
        <w:rPr>
          <w:sz w:val="20"/>
          <w:szCs w:val="20"/>
          <w:color w:val="auto"/>
        </w:rPr>
      </w:pPr>
    </w:p>
    <w:p>
      <w:pPr>
        <w:ind w:left="820" w:hanging="320"/>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inability to negotiate manufacturing and quality agreements with third parties under commercially reasonable terms;</w:t>
      </w:r>
    </w:p>
    <w:p>
      <w:pPr>
        <w:spacing w:after="0" w:line="34" w:lineRule="exact"/>
        <w:rPr>
          <w:rFonts w:ascii="Arial" w:cs="Arial" w:eastAsia="Arial" w:hAnsi="Arial"/>
          <w:sz w:val="17"/>
          <w:szCs w:val="17"/>
          <w:color w:val="auto"/>
        </w:rPr>
      </w:pPr>
    </w:p>
    <w:p>
      <w:pPr>
        <w:ind w:left="820" w:right="68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ind w:left="820" w:hanging="320"/>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control over the protection of our trade secrets and know-how from misappropriation or inadvertent disclosure;</w:t>
      </w:r>
    </w:p>
    <w:p>
      <w:pPr>
        <w:spacing w:after="0" w:line="20" w:lineRule="exact"/>
        <w:rPr>
          <w:rFonts w:ascii="Arial" w:cs="Arial" w:eastAsia="Arial" w:hAnsi="Arial"/>
          <w:sz w:val="17"/>
          <w:szCs w:val="17"/>
          <w:color w:val="auto"/>
        </w:rPr>
      </w:pPr>
    </w:p>
    <w:p>
      <w:pPr>
        <w:ind w:left="820" w:right="440" w:hanging="320"/>
        <w:spacing w:after="0" w:line="281" w:lineRule="auto"/>
        <w:tabs>
          <w:tab w:leader="none" w:pos="814" w:val="left"/>
        </w:tabs>
        <w:numPr>
          <w:ilvl w:val="0"/>
          <w:numId w:val="8"/>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1" w:lineRule="exact"/>
        <w:rPr>
          <w:rFonts w:ascii="Arial" w:cs="Arial" w:eastAsia="Arial" w:hAnsi="Arial"/>
          <w:sz w:val="16"/>
          <w:szCs w:val="16"/>
          <w:color w:val="auto"/>
        </w:rPr>
      </w:pPr>
    </w:p>
    <w:p>
      <w:pPr>
        <w:ind w:left="820" w:right="200" w:hanging="320"/>
        <w:spacing w:after="0" w:line="26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45"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6"/>
          <w:szCs w:val="16"/>
          <w:color w:val="auto"/>
        </w:rPr>
        <w:t>In May 2019 we entered into a lease agreement to build a commercial-scale manufacturing facility in Philadelphia, Pennsylvania for commercial and clinical production of autologous TIL products, including our product candidates lifileucel and LN-145. We would expect that development of our own manufacturing facility would provide us with enhanced control of material supply for both clinical trials and the commercial market, enable the more rapid implementation of process changes, and allow for better long-term margins.</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However, we have no experience as a company in developing a manufacturing facility and we may not be 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6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47" w:lineRule="exact"/>
        <w:rPr>
          <w:sz w:val="20"/>
          <w:szCs w:val="20"/>
          <w:color w:val="auto"/>
        </w:rPr>
      </w:pPr>
    </w:p>
    <w:p>
      <w:pPr>
        <w:ind w:right="320" w:firstLine="486"/>
        <w:spacing w:after="0" w:line="301"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commercial manufacturers fail to deliver the required commercial quantities of our product candidates on a timely basis and at reasonable costs, we would likely be unable to meet demand for our products and we would lose potential revenues.</w:t>
      </w:r>
    </w:p>
    <w:p>
      <w:pPr>
        <w:spacing w:after="0" w:line="83" w:lineRule="exact"/>
        <w:rPr>
          <w:sz w:val="20"/>
          <w:szCs w:val="20"/>
          <w:color w:val="auto"/>
        </w:rPr>
      </w:pPr>
    </w:p>
    <w:p>
      <w:pPr>
        <w:ind w:right="260" w:firstLine="486"/>
        <w:spacing w:after="0" w:line="289" w:lineRule="auto"/>
        <w:rPr>
          <w:sz w:val="20"/>
          <w:szCs w:val="20"/>
          <w:color w:val="auto"/>
        </w:rPr>
      </w:pPr>
      <w:r>
        <w:rPr>
          <w:rFonts w:ascii="Arial" w:cs="Arial" w:eastAsia="Arial" w:hAnsi="Arial"/>
          <w:sz w:val="16"/>
          <w:szCs w:val="16"/>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FDA and other regulatory authority inspections following marketing approval. Further, we, in cooperation with our CMOs, must supply all necessary chemistry, manufacturing, and control documentation in support of a BLA on a timely basis. There is no guarantee that us or our CMOs will be able to successfully pass all aspects of a pre-approval inspection by the FDA or other foreign regulatory authorities.</w:t>
      </w:r>
    </w:p>
    <w:p>
      <w:pPr>
        <w:spacing w:after="0" w:line="139"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38"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3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38" w:lineRule="exact"/>
        <w:rPr>
          <w:sz w:val="20"/>
          <w:szCs w:val="20"/>
          <w:color w:val="auto"/>
        </w:rPr>
      </w:pPr>
    </w:p>
    <w:p>
      <w:pPr>
        <w:ind w:right="100" w:firstLine="486"/>
        <w:spacing w:after="0" w:line="340" w:lineRule="auto"/>
        <w:rPr>
          <w:sz w:val="20"/>
          <w:szCs w:val="20"/>
          <w:color w:val="auto"/>
        </w:rPr>
      </w:pPr>
      <w:r>
        <w:rPr>
          <w:rFonts w:ascii="Arial" w:cs="Arial" w:eastAsia="Arial" w:hAnsi="Arial"/>
          <w:sz w:val="15"/>
          <w:szCs w:val="15"/>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90"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38" w:lineRule="exact"/>
        <w:rPr>
          <w:sz w:val="20"/>
          <w:szCs w:val="20"/>
          <w:color w:val="auto"/>
        </w:rPr>
      </w:pPr>
    </w:p>
    <w:p>
      <w:pPr>
        <w:ind w:right="240" w:firstLine="486"/>
        <w:spacing w:after="0" w:line="301" w:lineRule="auto"/>
        <w:rPr>
          <w:sz w:val="20"/>
          <w:szCs w:val="20"/>
          <w:color w:val="auto"/>
        </w:rPr>
      </w:pPr>
      <w:r>
        <w:rPr>
          <w:rFonts w:ascii="Arial" w:cs="Arial" w:eastAsia="Arial" w:hAnsi="Arial"/>
          <w:sz w:val="16"/>
          <w:szCs w:val="16"/>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product candidates, which could adversely and materially affect our product sales and operating results or our ability to conduct clinical trials, either of which could significantly harm our business.</w:t>
      </w:r>
    </w:p>
    <w:p>
      <w:pPr>
        <w:spacing w:after="0" w:line="130" w:lineRule="exact"/>
        <w:rPr>
          <w:sz w:val="20"/>
          <w:szCs w:val="20"/>
          <w:color w:val="auto"/>
        </w:rPr>
      </w:pPr>
    </w:p>
    <w:p>
      <w:pPr>
        <w:ind w:right="20" w:firstLine="492"/>
        <w:spacing w:after="0" w:line="291"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185"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With the exception of lifileucel and LN-145 for metastatic cervical cancer, 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46" w:lineRule="exact"/>
        <w:rPr>
          <w:sz w:val="20"/>
          <w:szCs w:val="20"/>
          <w:color w:val="auto"/>
        </w:rPr>
      </w:pPr>
    </w:p>
    <w:p>
      <w:pPr>
        <w:ind w:left="820" w:right="20" w:hanging="320"/>
        <w:spacing w:after="0" w:line="258"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right="54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ind w:left="820" w:right="18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820" w:right="70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820" w:right="2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820" w:hanging="320"/>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regulatory authorities may find that our clinical trial design or conduct does not meet the applicable approval requirements.</w:t>
      </w:r>
    </w:p>
    <w:p>
      <w:pPr>
        <w:spacing w:after="0" w:line="20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Even if our lead products, lifileucel and LN-145, are approved and commercialized, we may not become profitable.</w:t>
      </w:r>
    </w:p>
    <w:p>
      <w:pPr>
        <w:spacing w:after="0" w:line="19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lead products, lifileucel and LN-145, are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and LN-145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51"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25"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In addition to our own research and process development efforts, we seek to collaborate with government, academic research institutions and corporate partners to improve TIL manufacturing and to develop TIL therapies for new indications. In 2017-2019, we announced collaborations with Moffitt, MDACC, Ohio State University, and CHUM to evaluate several new solid tumor and hematologic indications for TIL therapy in clinical and preclinical studies as well as, in some cases, new TIL manufacturing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MDACC and CHUM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141"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b w:val="1"/>
          <w:bCs w:val="1"/>
          <w:i w:val="1"/>
          <w:iCs w:val="1"/>
          <w:color w:val="auto"/>
        </w:rPr>
        <w:t>We may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30"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Our operations have consumed substantial amounts of cash since inception. From our inception to June 30, 2020, we have an accumulated deficit of $703.2 million. In addition, our research and development and our operating costs have also been substantial and are expected to increase. In January 2018, we closed an underwritten public offering of our common stock. The net proceeds from the offering, after deducting the underwriting discounts and commissions and other offering expenses payable by us, were $162.0 million. In October 2018, we closed an underwritten public offering of our common stock. The net proceeds from the offering, after deducting the underwriting discounts and commissions and other offering expenses payable by us, were $236.7 million. In June 2020, we closed an underwritten offering of our common stock. The net proceeds from the offering, after deducting the underwriting discounts and commissions and other offering expenses payable by us, were $567.0 million. In addition to our continued spending for our product candidates, we expect to spend approximately $75 million to $85 million over the next three years for equipment and construction costs for our commercial-scale production facility under construction in Philadelphia, Pennsylvania, for which we have latitude as to the timing and amount of expenditures. As of June 30, 2020, we had $777.4 million in cash, cash equivalents and short-term investments ($160.6 million of cash and cash equivalents and $611.3 million in short-term investments and $5.5 million in restricted cash).</w:t>
      </w:r>
    </w:p>
    <w:p>
      <w:pPr>
        <w:spacing w:after="0" w:line="12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Accordingly, we believe that our existing cash, cash equivalents and short-term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 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56"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97" w:lineRule="exact"/>
        <w:rPr>
          <w:sz w:val="20"/>
          <w:szCs w:val="20"/>
          <w:color w:val="auto"/>
        </w:rPr>
      </w:pPr>
    </w:p>
    <w:p>
      <w:pPr>
        <w:ind w:left="820" w:right="100" w:hanging="320"/>
        <w:spacing w:after="0" w:line="258"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820" w:right="6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200" w:hanging="320"/>
        <w:spacing w:after="0" w:line="281" w:lineRule="auto"/>
        <w:tabs>
          <w:tab w:leader="none" w:pos="81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1" w:lineRule="exact"/>
        <w:rPr>
          <w:rFonts w:ascii="Arial" w:cs="Arial" w:eastAsia="Arial" w:hAnsi="Arial"/>
          <w:sz w:val="16"/>
          <w:szCs w:val="16"/>
          <w:color w:val="auto"/>
        </w:rPr>
      </w:pPr>
    </w:p>
    <w:p>
      <w:pPr>
        <w:ind w:left="820" w:right="600" w:hanging="320"/>
        <w:spacing w:after="0" w:line="26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United States;</w:t>
      </w:r>
    </w:p>
    <w:p>
      <w:pPr>
        <w:spacing w:after="0" w:line="23" w:lineRule="exact"/>
        <w:rPr>
          <w:rFonts w:ascii="Arial" w:cs="Arial" w:eastAsia="Arial" w:hAnsi="Arial"/>
          <w:sz w:val="18"/>
          <w:szCs w:val="18"/>
          <w:color w:val="auto"/>
        </w:rPr>
      </w:pPr>
    </w:p>
    <w:p>
      <w:pPr>
        <w:ind w:left="820" w:right="700" w:hanging="320"/>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820" w:right="280" w:hanging="320"/>
        <w:spacing w:after="0" w:line="26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4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5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54" w:lineRule="exact"/>
        <w:rPr>
          <w:sz w:val="20"/>
          <w:szCs w:val="20"/>
          <w:color w:val="auto"/>
        </w:rPr>
      </w:pPr>
    </w:p>
    <w:p>
      <w:pPr>
        <w:jc w:val="both"/>
        <w:ind w:right="160" w:firstLine="486"/>
        <w:spacing w:after="0" w:line="263" w:lineRule="auto"/>
        <w:rPr>
          <w:sz w:val="20"/>
          <w:szCs w:val="20"/>
          <w:color w:val="auto"/>
        </w:rPr>
      </w:pPr>
      <w:r>
        <w:rPr>
          <w:rFonts w:ascii="Arial" w:cs="Arial" w:eastAsia="Arial" w:hAnsi="Arial"/>
          <w:sz w:val="18"/>
          <w:szCs w:val="18"/>
          <w:b w:val="1"/>
          <w:bCs w:val="1"/>
          <w:i w:val="1"/>
          <w:iCs w:val="1"/>
          <w:color w:val="auto"/>
        </w:rPr>
        <w:t>Subject to various spending levels approved by our Board of Directors, our management will have broad discretion in the use of the net proceeds from our capital raises, including our June 2020, October 2018 and January 2018 public offerings, and may not use them effectively.</w:t>
      </w:r>
    </w:p>
    <w:p>
      <w:pPr>
        <w:spacing w:after="0" w:line="143" w:lineRule="exact"/>
        <w:rPr>
          <w:sz w:val="20"/>
          <w:szCs w:val="20"/>
          <w:color w:val="auto"/>
        </w:rPr>
      </w:pPr>
    </w:p>
    <w:p>
      <w:pPr>
        <w:ind w:right="160" w:firstLine="486"/>
        <w:spacing w:after="0" w:line="269" w:lineRule="auto"/>
        <w:rPr>
          <w:sz w:val="20"/>
          <w:szCs w:val="20"/>
          <w:color w:val="auto"/>
        </w:rPr>
      </w:pPr>
      <w:r>
        <w:rPr>
          <w:rFonts w:ascii="Arial" w:cs="Arial" w:eastAsia="Arial" w:hAnsi="Arial"/>
          <w:sz w:val="17"/>
          <w:szCs w:val="17"/>
          <w:color w:val="auto"/>
        </w:rPr>
        <w:t>Our management will have discretion in the application of the net proceeds from our capital raises,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 bearing cash accounts, short-term, investment-grade, interest-bearing instruments and U.S. government securities. These temporary investments are not likely to yield a significant return.</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2019, we had U.S. federal net operating loss carryforwards of approximately $426.7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37"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We have performed an analysis under Section 382 of the Code as of December 31, 2018. Per the analysis, the May 2013 recapitalization, and private placements in 2014 and 2016 may have already triggered such an ownership change.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w:t>
      </w:r>
    </w:p>
    <w:p>
      <w:pPr>
        <w:sectPr>
          <w:pgSz w:w="11900" w:h="16838" w:orient="portrait"/>
          <w:cols w:equalWidth="0" w:num="1">
            <w:col w:w="9920"/>
          </w:cols>
          <w:pgMar w:left="980" w:top="665"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46"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43"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139"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In addition, U.S. federal, state and local tax laws are extremely complex and subject to various interpretations. Although we believe that our tax estimates and positions are reasonable, including our decision to build our commercial manufacturing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31"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97"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21"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No adoptive cell therapy using TIL has been approved for marketing in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21"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w:t>
      </w:r>
    </w:p>
    <w:p>
      <w:pPr>
        <w:sectPr>
          <w:pgSz w:w="11900" w:h="16838" w:orient="portrait"/>
          <w:cols w:equalWidth="0" w:num="1">
            <w:col w:w="9880"/>
          </w:cols>
          <w:pgMar w:left="980" w:top="665" w:right="1039" w:bottom="1440" w:gutter="0" w:footer="0" w:header="0"/>
        </w:sect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technology from third parties.</w:t>
      </w:r>
    </w:p>
    <w:p>
      <w:pPr>
        <w:spacing w:after="0" w:line="198"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3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30"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 because the potential target populations are small, we may never achieve profitability without obtaining regulatory approval for additional indications.</w:t>
      </w:r>
    </w:p>
    <w:p>
      <w:pPr>
        <w:spacing w:after="0" w:line="165"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b w:val="1"/>
          <w:bCs w:val="1"/>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0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Under our license agreements with the NIH,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54"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5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43"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49"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3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 party medical insurers.</w:t>
      </w:r>
    </w:p>
    <w:p>
      <w:pPr>
        <w:spacing w:after="0" w:line="14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43"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our third-party manufacturers will have to continually adhere to current cGMP regulations enforced by the FDA through its facilities inspection program. If our facilities or any of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39"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30"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37" w:lineRule="exact"/>
        <w:rPr>
          <w:sz w:val="20"/>
          <w:szCs w:val="20"/>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withdrawal of clinical trial participants or sites and potential termination of clinical trial sites or entire clinical programs;</w:t>
      </w:r>
    </w:p>
    <w:p>
      <w:pPr>
        <w:spacing w:after="0" w:line="20" w:lineRule="exact"/>
        <w:rPr>
          <w:rFonts w:ascii="Arial" w:cs="Arial" w:eastAsia="Arial" w:hAnsi="Arial"/>
          <w:sz w:val="17"/>
          <w:szCs w:val="17"/>
          <w:color w:val="auto"/>
        </w:rPr>
      </w:pPr>
    </w:p>
    <w:p>
      <w:pPr>
        <w:ind w:left="820" w:right="580" w:hanging="320"/>
        <w:spacing w:after="0" w:line="250" w:lineRule="auto"/>
        <w:tabs>
          <w:tab w:leader="none" w:pos="8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4" w:lineRule="exact"/>
        <w:rPr>
          <w:sz w:val="20"/>
          <w:szCs w:val="20"/>
          <w:color w:val="auto"/>
        </w:rPr>
      </w:pPr>
    </w:p>
    <w:p>
      <w:pPr>
        <w:ind w:right="120" w:firstLine="492"/>
        <w:spacing w:after="0" w:line="272"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and from non-profit institutions.*</w:t>
      </w:r>
    </w:p>
    <w:p>
      <w:pPr>
        <w:spacing w:after="0" w:line="208" w:lineRule="exact"/>
        <w:rPr>
          <w:sz w:val="20"/>
          <w:szCs w:val="20"/>
          <w:color w:val="auto"/>
        </w:rPr>
      </w:pPr>
    </w:p>
    <w:p>
      <w:pPr>
        <w:ind w:right="80" w:firstLine="492"/>
        <w:spacing w:after="0" w:line="296"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34" w:lineRule="exact"/>
        <w:rPr>
          <w:sz w:val="20"/>
          <w:szCs w:val="20"/>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170"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Bristol-Myers Squibb, Merck, Nektar Therapeutics, Idera Pharmaceuticals, Checkmate Pharmaceuticals, WindMIL Therapeutics, Seattle Genetics, and others. We also may compete with therapies based on genetically engineered T cells rendered reactive against tumor-associated antigens prior to their administration to patients. Genetically engineered T cells are being pursued by several companies, including Adaptimmune, Bristol-Myers Squibb, Gilead Sciences, Novartis and others. To date, these technologies have been primarily applicable to hematologic malignancies, but their application in solid tumor indications may create competition with us.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w:t>
      </w:r>
    </w:p>
    <w:p>
      <w:pPr>
        <w:sectPr>
          <w:pgSz w:w="11900" w:h="16838" w:orient="portrait"/>
          <w:cols w:equalWidth="0" w:num="1">
            <w:col w:w="9900"/>
          </w:cols>
          <w:pgMar w:left="980" w:top="665" w:right="1019"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are in the process of obtaining regulatory approval for their therapeutic products in the United States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43"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65"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Our lead product candidates, lifileucel and LN-145, are therapies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and LN-145 face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25" w:lineRule="exact"/>
        <w:rPr>
          <w:sz w:val="20"/>
          <w:szCs w:val="20"/>
          <w:color w:val="auto"/>
        </w:rPr>
      </w:pPr>
    </w:p>
    <w:p>
      <w:pPr>
        <w:ind w:right="100" w:firstLine="492"/>
        <w:spacing w:after="0" w:line="275"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36" w:lineRule="exact"/>
        <w:rPr>
          <w:sz w:val="20"/>
          <w:szCs w:val="20"/>
          <w:color w:val="auto"/>
        </w:rPr>
      </w:pPr>
    </w:p>
    <w:p>
      <w:pPr>
        <w:ind w:right="520" w:firstLine="492"/>
        <w:spacing w:after="0" w:line="342" w:lineRule="auto"/>
        <w:rPr>
          <w:sz w:val="20"/>
          <w:szCs w:val="20"/>
          <w:color w:val="auto"/>
        </w:rPr>
      </w:pPr>
      <w:r>
        <w:rPr>
          <w:rFonts w:ascii="Arial" w:cs="Arial" w:eastAsia="Arial" w:hAnsi="Arial"/>
          <w:sz w:val="16"/>
          <w:szCs w:val="16"/>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97" w:lineRule="exact"/>
        <w:rPr>
          <w:sz w:val="20"/>
          <w:szCs w:val="20"/>
          <w:color w:val="auto"/>
        </w:rPr>
      </w:pPr>
    </w:p>
    <w:p>
      <w:pPr>
        <w:jc w:val="both"/>
        <w:ind w:right="100" w:firstLine="492"/>
        <w:spacing w:after="0" w:line="287"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36" w:lineRule="exact"/>
        <w:rPr>
          <w:sz w:val="20"/>
          <w:szCs w:val="20"/>
          <w:color w:val="auto"/>
        </w:rPr>
      </w:pPr>
    </w:p>
    <w:p>
      <w:pPr>
        <w:ind w:right="40" w:firstLine="492"/>
        <w:spacing w:after="0" w:line="287"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Ohio State University, Cellectis, Yale University, Novartis, and CHUM.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27"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43" w:lineRule="exact"/>
        <w:rPr>
          <w:sz w:val="20"/>
          <w:szCs w:val="20"/>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820" w:right="2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hanging="320"/>
        <w:spacing w:after="0" w:line="265" w:lineRule="auto"/>
        <w:tabs>
          <w:tab w:leader="none" w:pos="814"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820" w:right="14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8"/>
          <w:szCs w:val="18"/>
          <w:color w:val="auto"/>
        </w:rPr>
      </w:pPr>
    </w:p>
    <w:p>
      <w:pPr>
        <w:jc w:val="both"/>
        <w:ind w:left="820" w:right="600" w:hanging="320"/>
        <w:spacing w:after="0" w:line="281" w:lineRule="auto"/>
        <w:tabs>
          <w:tab w:leader="none" w:pos="814"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 w:lineRule="exact"/>
        <w:rPr>
          <w:rFonts w:ascii="Arial" w:cs="Arial" w:eastAsia="Arial" w:hAnsi="Arial"/>
          <w:sz w:val="16"/>
          <w:szCs w:val="16"/>
          <w:color w:val="auto"/>
        </w:rPr>
      </w:pPr>
    </w:p>
    <w:p>
      <w:pPr>
        <w:ind w:left="820" w:right="16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820" w:right="8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20" w:hanging="320"/>
        <w:spacing w:after="0" w:line="323" w:lineRule="auto"/>
        <w:tabs>
          <w:tab w:leader="none" w:pos="81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11"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36"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46"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ectPr>
          <w:pgSz w:w="11900" w:h="16838" w:orient="portrait"/>
          <w:cols w:equalWidth="0" w:num="1">
            <w:col w:w="9860"/>
          </w:cols>
          <w:pgMar w:left="980" w:top="665" w:right="10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46"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43" w:lineRule="exact"/>
        <w:rPr>
          <w:sz w:val="20"/>
          <w:szCs w:val="20"/>
          <w:color w:val="auto"/>
        </w:rPr>
      </w:pPr>
    </w:p>
    <w:p>
      <w:pPr>
        <w:ind w:right="80" w:firstLine="492"/>
        <w:spacing w:after="0" w:line="288" w:lineRule="auto"/>
        <w:rPr>
          <w:sz w:val="20"/>
          <w:szCs w:val="20"/>
          <w:color w:val="auto"/>
        </w:rPr>
      </w:pPr>
      <w:r>
        <w:rPr>
          <w:rFonts w:ascii="Arial" w:cs="Arial" w:eastAsia="Arial" w:hAnsi="Arial"/>
          <w:sz w:val="16"/>
          <w:szCs w:val="16"/>
          <w:color w:val="auto"/>
        </w:rPr>
        <w:t>We are currently developing lifileucel and LN-145 for use along with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28" w:lineRule="exact"/>
        <w:rPr>
          <w:sz w:val="20"/>
          <w:szCs w:val="20"/>
          <w:color w:val="auto"/>
        </w:rPr>
      </w:pPr>
    </w:p>
    <w:p>
      <w:pPr>
        <w:ind w:right="400" w:firstLine="492"/>
        <w:spacing w:after="0" w:line="263" w:lineRule="auto"/>
        <w:rPr>
          <w:sz w:val="20"/>
          <w:szCs w:val="20"/>
          <w:color w:val="auto"/>
        </w:rPr>
      </w:pPr>
      <w:r>
        <w:rPr>
          <w:rFonts w:ascii="Arial" w:cs="Arial" w:eastAsia="Arial" w:hAnsi="Arial"/>
          <w:sz w:val="18"/>
          <w:szCs w:val="18"/>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pacing w:after="0" w:line="143"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We were granted Fast Track designation by the FDA for lifileucel in advanced melanoma and LN-145 for metastatic cervical cancer. We were granted Breakthrough Therapy designation, or BTD, for LN-145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69" w:lineRule="exact"/>
        <w:rPr>
          <w:sz w:val="20"/>
          <w:szCs w:val="20"/>
          <w:color w:val="auto"/>
        </w:rPr>
      </w:pPr>
    </w:p>
    <w:p>
      <w:pPr>
        <w:ind w:right="220" w:firstLine="492"/>
        <w:spacing w:after="0" w:line="259" w:lineRule="auto"/>
        <w:rPr>
          <w:sz w:val="20"/>
          <w:szCs w:val="20"/>
          <w:color w:val="auto"/>
        </w:rPr>
      </w:pPr>
      <w:r>
        <w:rPr>
          <w:rFonts w:ascii="Arial" w:cs="Arial" w:eastAsia="Arial" w:hAnsi="Arial"/>
          <w:sz w:val="18"/>
          <w:szCs w:val="18"/>
          <w:b w:val="1"/>
          <w:bCs w:val="1"/>
          <w:i w:val="1"/>
          <w:iCs w:val="1"/>
          <w:color w:val="auto"/>
        </w:rPr>
        <w:t>While lifileucel has received orphan drug designation for melanoma stages IIB-IV and LN-145 has received orphan drug designation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46" w:lineRule="exact"/>
        <w:rPr>
          <w:sz w:val="20"/>
          <w:szCs w:val="20"/>
          <w:color w:val="auto"/>
        </w:rPr>
      </w:pPr>
    </w:p>
    <w:p>
      <w:pPr>
        <w:ind w:right="20" w:firstLine="492"/>
        <w:spacing w:after="0" w:line="288" w:lineRule="auto"/>
        <w:rPr>
          <w:sz w:val="20"/>
          <w:szCs w:val="20"/>
          <w:color w:val="auto"/>
        </w:rPr>
      </w:pPr>
      <w:r>
        <w:rPr>
          <w:rFonts w:ascii="Arial" w:cs="Arial" w:eastAsia="Arial" w:hAnsi="Arial"/>
          <w:sz w:val="16"/>
          <w:szCs w:val="16"/>
          <w:color w:val="auto"/>
        </w:rPr>
        <w:t>We received orphan drug designation in the United States for lifileucel to treat malignant melanoma stages IIB-IV and LN-145 for cervical cancer patients with tumors greater than 2 cm. We may also seek orphan drug designation for our other product candidates, as appropriate. Orphan designation,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28"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Moreover, the FDA may grant orphan drug designations to multiple of the same products for the same indication. If another sponsor receives FDA approval for an orphan drug designated product that is the same as our product candidates and intended for the same indication before we do, we would be prevented from launching our product in the United States for this indication for a period of at least 7 years.</w:t>
      </w:r>
    </w:p>
    <w:p>
      <w:pPr>
        <w:spacing w:after="0" w:line="160" w:lineRule="exact"/>
        <w:rPr>
          <w:sz w:val="20"/>
          <w:szCs w:val="20"/>
          <w:color w:val="auto"/>
        </w:rPr>
      </w:pPr>
    </w:p>
    <w:p>
      <w:pPr>
        <w:ind w:right="200" w:firstLine="492"/>
        <w:spacing w:after="0" w:line="342" w:lineRule="auto"/>
        <w:rPr>
          <w:sz w:val="20"/>
          <w:szCs w:val="20"/>
          <w:color w:val="auto"/>
        </w:rPr>
      </w:pPr>
      <w:r>
        <w:rPr>
          <w:rFonts w:ascii="Arial" w:cs="Arial" w:eastAsia="Arial" w:hAnsi="Arial"/>
          <w:sz w:val="16"/>
          <w:szCs w:val="16"/>
          <w:color w:val="auto"/>
        </w:rPr>
        <w:t>In response to a court decision regarding the plain meaning of the exclusivity provision of the Orphan Drug Act, the FDA may undertake a reevaluation of aspects of its orphan drug regulations and policies. We do not know if, when, or how the FDA may change</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43" w:lineRule="exact"/>
        <w:rPr>
          <w:sz w:val="20"/>
          <w:szCs w:val="20"/>
          <w:color w:val="auto"/>
        </w:rPr>
      </w:pPr>
    </w:p>
    <w:p>
      <w:pPr>
        <w:ind w:right="240" w:firstLine="492"/>
        <w:spacing w:after="0" w:line="263"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57"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As a condition of biologic licensing, the FDA is authorized to require that sponsors of approved BLAs implement various post-market requirements, including REMS and Phase 4 studies. For example, when the FDA approved Novartis’ Kymriah in August 2017, a CAR-T cell therapy for the treatment of patients up to 25 years of age with B-cell precursor acute lymphoblastic leukemia, or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141" w:lineRule="exact"/>
        <w:rPr>
          <w:sz w:val="20"/>
          <w:szCs w:val="20"/>
          <w:color w:val="auto"/>
        </w:rPr>
      </w:pPr>
    </w:p>
    <w:p>
      <w:pPr>
        <w:ind w:right="180" w:firstLine="492"/>
        <w:spacing w:after="0" w:line="342" w:lineRule="auto"/>
        <w:rPr>
          <w:sz w:val="20"/>
          <w:szCs w:val="20"/>
          <w:color w:val="auto"/>
        </w:rPr>
      </w:pPr>
      <w:r>
        <w:rPr>
          <w:rFonts w:ascii="Arial" w:cs="Arial" w:eastAsia="Arial" w:hAnsi="Arial"/>
          <w:sz w:val="16"/>
          <w:szCs w:val="16"/>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83"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51" w:lineRule="exact"/>
        <w:rPr>
          <w:sz w:val="20"/>
          <w:szCs w:val="20"/>
          <w:color w:val="auto"/>
        </w:rPr>
      </w:pPr>
    </w:p>
    <w:p>
      <w:pPr>
        <w:ind w:right="60" w:firstLine="492"/>
        <w:spacing w:after="0" w:line="290" w:lineRule="auto"/>
        <w:rPr>
          <w:sz w:val="20"/>
          <w:szCs w:val="20"/>
          <w:color w:val="auto"/>
        </w:rPr>
      </w:pPr>
      <w:r>
        <w:rPr>
          <w:rFonts w:ascii="Arial" w:cs="Arial" w:eastAsia="Arial" w:hAnsi="Arial"/>
          <w:sz w:val="16"/>
          <w:szCs w:val="16"/>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25" w:lineRule="exact"/>
        <w:rPr>
          <w:sz w:val="20"/>
          <w:szCs w:val="20"/>
          <w:color w:val="auto"/>
        </w:rPr>
      </w:pPr>
    </w:p>
    <w:p>
      <w:pPr>
        <w:ind w:left="820" w:right="320" w:hanging="320"/>
        <w:spacing w:after="0" w:line="291" w:lineRule="auto"/>
        <w:tabs>
          <w:tab w:leader="none" w:pos="8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 COVID-19 Pandemic continues or reoccurs it may negatively impact our ability to establish commercial operations, educate and interact with healthcare professionals, and successfully launch our product on a timely basis;</w:t>
      </w:r>
    </w:p>
    <w:p>
      <w:pPr>
        <w:ind w:left="820" w:right="32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820" w:right="26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monitoring their actions;</w:t>
      </w: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820" w:right="60" w:hanging="320"/>
        <w:spacing w:after="0" w:line="26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540" w:hanging="320"/>
        <w:spacing w:after="0" w:line="277"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30" w:lineRule="exact"/>
        <w:rPr>
          <w:sz w:val="20"/>
          <w:szCs w:val="20"/>
          <w:color w:val="auto"/>
        </w:rPr>
      </w:pPr>
    </w:p>
    <w:p>
      <w:pPr>
        <w:ind w:right="480" w:firstLine="492"/>
        <w:spacing w:after="0" w:line="277" w:lineRule="auto"/>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43"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37"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46" w:lineRule="exact"/>
        <w:rPr>
          <w:sz w:val="20"/>
          <w:szCs w:val="20"/>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0" w:lineRule="exact"/>
        <w:rPr>
          <w:rFonts w:ascii="Arial" w:cs="Arial" w:eastAsia="Arial" w:hAnsi="Arial"/>
          <w:sz w:val="17"/>
          <w:szCs w:val="17"/>
          <w:color w:val="auto"/>
        </w:rPr>
      </w:pPr>
    </w:p>
    <w:p>
      <w:pPr>
        <w:ind w:left="820" w:right="320" w:hanging="320"/>
        <w:spacing w:after="0" w:line="25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including potential limitations or warnings for such products that may be more restrictive than other competitive products;</w:t>
      </w: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820" w:hanging="320"/>
        <w:spacing w:after="0" w:line="250" w:lineRule="auto"/>
        <w:tabs>
          <w:tab w:leader="none" w:pos="8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84"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85"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The enactment of the Biologics Price Competition and Innovation Act of 2009, or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43"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4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3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43"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185"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w:t>
      </w:r>
    </w:p>
    <w:p>
      <w:pPr>
        <w:sectPr>
          <w:pgSz w:w="11900" w:h="16838" w:orient="portrait"/>
          <w:cols w:equalWidth="0" w:num="1">
            <w:col w:w="9920"/>
          </w:cols>
          <w:pgMar w:left="980" w:top="665"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reputational harm to us. In addition, our liability insurance may not be sufficient in type or amount to cover us against claims related to security breaches, cyberattacks and other related breaches.</w:t>
      </w:r>
    </w:p>
    <w:p>
      <w:pPr>
        <w:spacing w:after="0" w:line="130" w:lineRule="exact"/>
        <w:rPr>
          <w:sz w:val="20"/>
          <w:szCs w:val="20"/>
          <w:color w:val="auto"/>
        </w:rPr>
      </w:pPr>
    </w:p>
    <w:p>
      <w:pPr>
        <w:ind w:right="20" w:firstLine="492"/>
        <w:spacing w:after="0" w:line="293" w:lineRule="auto"/>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including the recent spread of the disease caused by the novel coronavirus, SARS-CoV-2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and at our manufacturing facility in Philadelphia, which are currently subject to state executive orders and shelter-in-place orders, and at our clinical trial sites, as well as the business or operations of our other manufacturers, CROs or other third parties with whom we conduct business.*</w:t>
      </w:r>
    </w:p>
    <w:p>
      <w:pPr>
        <w:spacing w:after="0" w:line="137" w:lineRule="exact"/>
        <w:rPr>
          <w:sz w:val="20"/>
          <w:szCs w:val="20"/>
          <w:color w:val="auto"/>
        </w:rPr>
      </w:pPr>
    </w:p>
    <w:p>
      <w:pPr>
        <w:ind w:right="80" w:firstLine="492"/>
        <w:spacing w:after="0" w:line="286" w:lineRule="auto"/>
        <w:rPr>
          <w:sz w:val="20"/>
          <w:szCs w:val="20"/>
          <w:color w:val="auto"/>
        </w:rPr>
      </w:pPr>
      <w:r>
        <w:rPr>
          <w:rFonts w:ascii="Arial" w:cs="Arial" w:eastAsia="Arial" w:hAnsi="Arial"/>
          <w:sz w:val="16"/>
          <w:szCs w:val="16"/>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the COVID-19 Pandemic has spread to multiple countries, including the United States and several European countries. Our headquarters is located in the San Francisco Bay Area. The President of the United States declared the COVID-19 Pandemic a national emergency. Similarly, the State of California declared a state of emergency related to the spread of the COVID-19 Pandemic. In March 2020, the health officers of six San Francisco Bay Area counties, including San Mateo County where our headquarters in San Carlos are located, issued shelter-in-place orders. The shelter-in-place orders took effect on March 17, 2020 and will continue through the end of May 2020, unless further extended.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Similar executive orders have been issued by state and local governments in Pennsylvania, Florida, and elsewhere, and states of emergency have been declared at the state and local level in most jurisdictions throughout the United States.</w:t>
      </w:r>
    </w:p>
    <w:p>
      <w:pPr>
        <w:spacing w:after="0" w:line="133"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United States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the virus that causes the COVID-19 Pandemic and adversely impact our clinical trial operations.</w:t>
      </w:r>
    </w:p>
    <w:p>
      <w:pPr>
        <w:spacing w:after="0" w:line="141" w:lineRule="exact"/>
        <w:rPr>
          <w:sz w:val="20"/>
          <w:szCs w:val="20"/>
          <w:color w:val="auto"/>
        </w:rPr>
      </w:pPr>
    </w:p>
    <w:p>
      <w:pPr>
        <w:ind w:right="100" w:firstLine="492"/>
        <w:spacing w:after="0" w:line="275" w:lineRule="auto"/>
        <w:rPr>
          <w:sz w:val="20"/>
          <w:szCs w:val="20"/>
          <w:color w:val="auto"/>
        </w:rPr>
      </w:pPr>
      <w:r>
        <w:rPr>
          <w:rFonts w:ascii="Arial" w:cs="Arial" w:eastAsia="Arial" w:hAnsi="Arial"/>
          <w:sz w:val="17"/>
          <w:szCs w:val="17"/>
          <w:color w:val="auto"/>
        </w:rPr>
        <w:t>We continue to monitor the impact, if any, of the COVID-19 Pandemic on our current and future operations, including our regulatory filing timelines and strategy as well as our preparation for commercial launch. Should the COVID-19 Pandemic continue for an extended period of time and travel, face to face interactions, and resources are not allowed or are severely limited, either by us or our contractors, including our CMOs, our regulatory strategy, BLA filing timelines, or commercial launch preparations may be negatively impacted. The COVID-19 Pandemic may also impact the FDA and their ability to timely review our regulatory filings.</w:t>
      </w:r>
    </w:p>
    <w:p>
      <w:pPr>
        <w:spacing w:after="0" w:line="149"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30"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European Union, or EU, member states and other foreign jurisdictions, including Switzerland,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w:t>
      </w:r>
    </w:p>
    <w:p>
      <w:pPr>
        <w:sectPr>
          <w:pgSz w:w="11900" w:h="16838" w:orient="portrait"/>
          <w:cols w:equalWidth="0" w:num="1">
            <w:col w:w="9920"/>
          </w:cols>
          <w:pgMar w:left="980" w:top="665"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52"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43" w:lineRule="exact"/>
        <w:rPr>
          <w:sz w:val="20"/>
          <w:szCs w:val="20"/>
          <w:color w:val="auto"/>
        </w:rPr>
      </w:pPr>
    </w:p>
    <w:p>
      <w:pPr>
        <w:ind w:firstLine="492"/>
        <w:spacing w:after="0" w:line="287"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 the California Consumer Privacy Act, or CCPA</w:t>
      </w:r>
    </w:p>
    <w:p>
      <w:pPr>
        <w:spacing w:after="0" w:line="2" w:lineRule="exact"/>
        <w:rPr>
          <w:sz w:val="20"/>
          <w:szCs w:val="20"/>
          <w:color w:val="auto"/>
        </w:rPr>
      </w:pPr>
    </w:p>
    <w:p>
      <w:pPr>
        <w:ind w:right="20" w:firstLine="8"/>
        <w:spacing w:after="0" w:line="252" w:lineRule="auto"/>
        <w:tabs>
          <w:tab w:leader="none" w:pos="1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The California Attorney General will issue final regulations. Although the law includes limited exceptions, including for certain information collected as part of clinical trials as specified in the law, it may regulate or impact our processing of personal information depending on the context. It remains unclear what language the final Attorney General regulations will contain, or how the statute and regulations will be interpreted.</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will need to grow the size and capabilities of our organization, and we may experience difficulties in managing this growth.</w:t>
      </w:r>
    </w:p>
    <w:p>
      <w:pPr>
        <w:spacing w:after="0" w:line="219" w:lineRule="exact"/>
        <w:rPr>
          <w:sz w:val="20"/>
          <w:szCs w:val="20"/>
          <w:color w:val="auto"/>
        </w:rPr>
      </w:pPr>
    </w:p>
    <w:p>
      <w:pPr>
        <w:ind w:right="100" w:firstLine="492"/>
        <w:spacing w:after="0" w:line="290" w:lineRule="auto"/>
        <w:rPr>
          <w:sz w:val="20"/>
          <w:szCs w:val="20"/>
          <w:color w:val="auto"/>
        </w:rPr>
      </w:pPr>
      <w:r>
        <w:rPr>
          <w:rFonts w:ascii="Arial" w:cs="Arial" w:eastAsia="Arial" w:hAnsi="Arial"/>
          <w:sz w:val="16"/>
          <w:szCs w:val="16"/>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38" w:lineRule="exact"/>
        <w:rPr>
          <w:sz w:val="20"/>
          <w:szCs w:val="20"/>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820" w:right="660" w:hanging="320"/>
        <w:spacing w:after="0" w:line="265" w:lineRule="auto"/>
        <w:tabs>
          <w:tab w:leader="none" w:pos="814"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70"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25"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65" w:lineRule="exact"/>
        <w:rPr>
          <w:sz w:val="20"/>
          <w:szCs w:val="20"/>
          <w:color w:val="auto"/>
        </w:rPr>
      </w:pPr>
    </w:p>
    <w:p>
      <w:pPr>
        <w:ind w:right="240" w:firstLine="492"/>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80" w:firstLine="492"/>
        <w:spacing w:after="0" w:line="308"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06" w:lineRule="exact"/>
        <w:rPr>
          <w:sz w:val="20"/>
          <w:szCs w:val="20"/>
          <w:color w:val="auto"/>
        </w:rPr>
      </w:pPr>
    </w:p>
    <w:p>
      <w:pPr>
        <w:ind w:right="320" w:firstLine="492"/>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57" w:lineRule="exact"/>
        <w:rPr>
          <w:sz w:val="20"/>
          <w:szCs w:val="20"/>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820" w:right="54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right="20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ind w:left="820" w:hanging="320"/>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32" w:lineRule="exact"/>
        <w:rPr>
          <w:rFonts w:ascii="Arial" w:cs="Arial" w:eastAsia="Arial" w:hAnsi="Arial"/>
          <w:sz w:val="16"/>
          <w:szCs w:val="16"/>
          <w:color w:val="auto"/>
        </w:rPr>
      </w:pPr>
    </w:p>
    <w:p>
      <w:pPr>
        <w:ind w:left="820" w:right="32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00" w:hanging="320"/>
        <w:spacing w:after="0" w:line="26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5"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38" w:lineRule="exact"/>
        <w:rPr>
          <w:sz w:val="20"/>
          <w:szCs w:val="20"/>
          <w:color w:val="auto"/>
        </w:rPr>
      </w:pPr>
    </w:p>
    <w:p>
      <w:pPr>
        <w:ind w:right="40" w:firstLine="486"/>
        <w:spacing w:after="0" w:line="327"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1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51"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31"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SEC has issued an administrative order against us that may make it more difficult for us to raise capital in the future.</w:t>
      </w:r>
    </w:p>
    <w:p>
      <w:pPr>
        <w:spacing w:after="0" w:line="208"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The SEC’s investigation, in part, involved the conduct of our former Chief Executive Officer and director, Manish Singh, during the period between September 2013 and April 2014, and the failure by authors of certain articles about our company to disclose that they were compensated by one of our former investor relations firms. The foregoing order may negatively impact our reputation with current and future investors, will disqualify us from effecting private placement transactions in reliance upon any of the exemptions from Securities Act registration afforded by Regulation D, and will limit our ability to make certain communications in future public offerings. As a result, the SEC's order may it more difficult for us to raise capital in future private and public offerings. We currently anticipate that we may have to raise additional capital in the future to fund our future research, development and commercialization efforts. Some of the limitations placed on us as a result of the SEC administrative order relating to ineligibility for statutory safe harbors, including under the Private Securities Litigation Reform Act, and limitations on our communications and status as an ineligible issuer under Rule 405 of the Securities Act, have ended as of April 2020.</w:t>
      </w:r>
    </w:p>
    <w:p>
      <w:pPr>
        <w:spacing w:after="0" w:line="15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30"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 xml:space="preserve">Shortly after the SEC announced settlements with us, with other public companies, and with unrelated parties in the </w:t>
      </w:r>
      <w:r>
        <w:rPr>
          <w:rFonts w:ascii="Arial" w:cs="Arial" w:eastAsia="Arial" w:hAnsi="Arial"/>
          <w:sz w:val="17"/>
          <w:szCs w:val="17"/>
          <w:i w:val="1"/>
          <w:iCs w:val="1"/>
          <w:color w:val="auto"/>
        </w:rPr>
        <w:t>In the Matter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Certain Stock Promotions </w:t>
      </w:r>
      <w:r>
        <w:rPr>
          <w:rFonts w:ascii="Arial" w:cs="Arial" w:eastAsia="Arial" w:hAnsi="Arial"/>
          <w:sz w:val="17"/>
          <w:szCs w:val="17"/>
          <w:color w:val="auto"/>
        </w:rPr>
        <w:t>investigation, two securities class action complaints were filed in the U.S. District Court for the Northern</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of California against our company, Manish Singh, and two of our other former officers. On July 20, 2017, the plaintiff in one of the cases filed a notice to voluntarily dismiss that case, and the court entered an order dismissing the complaint on July 21, 2017. On July 26, 2017, the court appointed a movant as lead plaintiff. On September 8, 2017, the lead plaintiff, individually and on behalf of all others similarly situated, filed an amended complaint seeking class action status in the United States District Court for the Northern District of California (</w:t>
      </w:r>
      <w:r>
        <w:rPr>
          <w:rFonts w:ascii="Arial" w:cs="Arial" w:eastAsia="Arial" w:hAnsi="Arial"/>
          <w:sz w:val="17"/>
          <w:szCs w:val="17"/>
          <w:i w:val="1"/>
          <w:iCs w:val="1"/>
          <w:color w:val="auto"/>
        </w:rPr>
        <w:t>Jay Rabkin v. Lion Biotechnologies, Inc., et al.,</w:t>
      </w:r>
      <w:r>
        <w:rPr>
          <w:rFonts w:ascii="Arial" w:cs="Arial" w:eastAsia="Arial" w:hAnsi="Arial"/>
          <w:sz w:val="17"/>
          <w:szCs w:val="17"/>
          <w:color w:val="auto"/>
        </w:rPr>
        <w:t xml:space="preserve"> case no. 3:17-cv-0286) against us, two of our former officers, and the managing member of our former investor relations firm. The amended complaint alleges, among other things, that the defendants violated various provisions of the Securities Exchange Act of 1934 by making materially false and misleading statements, or by failing to make certain disclosures, regarding the actions taken by Manish Singh, our former Chief Executive Officer and a former director, and our former investor relations firm that were the subject of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SEC investigation. On February 5, 2018, the court entered an order dismissing two of plaintiff’s six claims. As the result of mediation, on September 28, 2018, lead plaintiff filed an unopposed motion for settlement, the cost of which, was expected to be borne by our insurance carrier and would result in no loss to us. The court gave preliminary approval to the proposed settlement on November 30, 2018. A hearing was held on April 12, 2019 to determine whether the proposed settlement was fair, reasonable, and adequate, and whether the claims should be dismissed. On April 17, 2019, the court approved the final settlement, involving a payment of $3,250,000 by our insurance carrier to a settlement fund, awarded attorney’s fees and costs to be paid to plaintiff’s counsel from the settlement fund, approved the plan of allocation for settlement class members, and ordered that the claims against us should be dismissed with prejudice. The court retains jurisdiction over the parties and class members in the case for the purposes of administration, interpretation, implementation, and enforcement of the settlement, and related matters.</w:t>
      </w:r>
    </w:p>
    <w:p>
      <w:pPr>
        <w:spacing w:after="0" w:line="146"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 xml:space="preserve">On December 15, 2017, a purported stockholder derivative complaint was filed by plaintiff Kevin Fong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 xml:space="preserve">In the Matter of Certain Stock Promotions </w:t>
      </w:r>
      <w:r>
        <w:rPr>
          <w:rFonts w:ascii="Arial" w:cs="Arial" w:eastAsia="Arial" w:hAnsi="Arial"/>
          <w:sz w:val="16"/>
          <w:szCs w:val="16"/>
          <w:color w:val="auto"/>
        </w:rPr>
        <w:t>matter and our April 10, 2017 settlement thereof, and seeks unspecified damages on behalf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company and injunctive relief. On March 28, 2018, a purported stockholder derivative complaint was filed by plaintiff Nazeer Khaleeluddin on behalf of our company, against us,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our company and injunctive relief. On May 1, 2018, the court consolidated this case with the aforementioned purported stockholder derivative case filed by plaintiff Kevin Fong. The consolidated cases are titled </w:t>
      </w:r>
      <w:r>
        <w:rPr>
          <w:rFonts w:ascii="Arial" w:cs="Arial" w:eastAsia="Arial" w:hAnsi="Arial"/>
          <w:sz w:val="16"/>
          <w:szCs w:val="16"/>
          <w:i w:val="1"/>
          <w:iCs w:val="1"/>
          <w:color w:val="auto"/>
        </w:rPr>
        <w:t>In re Iovance Biotherapeutics, Inc. Stockholder Derivative Litigation</w:t>
      </w:r>
      <w:r>
        <w:rPr>
          <w:rFonts w:ascii="Arial" w:cs="Arial" w:eastAsia="Arial" w:hAnsi="Arial"/>
          <w:sz w:val="16"/>
          <w:szCs w:val="16"/>
          <w:color w:val="auto"/>
        </w:rPr>
        <w:t xml:space="preserve"> (lead case no. 17-cv-1806). We agreed to a proposed settlement in this matter on January 28, 2020, which was given preliminary approval by the court on April 24, 2020 and final approval by the court on July 2, 2020. We do not expect to incur any significant costs or</w:t>
      </w:r>
    </w:p>
    <w:p>
      <w:pPr>
        <w:sectPr>
          <w:pgSz w:w="11900" w:h="16838" w:orient="portrait"/>
          <w:cols w:equalWidth="0" w:num="1">
            <w:col w:w="9920"/>
          </w:cols>
          <w:pgMar w:left="980" w:top="665" w:right="99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expenses in connection with this settlement. The court retains jurisdiction over the parties in the case for the purposes of administration, interpretation, implementation, and enforcement of the settlement, and related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30"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For example, following our End of Phase 2 meeting with the FDA, we increased enrollment in Cohort 1 of our ongoing C-145-04 clinical trial of TIL therapy LN-145 to at least 75 patients of the appropriate population to address the expected sample size in anticipation of a BLA submission in late 2020. Additionally, the patient population is defined per the discussion with FDA as patients who have progressed following initial systemic therapy for recurrent or metastatic disease which include many of the more advanced patients enrolled to date. Based on feedback we received from the FDA following our End of Phase 2 meeting, we are planning for a BLA submission in late 2020 subsequent to discussions with the FDA. However, our current beliefs regarding the registration pathway for the LN-145 product candidate are based on our interpretation of communications with the FDA to date and our efforts to address such communications, which may be incorrect. Our statements that the study may support a BLA submission also assume that our as-adjusted study has addressed the additional requests by the FDA that were raised at our End of Phase 2 meeting. Further, enrollment in this study may need to be further adjusted based on future feedback from the FDA or other regulatory agency input. The revised protocol which further defines the patient population to include more advanced patients in the study, may have an adverse effect on the results reported to date, changes to implement an independent review committee and assay validation and implementation, and the data within this study may not ultimately be supportive of product approval, all of which could result in significant delays to our currently anticipated timeline for development and approval of our product candidate or prevent its approval entirely. Similarly, our current beliefs for our lifileucel product candidate for the treatment of melanoma are based on our interpretation of communications received from the FDA to date regarding this product candidate and our ongoing C-144-01 clinical trial, and may also be incorrect.</w:t>
      </w:r>
    </w:p>
    <w:p>
      <w:pPr>
        <w:spacing w:after="0" w:line="13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A BLA must also include significant information regarding the chemistry, manufacturing and controls for the product. Additionally,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Accordingly, the regulatory approval pathway for our product candidates may be uncertain, complex, expensive and lengthy, and approval may not be obtained.</w:t>
      </w:r>
    </w:p>
    <w:p>
      <w:pPr>
        <w:spacing w:after="0" w:line="15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30" w:lineRule="exact"/>
        <w:rPr>
          <w:sz w:val="20"/>
          <w:szCs w:val="20"/>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reaching agreement on acceptable contract terms with prospective CROs and clinical trial sites, the terms of which can be subject to extensive negotiation and may vary significantly among different CROs and trial sites;</w:t>
      </w: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institutional review board, or IRB, or central IRB;</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820" w:right="22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 or</w:t>
      </w:r>
    </w:p>
    <w:p>
      <w:pPr>
        <w:ind w:left="820" w:right="120" w:hanging="320"/>
        <w:spacing w:after="0" w:line="26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pacing w:after="0" w:line="145" w:lineRule="exact"/>
        <w:rPr>
          <w:sz w:val="20"/>
          <w:szCs w:val="20"/>
          <w:color w:val="auto"/>
        </w:rPr>
      </w:pPr>
    </w:p>
    <w:p>
      <w:pPr>
        <w:jc w:val="both"/>
        <w:ind w:right="300" w:firstLine="492"/>
        <w:spacing w:after="0" w:line="311" w:lineRule="auto"/>
        <w:rPr>
          <w:sz w:val="20"/>
          <w:szCs w:val="20"/>
          <w:color w:val="auto"/>
        </w:rPr>
      </w:pPr>
      <w:r>
        <w:rPr>
          <w:rFonts w:ascii="Arial" w:cs="Arial" w:eastAsia="Arial" w:hAnsi="Arial"/>
          <w:sz w:val="16"/>
          <w:szCs w:val="16"/>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or other regulatory authorities, or recommended for suspension or termination by DSMBs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25" w:lineRule="exact"/>
        <w:rPr>
          <w:sz w:val="20"/>
          <w:szCs w:val="20"/>
          <w:color w:val="auto"/>
        </w:rPr>
      </w:pPr>
    </w:p>
    <w:p>
      <w:pPr>
        <w:ind w:right="300" w:firstLine="492"/>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19"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In order to market and sell our products outside the United States,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United States on a timely basis, if at all.</w:t>
      </w:r>
    </w:p>
    <w:p>
      <w:pPr>
        <w:spacing w:after="0" w:line="133"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52" w:lineRule="exact"/>
        <w:rPr>
          <w:sz w:val="20"/>
          <w:szCs w:val="20"/>
          <w:color w:val="auto"/>
        </w:rPr>
      </w:pPr>
    </w:p>
    <w:p>
      <w:pPr>
        <w:ind w:right="80" w:firstLine="492"/>
        <w:spacing w:after="0" w:line="311" w:lineRule="auto"/>
        <w:rPr>
          <w:sz w:val="20"/>
          <w:szCs w:val="20"/>
          <w:color w:val="auto"/>
        </w:rPr>
      </w:pPr>
      <w:r>
        <w:rPr>
          <w:rFonts w:ascii="Arial" w:cs="Arial" w:eastAsia="Arial" w:hAnsi="Arial"/>
          <w:sz w:val="16"/>
          <w:szCs w:val="16"/>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22" w:lineRule="exact"/>
        <w:rPr>
          <w:sz w:val="20"/>
          <w:szCs w:val="20"/>
          <w:color w:val="auto"/>
        </w:rPr>
      </w:pPr>
    </w:p>
    <w:p>
      <w:pPr>
        <w:ind w:right="60" w:firstLine="492"/>
        <w:spacing w:after="0" w:line="270" w:lineRule="auto"/>
        <w:rPr>
          <w:sz w:val="20"/>
          <w:szCs w:val="20"/>
          <w:color w:val="auto"/>
        </w:rPr>
      </w:pPr>
      <w:r>
        <w:rPr>
          <w:rFonts w:ascii="Arial" w:cs="Arial" w:eastAsia="Arial" w:hAnsi="Arial"/>
          <w:sz w:val="17"/>
          <w:szCs w:val="17"/>
          <w:color w:val="auto"/>
        </w:rPr>
        <w:t>Any regulatory approvals that we receive for our product candidates will require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40" w:lineRule="exact"/>
        <w:rPr>
          <w:sz w:val="20"/>
          <w:szCs w:val="20"/>
          <w:color w:val="auto"/>
        </w:rPr>
      </w:pPr>
    </w:p>
    <w:p>
      <w:pPr>
        <w:ind w:firstLine="492"/>
        <w:spacing w:after="0" w:line="253" w:lineRule="auto"/>
        <w:rPr>
          <w:sz w:val="20"/>
          <w:szCs w:val="20"/>
          <w:color w:val="auto"/>
        </w:rPr>
      </w:pPr>
      <w:r>
        <w:rPr>
          <w:rFonts w:ascii="Arial" w:cs="Arial" w:eastAsia="Arial" w:hAnsi="Arial"/>
          <w:sz w:val="18"/>
          <w:szCs w:val="18"/>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92"/>
        <w:spacing w:after="0" w:line="286"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25" w:lineRule="exact"/>
        <w:rPr>
          <w:sz w:val="20"/>
          <w:szCs w:val="20"/>
          <w:color w:val="auto"/>
        </w:rPr>
      </w:pPr>
    </w:p>
    <w:p>
      <w:pPr>
        <w:ind w:left="820" w:right="300" w:hanging="320"/>
        <w:spacing w:after="0" w:line="258"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9" w:lineRule="exact"/>
        <w:rPr>
          <w:rFonts w:ascii="Arial" w:cs="Arial" w:eastAsia="Arial" w:hAnsi="Arial"/>
          <w:sz w:val="18"/>
          <w:szCs w:val="18"/>
          <w:color w:val="auto"/>
        </w:rPr>
      </w:pPr>
    </w:p>
    <w:p>
      <w:pPr>
        <w:ind w:left="820" w:right="38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54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184"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83"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52" w:lineRule="exact"/>
        <w:rPr>
          <w:sz w:val="20"/>
          <w:szCs w:val="20"/>
          <w:color w:val="auto"/>
        </w:rPr>
      </w:pPr>
    </w:p>
    <w:p>
      <w:pPr>
        <w:jc w:val="both"/>
        <w:ind w:right="540" w:firstLine="492"/>
        <w:spacing w:after="0" w:line="263"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57" w:lineRule="exact"/>
        <w:rPr>
          <w:sz w:val="20"/>
          <w:szCs w:val="20"/>
          <w:color w:val="auto"/>
        </w:rPr>
      </w:pPr>
    </w:p>
    <w:p>
      <w:pPr>
        <w:ind w:right="20" w:firstLine="492"/>
        <w:spacing w:after="0" w:line="253" w:lineRule="auto"/>
        <w:rPr>
          <w:sz w:val="20"/>
          <w:szCs w:val="20"/>
          <w:color w:val="auto"/>
        </w:rPr>
      </w:pPr>
      <w:r>
        <w:rPr>
          <w:rFonts w:ascii="Arial" w:cs="Arial" w:eastAsia="Arial" w:hAnsi="Arial"/>
          <w:sz w:val="18"/>
          <w:szCs w:val="18"/>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healthcare fraud and abuse enforcement by both the federal government and the states in which we conduct our business.</w:t>
      </w:r>
    </w:p>
    <w:p>
      <w:pPr>
        <w:spacing w:after="0" w:line="156"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31" w:lineRule="exact"/>
        <w:rPr>
          <w:sz w:val="20"/>
          <w:szCs w:val="20"/>
          <w:color w:val="auto"/>
        </w:rPr>
      </w:pPr>
    </w:p>
    <w:p>
      <w:pPr>
        <w:jc w:val="both"/>
        <w:ind w:right="240" w:firstLine="492"/>
        <w:spacing w:after="0" w:line="301" w:lineRule="auto"/>
        <w:rPr>
          <w:sz w:val="20"/>
          <w:szCs w:val="20"/>
          <w:color w:val="auto"/>
        </w:rPr>
      </w:pPr>
      <w:r>
        <w:rPr>
          <w:rFonts w:ascii="Arial" w:cs="Arial" w:eastAsia="Arial" w:hAnsi="Arial"/>
          <w:sz w:val="16"/>
          <w:szCs w:val="16"/>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46" w:lineRule="exact"/>
        <w:rPr>
          <w:sz w:val="20"/>
          <w:szCs w:val="20"/>
          <w:color w:val="auto"/>
        </w:rPr>
      </w:pPr>
    </w:p>
    <w:p>
      <w:pPr>
        <w:ind w:right="60" w:firstLine="492"/>
        <w:spacing w:after="0" w:line="269" w:lineRule="auto"/>
        <w:rPr>
          <w:sz w:val="20"/>
          <w:szCs w:val="20"/>
          <w:color w:val="auto"/>
        </w:rPr>
      </w:pPr>
      <w:r>
        <w:rPr>
          <w:rFonts w:ascii="Arial" w:cs="Arial" w:eastAsia="Arial" w:hAnsi="Arial"/>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55" w:lineRule="exact"/>
        <w:rPr>
          <w:sz w:val="20"/>
          <w:szCs w:val="20"/>
          <w:color w:val="auto"/>
        </w:rPr>
      </w:pPr>
    </w:p>
    <w:p>
      <w:pPr>
        <w:ind w:right="40" w:firstLine="492"/>
        <w:spacing w:after="0" w:line="293"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24"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24"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44"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ectPr>
          <w:pgSz w:w="11900" w:h="16838" w:orient="portrait"/>
          <w:cols w:equalWidth="0" w:num="1">
            <w:col w:w="9900"/>
          </w:cols>
          <w:pgMar w:left="980" w:top="665" w:right="101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492"/>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30" w:lineRule="exact"/>
        <w:rPr>
          <w:sz w:val="20"/>
          <w:szCs w:val="20"/>
          <w:color w:val="auto"/>
        </w:rPr>
      </w:pPr>
    </w:p>
    <w:p>
      <w:pPr>
        <w:ind w:right="40" w:firstLine="492"/>
        <w:spacing w:after="0" w:line="301" w:lineRule="auto"/>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30" w:lineRule="exact"/>
        <w:rPr>
          <w:sz w:val="20"/>
          <w:szCs w:val="20"/>
          <w:color w:val="auto"/>
        </w:rPr>
      </w:pPr>
    </w:p>
    <w:p>
      <w:pPr>
        <w:ind w:right="20" w:firstLine="492"/>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43"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40" w:lineRule="exact"/>
        <w:rPr>
          <w:sz w:val="20"/>
          <w:szCs w:val="20"/>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84"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200" w:lineRule="exact"/>
        <w:rPr>
          <w:sz w:val="20"/>
          <w:szCs w:val="20"/>
          <w:color w:val="auto"/>
        </w:rPr>
      </w:pPr>
    </w:p>
    <w:p>
      <w:pPr>
        <w:spacing w:after="0" w:line="343"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200" w:lineRule="exact"/>
        <w:rPr>
          <w:sz w:val="20"/>
          <w:szCs w:val="20"/>
          <w:color w:val="auto"/>
        </w:rPr>
      </w:pPr>
    </w:p>
    <w:p>
      <w:pPr>
        <w:spacing w:after="0" w:line="322"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200" w:lineRule="exact"/>
        <w:rPr>
          <w:sz w:val="20"/>
          <w:szCs w:val="20"/>
          <w:color w:val="auto"/>
        </w:rPr>
      </w:pPr>
    </w:p>
    <w:p>
      <w:pPr>
        <w:spacing w:after="0" w:line="357" w:lineRule="exact"/>
        <w:rPr>
          <w:sz w:val="20"/>
          <w:szCs w:val="20"/>
          <w:color w:val="auto"/>
        </w:rPr>
      </w:pPr>
    </w:p>
    <w:p>
      <w:pPr>
        <w:ind w:right="440" w:firstLine="492"/>
        <w:spacing w:after="0" w:line="342" w:lineRule="auto"/>
        <w:rPr>
          <w:sz w:val="20"/>
          <w:szCs w:val="20"/>
          <w:color w:val="auto"/>
        </w:rPr>
      </w:pPr>
      <w:r>
        <w:rPr>
          <w:rFonts w:ascii="Arial" w:cs="Arial" w:eastAsia="Arial" w:hAnsi="Arial"/>
          <w:sz w:val="16"/>
          <w:szCs w:val="16"/>
          <w:color w:val="auto"/>
        </w:rPr>
        <w:t>In addition, federal programs impose penalties on manufacturers of drugs marketed under an NDA or BLA, in the form of mandatory additional rebates and/or discounts if commercial prices increase at a rate greater than the Consumer Price Index-Urban,</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41" w:lineRule="exact"/>
        <w:rPr>
          <w:sz w:val="20"/>
          <w:szCs w:val="20"/>
          <w:color w:val="auto"/>
        </w:rPr>
      </w:pPr>
    </w:p>
    <w:p>
      <w:pPr>
        <w:ind w:right="100" w:firstLine="492"/>
        <w:spacing w:after="0" w:line="290"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38"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40" w:lineRule="exact"/>
        <w:rPr>
          <w:sz w:val="20"/>
          <w:szCs w:val="20"/>
          <w:color w:val="auto"/>
        </w:rPr>
      </w:pPr>
    </w:p>
    <w:p>
      <w:pPr>
        <w:ind w:right="120" w:firstLine="492"/>
        <w:spacing w:after="0" w:line="279" w:lineRule="auto"/>
        <w:rPr>
          <w:sz w:val="20"/>
          <w:szCs w:val="20"/>
          <w:color w:val="auto"/>
        </w:rPr>
      </w:pPr>
      <w:r>
        <w:rPr>
          <w:rFonts w:ascii="Arial" w:cs="Arial" w:eastAsia="Arial" w:hAnsi="Arial"/>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1" w:lineRule="exact"/>
        <w:rPr>
          <w:sz w:val="20"/>
          <w:szCs w:val="20"/>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84"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0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83"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65"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Since enactment of the ACA in 2010, in both the United States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On December 14, 2018, the United States District Court for the Northern District of Texas struck down the ACA, deeming it unconstitutional given that Congress repealed the individual mandate in 2017; on July 9, 2019, the U.S. Court of Appeals for the Fifth Circuit heard arguments on appeal in this matter. On December 18, 2019, the Fifth Circuit ruled that the ACA's individual mandate is unconstitutional given that the Tax Act eliminated the tax penalty associated with the individual mandate. In concluding that the individual mandate is unconstitutional, the question remains whether, or how much of, the rest of the ACA is severable from that constitutional defect. The Fifth Circuit further remanded the case to the U.S. District Court for the Northern District of Texas to further analyze whether the other provisions of the ACA are severable as they currently exist under the law. It is unclear how the eventual decision from this appeal, subsequent appeals, and other efforts to repeal and replace the ACA will impact the ACA and our business.</w:t>
      </w:r>
    </w:p>
    <w:p>
      <w:pPr>
        <w:spacing w:after="0" w:line="133"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37"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34"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In addition, there have been a number of other policy, legislative and regulatory proposals aimed at changing the pharmaceutical industry. For instance, on May 11, 2018, the current administration presented its “Blueprint” to lower drug prices and reduce out of pocket costs of drugs, as well as additional proposals to increase drug manufacturer competition, increase the negotiating power of certain federal healthcare programs, and incentivize manufacturers to lower the list price of their products. Although some proposals related to the administration’s Blueprint may require additional authorization to become effective, may ultimately be</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withdrawn, or may face challenges in the courts, the U.S. Congress and the administration have indicated that they will continue to seek new legislative and administrative measures to control drug costs, including by addressing the role of pharmacy benefit managers in the supply chain.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2"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United States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Governments outside the United States tend to impose strict price controls, which may adversely affect our revenues, if any.</w:t>
      </w:r>
    </w:p>
    <w:p>
      <w:pPr>
        <w:spacing w:after="0" w:line="219"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40"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3" w:lineRule="exact"/>
        <w:rPr>
          <w:sz w:val="20"/>
          <w:szCs w:val="20"/>
          <w:color w:val="auto"/>
        </w:rPr>
      </w:pPr>
    </w:p>
    <w:p>
      <w:pPr>
        <w:ind w:right="100" w:firstLine="486"/>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3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ind w:right="520" w:firstLine="486"/>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19"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28" w:lineRule="exact"/>
        <w:rPr>
          <w:sz w:val="20"/>
          <w:szCs w:val="20"/>
          <w:color w:val="auto"/>
        </w:rPr>
      </w:pPr>
    </w:p>
    <w:p>
      <w:pPr>
        <w:ind w:right="200" w:firstLine="486"/>
        <w:spacing w:after="0" w:line="289" w:lineRule="auto"/>
        <w:rPr>
          <w:sz w:val="20"/>
          <w:szCs w:val="20"/>
          <w:color w:val="auto"/>
        </w:rPr>
      </w:pPr>
      <w:r>
        <w:rPr>
          <w:rFonts w:ascii="Arial" w:cs="Arial" w:eastAsia="Arial" w:hAnsi="Arial"/>
          <w:sz w:val="16"/>
          <w:szCs w:val="16"/>
          <w:color w:val="auto"/>
        </w:rPr>
        <w:t>Periodic maintenance fees on any issued patent are due to be paid to the United States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w:t>
      </w:r>
    </w:p>
    <w:p>
      <w:pPr>
        <w:spacing w:after="0" w:line="184"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25"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Issued patents covering our product candidates could be found invalid or unenforceable if challenged in court or the USPTO.</w:t>
      </w:r>
    </w:p>
    <w:p>
      <w:pPr>
        <w:spacing w:after="0" w:line="233"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are unable to protect our proprietary rights, we may not be able to compete effectively or operate profitably.</w:t>
      </w:r>
    </w:p>
    <w:p>
      <w:pPr>
        <w:spacing w:after="0" w:line="196"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3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4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38"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4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4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 given that our existing exclusive rights and will be sufficient to prevent others from competing with us and developing substantially similar products.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185"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5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37"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30"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As is the case with other cell 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55"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30"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26"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30"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89" w:lineRule="exact"/>
        <w:rPr>
          <w:sz w:val="20"/>
          <w:szCs w:val="20"/>
          <w:color w:val="auto"/>
        </w:rPr>
      </w:pPr>
    </w:p>
    <w:p>
      <w:pPr>
        <w:ind w:right="840" w:firstLine="492"/>
        <w:spacing w:after="0" w:line="277" w:lineRule="auto"/>
        <w:rPr>
          <w:sz w:val="20"/>
          <w:szCs w:val="20"/>
          <w:color w:val="auto"/>
        </w:rPr>
      </w:pPr>
      <w:r>
        <w:rPr>
          <w:rFonts w:ascii="Arial" w:cs="Arial" w:eastAsia="Arial" w:hAnsi="Arial"/>
          <w:sz w:val="18"/>
          <w:szCs w:val="18"/>
          <w:b w:val="1"/>
          <w:bCs w:val="1"/>
          <w:i w:val="1"/>
          <w:iCs w:val="1"/>
          <w:color w:val="auto"/>
        </w:rPr>
        <w:t>Our officers, directors and principal stockholders own a substantial percentage of our stock and will be able to exert significant control over matters subject to stockholder approval.*</w:t>
      </w:r>
    </w:p>
    <w:p>
      <w:pPr>
        <w:spacing w:after="0" w:line="130" w:lineRule="exact"/>
        <w:rPr>
          <w:sz w:val="20"/>
          <w:szCs w:val="20"/>
          <w:color w:val="auto"/>
        </w:rPr>
      </w:pPr>
    </w:p>
    <w:p>
      <w:pPr>
        <w:ind w:right="60" w:firstLine="492"/>
        <w:spacing w:after="0" w:line="254" w:lineRule="auto"/>
        <w:rPr>
          <w:sz w:val="20"/>
          <w:szCs w:val="20"/>
          <w:color w:val="auto"/>
        </w:rPr>
      </w:pPr>
      <w:r>
        <w:rPr>
          <w:rFonts w:ascii="Arial" w:cs="Arial" w:eastAsia="Arial" w:hAnsi="Arial"/>
          <w:sz w:val="18"/>
          <w:szCs w:val="18"/>
          <w:color w:val="auto"/>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stock price may be volatile, and our stockholders' investment in our stock could decline in value.</w:t>
      </w:r>
    </w:p>
    <w:p>
      <w:pPr>
        <w:spacing w:after="0" w:line="185" w:lineRule="exact"/>
        <w:rPr>
          <w:sz w:val="20"/>
          <w:szCs w:val="20"/>
          <w:color w:val="auto"/>
        </w:rPr>
      </w:pPr>
    </w:p>
    <w:p>
      <w:pPr>
        <w:ind w:right="220" w:firstLine="535"/>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30" w:lineRule="exact"/>
        <w:rPr>
          <w:sz w:val="20"/>
          <w:szCs w:val="20"/>
          <w:color w:val="auto"/>
        </w:rPr>
      </w:pPr>
    </w:p>
    <w:p>
      <w:pPr>
        <w:ind w:left="840" w:hanging="319"/>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and instability in the capital markets due to the COVID-19 Pandemic;</w:t>
      </w:r>
    </w:p>
    <w:p>
      <w:pPr>
        <w:spacing w:after="0" w:line="23" w:lineRule="exact"/>
        <w:rPr>
          <w:rFonts w:ascii="Arial" w:cs="Arial" w:eastAsia="Arial" w:hAnsi="Arial"/>
          <w:sz w:val="18"/>
          <w:szCs w:val="18"/>
          <w:color w:val="auto"/>
        </w:rPr>
      </w:pPr>
    </w:p>
    <w:p>
      <w:pPr>
        <w:ind w:left="840" w:right="340" w:hanging="319"/>
        <w:spacing w:after="0" w:line="250"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 or negative developments with respect to similar products, including those being developed by our collaborators;</w:t>
      </w:r>
    </w:p>
    <w:p>
      <w:pPr>
        <w:ind w:left="840" w:hanging="319"/>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 due to the level of development expenses and other factors;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financial estimates by equities research analysts and whether our earnings meet or exceed such estimates;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United States;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840" w:right="80" w:hanging="319"/>
        <w:spacing w:after="0" w:line="260"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Quarterly Report on Form 10-Q or our Annual Report on Form 10-K filed with the SEC on February 25, 2020.</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185" w:lineRule="exact"/>
        <w:rPr>
          <w:sz w:val="20"/>
          <w:szCs w:val="20"/>
          <w:color w:val="auto"/>
        </w:rPr>
      </w:pPr>
    </w:p>
    <w:p>
      <w:pPr>
        <w:ind w:firstLine="492"/>
        <w:spacing w:after="0" w:line="273" w:lineRule="auto"/>
        <w:rPr>
          <w:sz w:val="20"/>
          <w:szCs w:val="20"/>
          <w:color w:val="auto"/>
        </w:rPr>
      </w:pPr>
      <w:r>
        <w:rPr>
          <w:rFonts w:ascii="Arial" w:cs="Arial" w:eastAsia="Arial" w:hAnsi="Arial"/>
          <w:sz w:val="17"/>
          <w:szCs w:val="17"/>
          <w:color w:val="auto"/>
        </w:rPr>
        <w:t>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185" w:lineRule="exact"/>
        <w:rPr>
          <w:sz w:val="20"/>
          <w:szCs w:val="20"/>
          <w:color w:val="auto"/>
        </w:rPr>
      </w:pPr>
    </w:p>
    <w:p>
      <w:pPr>
        <w:ind w:right="340" w:firstLine="492"/>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57"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As of June 30, 2020, we had 146,434,810 shares of common stock outstanding. In addition, we had 16,272,855 shares of common stock equivalents that would increase the number of common stock outstanding if these instruments were exercised or converted, including stock options and restricted stock units to purchase common stock based on vesting requirements and common stock issuable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at our 2019 Annual Meeting of Stockholders held on June 10, 2019.</w:t>
      </w:r>
    </w:p>
    <w:p>
      <w:pPr>
        <w:spacing w:after="0" w:line="126" w:lineRule="exact"/>
        <w:rPr>
          <w:sz w:val="20"/>
          <w:szCs w:val="20"/>
          <w:color w:val="auto"/>
        </w:rPr>
      </w:pPr>
    </w:p>
    <w:p>
      <w:pPr>
        <w:ind w:right="120" w:firstLine="492"/>
        <w:spacing w:after="0" w:line="293" w:lineRule="auto"/>
        <w:rPr>
          <w:sz w:val="20"/>
          <w:szCs w:val="20"/>
          <w:color w:val="auto"/>
        </w:rPr>
      </w:pPr>
      <w:r>
        <w:rPr>
          <w:rFonts w:ascii="Arial" w:cs="Arial" w:eastAsia="Arial" w:hAnsi="Arial"/>
          <w:sz w:val="16"/>
          <w:szCs w:val="16"/>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and October 2018, we issued 15,000,000 shares and 25,300,000 shares of common stock, respectively, in connection with underwritten public offerings. Further, in June 2020, we issued 19,475,806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spacing w:after="0" w:line="124"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43" w:lineRule="exact"/>
        <w:rPr>
          <w:sz w:val="20"/>
          <w:szCs w:val="20"/>
          <w:color w:val="auto"/>
        </w:rPr>
      </w:pPr>
    </w:p>
    <w:p>
      <w:pPr>
        <w:ind w:right="60" w:firstLine="492"/>
        <w:spacing w:after="0" w:line="255" w:lineRule="auto"/>
        <w:rPr>
          <w:sz w:val="20"/>
          <w:szCs w:val="20"/>
          <w:color w:val="auto"/>
        </w:rPr>
      </w:pPr>
      <w:r>
        <w:rPr>
          <w:rFonts w:ascii="Arial" w:cs="Arial" w:eastAsia="Arial" w:hAnsi="Arial"/>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52" w:lineRule="exact"/>
        <w:rPr>
          <w:sz w:val="20"/>
          <w:szCs w:val="20"/>
          <w:color w:val="auto"/>
        </w:rPr>
      </w:pPr>
    </w:p>
    <w:p>
      <w:pPr>
        <w:ind w:right="80" w:firstLine="492"/>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25"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pacing w:after="0" w:line="151" w:lineRule="exact"/>
        <w:rPr>
          <w:sz w:val="20"/>
          <w:szCs w:val="20"/>
          <w:color w:val="auto"/>
        </w:rPr>
      </w:pPr>
    </w:p>
    <w:p>
      <w:pPr>
        <w:ind w:right="400" w:firstLine="492"/>
        <w:spacing w:after="0" w:line="277"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30"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ectPr>
          <w:pgSz w:w="11900" w:h="16838" w:orient="portrait"/>
          <w:cols w:equalWidth="0" w:num="1">
            <w:col w:w="9900"/>
          </w:cols>
          <w:pgMar w:left="980" w:top="665" w:right="1019"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30"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57"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43"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37"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5" w:lineRule="exact"/>
        <w:rPr>
          <w:sz w:val="20"/>
          <w:szCs w:val="20"/>
          <w:color w:val="auto"/>
        </w:rPr>
      </w:pPr>
    </w:p>
    <w:p>
      <w:pPr>
        <w:ind w:right="560" w:firstLine="492"/>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28" w:lineRule="exact"/>
        <w:rPr>
          <w:sz w:val="20"/>
          <w:szCs w:val="20"/>
          <w:color w:val="auto"/>
        </w:rPr>
      </w:pPr>
    </w:p>
    <w:p>
      <w:pPr>
        <w:jc w:val="both"/>
        <w:ind w:right="100" w:firstLine="492"/>
        <w:spacing w:after="0" w:line="301" w:lineRule="auto"/>
        <w:rPr>
          <w:sz w:val="20"/>
          <w:szCs w:val="20"/>
          <w:color w:val="auto"/>
        </w:rPr>
      </w:pPr>
      <w:r>
        <w:rPr>
          <w:rFonts w:ascii="Arial" w:cs="Arial" w:eastAsia="Arial" w:hAnsi="Arial"/>
          <w:sz w:val="16"/>
          <w:szCs w:val="16"/>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bylaws could limit our stockholders’ ability to obtain a favorable judicial forum for disputes with us or our directors, officers or employees.</w:t>
      </w:r>
    </w:p>
    <w:p>
      <w:pPr>
        <w:spacing w:after="0" w:line="130"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federal district courts of the United States of America shall be the exclusive forum for the resolution of any complaint asserting a cause of action under the Securities Act. This provision limits the ability of our shareholders to bring claims under the Securities Act in any court other than the United States federal courts, which ultimately may disadvantage our shareholders or be cost prohibitive. Notwithstanding the foregoing, there is uncertainty as to whether a court (other than state courts in the State of Delaware, which have recently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spacing w:after="0" w:line="138" w:lineRule="exact"/>
        <w:rPr>
          <w:sz w:val="20"/>
          <w:szCs w:val="20"/>
          <w:color w:val="auto"/>
        </w:rPr>
      </w:pPr>
    </w:p>
    <w:p>
      <w:pPr>
        <w:ind w:right="60" w:firstLine="492"/>
        <w:spacing w:after="0" w:line="301" w:lineRule="auto"/>
        <w:rPr>
          <w:sz w:val="20"/>
          <w:szCs w:val="20"/>
          <w:color w:val="auto"/>
        </w:rPr>
      </w:pPr>
      <w:r>
        <w:rPr>
          <w:rFonts w:ascii="Arial" w:cs="Arial" w:eastAsia="Arial" w:hAnsi="Arial"/>
          <w:sz w:val="16"/>
          <w:szCs w:val="16"/>
          <w:color w:val="auto"/>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17"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b w:val="1"/>
          <w:bCs w:val="1"/>
          <w:i w:val="1"/>
          <w:iCs w:val="1"/>
          <w:color w:val="auto"/>
        </w:rPr>
        <w:t>We may be subject to claims for rescission or damages in connection with certain sales of shares of our common stock in the open market.</w:t>
      </w:r>
    </w:p>
    <w:p>
      <w:pPr>
        <w:spacing w:after="0" w:line="130" w:lineRule="exact"/>
        <w:rPr>
          <w:sz w:val="20"/>
          <w:szCs w:val="20"/>
          <w:color w:val="auto"/>
        </w:rPr>
      </w:pPr>
    </w:p>
    <w:p>
      <w:pPr>
        <w:ind w:right="80" w:firstLine="492"/>
        <w:spacing w:after="0" w:line="291" w:lineRule="auto"/>
        <w:rPr>
          <w:sz w:val="20"/>
          <w:szCs w:val="20"/>
          <w:color w:val="auto"/>
        </w:rPr>
      </w:pPr>
      <w:r>
        <w:rPr>
          <w:rFonts w:ascii="Arial" w:cs="Arial" w:eastAsia="Arial" w:hAnsi="Arial"/>
          <w:sz w:val="16"/>
          <w:szCs w:val="16"/>
          <w:color w:val="auto"/>
        </w:rPr>
        <w:t>In connection with our reincorporation from Nevada to Delaware in 2017, we (as a Delaware corporation) untimely filed a post-effective amendment to adopt a Form S-8 registration statement that we filed (as a Nevada corporation) to register the shares underlying our2011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to us, as a result of the issuance of the 200,000 shares is uncertain. Accordingly, no accrual for a potential claim has been made in our financial statements.</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89" w:lineRule="exact"/>
        <w:rPr>
          <w:sz w:val="20"/>
          <w:szCs w:val="20"/>
          <w:color w:val="auto"/>
        </w:rPr>
      </w:pPr>
    </w:p>
    <w:p>
      <w:pPr>
        <w:jc w:val="both"/>
        <w:ind w:right="420" w:firstLine="492"/>
        <w:spacing w:after="0" w:line="263" w:lineRule="auto"/>
        <w:rPr>
          <w:sz w:val="20"/>
          <w:szCs w:val="20"/>
          <w:color w:val="auto"/>
        </w:rPr>
      </w:pPr>
      <w:r>
        <w:rPr>
          <w:rFonts w:ascii="Arial" w:cs="Arial" w:eastAsia="Arial" w:hAnsi="Arial"/>
          <w:sz w:val="18"/>
          <w:szCs w:val="18"/>
          <w:color w:val="auto"/>
        </w:rPr>
        <w:t>In July 2020, we entered into a Severance Agreement and General Release with Timothy Morris, our former Chief Financial Officer, effective as of July 8, 2020, pursuant to which Mr. Morris received the severance payment described in Section 6.2 of his Executive Employment Agreement effective August 14,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120" w:type="dxa"/>
            <w:vAlign w:val="bottom"/>
            <w:gridSpan w:val="12"/>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0" w:type="dxa"/>
            <w:vAlign w:val="bottom"/>
            <w:gridSpan w:val="9"/>
          </w:tcPr>
          <w:p>
            <w:pPr>
              <w:ind w:left="1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5"/>
        </w:trPr>
        <w:tc>
          <w:tcPr>
            <w:tcW w:w="8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0" w:type="dxa"/>
            <w:vAlign w:val="bottom"/>
            <w:gridSpan w:val="9"/>
          </w:tcPr>
          <w:p>
            <w:pPr>
              <w:ind w:left="232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4"/>
                <w:szCs w:val="14"/>
                <w:color w:val="auto"/>
              </w:rPr>
            </w:pPr>
          </w:p>
        </w:tc>
        <w:tc>
          <w:tcPr>
            <w:tcW w:w="8920" w:type="dxa"/>
            <w:vAlign w:val="bottom"/>
            <w:tcBorders>
              <w:top w:val="single" w:sz="8" w:color="auto"/>
            </w:tcBorders>
            <w:gridSpan w:val="11"/>
          </w:tcPr>
          <w:p>
            <w:pPr>
              <w:spacing w:after="0" w:line="169" w:lineRule="exact"/>
              <w:rPr>
                <w:rFonts w:ascii="Arial" w:cs="Arial" w:eastAsia="Arial" w:hAnsi="Arial"/>
                <w:sz w:val="18"/>
                <w:szCs w:val="18"/>
                <w:color w:val="0000EE"/>
                <w:w w:val="94"/>
              </w:rPr>
            </w:pPr>
            <w:hyperlink r:id="rId97">
              <w:r>
                <w:rPr>
                  <w:rFonts w:ascii="Arial" w:cs="Arial" w:eastAsia="Arial" w:hAnsi="Arial"/>
                  <w:sz w:val="18"/>
                  <w:szCs w:val="18"/>
                  <w:color w:val="0000EE"/>
                  <w:w w:val="94"/>
                </w:rPr>
                <w:t>Amended and Restated Bylaws of Iovance Biotherapeutics, Inc. (incorporated herein by reference to Exhibit 3.1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Registrant’s Current Report on Form 8-K filed with the Commission on May 27, 2020).</w:t>
              </w:r>
            </w:hyperlink>
          </w:p>
        </w:tc>
        <w:tc>
          <w:tcPr>
            <w:tcW w:w="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88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Iovance Biotherapeutics, Inc. 2020 Employee Stock Purchase Plan (incorporated herein by reference to Exhibit 10.1 to the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Registrant’s Current Report on Form 8-K filed with the Commission on June 9, 2020).</w:t>
              </w:r>
            </w:hyperlink>
          </w:p>
        </w:tc>
        <w:tc>
          <w:tcPr>
            <w:tcW w:w="27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88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Iovance Biotherapeutics, Inc. 2018 Equity Incentive Plan, as amended (incorporated herein by reference to Exhibit 10.2 to</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vMerge w:val="restart"/>
          </w:tcPr>
          <w:p>
            <w:pPr>
              <w:spacing w:after="0"/>
              <w:rPr>
                <w:sz w:val="20"/>
                <w:szCs w:val="20"/>
                <w:color w:val="auto"/>
              </w:rPr>
            </w:pPr>
            <w:r>
              <w:rPr>
                <w:rFonts w:ascii="Arial" w:cs="Arial" w:eastAsia="Arial" w:hAnsi="Arial"/>
                <w:sz w:val="18"/>
                <w:szCs w:val="18"/>
                <w:color w:val="auto"/>
              </w:rPr>
              <w:t>10.3</w:t>
            </w:r>
            <w:r>
              <w:rPr>
                <w:rFonts w:ascii="Arial" w:cs="Arial" w:eastAsia="Arial" w:hAnsi="Arial"/>
                <w:sz w:val="26"/>
                <w:szCs w:val="26"/>
                <w:color w:val="auto"/>
                <w:vertAlign w:val="superscript"/>
              </w:rPr>
              <w:t>++</w:t>
            </w:r>
          </w:p>
        </w:tc>
        <w:tc>
          <w:tcPr>
            <w:tcW w:w="200" w:type="dxa"/>
            <w:vAlign w:val="bottom"/>
          </w:tcPr>
          <w:p>
            <w:pPr>
              <w:spacing w:after="0"/>
              <w:rPr>
                <w:sz w:val="17"/>
                <w:szCs w:val="17"/>
                <w:color w:val="auto"/>
              </w:rPr>
            </w:pPr>
          </w:p>
        </w:tc>
        <w:tc>
          <w:tcPr>
            <w:tcW w:w="8920" w:type="dxa"/>
            <w:vAlign w:val="bottom"/>
            <w:gridSpan w:val="11"/>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the Registrant’s Current Report on Form 8-K filed with the Commission on June 9, 2020).</w:t>
              </w:r>
            </w:hyperlink>
          </w:p>
        </w:tc>
        <w:tc>
          <w:tcPr>
            <w:tcW w:w="0" w:type="dxa"/>
            <w:vAlign w:val="bottom"/>
          </w:tcPr>
          <w:p>
            <w:pPr>
              <w:spacing w:after="0"/>
              <w:rPr>
                <w:sz w:val="1"/>
                <w:szCs w:val="1"/>
                <w:color w:val="auto"/>
              </w:rPr>
            </w:pPr>
          </w:p>
        </w:tc>
      </w:tr>
      <w:tr>
        <w:trPr>
          <w:trHeight w:val="20"/>
        </w:trPr>
        <w:tc>
          <w:tcPr>
            <w:tcW w:w="8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760" w:type="dxa"/>
            <w:vAlign w:val="bottom"/>
            <w:gridSpan w:val="3"/>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Second Amendment to the Lease Agreement, effective as of June 30, 2020, between Iovance Biotherapeutics, Inc. and 300</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vMerge w:val="restart"/>
          </w:tcPr>
          <w:p>
            <w:pPr>
              <w:spacing w:after="0"/>
              <w:rPr>
                <w:sz w:val="20"/>
                <w:szCs w:val="20"/>
                <w:color w:val="auto"/>
              </w:rPr>
            </w:pPr>
            <w:r>
              <w:rPr>
                <w:rFonts w:ascii="Arial" w:cs="Arial" w:eastAsia="Arial" w:hAnsi="Arial"/>
                <w:sz w:val="18"/>
                <w:szCs w:val="18"/>
                <w:color w:val="auto"/>
              </w:rPr>
              <w:t>10.4**</w:t>
            </w:r>
            <w:r>
              <w:rPr>
                <w:rFonts w:ascii="Arial" w:cs="Arial" w:eastAsia="Arial" w:hAnsi="Arial"/>
                <w:sz w:val="26"/>
                <w:szCs w:val="26"/>
                <w:color w:val="auto"/>
                <w:vertAlign w:val="superscript"/>
              </w:rPr>
              <w:t>++</w:t>
            </w:r>
          </w:p>
        </w:tc>
        <w:tc>
          <w:tcPr>
            <w:tcW w:w="20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Rouse Boulevard, LLC.</w:t>
              </w:r>
            </w:hyperlink>
          </w:p>
        </w:tc>
        <w:tc>
          <w:tcPr>
            <w:tcW w:w="7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Severance Agreement and General Release, effective July 8, 2020, between Iovance Biotherapeutics, Inc. and Timothy</w:t>
              </w:r>
            </w:hyperlink>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vMerge w:val="restart"/>
          </w:tcPr>
          <w:p>
            <w:pPr>
              <w:spacing w:after="0"/>
              <w:rPr>
                <w:sz w:val="20"/>
                <w:szCs w:val="20"/>
                <w:color w:val="auto"/>
              </w:rPr>
            </w:pPr>
            <w:r>
              <w:rPr>
                <w:rFonts w:ascii="Arial" w:cs="Arial" w:eastAsia="Arial" w:hAnsi="Arial"/>
                <w:sz w:val="18"/>
                <w:szCs w:val="18"/>
                <w:color w:val="auto"/>
              </w:rPr>
              <w:t>31.1</w:t>
            </w:r>
            <w:r>
              <w:rPr>
                <w:rFonts w:ascii="Arial" w:cs="Arial" w:eastAsia="Arial" w:hAnsi="Arial"/>
                <w:sz w:val="26"/>
                <w:szCs w:val="26"/>
                <w:color w:val="auto"/>
                <w:vertAlign w:val="superscript"/>
              </w:rPr>
              <w:t>++</w:t>
            </w:r>
          </w:p>
        </w:tc>
        <w:tc>
          <w:tcPr>
            <w:tcW w:w="200" w:type="dxa"/>
            <w:vAlign w:val="bottom"/>
          </w:tcPr>
          <w:p>
            <w:pPr>
              <w:spacing w:after="0"/>
              <w:rPr>
                <w:sz w:val="17"/>
                <w:szCs w:val="17"/>
                <w:color w:val="auto"/>
              </w:rPr>
            </w:pPr>
          </w:p>
        </w:tc>
        <w:tc>
          <w:tcPr>
            <w:tcW w:w="8920" w:type="dxa"/>
            <w:vAlign w:val="bottom"/>
            <w:gridSpan w:val="11"/>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Morris.</w:t>
              </w:r>
            </w:hyperlink>
          </w:p>
        </w:tc>
        <w:tc>
          <w:tcPr>
            <w:tcW w:w="0" w:type="dxa"/>
            <w:vAlign w:val="bottom"/>
          </w:tcPr>
          <w:p>
            <w:pPr>
              <w:spacing w:after="0"/>
              <w:rPr>
                <w:sz w:val="1"/>
                <w:szCs w:val="1"/>
                <w:color w:val="auto"/>
              </w:rPr>
            </w:pPr>
          </w:p>
        </w:tc>
      </w:tr>
      <w:tr>
        <w:trPr>
          <w:trHeight w:val="20"/>
        </w:trPr>
        <w:tc>
          <w:tcPr>
            <w:tcW w:w="8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920" w:type="dxa"/>
            <w:vAlign w:val="bottom"/>
            <w:gridSpan w:val="11"/>
          </w:tcPr>
          <w:p>
            <w:pPr>
              <w:spacing w:after="0"/>
              <w:rPr>
                <w:rFonts w:ascii="Arial" w:cs="Arial" w:eastAsia="Arial" w:hAnsi="Arial"/>
                <w:sz w:val="18"/>
                <w:szCs w:val="18"/>
                <w:color w:val="0000EE"/>
              </w:rPr>
            </w:pPr>
            <w:hyperlink w:anchor="page103">
              <w:r>
                <w:rPr>
                  <w:rFonts w:ascii="Arial" w:cs="Arial" w:eastAsia="Arial" w:hAnsi="Arial"/>
                  <w:sz w:val="18"/>
                  <w:szCs w:val="18"/>
                  <w:u w:val="single" w:color="auto"/>
                  <w:color w:val="0000EE"/>
                </w:rPr>
                <w:t>Rule 13a-14(a)/15d-14(a) Certification of Chief Executive Officer</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line="216" w:lineRule="exact"/>
              <w:rPr>
                <w:sz w:val="20"/>
                <w:szCs w:val="20"/>
                <w:color w:val="auto"/>
              </w:rPr>
            </w:pPr>
            <w:r>
              <w:rPr>
                <w:rFonts w:ascii="Arial" w:cs="Arial" w:eastAsia="Arial" w:hAnsi="Arial"/>
                <w:sz w:val="17"/>
                <w:szCs w:val="17"/>
                <w:color w:val="auto"/>
              </w:rPr>
              <w:t>31.2</w:t>
            </w:r>
            <w:r>
              <w:rPr>
                <w:rFonts w:ascii="Arial" w:cs="Arial" w:eastAsia="Arial" w:hAnsi="Arial"/>
                <w:sz w:val="25"/>
                <w:szCs w:val="25"/>
                <w:color w:val="auto"/>
                <w:vertAlign w:val="superscript"/>
              </w:rPr>
              <w:t>++</w:t>
            </w:r>
          </w:p>
        </w:tc>
        <w:tc>
          <w:tcPr>
            <w:tcW w:w="200" w:type="dxa"/>
            <w:vAlign w:val="bottom"/>
          </w:tcPr>
          <w:p>
            <w:pPr>
              <w:spacing w:after="0"/>
              <w:rPr>
                <w:sz w:val="18"/>
                <w:szCs w:val="18"/>
                <w:color w:val="auto"/>
              </w:rPr>
            </w:pPr>
          </w:p>
        </w:tc>
        <w:tc>
          <w:tcPr>
            <w:tcW w:w="8920" w:type="dxa"/>
            <w:vAlign w:val="bottom"/>
            <w:gridSpan w:val="11"/>
          </w:tcPr>
          <w:p>
            <w:pPr>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Rule 13a-14(a)/15d-14(a) Certification of Chief Financial Officer.</w:t>
              </w:r>
            </w:hyperlink>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line="216" w:lineRule="exact"/>
              <w:rPr>
                <w:sz w:val="20"/>
                <w:szCs w:val="20"/>
                <w:color w:val="auto"/>
              </w:rPr>
            </w:pPr>
            <w:r>
              <w:rPr>
                <w:rFonts w:ascii="Arial" w:cs="Arial" w:eastAsia="Arial" w:hAnsi="Arial"/>
                <w:sz w:val="17"/>
                <w:szCs w:val="17"/>
                <w:color w:val="auto"/>
              </w:rPr>
              <w:t>32.1</w:t>
            </w:r>
            <w:r>
              <w:rPr>
                <w:rFonts w:ascii="Arial" w:cs="Arial" w:eastAsia="Arial" w:hAnsi="Arial"/>
                <w:sz w:val="25"/>
                <w:szCs w:val="25"/>
                <w:color w:val="auto"/>
                <w:vertAlign w:val="superscript"/>
              </w:rPr>
              <w:t>++</w:t>
            </w:r>
          </w:p>
        </w:tc>
        <w:tc>
          <w:tcPr>
            <w:tcW w:w="200" w:type="dxa"/>
            <w:vAlign w:val="bottom"/>
          </w:tcPr>
          <w:p>
            <w:pPr>
              <w:spacing w:after="0"/>
              <w:rPr>
                <w:sz w:val="18"/>
                <w:szCs w:val="18"/>
                <w:color w:val="auto"/>
              </w:rPr>
            </w:pPr>
          </w:p>
        </w:tc>
        <w:tc>
          <w:tcPr>
            <w:tcW w:w="8920" w:type="dxa"/>
            <w:vAlign w:val="bottom"/>
            <w:gridSpan w:val="11"/>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Section 1350 Certification of Chief Executive Officer (furnished herewith).</w:t>
              </w:r>
            </w:hyperlink>
          </w:p>
        </w:tc>
        <w:tc>
          <w:tcPr>
            <w:tcW w:w="0" w:type="dxa"/>
            <w:vAlign w:val="bottom"/>
          </w:tcPr>
          <w:p>
            <w:pPr>
              <w:spacing w:after="0"/>
              <w:rPr>
                <w:sz w:val="1"/>
                <w:szCs w:val="1"/>
                <w:color w:val="auto"/>
              </w:rPr>
            </w:pPr>
          </w:p>
        </w:tc>
      </w:tr>
      <w:tr>
        <w:trPr>
          <w:trHeight w:val="242"/>
        </w:trPr>
        <w:tc>
          <w:tcPr>
            <w:tcW w:w="800" w:type="dxa"/>
            <w:vAlign w:val="bottom"/>
            <w:gridSpan w:val="2"/>
          </w:tcPr>
          <w:p>
            <w:pPr>
              <w:spacing w:after="0" w:line="242" w:lineRule="exact"/>
              <w:rPr>
                <w:sz w:val="20"/>
                <w:szCs w:val="20"/>
                <w:color w:val="auto"/>
              </w:rPr>
            </w:pPr>
            <w:r>
              <w:rPr>
                <w:rFonts w:ascii="Arial" w:cs="Arial" w:eastAsia="Arial" w:hAnsi="Arial"/>
                <w:sz w:val="18"/>
                <w:szCs w:val="18"/>
                <w:color w:val="auto"/>
              </w:rPr>
              <w:t>32.2</w:t>
            </w:r>
            <w:r>
              <w:rPr>
                <w:rFonts w:ascii="Arial" w:cs="Arial" w:eastAsia="Arial" w:hAnsi="Arial"/>
                <w:sz w:val="26"/>
                <w:szCs w:val="26"/>
                <w:color w:val="auto"/>
                <w:vertAlign w:val="superscript"/>
              </w:rPr>
              <w:t>++</w:t>
            </w:r>
          </w:p>
        </w:tc>
        <w:tc>
          <w:tcPr>
            <w:tcW w:w="200" w:type="dxa"/>
            <w:vAlign w:val="bottom"/>
          </w:tcPr>
          <w:p>
            <w:pPr>
              <w:spacing w:after="0"/>
              <w:rPr>
                <w:sz w:val="21"/>
                <w:szCs w:val="21"/>
                <w:color w:val="auto"/>
              </w:rPr>
            </w:pPr>
          </w:p>
        </w:tc>
        <w:tc>
          <w:tcPr>
            <w:tcW w:w="8920" w:type="dxa"/>
            <w:vAlign w:val="bottom"/>
            <w:gridSpan w:val="11"/>
          </w:tcPr>
          <w:p>
            <w:pPr>
              <w:spacing w:after="0"/>
              <w:rPr>
                <w:rFonts w:ascii="Arial" w:cs="Arial" w:eastAsia="Arial" w:hAnsi="Arial"/>
                <w:sz w:val="18"/>
                <w:szCs w:val="18"/>
                <w:color w:val="0000EE"/>
              </w:rPr>
            </w:pPr>
            <w:hyperlink w:anchor="page106">
              <w:r>
                <w:rPr>
                  <w:rFonts w:ascii="Arial" w:cs="Arial" w:eastAsia="Arial" w:hAnsi="Arial"/>
                  <w:sz w:val="18"/>
                  <w:szCs w:val="18"/>
                  <w:u w:val="single" w:color="auto"/>
                  <w:color w:val="0000EE"/>
                </w:rPr>
                <w:t>Section 1350 Certification of Chief Financial Officer (furnished herewith)</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bl>
    <w:p>
      <w:pPr>
        <w:ind w:left="1000" w:right="100" w:hanging="991"/>
        <w:spacing w:after="0" w:line="288"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following financial information from the Quarterly Report on Form 10-Q of Iovance Biotherapeutics, Inc. for the quarter ended June 30, 2020, formatted in XBRL (eXtensible Business Reporting Language): (1) Condensed Consolidated Balance Sheets as of June 30, 2020 and December 31, 2019; (2) Condensed Consolidated Statements of Operations for the three and six months ended June 30, 2020 and 2019; (3) Condensed Consolidated Statements of Comprehensive Loss for the three and six months ended June 30, 2020 and 2019; (4) Condensed Consolidated Statements of Stockholders’ Equity as of June 30, 2020 and December 31, 2019; (5) Condensed Consolidated Statements of Cash Flows for the three months ended June 30, 2020 and 2019; and (6) Notes to Condensed Consolidated Financial Statements.</w:t>
      </w:r>
    </w:p>
    <w:p>
      <w:pPr>
        <w:spacing w:after="0" w:line="180" w:lineRule="exact"/>
        <w:rPr>
          <w:rFonts w:ascii="Arial" w:cs="Arial" w:eastAsia="Arial" w:hAnsi="Arial"/>
          <w:sz w:val="16"/>
          <w:szCs w:val="16"/>
          <w:color w:val="auto"/>
        </w:rPr>
      </w:pPr>
    </w:p>
    <w:p>
      <w:pPr>
        <w:ind w:left="720" w:hanging="71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portions of the Exhibit have been redacted pursuant to Item 601(b)(10)(iv) of Regulation S-K.</w:t>
      </w:r>
    </w:p>
    <w:p>
      <w:pPr>
        <w:spacing w:after="0" w:line="23" w:lineRule="exact"/>
        <w:rPr>
          <w:sz w:val="20"/>
          <w:szCs w:val="20"/>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20"/>
        </w:trPr>
        <w:tc>
          <w:tcPr>
            <w:tcW w:w="3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453"/>
        </w:trPr>
        <w:tc>
          <w:tcPr>
            <w:tcW w:w="3000" w:type="dxa"/>
            <w:vAlign w:val="bottom"/>
          </w:tcPr>
          <w:p>
            <w:pPr>
              <w:spacing w:after="0"/>
              <w:rPr>
                <w:sz w:val="20"/>
                <w:szCs w:val="20"/>
                <w:color w:val="auto"/>
              </w:rPr>
            </w:pPr>
            <w:r>
              <w:rPr>
                <w:rFonts w:ascii="Arial" w:cs="Arial" w:eastAsia="Arial" w:hAnsi="Arial"/>
                <w:sz w:val="18"/>
                <w:szCs w:val="18"/>
                <w:color w:val="auto"/>
              </w:rPr>
              <w:t>August 6, 2020</w:t>
            </w:r>
          </w:p>
        </w:tc>
        <w:tc>
          <w:tcPr>
            <w:tcW w:w="196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By: /s/ Maria Fardis, Ph.D., M.B.A.</w:t>
            </w:r>
          </w:p>
        </w:tc>
      </w:tr>
      <w:tr>
        <w:trPr>
          <w:trHeight w:val="195"/>
        </w:trPr>
        <w:tc>
          <w:tcPr>
            <w:tcW w:w="3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Maria Fardis, Ph.D., M.B.A.</w:t>
            </w:r>
          </w:p>
        </w:tc>
      </w:tr>
      <w:tr>
        <w:trPr>
          <w:trHeight w:val="230"/>
        </w:trPr>
        <w:tc>
          <w:tcPr>
            <w:tcW w:w="3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August 6, 2020</w:t>
            </w:r>
          </w:p>
        </w:tc>
        <w:tc>
          <w:tcPr>
            <w:tcW w:w="196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By: /s/ Michael C. Swartzburg</w:t>
            </w:r>
          </w:p>
        </w:tc>
      </w:tr>
      <w:tr>
        <w:trPr>
          <w:trHeight w:val="195"/>
        </w:trPr>
        <w:tc>
          <w:tcPr>
            <w:tcW w:w="3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Michael C. Swartzburg</w:t>
            </w:r>
          </w:p>
        </w:tc>
      </w:tr>
      <w:tr>
        <w:trPr>
          <w:trHeight w:val="230"/>
        </w:trPr>
        <w:tc>
          <w:tcPr>
            <w:tcW w:w="3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VP, Finance (Interim Principal Financial Officer)</w:t>
            </w:r>
          </w:p>
        </w:tc>
      </w:tr>
      <w:tr>
        <w:trPr>
          <w:trHeight w:val="877"/>
        </w:trPr>
        <w:tc>
          <w:tcPr>
            <w:tcW w:w="3000" w:type="dxa"/>
            <w:vAlign w:val="bottom"/>
          </w:tcPr>
          <w:p>
            <w:pPr>
              <w:spacing w:after="0"/>
              <w:rPr>
                <w:sz w:val="24"/>
                <w:szCs w:val="24"/>
                <w:color w:val="auto"/>
              </w:rPr>
            </w:pPr>
          </w:p>
        </w:tc>
        <w:tc>
          <w:tcPr>
            <w:tcW w:w="2260" w:type="dxa"/>
            <w:vAlign w:val="bottom"/>
            <w:gridSpan w:val="2"/>
          </w:tcPr>
          <w:p>
            <w:pPr>
              <w:jc w:val="right"/>
              <w:ind w:right="110"/>
              <w:spacing w:after="0"/>
              <w:rPr>
                <w:sz w:val="20"/>
                <w:szCs w:val="20"/>
                <w:color w:val="auto"/>
              </w:rPr>
            </w:pPr>
            <w:r>
              <w:rPr>
                <w:rFonts w:ascii="Arial" w:cs="Arial" w:eastAsia="Arial" w:hAnsi="Arial"/>
                <w:sz w:val="18"/>
                <w:szCs w:val="18"/>
                <w:color w:val="auto"/>
              </w:rPr>
              <w:t>87</w:t>
            </w:r>
          </w:p>
        </w:tc>
        <w:tc>
          <w:tcPr>
            <w:tcW w:w="19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61"/>
        </w:trPr>
        <w:tc>
          <w:tcPr>
            <w:tcW w:w="30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t>Exhibit10.3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LEASE AGREEMENT</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SECOND AMENDMENT TO LEASE AGREEMENT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Second Amendment</w:t>
      </w:r>
      <w:r>
        <w:rPr>
          <w:rFonts w:ascii="Arial" w:cs="Arial" w:eastAsia="Arial" w:hAnsi="Arial"/>
          <w:sz w:val="22"/>
          <w:szCs w:val="22"/>
          <w:color w:val="auto"/>
        </w:rPr>
        <w:t>”) is dated as of the 30th day of June, 2020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300 Rouse Boulevard, LLC, a Delaware limited liability company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IOVANCE BIOTHERAPEUTICS, INC.</w:t>
      </w:r>
      <w:r>
        <w:rPr>
          <w:rFonts w:ascii="Arial" w:cs="Arial" w:eastAsia="Arial" w:hAnsi="Arial"/>
          <w:sz w:val="22"/>
          <w:szCs w:val="22"/>
          <w:color w:val="auto"/>
        </w:rPr>
        <w:t>, a Delaware corporation (“</w:t>
      </w:r>
      <w:r>
        <w:rPr>
          <w:rFonts w:ascii="Arial" w:cs="Arial" w:eastAsia="Arial" w:hAnsi="Arial"/>
          <w:sz w:val="22"/>
          <w:szCs w:val="22"/>
          <w:u w:val="single" w:color="auto"/>
          <w:color w:val="auto"/>
        </w:rPr>
        <w:t>Tenant</w:t>
      </w:r>
      <w:r>
        <w:rPr>
          <w:rFonts w:ascii="Arial" w:cs="Arial" w:eastAsia="Arial" w:hAnsi="Arial"/>
          <w:sz w:val="22"/>
          <w:szCs w:val="22"/>
          <w:color w:val="auto"/>
        </w:rPr>
        <w:t>”).</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and Tenant are parties to that certain Lease Agreement dated May 28, 2019,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by the First Amendment to the Lease Agreement dated August 20, 2019 (as so amended, the “</w:t>
      </w:r>
      <w:r>
        <w:rPr>
          <w:rFonts w:ascii="Arial" w:cs="Arial" w:eastAsia="Arial" w:hAnsi="Arial"/>
          <w:sz w:val="22"/>
          <w:szCs w:val="22"/>
          <w:u w:val="single" w:color="auto"/>
          <w:color w:val="auto"/>
        </w:rPr>
        <w:t>Lease</w:t>
      </w:r>
      <w:r>
        <w:rPr>
          <w:rFonts w:ascii="Arial" w:cs="Arial" w:eastAsia="Arial" w:hAnsi="Arial"/>
          <w:sz w:val="22"/>
          <w:szCs w:val="22"/>
          <w:color w:val="auto"/>
        </w:rPr>
        <w:t>”) respecting certain premises located at 300 Rouse Boulevard, Philadelphia, Pennsylvania, as more particularly described in the Lease; 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Landlord and Tenant now desire to amend the Lease as more particularly set forth below.</w:t>
      </w:r>
    </w:p>
    <w:p>
      <w:pPr>
        <w:spacing w:after="0" w:line="24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for good and valuable consideration, the receipt and sufficiency of which are</w:t>
      </w:r>
      <w:r>
        <w:rPr>
          <w:rFonts w:ascii="Arial" w:cs="Arial" w:eastAsia="Arial" w:hAnsi="Arial"/>
          <w:sz w:val="21"/>
          <w:szCs w:val="21"/>
          <w:b w:val="1"/>
          <w:bCs w:val="1"/>
          <w:color w:val="auto"/>
        </w:rPr>
        <w:t xml:space="preserve"> </w:t>
      </w:r>
      <w:r>
        <w:rPr>
          <w:rFonts w:ascii="Arial" w:cs="Arial" w:eastAsia="Arial" w:hAnsi="Arial"/>
          <w:sz w:val="21"/>
          <w:szCs w:val="21"/>
          <w:color w:val="auto"/>
        </w:rPr>
        <w:t>hereby acknowledged, and intending to be legally bound, the parties hereby amend the Lease as follows:</w:t>
      </w:r>
    </w:p>
    <w:p>
      <w:pPr>
        <w:spacing w:after="0" w:line="145" w:lineRule="exact"/>
        <w:rPr>
          <w:sz w:val="20"/>
          <w:szCs w:val="20"/>
          <w:color w:val="auto"/>
        </w:rPr>
      </w:pPr>
    </w:p>
    <w:p>
      <w:pPr>
        <w:ind w:left="660" w:hanging="652"/>
        <w:spacing w:after="0" w:line="250" w:lineRule="auto"/>
        <w:tabs>
          <w:tab w:leader="none" w:pos="782"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Phase 1-A Delivery Date</w:t>
      </w:r>
      <w:r>
        <w:rPr>
          <w:rFonts w:ascii="Arial" w:cs="Arial" w:eastAsia="Arial" w:hAnsi="Arial"/>
          <w:sz w:val="22"/>
          <w:szCs w:val="22"/>
          <w:color w:val="auto"/>
        </w:rPr>
        <w:t>. The parties confirm and agree that the Phase 1-A Delivery Date occurred on April 14, 2020.</w:t>
      </w:r>
    </w:p>
    <w:p>
      <w:pPr>
        <w:spacing w:after="0" w:line="174" w:lineRule="exact"/>
        <w:rPr>
          <w:rFonts w:ascii="Arial" w:cs="Arial" w:eastAsia="Arial" w:hAnsi="Arial"/>
          <w:sz w:val="22"/>
          <w:szCs w:val="22"/>
          <w:color w:val="auto"/>
        </w:rPr>
      </w:pPr>
    </w:p>
    <w:p>
      <w:pPr>
        <w:jc w:val="both"/>
        <w:ind w:left="660" w:hanging="652"/>
        <w:spacing w:after="0"/>
        <w:tabs>
          <w:tab w:leader="none" w:pos="863"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Modification to Determination of Substantial Completion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 Section 3.A.</w:t>
      </w:r>
      <w:r>
        <w:rPr>
          <w:rFonts w:ascii="Arial" w:cs="Arial" w:eastAsia="Arial" w:hAnsi="Arial"/>
          <w:sz w:val="22"/>
          <w:szCs w:val="22"/>
          <w:color w:val="auto"/>
        </w:rPr>
        <w:t xml:space="preserve"> of Exhibit E, Work Letter Attached to Lease, is hereby deleted in its entirety and replaced in its entirety by the following terms:</w:t>
      </w:r>
    </w:p>
    <w:p>
      <w:pPr>
        <w:spacing w:after="0" w:line="180" w:lineRule="exact"/>
        <w:rPr>
          <w:sz w:val="20"/>
          <w:szCs w:val="20"/>
          <w:color w:val="auto"/>
        </w:rPr>
      </w:pPr>
    </w:p>
    <w:p>
      <w:pPr>
        <w:jc w:val="both"/>
        <w:ind w:left="98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 Determination of Substantial Completion.</w:t>
      </w:r>
      <w:r>
        <w:rPr>
          <w:rFonts w:ascii="Arial" w:cs="Arial" w:eastAsia="Arial" w:hAnsi="Arial"/>
          <w:sz w:val="19"/>
          <w:szCs w:val="19"/>
          <w:color w:val="auto"/>
        </w:rPr>
        <w:t xml:space="preserve"> As used in this Lease, </w:t>
      </w:r>
      <w:r>
        <w:rPr>
          <w:rFonts w:ascii="Arial" w:cs="Arial" w:eastAsia="Arial" w:hAnsi="Arial"/>
          <w:sz w:val="19"/>
          <w:szCs w:val="19"/>
          <w:b w:val="1"/>
          <w:bCs w:val="1"/>
          <w:color w:val="auto"/>
        </w:rPr>
        <w:t>“SUBSTANTIAL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COMPLETION” </w:t>
      </w:r>
      <w:r>
        <w:rPr>
          <w:rFonts w:ascii="Arial" w:cs="Arial" w:eastAsia="Arial" w:hAnsi="Arial"/>
          <w:sz w:val="19"/>
          <w:szCs w:val="19"/>
          <w:color w:val="auto"/>
        </w:rPr>
        <w:t>or</w:t>
      </w:r>
      <w:r>
        <w:rPr>
          <w:rFonts w:ascii="Arial" w:cs="Arial" w:eastAsia="Arial" w:hAnsi="Arial"/>
          <w:sz w:val="19"/>
          <w:szCs w:val="19"/>
          <w:b w:val="1"/>
          <w:bCs w:val="1"/>
          <w:color w:val="auto"/>
        </w:rPr>
        <w:t xml:space="preserve"> “SUBSTANTIALLY COMPLETE” </w:t>
      </w:r>
      <w:r>
        <w:rPr>
          <w:rFonts w:ascii="Arial" w:cs="Arial" w:eastAsia="Arial" w:hAnsi="Arial"/>
          <w:sz w:val="19"/>
          <w:szCs w:val="19"/>
          <w:color w:val="auto"/>
        </w:rPr>
        <w:t>for the Landlord's Work shall mean that (i)</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Landlord has delivered to Tenant a certificate of the Base Building Architect, in the form of AIA form 0704-2017 or such other form as may be agreed upon by the parties, certifying that the Base Building Work has been substantially completed (subject to the Base Building Punch List and any elements of Landlord’s Work that cannot be completed due to ongoing or incomplete Tenant’s Work) substantially in accordance with (a) the final plans and specifications developed in accordance with this </w:t>
      </w:r>
      <w:r>
        <w:rPr>
          <w:rFonts w:ascii="Arial" w:cs="Arial" w:eastAsia="Arial" w:hAnsi="Arial"/>
          <w:sz w:val="19"/>
          <w:szCs w:val="19"/>
          <w:b w:val="1"/>
          <w:bCs w:val="1"/>
          <w:color w:val="auto"/>
        </w:rPr>
        <w:t>Exhibit</w:t>
      </w:r>
      <w:r>
        <w:rPr>
          <w:rFonts w:ascii="Arial" w:cs="Arial" w:eastAsia="Arial" w:hAnsi="Arial"/>
          <w:sz w:val="19"/>
          <w:szCs w:val="19"/>
          <w:color w:val="auto"/>
        </w:rPr>
        <w:t xml:space="preserve"> </w:t>
      </w:r>
      <w:r>
        <w:rPr>
          <w:rFonts w:ascii="Arial" w:cs="Arial" w:eastAsia="Arial" w:hAnsi="Arial"/>
          <w:sz w:val="19"/>
          <w:szCs w:val="19"/>
          <w:b w:val="1"/>
          <w:bCs w:val="1"/>
          <w:color w:val="auto"/>
        </w:rPr>
        <w:t>“E”</w:t>
      </w:r>
      <w:r>
        <w:rPr>
          <w:rFonts w:ascii="Arial" w:cs="Arial" w:eastAsia="Arial" w:hAnsi="Arial"/>
          <w:sz w:val="19"/>
          <w:szCs w:val="19"/>
          <w:color w:val="auto"/>
        </w:rPr>
        <w:t>, (b) all applicable laws, codes and ordinances, and, (c) the Landlord’s Work has received and</w:t>
      </w:r>
      <w:r>
        <w:rPr>
          <w:rFonts w:ascii="Arial" w:cs="Arial" w:eastAsia="Arial" w:hAnsi="Arial"/>
          <w:sz w:val="19"/>
          <w:szCs w:val="19"/>
          <w:b w:val="1"/>
          <w:bCs w:val="1"/>
          <w:color w:val="auto"/>
        </w:rPr>
        <w:t xml:space="preserve"> </w:t>
      </w:r>
      <w:r>
        <w:rPr>
          <w:rFonts w:ascii="Arial" w:cs="Arial" w:eastAsia="Arial" w:hAnsi="Arial"/>
          <w:sz w:val="19"/>
          <w:szCs w:val="19"/>
          <w:color w:val="auto"/>
        </w:rPr>
        <w:t>obtained all required construction inspection approvals from governmental authorities having jurisdiction over the Landlord’s Work, other than a certificate of occupancy or equivalent instrument;</w:t>
      </w:r>
    </w:p>
    <w:p>
      <w:pPr>
        <w:spacing w:after="0" w:line="5" w:lineRule="exact"/>
        <w:rPr>
          <w:sz w:val="20"/>
          <w:szCs w:val="20"/>
          <w:color w:val="auto"/>
        </w:rPr>
      </w:pPr>
    </w:p>
    <w:p>
      <w:pPr>
        <w:jc w:val="both"/>
        <w:ind w:left="980"/>
        <w:spacing w:after="0" w:line="232" w:lineRule="auto"/>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Landlord has delivered to Tenant physical possession of, and full access to and use of, the Premises for the undertaking of the Tenant’s Work, except for Base Building Punch List work; (iii) except as may be reasonably required for Landlord to complete the Base Building Punch List work, all applicable areas are free and clear of Landlord's construction and debris, temporary protection, and any temporary walls or walkways; (v) all building envelope (facade and roof) work is complete, other than, with respect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1179195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88" w:name="page89"/>
    <w:bookmarkEnd w:id="88"/>
    <w:p>
      <w:pPr>
        <w:jc w:val="both"/>
        <w:ind w:left="980"/>
        <w:spacing w:after="0" w:line="246" w:lineRule="auto"/>
        <w:rPr>
          <w:sz w:val="20"/>
          <w:szCs w:val="20"/>
          <w:color w:val="auto"/>
        </w:rPr>
      </w:pPr>
      <w:r>
        <w:rPr>
          <w:rFonts w:ascii="Arial" w:cs="Arial" w:eastAsia="Arial" w:hAnsi="Arial"/>
          <w:sz w:val="21"/>
          <w:szCs w:val="21"/>
          <w:color w:val="auto"/>
        </w:rPr>
        <w:t>Substantial Completion of Phase 1-A only, the façade on column line 11.1, which will be clad in the same material as Phase 1-B contemporaneously with Phase 1-B; (vi) all building systems have been tested, balanced, and are operational and in good working order, other than (A) the fire safety systems of the Building, which will be modified as part of the Tenant’s Work, and (B) the 4” domestic water line which runs through Phase 1-A (the installation of which shall accommodate the construction sequencing of Tenant’s Work), which shall be installed as part of the Base Building Punch List for Phase 1-A; and (vii) access to loading docks and service elevators is available for Tenant's use as permitted in the Lease.”</w:t>
      </w:r>
    </w:p>
    <w:p>
      <w:pPr>
        <w:spacing w:after="0" w:line="180" w:lineRule="exact"/>
        <w:rPr>
          <w:sz w:val="20"/>
          <w:szCs w:val="20"/>
          <w:color w:val="auto"/>
        </w:rPr>
      </w:pPr>
    </w:p>
    <w:p>
      <w:pPr>
        <w:ind w:left="660" w:hanging="652"/>
        <w:spacing w:after="0" w:line="250" w:lineRule="auto"/>
        <w:tabs>
          <w:tab w:leader="none" w:pos="755"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Modification to Commencement of Tenant’s Work</w:t>
      </w:r>
      <w:r>
        <w:rPr>
          <w:rFonts w:ascii="Arial" w:cs="Arial" w:eastAsia="Arial" w:hAnsi="Arial"/>
          <w:sz w:val="22"/>
          <w:szCs w:val="22"/>
          <w:color w:val="auto"/>
        </w:rPr>
        <w:t xml:space="preserve">. The following sentence in </w:t>
      </w:r>
      <w:r>
        <w:rPr>
          <w:rFonts w:ascii="Arial" w:cs="Arial" w:eastAsia="Arial" w:hAnsi="Arial"/>
          <w:sz w:val="22"/>
          <w:szCs w:val="22"/>
          <w:u w:val="single" w:color="auto"/>
          <w:color w:val="auto"/>
        </w:rPr>
        <w:t>Article II, Section 2.A.</w:t>
      </w:r>
      <w:r>
        <w:rPr>
          <w:rFonts w:ascii="Arial" w:cs="Arial" w:eastAsia="Arial" w:hAnsi="Arial"/>
          <w:sz w:val="22"/>
          <w:szCs w:val="22"/>
          <w:color w:val="auto"/>
        </w:rPr>
        <w:t xml:space="preserve"> of Exhibit E, Work Letter Attached to Lease, is hereby deleted:</w:t>
      </w:r>
    </w:p>
    <w:p>
      <w:pPr>
        <w:spacing w:after="0" w:line="175" w:lineRule="exact"/>
        <w:rPr>
          <w:sz w:val="20"/>
          <w:szCs w:val="20"/>
          <w:color w:val="auto"/>
        </w:rPr>
      </w:pPr>
    </w:p>
    <w:p>
      <w:pPr>
        <w:jc w:val="both"/>
        <w:ind w:left="980"/>
        <w:spacing w:after="0" w:line="297" w:lineRule="auto"/>
        <w:rPr>
          <w:sz w:val="20"/>
          <w:szCs w:val="20"/>
          <w:color w:val="auto"/>
        </w:rPr>
      </w:pPr>
      <w:r>
        <w:rPr>
          <w:rFonts w:ascii="Arial" w:cs="Arial" w:eastAsia="Arial" w:hAnsi="Arial"/>
          <w:sz w:val="19"/>
          <w:szCs w:val="19"/>
          <w:color w:val="auto"/>
        </w:rPr>
        <w:t>“The parties agree that, without limitation, the following elements of the Tenant’s Work may be undertaken while Phase 1-A is in Non-Weathertight Condition: layout; hangers for pipes; structural support steel/hangers for walkable ceiling, and; frame duct and pipe openings in structural steel.”</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 replaced in its entirety by the following sentence:</w:t>
      </w:r>
    </w:p>
    <w:p>
      <w:pPr>
        <w:spacing w:after="0" w:line="206" w:lineRule="exact"/>
        <w:rPr>
          <w:sz w:val="20"/>
          <w:szCs w:val="20"/>
          <w:color w:val="auto"/>
        </w:rPr>
      </w:pPr>
    </w:p>
    <w:p>
      <w:pPr>
        <w:jc w:val="both"/>
        <w:ind w:left="980"/>
        <w:spacing w:after="0" w:line="272" w:lineRule="auto"/>
        <w:rPr>
          <w:sz w:val="20"/>
          <w:szCs w:val="20"/>
          <w:color w:val="auto"/>
        </w:rPr>
      </w:pPr>
      <w:r>
        <w:rPr>
          <w:rFonts w:ascii="Arial" w:cs="Arial" w:eastAsia="Arial" w:hAnsi="Arial"/>
          <w:sz w:val="19"/>
          <w:szCs w:val="19"/>
          <w:color w:val="auto"/>
        </w:rPr>
        <w:t>“The parties agree that, without limitation, the following elements of the Tenant’s Work may be undertaken while Phase 1-A is in Non-Weathertight Condition: activities related to the construction and preparation of the facility for the clean room manufacturing area, including structural, mechanical and electrical activities that are not dependent on weather tightness of the building, including but not limited to layout and hangers, mechanical and piping rough-in, electrical rough-ins, pre-installation of clean room components, and interior and exterior equipment setting; provided, however, that Tenant shall not be permitted to access the roof of the Building for the installation of Tenant’s exterior equipment until the roof inspection is complete and the roof warranty is in place. Landlord shall make diligent good faith efforts to provide such roof access by July 1, 2020, the parties acknowledging that Tenant desires, not later than July 1, 2020, access to the roof to install its equipment in accordance with the Final Tenant Improvement Construction Documents in order not to delay the critical path of Tenant’s Work. If Landlord fails to provide such access by July 16, 2020 for any reason other than Excusable Delay, such delay shall constitute a Landlord Delay.”</w:t>
      </w:r>
    </w:p>
    <w:p>
      <w:pPr>
        <w:spacing w:after="0" w:line="156" w:lineRule="exact"/>
        <w:rPr>
          <w:sz w:val="20"/>
          <w:szCs w:val="20"/>
          <w:color w:val="auto"/>
        </w:rPr>
      </w:pPr>
    </w:p>
    <w:p>
      <w:pPr>
        <w:jc w:val="both"/>
        <w:ind w:left="660" w:hanging="652"/>
        <w:spacing w:after="0" w:line="279" w:lineRule="auto"/>
        <w:tabs>
          <w:tab w:leader="none" w:pos="822"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Covid-19 Provisions</w:t>
      </w:r>
      <w:r>
        <w:rPr>
          <w:rFonts w:ascii="Arial" w:cs="Arial" w:eastAsia="Arial" w:hAnsi="Arial"/>
          <w:sz w:val="19"/>
          <w:szCs w:val="19"/>
          <w:color w:val="auto"/>
        </w:rPr>
        <w:t>. Notwithstanding anything in the Lease to the contrary, and for the avoidance of doubt, the parties confirm and agree that the current COVID-19 pandemic is a causal event of a nature that may give rise to Excusable Delay, as defined in the Lease (the “</w:t>
      </w:r>
      <w:r>
        <w:rPr>
          <w:rFonts w:ascii="Arial" w:cs="Arial" w:eastAsia="Arial" w:hAnsi="Arial"/>
          <w:sz w:val="19"/>
          <w:szCs w:val="19"/>
          <w:b w:val="1"/>
          <w:bCs w:val="1"/>
          <w:color w:val="auto"/>
        </w:rPr>
        <w:t>COVID-19 Event</w:t>
      </w:r>
      <w:r>
        <w:rPr>
          <w:rFonts w:ascii="Arial" w:cs="Arial" w:eastAsia="Arial" w:hAnsi="Arial"/>
          <w:sz w:val="19"/>
          <w:szCs w:val="19"/>
          <w:color w:val="auto"/>
        </w:rPr>
        <w:t>”). Landlord confirms that any Excusable Delay arising from the COVID-19 Event prior to the Effective Date hereof has been taken into account with respect to the schedule for achievement of Substantial Completion of the Landlord’s Work, is incorporated into the project schedule in effect as of the Effective Date of this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89" w:name="page90"/>
    <w:bookmarkEnd w:id="89"/>
    <w:p>
      <w:pPr>
        <w:jc w:val="both"/>
        <w:ind w:left="660"/>
        <w:spacing w:after="0" w:line="249" w:lineRule="auto"/>
        <w:rPr>
          <w:sz w:val="20"/>
          <w:szCs w:val="20"/>
          <w:color w:val="auto"/>
        </w:rPr>
      </w:pPr>
      <w:r>
        <w:rPr>
          <w:rFonts w:ascii="Arial" w:cs="Arial" w:eastAsia="Arial" w:hAnsi="Arial"/>
          <w:sz w:val="21"/>
          <w:szCs w:val="21"/>
          <w:color w:val="auto"/>
        </w:rPr>
        <w:t>Amendment, and has not given rise to any Excusable Delay. However, without in any way limiting the definition of Excusable Delay set forth in the Lease, to the extent any delay in the Landlord’s Work is caused, in whole or in part, by the COVID-19 Event and arises after the execution of this Amendment, such delay will be deemed to be an Excusable Delay, but shall not be considered a Tenant Delay or a Landlord Delay, and may extend the Commencement Date as appropriate.</w:t>
      </w:r>
    </w:p>
    <w:p>
      <w:pPr>
        <w:spacing w:after="0" w:line="178" w:lineRule="exact"/>
        <w:rPr>
          <w:sz w:val="20"/>
          <w:szCs w:val="20"/>
          <w:color w:val="auto"/>
        </w:rPr>
      </w:pPr>
    </w:p>
    <w:p>
      <w:pPr>
        <w:jc w:val="both"/>
        <w:ind w:left="660" w:hanging="652"/>
        <w:spacing w:after="0"/>
        <w:tabs>
          <w:tab w:leader="none" w:pos="83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Modification to Tenant Work Timetable for Submission and Approval of Plans</w:t>
      </w:r>
      <w:r>
        <w:rPr>
          <w:rFonts w:ascii="Arial" w:cs="Arial" w:eastAsia="Arial" w:hAnsi="Arial"/>
          <w:sz w:val="22"/>
          <w:szCs w:val="22"/>
          <w:color w:val="auto"/>
        </w:rPr>
        <w:t>. The Outside Date for Submission by Tenant Design Time for the TI Construction Documents set forth on Schedule 3 to Exhibit “E” is hereby revised to May 27, 2020.</w:t>
      </w:r>
    </w:p>
    <w:p>
      <w:pPr>
        <w:spacing w:after="0" w:line="186" w:lineRule="exact"/>
        <w:rPr>
          <w:rFonts w:ascii="Arial" w:cs="Arial" w:eastAsia="Arial" w:hAnsi="Arial"/>
          <w:sz w:val="22"/>
          <w:szCs w:val="22"/>
          <w:color w:val="auto"/>
        </w:rPr>
      </w:pPr>
    </w:p>
    <w:p>
      <w:pPr>
        <w:jc w:val="both"/>
        <w:ind w:left="660" w:hanging="652"/>
        <w:spacing w:after="0" w:line="279" w:lineRule="auto"/>
        <w:tabs>
          <w:tab w:leader="none" w:pos="66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Modification of Screening</w:t>
      </w:r>
      <w:r>
        <w:rPr>
          <w:rFonts w:ascii="Arial" w:cs="Arial" w:eastAsia="Arial" w:hAnsi="Arial"/>
          <w:sz w:val="19"/>
          <w:szCs w:val="19"/>
          <w:color w:val="auto"/>
        </w:rPr>
        <w:t xml:space="preserve">. Notwithstanding anything in the Lease to the contrary, the parties hereby agree that the screening contemplated under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of the Lease to screen from view the Generator and under </w:t>
      </w:r>
      <w:r>
        <w:rPr>
          <w:rFonts w:ascii="Arial" w:cs="Arial" w:eastAsia="Arial" w:hAnsi="Arial"/>
          <w:sz w:val="19"/>
          <w:szCs w:val="19"/>
          <w:u w:val="single" w:color="auto"/>
          <w:color w:val="auto"/>
        </w:rPr>
        <w:t>Section 36(b)</w:t>
      </w:r>
      <w:r>
        <w:rPr>
          <w:rFonts w:ascii="Arial" w:cs="Arial" w:eastAsia="Arial" w:hAnsi="Arial"/>
          <w:sz w:val="19"/>
          <w:szCs w:val="19"/>
          <w:color w:val="auto"/>
        </w:rPr>
        <w:t xml:space="preserve"> of the Lease to screen from view the Storage Tanks, which shall be located within the utility yard with additional equipment, shall be comprised of appropriate fencing, vegetation barrier and security of design, size and location to be negotiated reasonably and in good faith by Tenant and Landlord, the cost of which is currently estimated not to exceed $158,000.</w:t>
      </w:r>
    </w:p>
    <w:p>
      <w:pPr>
        <w:spacing w:after="0" w:line="150" w:lineRule="exact"/>
        <w:rPr>
          <w:rFonts w:ascii="Arial" w:cs="Arial" w:eastAsia="Arial" w:hAnsi="Arial"/>
          <w:sz w:val="19"/>
          <w:szCs w:val="19"/>
          <w:color w:val="auto"/>
        </w:rPr>
      </w:pPr>
    </w:p>
    <w:p>
      <w:pPr>
        <w:jc w:val="both"/>
        <w:ind w:left="660" w:hanging="652"/>
        <w:spacing w:after="0" w:line="279" w:lineRule="auto"/>
        <w:tabs>
          <w:tab w:leader="none" w:pos="687"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Modification of Phase 1-B Outside Delivery Date</w:t>
      </w:r>
      <w:r>
        <w:rPr>
          <w:rFonts w:ascii="Arial" w:cs="Arial" w:eastAsia="Arial" w:hAnsi="Arial"/>
          <w:sz w:val="19"/>
          <w:szCs w:val="19"/>
          <w:color w:val="auto"/>
        </w:rPr>
        <w:t>. Notwithstanding anything in the Lease to the contrary, the parties hereby agree to amend Section 1(i) of the Lease to revise the definition of “Outside Phase 1-B Delivery Date” to mean November 28, 2020. The parties agree and acknowledge that as of the Effective Date, there have been no Landlord Delays, Tenant Delays or Excusable Delays and the project is proceeding on schedule to meet the anticipated Phase 1A Substantial Completion Date of July 16, 2020 and the anticipated Phase 1B Delivery Date of October 7, 2020.</w:t>
      </w:r>
    </w:p>
    <w:p>
      <w:pPr>
        <w:spacing w:after="0" w:line="150" w:lineRule="exact"/>
        <w:rPr>
          <w:rFonts w:ascii="Arial" w:cs="Arial" w:eastAsia="Arial" w:hAnsi="Arial"/>
          <w:sz w:val="19"/>
          <w:szCs w:val="19"/>
          <w:color w:val="auto"/>
        </w:rPr>
      </w:pPr>
    </w:p>
    <w:p>
      <w:pPr>
        <w:jc w:val="both"/>
        <w:ind w:left="660" w:hanging="652"/>
        <w:spacing w:after="0"/>
        <w:tabs>
          <w:tab w:leader="none" w:pos="741"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Ratification of Certain Remedies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of the Lease provides, under certain circumstances, for the remedy of confession of judgment against the Tenant for ejectment. In order to confirm and ratify such remedy, Tenant restates the same in its entirety as follows:</w:t>
      </w:r>
    </w:p>
    <w:p>
      <w:pPr>
        <w:spacing w:after="0" w:line="180" w:lineRule="exact"/>
        <w:rPr>
          <w:rFonts w:ascii="Arial" w:cs="Arial" w:eastAsia="Arial" w:hAnsi="Arial"/>
          <w:sz w:val="22"/>
          <w:szCs w:val="22"/>
          <w:color w:val="auto"/>
        </w:rPr>
      </w:pPr>
    </w:p>
    <w:p>
      <w:pPr>
        <w:jc w:val="both"/>
        <w:ind w:left="980"/>
        <w:spacing w:after="0" w:line="233" w:lineRule="auto"/>
        <w:tabs>
          <w:tab w:leader="none" w:pos="1344" w:val="left"/>
        </w:tabs>
        <w:numPr>
          <w:ilvl w:val="1"/>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WHEN THIS LEASE AND THE TERM OR ANY EXTENSION THEREOF SHALL HAVE BEEN TERMINATED ON ACCOUNT OF ANY DEFAULT BY TENANT, OR WHEN THE TERM OR ANY EXTENSION THEREOF SHALL HAVE EXPIRED, TENANT HEREBY AUTHORIZES ANY ATTORNEY OF ANY COURT OF RECORD OF THE COMMONWEALTH OF PENNSYLVANIA TO APPEAR FOR TENANT AND FOR ANYONE CLAIMING BY, THROUGH OR UNDER TENANT AND TO CONFESS JUDGMENT AGAINST ALL SUCH PARTIES, AND IN FAVOR OF LANDLORD, IN EJECTMENT AND FOR THE RECOVERY OF POSSESSION OF THE PREMISES, FOR WHICH THIS LEASE OR A TRUE AND CORRECT COPY HEREOF SHALL BE GOOD AND SUFFICIENT WARRANT. AFTER THE ENTRY OF ANY SUCH JUDGMENT A WRIT OF POSSESSION MAY BE ISSUED THEREON WITHOUT FURTHER NOTICE TO TENANT AND WITHOUT A HEARING.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0" w:name="page91"/>
    <w:bookmarkEnd w:id="90"/>
    <w:p>
      <w:pPr>
        <w:jc w:val="both"/>
        <w:ind w:left="980"/>
        <w:spacing w:after="0" w:line="247" w:lineRule="auto"/>
        <w:rPr>
          <w:sz w:val="20"/>
          <w:szCs w:val="20"/>
          <w:color w:val="auto"/>
        </w:rPr>
      </w:pPr>
      <w:r>
        <w:rPr>
          <w:rFonts w:ascii="Arial" w:cs="Arial" w:eastAsia="Arial" w:hAnsi="Arial"/>
          <w:sz w:val="21"/>
          <w:szCs w:val="21"/>
          <w:b w:val="1"/>
          <w:bCs w:val="1"/>
          <w:color w:val="auto"/>
        </w:rPr>
        <w:t>IF FOR ANY REASON AFTER SUCH ACTION SHALL HAVE BEEN COMMENCED IT SHALL BE DETERMINED AND POSSESSION OF THE PREMISES REMAIN IN OR BE RESTORED TO TENANT, LANDLORD SHALL HAVE THE RIGHT FOR THE SAME DEFAULT AND UPON ANY SUBSEQUENT DEFAULT(S) OR UPON THE TERMINATION OF THIS LEASE OR TENANT'S RIGHT OF POSSESSION AS HEREIN SET FORTH, TO AGAIN CONFESS JUDGMENT AS HEREIN PROVIDED, FOR WHICH THIS LEASE OR A TRUE AND CORRECT COPY HEREOF SHALL BE GOOD AND SUFFICIENT WARRANT.</w:t>
      </w:r>
    </w:p>
    <w:p>
      <w:pPr>
        <w:spacing w:after="0" w:line="177" w:lineRule="exact"/>
        <w:rPr>
          <w:sz w:val="20"/>
          <w:szCs w:val="20"/>
          <w:color w:val="auto"/>
        </w:rPr>
      </w:pPr>
    </w:p>
    <w:p>
      <w:pPr>
        <w:ind w:left="6880"/>
        <w:spacing w:after="0"/>
        <w:rPr>
          <w:sz w:val="20"/>
          <w:szCs w:val="20"/>
          <w:color w:val="auto"/>
        </w:rPr>
      </w:pPr>
      <w:r>
        <w:rPr>
          <w:rFonts w:ascii="Arial" w:cs="Arial" w:eastAsia="Arial" w:hAnsi="Arial"/>
          <w:sz w:val="19"/>
          <w:szCs w:val="19"/>
          <w:b w:val="1"/>
          <w:bCs w:val="1"/>
          <w:color w:val="auto"/>
        </w:rPr>
        <w:t xml:space="preserve">Initials on behalf of Tenant: </w:t>
      </w:r>
      <w:r>
        <w:rPr>
          <w:rFonts w:ascii="Arial" w:cs="Arial" w:eastAsia="Arial" w:hAnsi="Arial"/>
          <w:sz w:val="19"/>
          <w:szCs w:val="19"/>
          <w:b w:val="1"/>
          <w:bCs w:val="1"/>
          <w:u w:val="single" w:color="auto"/>
          <w:color w:val="auto"/>
        </w:rPr>
        <w:t>____</w:t>
      </w:r>
    </w:p>
    <w:p>
      <w:pPr>
        <w:spacing w:after="0" w:line="241" w:lineRule="exact"/>
        <w:rPr>
          <w:sz w:val="20"/>
          <w:szCs w:val="20"/>
          <w:color w:val="auto"/>
        </w:rPr>
      </w:pPr>
    </w:p>
    <w:p>
      <w:pPr>
        <w:jc w:val="both"/>
        <w:ind w:left="980"/>
        <w:spacing w:after="0" w:line="237" w:lineRule="auto"/>
        <w:tabs>
          <w:tab w:leader="none" w:pos="1373"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THE WARRANT TO CONFESS JUDGMENT SET FORTH ABOVE SHALL CONTINUE IN FULL FORCE AND EFFECT AND BE UNAFFECTED BY AMENDMENTS TO THIS LEASE OR OTHER AGREEMENTS BETWEEN LANDLORD AND TENANT EVEN IF ANY SUCH AMENDMENTS OR OTHER AGREEMENTS INCREASE TENANT'S OBLIGATIONS OR EXPAND THE SIZE OF THE PREMISES.</w:t>
      </w:r>
    </w:p>
    <w:p>
      <w:pPr>
        <w:spacing w:after="0" w:line="181" w:lineRule="exact"/>
        <w:rPr>
          <w:rFonts w:ascii="Arial" w:cs="Arial" w:eastAsia="Arial" w:hAnsi="Arial"/>
          <w:sz w:val="22"/>
          <w:szCs w:val="22"/>
          <w:b w:val="1"/>
          <w:bCs w:val="1"/>
          <w:color w:val="auto"/>
        </w:rPr>
      </w:pPr>
    </w:p>
    <w:p>
      <w:pPr>
        <w:ind w:left="1320" w:hanging="340"/>
        <w:spacing w:after="0"/>
        <w:tabs>
          <w:tab w:leader="none" w:pos="1320" w:val="left"/>
        </w:tabs>
        <w:numPr>
          <w:ilvl w:val="0"/>
          <w:numId w:val="33"/>
        </w:numPr>
        <w:rPr>
          <w:rFonts w:ascii="Arial" w:cs="Arial" w:eastAsia="Arial" w:hAnsi="Arial"/>
          <w:sz w:val="21"/>
          <w:szCs w:val="21"/>
          <w:b w:val="1"/>
          <w:bCs w:val="1"/>
          <w:color w:val="auto"/>
        </w:rPr>
      </w:pPr>
      <w:r>
        <w:rPr>
          <w:rFonts w:ascii="Arial" w:cs="Arial" w:eastAsia="Arial" w:hAnsi="Arial"/>
          <w:sz w:val="21"/>
          <w:szCs w:val="21"/>
          <w:b w:val="1"/>
          <w:bCs w:val="1"/>
          <w:color w:val="auto"/>
        </w:rPr>
        <w:t>TENANT EXPRESSLY AND ABSOLUTELY KNOWINGLY WAIVES AND RELEASES (i)</w:t>
      </w:r>
    </w:p>
    <w:p>
      <w:pPr>
        <w:spacing w:after="0" w:line="25" w:lineRule="exact"/>
        <w:rPr>
          <w:rFonts w:ascii="Arial" w:cs="Arial" w:eastAsia="Arial" w:hAnsi="Arial"/>
          <w:sz w:val="21"/>
          <w:szCs w:val="21"/>
          <w:b w:val="1"/>
          <w:bCs w:val="1"/>
          <w:color w:val="auto"/>
        </w:rPr>
      </w:pPr>
    </w:p>
    <w:p>
      <w:pPr>
        <w:jc w:val="both"/>
        <w:ind w:left="980"/>
        <w:spacing w:after="0" w:line="241" w:lineRule="auto"/>
        <w:rPr>
          <w:rFonts w:ascii="Arial" w:cs="Arial" w:eastAsia="Arial" w:hAnsi="Arial"/>
          <w:sz w:val="21"/>
          <w:szCs w:val="21"/>
          <w:b w:val="1"/>
          <w:bCs w:val="1"/>
          <w:color w:val="auto"/>
        </w:rPr>
      </w:pPr>
      <w:r>
        <w:rPr>
          <w:rFonts w:ascii="Arial" w:cs="Arial" w:eastAsia="Arial" w:hAnsi="Arial"/>
          <w:sz w:val="21"/>
          <w:szCs w:val="21"/>
          <w:b w:val="1"/>
          <w:bCs w:val="1"/>
          <w:color w:val="auto"/>
        </w:rPr>
        <w:t>ANY RIGHT, INCLUDING, WITHOUT LIMITATION, UNDER ANY APPLICABLE STATUTE, WHICH TENANT MAY HAVE TO RECEIVE A NOTICE TO QUIT PRIOR TO LANDLORD COMMENCING AN ACTION FOR REPOSSESSION OF THE PREMISES AND</w:t>
      </w:r>
    </w:p>
    <w:p>
      <w:pPr>
        <w:spacing w:after="0" w:line="1" w:lineRule="exact"/>
        <w:rPr>
          <w:rFonts w:ascii="Arial" w:cs="Arial" w:eastAsia="Arial" w:hAnsi="Arial"/>
          <w:sz w:val="21"/>
          <w:szCs w:val="21"/>
          <w:b w:val="1"/>
          <w:bCs w:val="1"/>
          <w:color w:val="auto"/>
        </w:rPr>
      </w:pPr>
    </w:p>
    <w:p>
      <w:pPr>
        <w:jc w:val="both"/>
        <w:ind w:left="980"/>
        <w:spacing w:after="0" w:line="230" w:lineRule="auto"/>
        <w:tabs>
          <w:tab w:leader="none" w:pos="130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ANY RIGHT WHICH TENANT MAY HAVE TO NOTICE AND TO HEARING PRIOR TO A LEVY UPON OR ATTACHMENT OF TENANT'S PROPERTY OR THEREAFTER AND</w:t>
      </w:r>
    </w:p>
    <w:p>
      <w:pPr>
        <w:spacing w:after="0" w:line="1" w:lineRule="exact"/>
        <w:rPr>
          <w:rFonts w:ascii="Arial" w:cs="Arial" w:eastAsia="Arial" w:hAnsi="Arial"/>
          <w:sz w:val="22"/>
          <w:szCs w:val="22"/>
          <w:b w:val="1"/>
          <w:bCs w:val="1"/>
          <w:color w:val="auto"/>
        </w:rPr>
      </w:pPr>
    </w:p>
    <w:p>
      <w:pPr>
        <w:jc w:val="both"/>
        <w:ind w:left="980"/>
        <w:spacing w:after="0" w:line="234" w:lineRule="auto"/>
        <w:tabs>
          <w:tab w:leader="none" w:pos="1378"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ANY PROCEDURAL ERRORS IN CONNECTION WITH THE ENTRY OF ANY SUCH JUDGMENT OR IN THE ISSUANCE OF ANY ONE OR MORE WRITS OF POSSESSION OR EXECUTION OR GARNISHMENT THEREON.</w:t>
      </w:r>
    </w:p>
    <w:p>
      <w:pPr>
        <w:spacing w:after="0" w:line="181" w:lineRule="exact"/>
        <w:rPr>
          <w:sz w:val="20"/>
          <w:szCs w:val="20"/>
          <w:color w:val="auto"/>
        </w:rPr>
      </w:pPr>
    </w:p>
    <w:p>
      <w:pPr>
        <w:ind w:left="6920"/>
        <w:spacing w:after="0"/>
        <w:rPr>
          <w:sz w:val="20"/>
          <w:szCs w:val="20"/>
          <w:color w:val="auto"/>
        </w:rPr>
      </w:pPr>
      <w:r>
        <w:rPr>
          <w:rFonts w:ascii="Arial" w:cs="Arial" w:eastAsia="Arial" w:hAnsi="Arial"/>
          <w:sz w:val="19"/>
          <w:szCs w:val="19"/>
          <w:b w:val="1"/>
          <w:bCs w:val="1"/>
          <w:color w:val="auto"/>
        </w:rPr>
        <w:t>Initials on behalf of Tenant:</w:t>
      </w:r>
      <w:r>
        <w:rPr>
          <w:rFonts w:ascii="Arial" w:cs="Arial" w:eastAsia="Arial" w:hAnsi="Arial"/>
          <w:sz w:val="19"/>
          <w:szCs w:val="19"/>
          <w:b w:val="1"/>
          <w:bCs w:val="1"/>
          <w:u w:val="single" w:color="auto"/>
          <w:color w:val="auto"/>
        </w:rPr>
        <w:t>____</w:t>
      </w:r>
    </w:p>
    <w:p>
      <w:pPr>
        <w:spacing w:after="0" w:line="247"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80" w:hanging="724"/>
        <w:spacing w:after="0"/>
        <w:tabs>
          <w:tab w:leader="none" w:pos="1380" w:val="left"/>
        </w:tabs>
        <w:numPr>
          <w:ilvl w:val="1"/>
          <w:numId w:val="36"/>
        </w:numPr>
        <w:rPr>
          <w:rFonts w:ascii="Arial" w:cs="Arial" w:eastAsia="Arial" w:hAnsi="Arial"/>
          <w:sz w:val="19"/>
          <w:szCs w:val="19"/>
          <w:color w:val="auto"/>
        </w:rPr>
      </w:pPr>
      <w:r>
        <w:rPr>
          <w:rFonts w:ascii="Arial" w:cs="Arial" w:eastAsia="Arial" w:hAnsi="Arial"/>
          <w:sz w:val="19"/>
          <w:szCs w:val="19"/>
          <w:color w:val="auto"/>
        </w:rPr>
        <w:t>Except as expressly modified herein, the Lease shall continue unmodified and remain in full force</w:t>
      </w:r>
    </w:p>
    <w:p>
      <w:pPr>
        <w:spacing w:after="0" w:line="43" w:lineRule="exact"/>
        <w:rPr>
          <w:sz w:val="20"/>
          <w:szCs w:val="20"/>
          <w:color w:val="auto"/>
        </w:rPr>
      </w:pPr>
    </w:p>
    <w:p>
      <w:pPr>
        <w:jc w:val="both"/>
        <w:ind w:left="1300"/>
        <w:spacing w:after="0" w:line="248" w:lineRule="auto"/>
        <w:rPr>
          <w:sz w:val="20"/>
          <w:szCs w:val="20"/>
          <w:color w:val="auto"/>
        </w:rPr>
      </w:pPr>
      <w:r>
        <w:rPr>
          <w:rFonts w:ascii="Arial" w:cs="Arial" w:eastAsia="Arial" w:hAnsi="Arial"/>
          <w:sz w:val="21"/>
          <w:szCs w:val="21"/>
          <w:color w:val="auto"/>
        </w:rPr>
        <w:t>and effect in accordance with its terms. From and after the Effective Date, the term “Lease” as used in the Lease and this Second Amendment, shall mean, except to the extent the context otherwise requires, the Lease, as amended by this Second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1" w:name="page92"/>
    <w:bookmarkEnd w:id="91"/>
    <w:p>
      <w:pPr>
        <w:ind w:left="840" w:hanging="644"/>
        <w:spacing w:after="0" w:line="328" w:lineRule="auto"/>
        <w:tabs>
          <w:tab w:leader="none" w:pos="936"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respective rights and obligations provided in this Second Amendment shall bind and inure to the benefit of the parties hereto, their permitted successors and assigns under the Lease.</w:t>
      </w:r>
    </w:p>
    <w:p>
      <w:pPr>
        <w:spacing w:after="0" w:line="104" w:lineRule="exact"/>
        <w:rPr>
          <w:rFonts w:ascii="Arial" w:cs="Arial" w:eastAsia="Arial" w:hAnsi="Arial"/>
          <w:sz w:val="19"/>
          <w:szCs w:val="19"/>
          <w:color w:val="auto"/>
        </w:rPr>
      </w:pPr>
    </w:p>
    <w:p>
      <w:pPr>
        <w:ind w:left="840" w:hanging="644"/>
        <w:spacing w:after="0" w:line="328" w:lineRule="auto"/>
        <w:tabs>
          <w:tab w:leader="none" w:pos="932"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This Second Amendment shall be construed, governed, and enforced in accordance with the laws of the Commonwealth of Pennsylvania, without regard to principles relating to conflicts of law.</w:t>
      </w:r>
    </w:p>
    <w:p>
      <w:pPr>
        <w:spacing w:after="0" w:line="104" w:lineRule="exact"/>
        <w:rPr>
          <w:rFonts w:ascii="Arial" w:cs="Arial" w:eastAsia="Arial" w:hAnsi="Arial"/>
          <w:sz w:val="19"/>
          <w:szCs w:val="19"/>
          <w:color w:val="auto"/>
        </w:rPr>
      </w:pPr>
    </w:p>
    <w:p>
      <w:pPr>
        <w:jc w:val="both"/>
        <w:ind w:left="840" w:hanging="644"/>
        <w:spacing w:after="0" w:line="279" w:lineRule="auto"/>
        <w:tabs>
          <w:tab w:leader="none" w:pos="1009"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This Second Amendment may be executed in any number of counterparts, each of which when taken together shall be deemed to be one and the same instrument. The parties acknowledge and agree that notwithstanding any law or presumption to the contrary a facsimile or electronically delivered Portable Document Format (.pdf) (or similar electronic format) signature of either party whether upon this Amendment shall be deemed valid and binding and admissible by either party against the other as if the same were an original ink signature.</w:t>
      </w:r>
    </w:p>
    <w:p>
      <w:pPr>
        <w:spacing w:after="0" w:line="200" w:lineRule="exact"/>
        <w:rPr>
          <w:sz w:val="20"/>
          <w:szCs w:val="20"/>
          <w:color w:val="auto"/>
        </w:rPr>
      </w:pPr>
    </w:p>
    <w:p>
      <w:pPr>
        <w:spacing w:after="0" w:line="382"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(Signatures 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4" w:right="999" w:bottom="1440" w:gutter="0" w:footer="0" w:header="0"/>
        </w:sectPr>
      </w:pPr>
    </w:p>
    <w:bookmarkStart w:id="92" w:name="page93"/>
    <w:bookmarkEnd w:id="92"/>
    <w:p>
      <w:pPr>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intending to be legally bound, Landlord and Tenant have executed this</w:t>
      </w:r>
      <w:r>
        <w:rPr>
          <w:rFonts w:ascii="Arial" w:cs="Arial" w:eastAsia="Arial" w:hAnsi="Arial"/>
          <w:sz w:val="22"/>
          <w:szCs w:val="22"/>
          <w:b w:val="1"/>
          <w:bCs w:val="1"/>
          <w:color w:val="auto"/>
        </w:rPr>
        <w:t xml:space="preserve"> </w:t>
      </w:r>
      <w:r>
        <w:rPr>
          <w:rFonts w:ascii="Arial" w:cs="Arial" w:eastAsia="Arial" w:hAnsi="Arial"/>
          <w:sz w:val="22"/>
          <w:szCs w:val="22"/>
          <w:color w:val="auto"/>
        </w:rPr>
        <w:t>Second Amendment to Lease Agreement as of the date first above written.</w:t>
      </w:r>
    </w:p>
    <w:p>
      <w:pPr>
        <w:spacing w:after="0" w:line="392" w:lineRule="exact"/>
        <w:rPr>
          <w:sz w:val="20"/>
          <w:szCs w:val="20"/>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Landlord:</w:t>
      </w:r>
    </w:p>
    <w:p>
      <w:pPr>
        <w:spacing w:after="0" w:line="233"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300 ROUSE BOULEVARD, LLC</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By: /s/ John S. Gattuso</w:t>
      </w:r>
    </w:p>
    <w:p>
      <w:pPr>
        <w:ind w:left="5000"/>
        <w:spacing w:after="0" w:line="238" w:lineRule="auto"/>
        <w:rPr>
          <w:sz w:val="20"/>
          <w:szCs w:val="20"/>
          <w:color w:val="auto"/>
        </w:rPr>
      </w:pPr>
      <w:r>
        <w:rPr>
          <w:rFonts w:ascii="Arial" w:cs="Arial" w:eastAsia="Arial" w:hAnsi="Arial"/>
          <w:sz w:val="22"/>
          <w:szCs w:val="22"/>
          <w:color w:val="auto"/>
        </w:rPr>
        <w:t>Name: John S. Gattuso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-151130</wp:posOffset>
            </wp:positionV>
            <wp:extent cx="2837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22"/>
          <w:szCs w:val="22"/>
          <w:color w:val="auto"/>
        </w:rPr>
        <w:t>Title: Authorized Signatory</w:t>
      </w:r>
    </w:p>
    <w:p>
      <w:pPr>
        <w:spacing w:after="0" w:line="209" w:lineRule="exact"/>
        <w:rPr>
          <w:sz w:val="20"/>
          <w:szCs w:val="20"/>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u w:val="single" w:color="auto"/>
          <w:color w:val="auto"/>
        </w:rPr>
        <w:t>:</w:t>
      </w:r>
    </w:p>
    <w:p>
      <w:pPr>
        <w:spacing w:after="0" w:line="233"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IOVANCE BIOTHERAPEUTICS, INC.</w:t>
      </w:r>
    </w:p>
    <w:p>
      <w:pPr>
        <w:spacing w:after="0" w:line="239"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By: /s/ Frederick G. Vogt</w:t>
      </w:r>
    </w:p>
    <w:p>
      <w:pPr>
        <w:ind w:left="5000"/>
        <w:spacing w:after="0" w:line="238" w:lineRule="auto"/>
        <w:rPr>
          <w:sz w:val="20"/>
          <w:szCs w:val="20"/>
          <w:color w:val="auto"/>
        </w:rPr>
      </w:pPr>
      <w:r>
        <w:rPr>
          <w:rFonts w:ascii="Arial" w:cs="Arial" w:eastAsia="Arial" w:hAnsi="Arial"/>
          <w:sz w:val="22"/>
          <w:szCs w:val="22"/>
          <w:color w:val="auto"/>
        </w:rPr>
        <w:t>Name: Frederick G. Vogt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-151130</wp:posOffset>
            </wp:positionV>
            <wp:extent cx="2837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22"/>
          <w:szCs w:val="22"/>
          <w:color w:val="auto"/>
        </w:rPr>
        <w:t>Title: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93" w:name="page94"/>
    <w:bookmarkEnd w:id="93"/>
    <w:p>
      <w:pPr>
        <w:ind w:left="8860"/>
        <w:spacing w:after="0"/>
        <w:rPr>
          <w:sz w:val="20"/>
          <w:szCs w:val="20"/>
          <w:color w:val="auto"/>
        </w:rPr>
      </w:pPr>
      <w:r>
        <w:rPr>
          <w:rFonts w:ascii="Arial" w:cs="Arial" w:eastAsia="Arial" w:hAnsi="Arial"/>
          <w:sz w:val="19"/>
          <w:szCs w:val="19"/>
          <w:b w:val="1"/>
          <w:bCs w:val="1"/>
          <w:color w:val="auto"/>
        </w:rPr>
        <w:t>Exhibit10.4</w:t>
      </w:r>
    </w:p>
    <w:p>
      <w:pPr>
        <w:spacing w:after="0" w:line="25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CERTAIN IDENTIFIED INFORMATION HAS BEEN EXCLUDED FROM THIS EXHIBIT BECAUSE IT IS NOT MATERIAL AND WOULD LIKELY CAUSE COMPETITIVE HARM TO THE COMPANY IF PUBLICLY DISCLOSED. [***] INDICATES THAT INFORMATION HAS BEEN REDACTED.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 AND GENERAL RELEASE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Severance Agreement and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by and between Timothy Morris (“</w:t>
      </w:r>
      <w:r>
        <w:rPr>
          <w:rFonts w:ascii="Arial" w:cs="Arial" w:eastAsia="Arial" w:hAnsi="Arial"/>
          <w:sz w:val="22"/>
          <w:szCs w:val="22"/>
          <w:u w:val="single" w:color="auto"/>
          <w:color w:val="auto"/>
        </w:rPr>
        <w:t>Employee</w:t>
      </w:r>
      <w:r>
        <w:rPr>
          <w:rFonts w:ascii="Arial" w:cs="Arial" w:eastAsia="Arial" w:hAnsi="Arial"/>
          <w:sz w:val="22"/>
          <w:szCs w:val="22"/>
          <w:color w:val="auto"/>
        </w:rPr>
        <w:t>” or “</w:t>
      </w:r>
      <w:r>
        <w:rPr>
          <w:rFonts w:ascii="Arial" w:cs="Arial" w:eastAsia="Arial" w:hAnsi="Arial"/>
          <w:sz w:val="22"/>
          <w:szCs w:val="22"/>
          <w:u w:val="single" w:color="auto"/>
          <w:color w:val="auto"/>
        </w:rPr>
        <w:t>You</w:t>
      </w:r>
      <w:r>
        <w:rPr>
          <w:rFonts w:ascii="Arial" w:cs="Arial" w:eastAsia="Arial" w:hAnsi="Arial"/>
          <w:sz w:val="22"/>
          <w:szCs w:val="22"/>
          <w:color w:val="auto"/>
        </w:rPr>
        <w:t>”), and Iovance Biotherapeutics, Inc. (the “</w:t>
      </w:r>
      <w:r>
        <w:rPr>
          <w:rFonts w:ascii="Arial" w:cs="Arial" w:eastAsia="Arial" w:hAnsi="Arial"/>
          <w:sz w:val="22"/>
          <w:szCs w:val="22"/>
          <w:u w:val="single" w:color="auto"/>
          <w:color w:val="auto"/>
        </w:rPr>
        <w:t>Company</w:t>
      </w:r>
      <w:r>
        <w:rPr>
          <w:rFonts w:ascii="Arial" w:cs="Arial" w:eastAsia="Arial" w:hAnsi="Arial"/>
          <w:sz w:val="22"/>
          <w:szCs w:val="22"/>
          <w:color w:val="auto"/>
        </w:rPr>
        <w:t>”). The term “</w:t>
      </w:r>
      <w:r>
        <w:rPr>
          <w:rFonts w:ascii="Arial" w:cs="Arial" w:eastAsia="Arial" w:hAnsi="Arial"/>
          <w:sz w:val="22"/>
          <w:szCs w:val="22"/>
          <w:u w:val="single" w:color="auto"/>
          <w:color w:val="auto"/>
        </w:rPr>
        <w:t>Parties</w:t>
      </w:r>
      <w:r>
        <w:rPr>
          <w:rFonts w:ascii="Arial" w:cs="Arial" w:eastAsia="Arial" w:hAnsi="Arial"/>
          <w:sz w:val="22"/>
          <w:szCs w:val="22"/>
          <w:color w:val="auto"/>
        </w:rPr>
        <w:t>” or “</w:t>
      </w:r>
      <w:r>
        <w:rPr>
          <w:rFonts w:ascii="Arial" w:cs="Arial" w:eastAsia="Arial" w:hAnsi="Arial"/>
          <w:sz w:val="22"/>
          <w:szCs w:val="22"/>
          <w:u w:val="single" w:color="auto"/>
          <w:color w:val="auto"/>
        </w:rPr>
        <w:t>Party</w:t>
      </w:r>
      <w:r>
        <w:rPr>
          <w:rFonts w:ascii="Arial" w:cs="Arial" w:eastAsia="Arial" w:hAnsi="Arial"/>
          <w:sz w:val="22"/>
          <w:szCs w:val="22"/>
          <w:color w:val="auto"/>
        </w:rPr>
        <w:t>” used herein shall refer to Employee and the Company as appropriate.</w:t>
      </w:r>
    </w:p>
    <w:p>
      <w:pPr>
        <w:spacing w:after="0" w:line="186"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Last Day of Employment.</w:t>
      </w:r>
    </w:p>
    <w:p>
      <w:pPr>
        <w:spacing w:after="0" w:line="206" w:lineRule="exact"/>
        <w:rPr>
          <w:rFonts w:ascii="Arial" w:cs="Arial" w:eastAsia="Arial" w:hAnsi="Arial"/>
          <w:sz w:val="22"/>
          <w:szCs w:val="22"/>
          <w:color w:val="auto"/>
        </w:rPr>
      </w:pPr>
    </w:p>
    <w:p>
      <w:pPr>
        <w:ind w:left="1300" w:right="20" w:hanging="320"/>
        <w:spacing w:after="0" w:line="246" w:lineRule="auto"/>
        <w:tabs>
          <w:tab w:leader="none" w:pos="1342" w:val="left"/>
        </w:tabs>
        <w:numPr>
          <w:ilvl w:val="1"/>
          <w:numId w:val="38"/>
        </w:numPr>
        <w:rPr>
          <w:rFonts w:ascii="Arial" w:cs="Arial" w:eastAsia="Arial" w:hAnsi="Arial"/>
          <w:sz w:val="21"/>
          <w:szCs w:val="21"/>
          <w:color w:val="auto"/>
        </w:rPr>
      </w:pPr>
      <w:r>
        <w:rPr>
          <w:rFonts w:ascii="Arial" w:cs="Arial" w:eastAsia="Arial" w:hAnsi="Arial"/>
          <w:sz w:val="21"/>
          <w:szCs w:val="21"/>
          <w:color w:val="auto"/>
        </w:rPr>
        <w:t>Employee’s last day of employment with the Company will be July 9, 2020 [***]. From June 10, 2020 to [***], Employee is on a paid leave of absence during which he will continue to receive compensation and other benefits as if he were not on a leave of absence (“</w:t>
      </w:r>
      <w:r>
        <w:rPr>
          <w:rFonts w:ascii="Arial" w:cs="Arial" w:eastAsia="Arial" w:hAnsi="Arial"/>
          <w:sz w:val="21"/>
          <w:szCs w:val="21"/>
          <w:u w:val="single" w:color="auto"/>
          <w:color w:val="auto"/>
        </w:rPr>
        <w:t>Transition Period</w:t>
      </w:r>
      <w:r>
        <w:rPr>
          <w:rFonts w:ascii="Arial" w:cs="Arial" w:eastAsia="Arial" w:hAnsi="Arial"/>
          <w:sz w:val="21"/>
          <w:szCs w:val="21"/>
          <w:color w:val="auto"/>
        </w:rPr>
        <w:t>”). [***]. Should employee engage in conduct that constitutes Cause as defined in paragraph 6.1 of his Employment Agreement dated August 4, 2017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then the Transition Period shall immediately end, Employee’s termination will be deemed for Cause, and this Agreement shall become null and void.</w:t>
      </w:r>
    </w:p>
    <w:p>
      <w:pPr>
        <w:spacing w:after="0" w:line="184" w:lineRule="exact"/>
        <w:rPr>
          <w:rFonts w:ascii="Arial" w:cs="Arial" w:eastAsia="Arial" w:hAnsi="Arial"/>
          <w:sz w:val="21"/>
          <w:szCs w:val="21"/>
          <w:color w:val="auto"/>
        </w:rPr>
      </w:pPr>
    </w:p>
    <w:p>
      <w:pPr>
        <w:ind w:left="1300" w:right="220" w:hanging="320"/>
        <w:spacing w:after="0" w:line="273" w:lineRule="auto"/>
        <w:tabs>
          <w:tab w:leader="none" w:pos="1300" w:val="left"/>
        </w:tabs>
        <w:numPr>
          <w:ilvl w:val="1"/>
          <w:numId w:val="38"/>
        </w:numPr>
        <w:rPr>
          <w:rFonts w:ascii="Arial" w:cs="Arial" w:eastAsia="Arial" w:hAnsi="Arial"/>
          <w:sz w:val="19"/>
          <w:szCs w:val="19"/>
          <w:color w:val="auto"/>
        </w:rPr>
      </w:pPr>
      <w:r>
        <w:rPr>
          <w:rFonts w:ascii="Arial" w:cs="Arial" w:eastAsia="Arial" w:hAnsi="Arial"/>
          <w:sz w:val="19"/>
          <w:szCs w:val="19"/>
          <w:color w:val="auto"/>
        </w:rPr>
        <w:t>[***]. As a result of Employee’s termination, his health insurance benefits will terminate on the last day of the month in which his employment terminates. Thereafter, such coverage may continue at Employee’s sole expense. Except as set forth in this Agreement or as otherwise required by applicable law, Employee’s participation in and rights under any Company employee benefit plans and programs will be governed by the terms and conditions of those plans and programs, which may be amended, modified, suspended, or terminated by the Company at any time for any or no reason to the extent permitted by law. [***]. Employee will be provided with information regarding his right to purchase continuation health care coverage at his own cost pursuant to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by separate cover in accordance with applicable law. Employee is not required to sign this Release Agreement to receive accrued wages and vested benefits.</w:t>
      </w:r>
    </w:p>
    <w:p>
      <w:pPr>
        <w:spacing w:after="0" w:line="155" w:lineRule="exact"/>
        <w:rPr>
          <w:rFonts w:ascii="Arial" w:cs="Arial" w:eastAsia="Arial" w:hAnsi="Arial"/>
          <w:sz w:val="19"/>
          <w:szCs w:val="19"/>
          <w:color w:val="auto"/>
        </w:rPr>
      </w:pPr>
    </w:p>
    <w:p>
      <w:pPr>
        <w:ind w:right="80" w:firstLine="656"/>
        <w:spacing w:after="0" w:line="236" w:lineRule="auto"/>
        <w:tabs>
          <w:tab w:leader="none" w:pos="1296"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Severance Payment.</w:t>
      </w:r>
      <w:r>
        <w:rPr>
          <w:rFonts w:ascii="Arial" w:cs="Arial" w:eastAsia="Arial" w:hAnsi="Arial"/>
          <w:sz w:val="22"/>
          <w:szCs w:val="22"/>
          <w:color w:val="auto"/>
        </w:rPr>
        <w:t xml:space="preserve"> Provided Employee satisfies the Severance Conditions as defined in the Employment Agreement to wit, a) signs and does not revoke this Agreement, and complies with its terms and conditions, and b) reaffirms his commitment to comply and actually complies with all surviving provisions of the Employment Agreement and other agreements concerning his employment with and separation from employment with the Company,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94" w:name="page95"/>
    <w:bookmarkEnd w:id="94"/>
    <w:p>
      <w:pPr>
        <w:ind w:right="20"/>
        <w:spacing w:after="0" w:line="270" w:lineRule="auto"/>
        <w:rPr>
          <w:sz w:val="20"/>
          <w:szCs w:val="20"/>
          <w:color w:val="auto"/>
        </w:rPr>
      </w:pPr>
      <w:r>
        <w:rPr>
          <w:rFonts w:ascii="Arial" w:cs="Arial" w:eastAsia="Arial" w:hAnsi="Arial"/>
          <w:sz w:val="19"/>
          <w:szCs w:val="19"/>
          <w:color w:val="auto"/>
        </w:rPr>
        <w:t>confidentiality and proprietary information agreements, and in consideration for the general release of claims set forth below, the Company shall pay Employee the sum of two hundred and thirty thousand dollars and no cents ($230,000), less applicable withholdings and deductions, which is the equivalent of six months of Employees’ current base salary (“</w:t>
      </w:r>
      <w:r>
        <w:rPr>
          <w:rFonts w:ascii="Arial" w:cs="Arial" w:eastAsia="Arial" w:hAnsi="Arial"/>
          <w:sz w:val="19"/>
          <w:szCs w:val="19"/>
          <w:u w:val="single" w:color="auto"/>
          <w:color w:val="auto"/>
        </w:rPr>
        <w:t>Severance Payment</w:t>
      </w:r>
      <w:r>
        <w:rPr>
          <w:rFonts w:ascii="Arial" w:cs="Arial" w:eastAsia="Arial" w:hAnsi="Arial"/>
          <w:sz w:val="19"/>
          <w:szCs w:val="19"/>
          <w:color w:val="auto"/>
        </w:rPr>
        <w:t xml:space="preserve">”). The Severance Payment shall be paid to the Employee in a lump sum on the first payroll date that occurs no sooner than seven days after the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defined below in Paragraph</w:t>
      </w:r>
    </w:p>
    <w:p>
      <w:pPr>
        <w:spacing w:after="0" w:line="4"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Severance Payment will be reported on a Form W-2 issued to the Employee.</w:t>
      </w:r>
    </w:p>
    <w:p>
      <w:pPr>
        <w:spacing w:after="0" w:line="188" w:lineRule="exact"/>
        <w:rPr>
          <w:rFonts w:ascii="Arial" w:cs="Arial" w:eastAsia="Arial" w:hAnsi="Arial"/>
          <w:sz w:val="22"/>
          <w:szCs w:val="22"/>
          <w:color w:val="auto"/>
        </w:rPr>
      </w:pPr>
    </w:p>
    <w:p>
      <w:pPr>
        <w:ind w:right="140" w:firstLine="656"/>
        <w:spacing w:after="0" w:line="279" w:lineRule="auto"/>
        <w:tabs>
          <w:tab w:leader="none" w:pos="1296"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Expenses Paid.</w:t>
      </w:r>
      <w:r>
        <w:rPr>
          <w:rFonts w:ascii="Arial" w:cs="Arial" w:eastAsia="Arial" w:hAnsi="Arial"/>
          <w:sz w:val="19"/>
          <w:szCs w:val="19"/>
          <w:color w:val="auto"/>
        </w:rPr>
        <w:t xml:space="preserve"> By signing this Agreement, Employee represents 1) that he has submitted all necessary business expenses incurred by him up through June 10, 2020; 2) he has not incurred and will not incur any further business expenses given he has been relieved of all duties and has not been on the Company’s premises or assigned work since June 10; and 3) he has been reimbursed for all necessary business expenses Employee incurred during his employment with the Company. The Company represents that it has reviewed and approved all expense reports and Employee has been paid all outstanding expenses submitted.</w:t>
      </w:r>
    </w:p>
    <w:p>
      <w:pPr>
        <w:spacing w:after="0" w:line="150" w:lineRule="exact"/>
        <w:rPr>
          <w:rFonts w:ascii="Arial" w:cs="Arial" w:eastAsia="Arial" w:hAnsi="Arial"/>
          <w:sz w:val="19"/>
          <w:szCs w:val="19"/>
          <w:color w:val="auto"/>
        </w:rPr>
      </w:pPr>
    </w:p>
    <w:p>
      <w:pPr>
        <w:ind w:firstLine="656"/>
        <w:spacing w:after="0" w:line="273" w:lineRule="auto"/>
        <w:tabs>
          <w:tab w:leader="none" w:pos="1296"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No Further Compensation or Benefits.</w:t>
      </w:r>
      <w:r>
        <w:rPr>
          <w:rFonts w:ascii="Arial" w:cs="Arial" w:eastAsia="Arial" w:hAnsi="Arial"/>
          <w:sz w:val="19"/>
          <w:szCs w:val="19"/>
          <w:color w:val="auto"/>
        </w:rPr>
        <w:t xml:space="preserve"> Employee acknowledges that, except as expressly provided in this Agreement, Employee is not owed and will not receive any additional compensation, severance, or benefits from the Company after the Retirement Date except that this Agreement shall not modify any rights Employee may have under paragraph 6.3 of his Employment Agreement, subject to the Company’s 2018 Equity Incentive Plan or 2014 Equity Incentive Plan and any Option Agreement promulgated thereunder. [***]. Employee further affirms that, as of the date of this Agreement, Employee has (A) been paid and/or has received all compensation, wages, bonuses, commissions, benefits and leave to which Employee may be entitled and that no other compensation, wages, bonuses, commissions, benefits, or leave are due to Employee, except as provided in this Agreement; (B) not sustained any known workplace injuries or otherwise suffered an occupational disease; (C) been provided and/or was not denied any leave to which Employee was entitled under the Family and Medical Leave Act or related state or local laws; and [***].</w:t>
      </w:r>
    </w:p>
    <w:p>
      <w:pPr>
        <w:spacing w:after="0" w:line="155" w:lineRule="exact"/>
        <w:rPr>
          <w:rFonts w:ascii="Arial" w:cs="Arial" w:eastAsia="Arial" w:hAnsi="Arial"/>
          <w:sz w:val="19"/>
          <w:szCs w:val="19"/>
          <w:color w:val="auto"/>
        </w:rPr>
      </w:pPr>
    </w:p>
    <w:p>
      <w:pPr>
        <w:ind w:right="40" w:firstLine="656"/>
        <w:spacing w:after="0" w:line="274" w:lineRule="auto"/>
        <w:tabs>
          <w:tab w:leader="none" w:pos="1296"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Withholding Taxes; Liabilities.</w:t>
      </w:r>
      <w:r>
        <w:rPr>
          <w:rFonts w:ascii="Arial" w:cs="Arial" w:eastAsia="Arial" w:hAnsi="Arial"/>
          <w:sz w:val="19"/>
          <w:szCs w:val="19"/>
          <w:color w:val="auto"/>
        </w:rPr>
        <w:t xml:space="preserve"> The Company will deduct and withhold from any payments to Employee all sums that it may be required to withhold pursuant to applicable tax withholding laws or regulations. Employee and the Company agree that the consideration provided in Paragraph 2 of this Agreement is payable to Employee in exchange for his execution of this Agreement. In addition, Employee expressly agrees and represents that any additional federal, state or local tax or contribution that may be owed or payable on the payment identified in Paragraph 2 are his sole responsibility and that Employee will indemnify, defend and hold the Company harmless from and against any and all liability or claim for any tax or contribution or any penalty or interest thereon that may be incurred or demanded as a result of the receipt of the consideration provided for in this Agreement and which has not been paid by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874" w:right="1039" w:bottom="1440" w:gutter="0" w:footer="0" w:header="0"/>
        </w:sectPr>
      </w:pPr>
    </w:p>
    <w:bookmarkStart w:id="95" w:name="page96"/>
    <w:bookmarkEnd w:id="95"/>
    <w:p>
      <w:pPr>
        <w:ind w:left="-20" w:firstLine="656"/>
        <w:spacing w:after="0" w:line="275" w:lineRule="auto"/>
        <w:tabs>
          <w:tab w:leader="none" w:pos="1276"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Internal Revenue Code 409A.</w:t>
      </w:r>
      <w:r>
        <w:rPr>
          <w:rFonts w:ascii="Arial" w:cs="Arial" w:eastAsia="Arial" w:hAnsi="Arial"/>
          <w:sz w:val="19"/>
          <w:szCs w:val="19"/>
          <w:color w:val="auto"/>
        </w:rPr>
        <w:t xml:space="preserve"> To the extent applicable, the Company intends for the compensation arrangements under this Agreement to comply with Section 409A of the Internal Revenue Code (“</w:t>
      </w:r>
      <w:r>
        <w:rPr>
          <w:rFonts w:ascii="Arial" w:cs="Arial" w:eastAsia="Arial" w:hAnsi="Arial"/>
          <w:sz w:val="19"/>
          <w:szCs w:val="19"/>
          <w:u w:val="single" w:color="auto"/>
          <w:color w:val="auto"/>
        </w:rPr>
        <w:t>Section 409A</w:t>
      </w:r>
      <w:r>
        <w:rPr>
          <w:rFonts w:ascii="Arial" w:cs="Arial" w:eastAsia="Arial" w:hAnsi="Arial"/>
          <w:sz w:val="19"/>
          <w:szCs w:val="19"/>
          <w:color w:val="auto"/>
        </w:rPr>
        <w:t>”). This Agreement shall be construed in a manner to give effect to such intention. In no event whatsoever (including, but not limited to, as a result of this section or otherwise) shall the Company be liable for any tax, interest or penalties that may be imposed on Employee under Section 409A. The Company shall have no obligation to indemnify or otherwise hold Employee harmless from any or all such taxes, interest or penalties, or liability for any damages related thereto. Employee acknowledges that he has been advised to obtain independent legal, tax or other counsel in connection with Section 409A.</w:t>
      </w:r>
    </w:p>
    <w:p>
      <w:pPr>
        <w:spacing w:after="0" w:line="157" w:lineRule="exact"/>
        <w:rPr>
          <w:rFonts w:ascii="Arial" w:cs="Arial" w:eastAsia="Arial" w:hAnsi="Arial"/>
          <w:sz w:val="19"/>
          <w:szCs w:val="19"/>
          <w:color w:val="auto"/>
        </w:rPr>
      </w:pPr>
    </w:p>
    <w:p>
      <w:pPr>
        <w:ind w:left="1280" w:hanging="644"/>
        <w:spacing w:after="0"/>
        <w:tabs>
          <w:tab w:leader="none" w:pos="128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Release.</w:t>
      </w:r>
    </w:p>
    <w:p>
      <w:pPr>
        <w:spacing w:after="0" w:line="206" w:lineRule="exact"/>
        <w:rPr>
          <w:rFonts w:ascii="Arial" w:cs="Arial" w:eastAsia="Arial" w:hAnsi="Arial"/>
          <w:sz w:val="22"/>
          <w:szCs w:val="22"/>
          <w:color w:val="auto"/>
        </w:rPr>
      </w:pPr>
    </w:p>
    <w:p>
      <w:pPr>
        <w:ind w:left="1280" w:right="80" w:hanging="320"/>
        <w:spacing w:after="0" w:line="272" w:lineRule="auto"/>
        <w:tabs>
          <w:tab w:leader="none" w:pos="1322" w:val="left"/>
        </w:tabs>
        <w:numPr>
          <w:ilvl w:val="1"/>
          <w:numId w:val="40"/>
        </w:numPr>
        <w:rPr>
          <w:rFonts w:ascii="Arial" w:cs="Arial" w:eastAsia="Arial" w:hAnsi="Arial"/>
          <w:sz w:val="19"/>
          <w:szCs w:val="19"/>
          <w:color w:val="auto"/>
        </w:rPr>
      </w:pPr>
      <w:r>
        <w:rPr>
          <w:rFonts w:ascii="Arial" w:cs="Arial" w:eastAsia="Arial" w:hAnsi="Arial"/>
          <w:sz w:val="19"/>
          <w:szCs w:val="19"/>
          <w:color w:val="auto"/>
        </w:rPr>
        <w:t>In consideration of the payments and benefits described above, receipt of which Employee hereby acknowledges, Employee, on behalf of himself Employee’s heirs, executors, administrators and assigns, and each of them, hereby fully and unconditionally releases the Company, its respective subsidiaries, related companies, and affiliates, and each entity managed or advised by any of them, past, present, and future, as well as their managers, directors, officers, agents, attorneys, employees, partners, members/stockholders, representatives, benefit plan fiduciaries, assigns, and successors, past and present and each of them (collectively, in their individual and representative capacities,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and with respect to any and all legally waivable claims, complaints, rights, suits and actions, which Employee ever had, now has or may have against the Released Parties up to the date Employee signs this Agreement, and particularly, but without limitation, any claims arising from or relating in any way to his employment relationship or the termination of his employment relationship with the Company, [***]. Employee does not release his right to benefits under Section 6.3 of his Employment Agreement.</w:t>
      </w:r>
    </w:p>
    <w:p>
      <w:pPr>
        <w:spacing w:after="0" w:line="155" w:lineRule="exact"/>
        <w:rPr>
          <w:rFonts w:ascii="Arial" w:cs="Arial" w:eastAsia="Arial" w:hAnsi="Arial"/>
          <w:sz w:val="19"/>
          <w:szCs w:val="19"/>
          <w:color w:val="auto"/>
        </w:rPr>
      </w:pPr>
    </w:p>
    <w:p>
      <w:pPr>
        <w:ind w:left="1280" w:right="160" w:hanging="320"/>
        <w:spacing w:after="0" w:line="238" w:lineRule="auto"/>
        <w:tabs>
          <w:tab w:leader="none" w:pos="12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Company releases and waives all legally waivable claims, complaints, rights, suits and actions, which it ever had, now has or may have against Employee arising from or relating in any way to his employment relationship or the termination of his employment relationship with the Company up through [***].</w:t>
      </w:r>
    </w:p>
    <w:p>
      <w:pPr>
        <w:spacing w:after="0" w:line="184" w:lineRule="exact"/>
        <w:rPr>
          <w:rFonts w:ascii="Arial" w:cs="Arial" w:eastAsia="Arial" w:hAnsi="Arial"/>
          <w:sz w:val="22"/>
          <w:szCs w:val="22"/>
          <w:color w:val="auto"/>
        </w:rPr>
      </w:pPr>
    </w:p>
    <w:p>
      <w:pPr>
        <w:ind w:left="1280" w:right="80" w:hanging="320"/>
        <w:spacing w:after="0" w:line="235" w:lineRule="auto"/>
        <w:tabs>
          <w:tab w:leader="none" w:pos="1322" w:val="left"/>
        </w:tabs>
        <w:numPr>
          <w:ilvl w:val="1"/>
          <w:numId w:val="40"/>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nothing in this Agreement prohibits Employee from confidentially or otherwise communicating or filing a charge or complaint with a governmental or regulatory entity, participating in a governmental or regulatory entity investigation, or giving other disclosures to a governmental or regulatory entity in each case without receiving prior authorization from or having to disclose any such conduct to the Company, or from responding if properly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874" w:right="999" w:bottom="1440" w:gutter="0" w:footer="0" w:header="0"/>
        </w:sectPr>
      </w:pPr>
    </w:p>
    <w:bookmarkStart w:id="96" w:name="page97"/>
    <w:bookmarkEnd w:id="96"/>
    <w:p>
      <w:pPr>
        <w:ind w:left="1300" w:right="20"/>
        <w:spacing w:after="0" w:line="269" w:lineRule="auto"/>
        <w:rPr>
          <w:sz w:val="20"/>
          <w:szCs w:val="20"/>
          <w:color w:val="auto"/>
        </w:rPr>
      </w:pPr>
      <w:r>
        <w:rPr>
          <w:rFonts w:ascii="Arial" w:cs="Arial" w:eastAsia="Arial" w:hAnsi="Arial"/>
          <w:sz w:val="19"/>
          <w:szCs w:val="19"/>
          <w:color w:val="auto"/>
        </w:rPr>
        <w:t>subpoenaed or otherwise required to do so under applicable law. Nothing in this Agreement shall be construed to affect the Equal Employment Opportunity Commission’s (“</w:t>
      </w:r>
      <w:r>
        <w:rPr>
          <w:rFonts w:ascii="Arial" w:cs="Arial" w:eastAsia="Arial" w:hAnsi="Arial"/>
          <w:sz w:val="19"/>
          <w:szCs w:val="19"/>
          <w:u w:val="single" w:color="auto"/>
          <w:color w:val="auto"/>
        </w:rPr>
        <w:t>Commission</w:t>
      </w:r>
      <w:r>
        <w:rPr>
          <w:rFonts w:ascii="Arial" w:cs="Arial" w:eastAsia="Arial" w:hAnsi="Arial"/>
          <w:sz w:val="19"/>
          <w:szCs w:val="19"/>
          <w:color w:val="auto"/>
        </w:rPr>
        <w:t>”), the National Labor Relations Board’s, the Occupational Safety and Health Administration’s, the Securities and Exchange Commission’s, the Financial Industry Regulatory Authority’s, or any federal, state, or local governmental agency or commission’s (“</w:t>
      </w:r>
      <w:r>
        <w:rPr>
          <w:rFonts w:ascii="Arial" w:cs="Arial" w:eastAsia="Arial" w:hAnsi="Arial"/>
          <w:sz w:val="19"/>
          <w:szCs w:val="19"/>
          <w:u w:val="single" w:color="auto"/>
          <w:color w:val="auto"/>
        </w:rPr>
        <w:t>Governmental Agencies</w:t>
      </w:r>
      <w:r>
        <w:rPr>
          <w:rFonts w:ascii="Arial" w:cs="Arial" w:eastAsia="Arial" w:hAnsi="Arial"/>
          <w:sz w:val="19"/>
          <w:szCs w:val="19"/>
          <w:color w:val="auto"/>
        </w:rPr>
        <w:t>”) or any state agency’s independent right and responsibility to enforce the law, nor does this Agreement affect Employee’s right to file a charge or participate in an investigation or proceeding conducted by either the Commission or any such Governmental Agency, [***]. This Agreement does not limit Employee’s right to receive an award for information provided to any Governmental Agencies, including under the Dodd-Frank Wall Street Reform and Consumer Protection Act of 2010 (“</w:t>
      </w:r>
      <w:r>
        <w:rPr>
          <w:rFonts w:ascii="Arial" w:cs="Arial" w:eastAsia="Arial" w:hAnsi="Arial"/>
          <w:sz w:val="19"/>
          <w:szCs w:val="19"/>
          <w:u w:val="single" w:color="auto"/>
          <w:color w:val="auto"/>
        </w:rPr>
        <w:t>Dodd-Frank</w:t>
      </w:r>
      <w:r>
        <w:rPr>
          <w:rFonts w:ascii="Arial" w:cs="Arial" w:eastAsia="Arial" w:hAnsi="Arial"/>
          <w:sz w:val="19"/>
          <w:szCs w:val="19"/>
          <w:color w:val="auto"/>
        </w:rPr>
        <w:t>”). Further, nothing in this Agreement prohibits Employee from testifying in an administrative, legislative or judicial proceeding regarding alleged criminal conduct or alleged unlawful employment practices (including sexual harassment) by any person or entity, when the Employee has been required or requested to attend such proceeding pursuant to court order, subpoena, or written request from an administrative agency or the legislature. Moreover, nothing in this Agreement prevents the disclosure of factual information relating to unlawful employment practices including claims of sexual assault, sexual harassment, harassment or discrimination based on sex, failure to prevent harassment or discrimination based on sex or retaliation against a person for reporting an act of harassment or discrimination based on sex, as those claims are defined under the California Fair Employment and Housing Act, to the extent the claims are filed in a civil or administrative action, and to the extent such disclosures are protected by law. Nothing in this Agreement prohibits or creates liability for any such protected conduct.</w:t>
      </w:r>
    </w:p>
    <w:p>
      <w:pPr>
        <w:spacing w:after="0" w:line="200" w:lineRule="exact"/>
        <w:rPr>
          <w:sz w:val="20"/>
          <w:szCs w:val="20"/>
          <w:color w:val="auto"/>
        </w:rPr>
      </w:pPr>
    </w:p>
    <w:p>
      <w:pPr>
        <w:spacing w:after="0" w:line="219" w:lineRule="exact"/>
        <w:rPr>
          <w:sz w:val="20"/>
          <w:szCs w:val="20"/>
          <w:color w:val="auto"/>
        </w:rPr>
      </w:pPr>
    </w:p>
    <w:p>
      <w:pPr>
        <w:ind w:left="1300" w:right="60" w:hanging="320"/>
        <w:spacing w:after="0" w:line="287" w:lineRule="auto"/>
        <w:tabs>
          <w:tab w:leader="none" w:pos="13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Execution of this Agreement does not bar any claim that arises hereafter, including (without limitation) a claim for breach of this Agreement, any claim to indemnity under section 2802 of the California Labor Code, any claim for unemployment benefits, or any other claim that by law may not be released. Employee does not release or waive his right to enforce this Agreement.</w:t>
      </w:r>
    </w:p>
    <w:p>
      <w:pPr>
        <w:spacing w:after="0" w:line="142" w:lineRule="exact"/>
        <w:rPr>
          <w:rFonts w:ascii="Arial" w:cs="Arial" w:eastAsia="Arial" w:hAnsi="Arial"/>
          <w:sz w:val="19"/>
          <w:szCs w:val="19"/>
          <w:color w:val="auto"/>
        </w:rPr>
      </w:pPr>
    </w:p>
    <w:p>
      <w:pPr>
        <w:ind w:firstLine="656"/>
        <w:spacing w:after="0" w:line="297" w:lineRule="auto"/>
        <w:tabs>
          <w:tab w:leader="none" w:pos="1296"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Waiver of Unknown Claims.</w:t>
      </w:r>
      <w:r>
        <w:rPr>
          <w:rFonts w:ascii="Arial" w:cs="Arial" w:eastAsia="Arial" w:hAnsi="Arial"/>
          <w:sz w:val="19"/>
          <w:szCs w:val="19"/>
          <w:color w:val="auto"/>
        </w:rPr>
        <w:t xml:space="preserve"> Employee and Company acknowledge that they have been advised by legal counsel that they are by this Agreement waiving claims pursuant to California Civil Code Section 1542 or the laws of other states similar hereto, and they expressly waive such rights as quoted below:</w:t>
      </w:r>
    </w:p>
    <w:p>
      <w:pPr>
        <w:spacing w:after="0" w:line="134" w:lineRule="exact"/>
        <w:rPr>
          <w:sz w:val="20"/>
          <w:szCs w:val="20"/>
          <w:color w:val="auto"/>
        </w:rPr>
      </w:pPr>
    </w:p>
    <w:p>
      <w:pPr>
        <w:ind w:left="660" w:right="1140"/>
        <w:spacing w:after="0" w:line="250" w:lineRule="auto"/>
        <w:rPr>
          <w:sz w:val="20"/>
          <w:szCs w:val="20"/>
          <w:color w:val="auto"/>
        </w:rPr>
      </w:pPr>
      <w:r>
        <w:rPr>
          <w:rFonts w:ascii="Arial" w:cs="Arial" w:eastAsia="Arial" w:hAnsi="Arial"/>
          <w:sz w:val="22"/>
          <w:szCs w:val="22"/>
          <w:color w:val="auto"/>
        </w:rPr>
        <w:t>“A GENERAL RELEASE DOES NOT EXTEND TO CLAIMS THAT THE CREDITOR OR RELEASING PARTY DOES NOT KNOW OR SUSPECT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97" w:name="page98"/>
    <w:bookmarkEnd w:id="97"/>
    <w:p>
      <w:pPr>
        <w:ind w:left="660" w:right="440"/>
        <w:spacing w:after="0"/>
        <w:rPr>
          <w:sz w:val="20"/>
          <w:szCs w:val="20"/>
          <w:color w:val="auto"/>
        </w:rPr>
      </w:pPr>
      <w:r>
        <w:rPr>
          <w:rFonts w:ascii="Arial" w:cs="Arial" w:eastAsia="Arial" w:hAnsi="Arial"/>
          <w:sz w:val="22"/>
          <w:szCs w:val="22"/>
          <w:color w:val="auto"/>
        </w:rPr>
        <w:t>EXIST IN HIS OR HER FAVOR AT THE TIME OF EXECUTING THE RELEASE AND THAT, IF KNOWN BY HIM OR HER, WOULD HAVE MATERIALLY AFFECTED HIS OR HER SETTLEMENT WITH THE DEBTOR OR RELEASED PARTY.”</w:t>
      </w:r>
    </w:p>
    <w:p>
      <w:pPr>
        <w:spacing w:after="0" w:line="186" w:lineRule="exact"/>
        <w:rPr>
          <w:sz w:val="20"/>
          <w:szCs w:val="20"/>
          <w:color w:val="auto"/>
        </w:rPr>
      </w:pPr>
    </w:p>
    <w:p>
      <w:pPr>
        <w:ind w:right="500" w:firstLine="648"/>
        <w:spacing w:after="0" w:line="250" w:lineRule="auto"/>
        <w:rPr>
          <w:sz w:val="20"/>
          <w:szCs w:val="20"/>
          <w:color w:val="auto"/>
        </w:rPr>
      </w:pPr>
      <w:r>
        <w:rPr>
          <w:rFonts w:ascii="Arial" w:cs="Arial" w:eastAsia="Arial" w:hAnsi="Arial"/>
          <w:sz w:val="22"/>
          <w:szCs w:val="22"/>
          <w:color w:val="auto"/>
        </w:rPr>
        <w:t>Employee and Company hereby expressly waive any rights they may have under any other statute or common law principles of similar effect.</w:t>
      </w:r>
    </w:p>
    <w:p>
      <w:pPr>
        <w:spacing w:after="0" w:line="175" w:lineRule="exact"/>
        <w:rPr>
          <w:sz w:val="20"/>
          <w:szCs w:val="20"/>
          <w:color w:val="auto"/>
        </w:rPr>
      </w:pPr>
    </w:p>
    <w:p>
      <w:pPr>
        <w:ind w:right="280" w:firstLine="656"/>
        <w:spacing w:after="0" w:line="250" w:lineRule="auto"/>
        <w:tabs>
          <w:tab w:leader="none" w:pos="1296"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No Pending Claims</w:t>
      </w:r>
      <w:r>
        <w:rPr>
          <w:rFonts w:ascii="Arial" w:cs="Arial" w:eastAsia="Arial" w:hAnsi="Arial"/>
          <w:sz w:val="22"/>
          <w:szCs w:val="22"/>
          <w:color w:val="auto"/>
        </w:rPr>
        <w:t>. Employee affirms that he has not filed, caused to be filed, or presently is a party to any claim, complaint, or action against the Released Parties in any forum.</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00" w:right="80" w:hanging="320"/>
        <w:spacing w:after="0" w:line="279" w:lineRule="auto"/>
        <w:tabs>
          <w:tab w:leader="none" w:pos="1330" w:val="left"/>
        </w:tabs>
        <w:numPr>
          <w:ilvl w:val="1"/>
          <w:numId w:val="43"/>
        </w:numPr>
        <w:rPr>
          <w:rFonts w:ascii="Arial" w:cs="Arial" w:eastAsia="Arial" w:hAnsi="Arial"/>
          <w:sz w:val="19"/>
          <w:szCs w:val="19"/>
          <w:color w:val="auto"/>
        </w:rPr>
      </w:pPr>
      <w:r>
        <w:rPr>
          <w:rFonts w:ascii="Arial" w:cs="Arial" w:eastAsia="Arial" w:hAnsi="Arial"/>
          <w:sz w:val="19"/>
          <w:szCs w:val="19"/>
          <w:color w:val="auto"/>
        </w:rPr>
        <w:t>Apart from the exceptions set forth in Paragraph 7(c) above, Employee agrees that all terms and conditions of any confidentiality or proprietary information agreement including, without limitation, any such provision in his Employee Proprietary Information and Invention Assignment Agreement (the “</w:t>
      </w:r>
      <w:r>
        <w:rPr>
          <w:rFonts w:ascii="Arial" w:cs="Arial" w:eastAsia="Arial" w:hAnsi="Arial"/>
          <w:sz w:val="19"/>
          <w:szCs w:val="19"/>
          <w:u w:val="single" w:color="auto"/>
          <w:color w:val="auto"/>
        </w:rPr>
        <w:t>EPIIA</w:t>
      </w:r>
      <w:r>
        <w:rPr>
          <w:rFonts w:ascii="Arial" w:cs="Arial" w:eastAsia="Arial" w:hAnsi="Arial"/>
          <w:sz w:val="19"/>
          <w:szCs w:val="19"/>
          <w:color w:val="auto"/>
        </w:rPr>
        <w:t>”) and relevant parts of the Company Employee Handbook dated March 2018, which he signed and acknowledged while employed by the Company shall survive this Agreement and remain in full force and effect. The Employee Handbook is attached as Exhibit 2.</w:t>
      </w:r>
    </w:p>
    <w:p>
      <w:pPr>
        <w:spacing w:after="0" w:line="150" w:lineRule="exact"/>
        <w:rPr>
          <w:rFonts w:ascii="Arial" w:cs="Arial" w:eastAsia="Arial" w:hAnsi="Arial"/>
          <w:sz w:val="19"/>
          <w:szCs w:val="19"/>
          <w:color w:val="auto"/>
        </w:rPr>
      </w:pPr>
    </w:p>
    <w:p>
      <w:pPr>
        <w:ind w:left="1300" w:hanging="320"/>
        <w:spacing w:after="0"/>
        <w:tabs>
          <w:tab w:leader="none" w:pos="13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00" w:right="60" w:hanging="320"/>
        <w:spacing w:after="0" w:line="274" w:lineRule="auto"/>
        <w:tabs>
          <w:tab w:leader="none" w:pos="1342" w:val="left"/>
        </w:tabs>
        <w:numPr>
          <w:ilvl w:val="1"/>
          <w:numId w:val="43"/>
        </w:numPr>
        <w:rPr>
          <w:rFonts w:ascii="Arial" w:cs="Arial" w:eastAsia="Arial" w:hAnsi="Arial"/>
          <w:sz w:val="19"/>
          <w:szCs w:val="19"/>
          <w:color w:val="auto"/>
        </w:rPr>
      </w:pPr>
      <w:r>
        <w:rPr>
          <w:rFonts w:ascii="Arial" w:cs="Arial" w:eastAsia="Arial" w:hAnsi="Arial"/>
          <w:sz w:val="19"/>
          <w:szCs w:val="19"/>
          <w:color w:val="auto"/>
        </w:rPr>
        <w:t>Employee agrees not to disclose Confidential Information to anyone and not to use Confidential Information for any purpose whatsoever except to the extent such information: is generally known in the industry, or hereafter becomes so known without default under this Agreement However, nothing in this Agreement shall be interpreted to restrict Employee’s ability to disclose Confidential Information in confidence to a federal, state or local government official, or to an attorney, when such disclosure is made solely for the purpose of investigating or reporting a suspected violation of law. Further, it shall not constitute a violation of this Agreement for an employee to disclose such confidential information in a complaint or other document filed in a lawsuit or other proceeding if such filing is made under seal.</w:t>
      </w:r>
    </w:p>
    <w:p>
      <w:pPr>
        <w:spacing w:after="0" w:line="158" w:lineRule="exact"/>
        <w:rPr>
          <w:rFonts w:ascii="Arial" w:cs="Arial" w:eastAsia="Arial" w:hAnsi="Arial"/>
          <w:sz w:val="19"/>
          <w:szCs w:val="19"/>
          <w:color w:val="auto"/>
        </w:rPr>
      </w:pPr>
    </w:p>
    <w:p>
      <w:pPr>
        <w:ind w:left="1300" w:hanging="320"/>
        <w:spacing w:after="0" w:line="235" w:lineRule="auto"/>
        <w:tabs>
          <w:tab w:leader="none" w:pos="13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Employee also acknowledges that unauthorized disclosure of the Company’s Confidential Information would cause the Company irreparable harm. Therefore, upon the breach or threatened breach of any of the provisions of this Paragraph, the EPIIA, and the relevant sections of the employee handbook, Employee acknowledges that the Company shall be entitled to obtain an injunction, with or without notice and without requiring a bond to be posted, restraining the breach in any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874" w:right="1059" w:bottom="1440" w:gutter="0" w:footer="0" w:header="0"/>
        </w:sectPr>
      </w:pPr>
    </w:p>
    <w:bookmarkStart w:id="98" w:name="page99"/>
    <w:bookmarkEnd w:id="98"/>
    <w:p>
      <w:pPr>
        <w:ind w:left="1220"/>
        <w:spacing w:after="0" w:line="277" w:lineRule="auto"/>
        <w:rPr>
          <w:sz w:val="20"/>
          <w:szCs w:val="20"/>
          <w:color w:val="auto"/>
        </w:rPr>
      </w:pPr>
      <w:r>
        <w:rPr>
          <w:rFonts w:ascii="Arial" w:cs="Arial" w:eastAsia="Arial" w:hAnsi="Arial"/>
          <w:sz w:val="19"/>
          <w:szCs w:val="19"/>
          <w:color w:val="auto"/>
        </w:rPr>
        <w:t>competent jurisdiction notwithstanding the existence of any agreements between the Company and the Employee to arbitrate certain disputes or the consent to jurisdiction provisions set forth in this Agreement. Irrespective of the forum in which the Company pursues an injunction, the California choice of law provision set forth in this Agreement shall apply. The issuance of an injunction shall not prohibit the Company from pursuing any other remedies available to it, including recovery of damages. The Company reserves all rights it has to protect its Confidential Information against disclosure or use in any act constituting unfair competition</w:t>
      </w:r>
      <w:r>
        <w:rPr>
          <w:rFonts w:ascii="Arial" w:cs="Arial" w:eastAsia="Arial" w:hAnsi="Arial"/>
          <w:sz w:val="19"/>
          <w:szCs w:val="19"/>
          <w:u w:val="single" w:color="auto"/>
          <w:color w:val="auto"/>
        </w:rPr>
        <w:t>.</w:t>
      </w:r>
    </w:p>
    <w:p>
      <w:pPr>
        <w:spacing w:after="0" w:line="152" w:lineRule="exact"/>
        <w:rPr>
          <w:sz w:val="20"/>
          <w:szCs w:val="20"/>
          <w:color w:val="auto"/>
        </w:rPr>
      </w:pPr>
    </w:p>
    <w:p>
      <w:pPr>
        <w:ind w:left="1220" w:hanging="644"/>
        <w:spacing w:after="0"/>
        <w:tabs>
          <w:tab w:leader="none" w:pos="122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Company Property.</w:t>
      </w:r>
      <w:r>
        <w:rPr>
          <w:rFonts w:ascii="Arial" w:cs="Arial" w:eastAsia="Arial" w:hAnsi="Arial"/>
          <w:sz w:val="22"/>
          <w:szCs w:val="22"/>
          <w:color w:val="auto"/>
        </w:rPr>
        <w:t xml:space="preserve"> [***].</w:t>
      </w:r>
    </w:p>
    <w:p>
      <w:pPr>
        <w:spacing w:after="0" w:line="206" w:lineRule="exact"/>
        <w:rPr>
          <w:rFonts w:ascii="Arial" w:cs="Arial" w:eastAsia="Arial" w:hAnsi="Arial"/>
          <w:sz w:val="22"/>
          <w:szCs w:val="22"/>
          <w:color w:val="auto"/>
        </w:rPr>
      </w:pPr>
    </w:p>
    <w:p>
      <w:pPr>
        <w:ind w:left="1220" w:right="40" w:hanging="320"/>
        <w:spacing w:after="0" w:line="245" w:lineRule="auto"/>
        <w:tabs>
          <w:tab w:leader="none" w:pos="1262" w:val="left"/>
        </w:tabs>
        <w:numPr>
          <w:ilvl w:val="1"/>
          <w:numId w:val="44"/>
        </w:numPr>
        <w:rPr>
          <w:rFonts w:ascii="Arial" w:cs="Arial" w:eastAsia="Arial" w:hAnsi="Arial"/>
          <w:sz w:val="21"/>
          <w:szCs w:val="21"/>
          <w:color w:val="auto"/>
        </w:rPr>
      </w:pPr>
      <w:r>
        <w:rPr>
          <w:rFonts w:ascii="Arial" w:cs="Arial" w:eastAsia="Arial" w:hAnsi="Arial"/>
          <w:sz w:val="21"/>
          <w:szCs w:val="21"/>
          <w:color w:val="auto"/>
        </w:rPr>
        <w:t>Employee further understands and agrees, as outlined and defined in this Agreement and in the EPIIA signed by Employee, the employment agreement, and the employee handbook acknowledged by Employee during his employment with the Company, that all proprietary or confidential information or trade secrets concerning the Company or its businesses, products, services, or employees, including but not limited to information concerning business strategies or plans, systems, products and services and their development, technical information, marketing, sales activities and procedures, promotion and pricing techniques, policies and procedures, cost, financial data, and customer, client, vendor, and employee information is the exclusive property of the Company.</w:t>
      </w:r>
    </w:p>
    <w:p>
      <w:pPr>
        <w:spacing w:after="0" w:line="184" w:lineRule="exact"/>
        <w:rPr>
          <w:rFonts w:ascii="Arial" w:cs="Arial" w:eastAsia="Arial" w:hAnsi="Arial"/>
          <w:sz w:val="21"/>
          <w:szCs w:val="21"/>
          <w:color w:val="auto"/>
        </w:rPr>
      </w:pPr>
    </w:p>
    <w:p>
      <w:pPr>
        <w:ind w:left="1220" w:right="80" w:hanging="320"/>
        <w:spacing w:after="0" w:line="274" w:lineRule="auto"/>
        <w:tabs>
          <w:tab w:leader="none" w:pos="1220" w:val="left"/>
        </w:tabs>
        <w:numPr>
          <w:ilvl w:val="1"/>
          <w:numId w:val="44"/>
        </w:numPr>
        <w:rPr>
          <w:rFonts w:ascii="Arial" w:cs="Arial" w:eastAsia="Arial" w:hAnsi="Arial"/>
          <w:sz w:val="19"/>
          <w:szCs w:val="19"/>
          <w:color w:val="auto"/>
        </w:rPr>
      </w:pPr>
      <w:r>
        <w:rPr>
          <w:rFonts w:ascii="Arial" w:cs="Arial" w:eastAsia="Arial" w:hAnsi="Arial"/>
          <w:sz w:val="19"/>
          <w:szCs w:val="19"/>
          <w:color w:val="auto"/>
        </w:rPr>
        <w:t>Employee acknowledges that he may be in possession of material non-public information as defined in the Company’s insider trading policy. Employee agrees that it is his sole responsibility to comply, and that he will comply, with all securities laws and regulations. Employee agrees not to trade in securities of the Company nor cause or advise others to trade in the securities of the Company while in possession of, or on the basis of, material non-public information. Employee further acknowledges that, while he was an employee, he was subject to the Company’s insider trading policy. From time to time, the Company has imposed blackout periods which prohibited the trading of Company stock during that period. Employee acknowledges that he may have been subject to a blackout period at the time of his leaving the Company.</w:t>
      </w:r>
    </w:p>
    <w:p>
      <w:pPr>
        <w:spacing w:after="0" w:line="158" w:lineRule="exact"/>
        <w:rPr>
          <w:rFonts w:ascii="Arial" w:cs="Arial" w:eastAsia="Arial" w:hAnsi="Arial"/>
          <w:sz w:val="19"/>
          <w:szCs w:val="19"/>
          <w:color w:val="auto"/>
        </w:rPr>
      </w:pPr>
    </w:p>
    <w:p>
      <w:pPr>
        <w:ind w:left="1220" w:hanging="644"/>
        <w:spacing w:after="0"/>
        <w:tabs>
          <w:tab w:leader="none" w:pos="122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Confidentiality and Non-Disparagement.</w:t>
      </w:r>
      <w:r>
        <w:rPr>
          <w:rFonts w:ascii="Arial" w:cs="Arial" w:eastAsia="Arial" w:hAnsi="Arial"/>
          <w:sz w:val="22"/>
          <w:szCs w:val="22"/>
          <w:color w:val="auto"/>
        </w:rPr>
        <w:t xml:space="preserve"> [***].</w:t>
      </w:r>
    </w:p>
    <w:p>
      <w:pPr>
        <w:spacing w:after="0" w:line="206" w:lineRule="exact"/>
        <w:rPr>
          <w:rFonts w:ascii="Arial" w:cs="Arial" w:eastAsia="Arial" w:hAnsi="Arial"/>
          <w:sz w:val="22"/>
          <w:szCs w:val="22"/>
          <w:color w:val="auto"/>
        </w:rPr>
      </w:pPr>
    </w:p>
    <w:p>
      <w:pPr>
        <w:ind w:left="1220" w:hanging="644"/>
        <w:spacing w:after="0"/>
        <w:tabs>
          <w:tab w:leader="none" w:pos="122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 xml:space="preserve"> [***].</w:t>
      </w:r>
    </w:p>
    <w:p>
      <w:pPr>
        <w:spacing w:after="0" w:line="206" w:lineRule="exact"/>
        <w:rPr>
          <w:rFonts w:ascii="Arial" w:cs="Arial" w:eastAsia="Arial" w:hAnsi="Arial"/>
          <w:sz w:val="22"/>
          <w:szCs w:val="22"/>
          <w:color w:val="auto"/>
        </w:rPr>
      </w:pPr>
    </w:p>
    <w:p>
      <w:pPr>
        <w:ind w:left="-80" w:right="100" w:firstLine="656"/>
        <w:spacing w:after="0"/>
        <w:tabs>
          <w:tab w:leader="none" w:pos="1216"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xml:space="preserve"> Employee and Employer agree to mutually cooperate should Employee’s assistance be required in the prosecution and/or defense of any claim in which the Released Parties may have an interest (subject to reasonable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349885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1060" w:top="874" w:right="1059" w:bottom="1440" w:gutter="0" w:footer="0" w:header="0"/>
        </w:sectPr>
      </w:pPr>
    </w:p>
    <w:bookmarkStart w:id="99" w:name="page100"/>
    <w:bookmarkEnd w:id="99"/>
    <w:p>
      <w:pPr>
        <w:ind w:right="100"/>
        <w:spacing w:after="0" w:line="248" w:lineRule="auto"/>
        <w:rPr>
          <w:sz w:val="20"/>
          <w:szCs w:val="20"/>
          <w:color w:val="auto"/>
        </w:rPr>
      </w:pPr>
      <w:r>
        <w:rPr>
          <w:rFonts w:ascii="Arial" w:cs="Arial" w:eastAsia="Arial" w:hAnsi="Arial"/>
          <w:sz w:val="21"/>
          <w:szCs w:val="21"/>
          <w:color w:val="auto"/>
        </w:rPr>
        <w:t>concerning time and place), which may include without limitation ([***]) making himself available to participate in any proceeding involving any of the Released Parties, allowing himself to be interviewed by representatives of the Released Parties, participating as requested in interviews and/or meetings with other witnesses, preparing and appearing for depositions and testimony without requiring a subpoena, providing truthful and honest testimony, and producing and/or providing any documents or names of other persons with relevant information, all without claim of privilege against the Released Parties.</w:t>
      </w:r>
    </w:p>
    <w:p>
      <w:pPr>
        <w:spacing w:after="0" w:line="177" w:lineRule="exact"/>
        <w:rPr>
          <w:sz w:val="20"/>
          <w:szCs w:val="20"/>
          <w:color w:val="auto"/>
        </w:rPr>
      </w:pPr>
    </w:p>
    <w:p>
      <w:pPr>
        <w:ind w:left="1300" w:hanging="644"/>
        <w:spacing w:after="0"/>
        <w:tabs>
          <w:tab w:leader="none" w:pos="1300"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References and Company Records.</w:t>
      </w:r>
      <w:r>
        <w:rPr>
          <w:rFonts w:ascii="Arial" w:cs="Arial" w:eastAsia="Arial" w:hAnsi="Arial"/>
          <w:sz w:val="22"/>
          <w:szCs w:val="22"/>
          <w:color w:val="auto"/>
        </w:rPr>
        <w:t xml:space="preserve"> [***].</w:t>
      </w:r>
    </w:p>
    <w:p>
      <w:pPr>
        <w:spacing w:after="0" w:line="206" w:lineRule="exact"/>
        <w:rPr>
          <w:rFonts w:ascii="Arial" w:cs="Arial" w:eastAsia="Arial" w:hAnsi="Arial"/>
          <w:sz w:val="22"/>
          <w:szCs w:val="22"/>
          <w:color w:val="auto"/>
        </w:rPr>
      </w:pPr>
    </w:p>
    <w:p>
      <w:pPr>
        <w:ind w:firstLine="656"/>
        <w:spacing w:after="0" w:line="275" w:lineRule="auto"/>
        <w:tabs>
          <w:tab w:leader="none" w:pos="1296"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Choice of Law and Consent to Jurisdiction.</w:t>
      </w:r>
      <w:r>
        <w:rPr>
          <w:rFonts w:ascii="Arial" w:cs="Arial" w:eastAsia="Arial" w:hAnsi="Arial"/>
          <w:sz w:val="19"/>
          <w:szCs w:val="19"/>
          <w:color w:val="auto"/>
        </w:rPr>
        <w:t xml:space="preserve"> This Agreement shall be interpreted in accordance with the laws of the State of California, without regard to the application of choice-of-law principles. Employee and the Company hereby irrevocably submit to the jurisdiction of the United States District Court for the Northern District of California or any court of the State of California located in San Mateo County, California, and waive any objection to venue based on forum non conveniens or otherwise. Employee further expressly agrees that any controversy arising under or in relation to this Agreement must be brought exclusively in the United States District Court for the Northern District of California or any court of the State of California located in San Mateo County, California, without regard to conflicts of law principles.</w:t>
      </w:r>
    </w:p>
    <w:p>
      <w:pPr>
        <w:spacing w:after="0" w:line="157" w:lineRule="exact"/>
        <w:rPr>
          <w:rFonts w:ascii="Arial" w:cs="Arial" w:eastAsia="Arial" w:hAnsi="Arial"/>
          <w:sz w:val="19"/>
          <w:szCs w:val="19"/>
          <w:color w:val="auto"/>
        </w:rPr>
      </w:pPr>
    </w:p>
    <w:p>
      <w:pPr>
        <w:ind w:firstLine="656"/>
        <w:spacing w:after="0" w:line="269" w:lineRule="auto"/>
        <w:tabs>
          <w:tab w:leader="none" w:pos="1296"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Knowing and Voluntary Waiver of Rights.</w:t>
      </w:r>
      <w:r>
        <w:rPr>
          <w:rFonts w:ascii="Arial" w:cs="Arial" w:eastAsia="Arial" w:hAnsi="Arial"/>
          <w:sz w:val="19"/>
          <w:szCs w:val="19"/>
          <w:color w:val="auto"/>
        </w:rPr>
        <w:t xml:space="preserve"> Employee understands and acknowledges that he is waiving and releasing any rights he may have under the Age Discrimination in Employment Act of 1967 (“</w:t>
      </w:r>
      <w:r>
        <w:rPr>
          <w:rFonts w:ascii="Arial" w:cs="Arial" w:eastAsia="Arial" w:hAnsi="Arial"/>
          <w:sz w:val="19"/>
          <w:szCs w:val="19"/>
          <w:u w:val="single" w:color="auto"/>
          <w:color w:val="auto"/>
        </w:rPr>
        <w:t>ADEA</w:t>
      </w:r>
      <w:r>
        <w:rPr>
          <w:rFonts w:ascii="Arial" w:cs="Arial" w:eastAsia="Arial" w:hAnsi="Arial"/>
          <w:sz w:val="19"/>
          <w:szCs w:val="19"/>
          <w:color w:val="auto"/>
        </w:rPr>
        <w:t>”) and the Older Workers Benefit Protection Act (“</w:t>
      </w:r>
      <w:r>
        <w:rPr>
          <w:rFonts w:ascii="Arial" w:cs="Arial" w:eastAsia="Arial" w:hAnsi="Arial"/>
          <w:sz w:val="19"/>
          <w:szCs w:val="19"/>
          <w:u w:val="single" w:color="auto"/>
          <w:color w:val="auto"/>
        </w:rPr>
        <w:t>OWBPA</w:t>
      </w:r>
      <w:r>
        <w:rPr>
          <w:rFonts w:ascii="Arial" w:cs="Arial" w:eastAsia="Arial" w:hAnsi="Arial"/>
          <w:sz w:val="19"/>
          <w:szCs w:val="19"/>
          <w:color w:val="auto"/>
        </w:rPr>
        <w:t>”), and that this waiver and release is knowing and voluntary. Employee understands and agrees that this waiver and release does not apply to any rights or claims that may arise under the ADEA and OWBPA after the Effective Date of this Agreement but does release such rights that may have existed before the Effective Date. Employee understands and acknowledges that the consideration given for this waiver and release is in addition to anything of value to which Employee was already entitled. Employee further understands and acknowledges that he has been advised by this writing that:</w:t>
      </w:r>
    </w:p>
    <w:p>
      <w:pPr>
        <w:spacing w:after="0" w:line="2" w:lineRule="exact"/>
        <w:rPr>
          <w:rFonts w:ascii="Arial" w:cs="Arial" w:eastAsia="Arial" w:hAnsi="Arial"/>
          <w:sz w:val="19"/>
          <w:szCs w:val="19"/>
          <w:color w:val="auto"/>
        </w:rPr>
      </w:pPr>
    </w:p>
    <w:p>
      <w:pPr>
        <w:ind w:right="120" w:firstLine="8"/>
        <w:spacing w:after="0" w:line="266" w:lineRule="auto"/>
        <w:tabs>
          <w:tab w:leader="none" w:pos="294" w:val="left"/>
        </w:tabs>
        <w:numPr>
          <w:ilvl w:val="0"/>
          <w:numId w:val="46"/>
        </w:numPr>
        <w:rPr>
          <w:rFonts w:ascii="Arial" w:cs="Arial" w:eastAsia="Arial" w:hAnsi="Arial"/>
          <w:sz w:val="19"/>
          <w:szCs w:val="19"/>
          <w:color w:val="auto"/>
        </w:rPr>
      </w:pPr>
      <w:r>
        <w:rPr>
          <w:rFonts w:ascii="Arial" w:cs="Arial" w:eastAsia="Arial" w:hAnsi="Arial"/>
          <w:sz w:val="19"/>
          <w:szCs w:val="19"/>
          <w:color w:val="auto"/>
        </w:rPr>
        <w:t>he should consult with an attorney prior to executing this Agreement; (b) he has up to twenty-one (21) days within which to consider this Agreement (“</w:t>
      </w:r>
      <w:r>
        <w:rPr>
          <w:rFonts w:ascii="Arial" w:cs="Arial" w:eastAsia="Arial" w:hAnsi="Arial"/>
          <w:sz w:val="19"/>
          <w:szCs w:val="19"/>
          <w:u w:val="single" w:color="auto"/>
          <w:color w:val="auto"/>
        </w:rPr>
        <w:t>Review Period</w:t>
      </w:r>
      <w:r>
        <w:rPr>
          <w:rFonts w:ascii="Arial" w:cs="Arial" w:eastAsia="Arial" w:hAnsi="Arial"/>
          <w:sz w:val="19"/>
          <w:szCs w:val="19"/>
          <w:color w:val="auto"/>
        </w:rPr>
        <w:t>”); (c) he has seven (7) days following his execution of this Agreement to revoke this Agreement (“</w:t>
      </w:r>
      <w:r>
        <w:rPr>
          <w:rFonts w:ascii="Arial" w:cs="Arial" w:eastAsia="Arial" w:hAnsi="Arial"/>
          <w:sz w:val="19"/>
          <w:szCs w:val="19"/>
          <w:u w:val="single" w:color="auto"/>
          <w:color w:val="auto"/>
        </w:rPr>
        <w:t>Revocation Period</w:t>
      </w:r>
      <w:r>
        <w:rPr>
          <w:rFonts w:ascii="Arial" w:cs="Arial" w:eastAsia="Arial" w:hAnsi="Arial"/>
          <w:sz w:val="19"/>
          <w:szCs w:val="19"/>
          <w:color w:val="auto"/>
        </w:rPr>
        <w:t>”); (d) this Agreement shall not be effective until after the Revocation Period has expired (“</w:t>
      </w:r>
      <w:r>
        <w:rPr>
          <w:rFonts w:ascii="Arial" w:cs="Arial" w:eastAsia="Arial" w:hAnsi="Arial"/>
          <w:sz w:val="19"/>
          <w:szCs w:val="19"/>
          <w:u w:val="single" w:color="auto"/>
          <w:color w:val="auto"/>
        </w:rPr>
        <w:t>Effective Date</w:t>
      </w:r>
      <w:r>
        <w:rPr>
          <w:rFonts w:ascii="Arial" w:cs="Arial" w:eastAsia="Arial" w:hAnsi="Arial"/>
          <w:sz w:val="19"/>
          <w:szCs w:val="19"/>
          <w:color w:val="auto"/>
        </w:rPr>
        <w:t>”); (e) he has read and understands this Agreement;</w:t>
      </w:r>
    </w:p>
    <w:p>
      <w:pPr>
        <w:spacing w:after="0" w:line="3" w:lineRule="exact"/>
        <w:rPr>
          <w:rFonts w:ascii="Arial" w:cs="Arial" w:eastAsia="Arial" w:hAnsi="Arial"/>
          <w:sz w:val="19"/>
          <w:szCs w:val="19"/>
          <w:color w:val="auto"/>
        </w:rPr>
      </w:pPr>
    </w:p>
    <w:p>
      <w:pPr>
        <w:ind w:right="140" w:firstLine="8"/>
        <w:spacing w:after="0" w:line="273" w:lineRule="auto"/>
        <w:tabs>
          <w:tab w:leader="none" w:pos="270" w:val="left"/>
        </w:tabs>
        <w:numPr>
          <w:ilvl w:val="0"/>
          <w:numId w:val="47"/>
        </w:numPr>
        <w:rPr>
          <w:rFonts w:ascii="Arial" w:cs="Arial" w:eastAsia="Arial" w:hAnsi="Arial"/>
          <w:sz w:val="19"/>
          <w:szCs w:val="19"/>
          <w:color w:val="auto"/>
        </w:rPr>
      </w:pPr>
      <w:r>
        <w:rPr>
          <w:rFonts w:ascii="Arial" w:cs="Arial" w:eastAsia="Arial" w:hAnsi="Arial"/>
          <w:sz w:val="19"/>
          <w:szCs w:val="19"/>
          <w:color w:val="auto"/>
        </w:rPr>
        <w:t>changes to this Agreement, whether material or immaterial, do not start the running of the Review Period which expires on July 1, 2020; and (g) nothing in this Agreement prevents or precludes Employee from challenging or seeking a determination in good faith of the validity of this waiver under the ADEA or OWBPA, nor does it impose any condition precedent, penalties, or costs for doing so, unless specifically authorized by federal law. In the event Employee signs this Agreement and returns it to the Company prior to the expiration of the Review Period, Employee hereby acknowledges that he has freely and voluntarily chosen to waive the time period allotted for considering this Agreement. For any revocation to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74" w:right="1019" w:bottom="1440" w:gutter="0" w:footer="0" w:header="0"/>
        </w:sectPr>
      </w:pPr>
    </w:p>
    <w:bookmarkStart w:id="100" w:name="page101"/>
    <w:bookmarkEnd w:id="100"/>
    <w:p>
      <w:pPr>
        <w:spacing w:after="0" w:line="238" w:lineRule="auto"/>
        <w:rPr>
          <w:sz w:val="20"/>
          <w:szCs w:val="20"/>
          <w:color w:val="auto"/>
        </w:rPr>
      </w:pPr>
      <w:r>
        <w:rPr>
          <w:rFonts w:ascii="Arial" w:cs="Arial" w:eastAsia="Arial" w:hAnsi="Arial"/>
          <w:sz w:val="22"/>
          <w:szCs w:val="22"/>
          <w:color w:val="auto"/>
        </w:rPr>
        <w:t>Employee understands and agrees that he must notify the Company of the revocation in an express, signed writing delivered to the attention of Human Resources and Legal Departments, Iovance Biotherapeutics, Inc., 999 Skyway Road, Suite 150, San Carlos, CA 94070, with an electronic copy sent to [***], within seven (7) days following Employee’s execution of this Agreement.</w:t>
      </w:r>
    </w:p>
    <w:p>
      <w:pPr>
        <w:spacing w:after="0" w:line="185"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Non-enforcement of Limitation on Post Retirement Employment</w:t>
      </w:r>
      <w:r>
        <w:rPr>
          <w:rFonts w:ascii="Arial" w:cs="Arial" w:eastAsia="Arial" w:hAnsi="Arial"/>
          <w:sz w:val="22"/>
          <w:szCs w:val="22"/>
          <w:color w:val="auto"/>
        </w:rPr>
        <w:t>. [***].</w:t>
      </w:r>
    </w:p>
    <w:p>
      <w:pPr>
        <w:spacing w:after="0" w:line="206" w:lineRule="exact"/>
        <w:rPr>
          <w:rFonts w:ascii="Arial" w:cs="Arial" w:eastAsia="Arial" w:hAnsi="Arial"/>
          <w:sz w:val="22"/>
          <w:szCs w:val="22"/>
          <w:color w:val="auto"/>
        </w:rPr>
      </w:pPr>
    </w:p>
    <w:p>
      <w:pPr>
        <w:ind w:right="40" w:firstLine="656"/>
        <w:spacing w:after="0" w:line="277" w:lineRule="auto"/>
        <w:tabs>
          <w:tab w:leader="none" w:pos="129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contains the entire and only agreement between Employee and the Company pertaining to the subject matter hereof, and any other agreements or understandings and discussions, written or oral, that may have existed between the parties are superseded by this Agreement and are no longer effective except as otherwise expressly stated herein. Employee will, for example, continue to be bound by the obligations as stated in the EPIIA. This Agreement may be amended or modified only by a written amendment signed by the Parties. Employee has acknowledged that, in signing this Agreement, he has not relied on any representation, promise, or inducement not contained in writing in this Agreement.</w:t>
      </w:r>
    </w:p>
    <w:p>
      <w:pPr>
        <w:spacing w:after="0" w:line="151" w:lineRule="exact"/>
        <w:rPr>
          <w:rFonts w:ascii="Arial" w:cs="Arial" w:eastAsia="Arial" w:hAnsi="Arial"/>
          <w:sz w:val="19"/>
          <w:szCs w:val="19"/>
          <w:color w:val="auto"/>
        </w:rPr>
      </w:pPr>
    </w:p>
    <w:p>
      <w:pPr>
        <w:jc w:val="both"/>
        <w:ind w:right="80" w:firstLine="656"/>
        <w:spacing w:after="0"/>
        <w:tabs>
          <w:tab w:leader="none" w:pos="129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Unenforceability.</w:t>
      </w:r>
      <w:r>
        <w:rPr>
          <w:rFonts w:ascii="Arial" w:cs="Arial" w:eastAsia="Arial" w:hAnsi="Arial"/>
          <w:sz w:val="22"/>
          <w:szCs w:val="22"/>
          <w:color w:val="auto"/>
        </w:rPr>
        <w:t xml:space="preserve"> The invalidity or unenforceability of any particular provision of this Agreement shall not affect the other provisions hereof, and this Agreement shall be construed in all respects as if such invalid or unenforceable provisions were omitted.</w:t>
      </w:r>
    </w:p>
    <w:p>
      <w:pPr>
        <w:spacing w:after="0" w:line="186" w:lineRule="exact"/>
        <w:rPr>
          <w:rFonts w:ascii="Arial" w:cs="Arial" w:eastAsia="Arial" w:hAnsi="Arial"/>
          <w:sz w:val="22"/>
          <w:szCs w:val="22"/>
          <w:color w:val="auto"/>
        </w:rPr>
      </w:pPr>
    </w:p>
    <w:p>
      <w:pPr>
        <w:ind w:right="80" w:firstLine="656"/>
        <w:spacing w:after="0" w:line="234" w:lineRule="auto"/>
        <w:tabs>
          <w:tab w:leader="none" w:pos="129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In the event any paragraph, section, sentence, provision, or clause of this Agreement, or portion thereof, shall be determined to be illegal, invalid, or unenforceable and cannot be modified to be enforceable, the remainder of this Agreement and the remainder of any such paragraph, section, sentence, provision, or clause shall not be affected and shall be given full effect without regard to the illegal, invalid or unenforceable portion, provided, however, if Paragraph 7 above is held illegal, invalid or unenforceable, the Company shall be released from any obligations under Paragraph 2 above, and Employee shall retain all of his rights.</w:t>
      </w:r>
    </w:p>
    <w:p>
      <w:pPr>
        <w:spacing w:after="0" w:line="190" w:lineRule="exact"/>
        <w:rPr>
          <w:rFonts w:ascii="Arial" w:cs="Arial" w:eastAsia="Arial" w:hAnsi="Arial"/>
          <w:sz w:val="22"/>
          <w:szCs w:val="22"/>
          <w:color w:val="auto"/>
        </w:rPr>
      </w:pPr>
    </w:p>
    <w:p>
      <w:pPr>
        <w:ind w:right="280" w:firstLine="656"/>
        <w:spacing w:after="0" w:line="250" w:lineRule="auto"/>
        <w:tabs>
          <w:tab w:leader="none" w:pos="1296"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signed in counterparts, each of which shall be deemed an original and all of which shall constitute one and the same instrument.</w:t>
      </w:r>
    </w:p>
    <w:p>
      <w:pPr>
        <w:spacing w:after="0" w:line="174" w:lineRule="exact"/>
        <w:rPr>
          <w:rFonts w:ascii="Arial" w:cs="Arial" w:eastAsia="Arial" w:hAnsi="Arial"/>
          <w:sz w:val="22"/>
          <w:szCs w:val="22"/>
          <w:color w:val="auto"/>
        </w:rPr>
      </w:pPr>
    </w:p>
    <w:p>
      <w:pPr>
        <w:ind w:right="680" w:firstLine="656"/>
        <w:spacing w:after="0" w:line="328" w:lineRule="auto"/>
        <w:tabs>
          <w:tab w:leader="none" w:pos="129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Nature of Agreement.</w:t>
      </w:r>
      <w:r>
        <w:rPr>
          <w:rFonts w:ascii="Arial" w:cs="Arial" w:eastAsia="Arial" w:hAnsi="Arial"/>
          <w:sz w:val="19"/>
          <w:szCs w:val="19"/>
          <w:color w:val="auto"/>
        </w:rPr>
        <w:t xml:space="preserve"> Employee understands and agrees that this Agreement is a severance agreement and does not constitute an admission of liability or wrongdoing on the part of the Company.</w:t>
      </w:r>
    </w:p>
    <w:p>
      <w:pPr>
        <w:spacing w:after="0" w:line="104" w:lineRule="exact"/>
        <w:rPr>
          <w:rFonts w:ascii="Arial" w:cs="Arial" w:eastAsia="Arial" w:hAnsi="Arial"/>
          <w:sz w:val="19"/>
          <w:szCs w:val="19"/>
          <w:color w:val="auto"/>
        </w:rPr>
      </w:pPr>
    </w:p>
    <w:p>
      <w:pPr>
        <w:ind w:right="60" w:firstLine="656"/>
        <w:spacing w:after="0" w:line="287" w:lineRule="auto"/>
        <w:tabs>
          <w:tab w:leader="none" w:pos="129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shall be binding upon and inure to the benefit of the Employee, his heirs, executors and administrators and the Company and its successors and assigns. If not publicly disclosed, and if permissible under any relevant agreements or securities laws, Company will provide Employee with written notice of any merger of the Company with or into another entity or a sale of all or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1" w:name="page102"/>
    <w:bookmarkEnd w:id="101"/>
    <w:p>
      <w:pPr>
        <w:ind w:right="200"/>
        <w:spacing w:after="0" w:line="250" w:lineRule="auto"/>
        <w:rPr>
          <w:sz w:val="20"/>
          <w:szCs w:val="20"/>
          <w:color w:val="auto"/>
        </w:rPr>
      </w:pPr>
      <w:r>
        <w:rPr>
          <w:rFonts w:ascii="Arial" w:cs="Arial" w:eastAsia="Arial" w:hAnsi="Arial"/>
          <w:sz w:val="22"/>
          <w:szCs w:val="22"/>
          <w:color w:val="auto"/>
        </w:rPr>
        <w:t>substantially all of the Company’s assets or any liquidation or dissolution of the Company if such merger or sale occurs within one year of the Effective Date.</w:t>
      </w:r>
    </w:p>
    <w:p>
      <w:pPr>
        <w:spacing w:after="0" w:line="175" w:lineRule="exact"/>
        <w:rPr>
          <w:sz w:val="20"/>
          <w:szCs w:val="20"/>
          <w:color w:val="auto"/>
        </w:rPr>
      </w:pPr>
    </w:p>
    <w:p>
      <w:pPr>
        <w:ind w:right="120" w:firstLine="656"/>
        <w:spacing w:after="0" w:line="250" w:lineRule="auto"/>
        <w:tabs>
          <w:tab w:leader="none" w:pos="1296"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person signing this Agreement on behalf of the Company has the authority to bind the Company to all the terms and conditions in this Agreement.</w:t>
      </w:r>
    </w:p>
    <w:p>
      <w:pPr>
        <w:spacing w:after="0" w:line="169"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b w:val="1"/>
          <w:bCs w:val="1"/>
          <w:color w:val="auto"/>
        </w:rPr>
        <w:t>PLEASE READ CAREFULLY. THIS AGREEMENT CONTAINS A RELEASE OF ALL KNOWN AND UNKNOWN CLAIMS.</w:t>
      </w:r>
    </w:p>
    <w:p>
      <w:pPr>
        <w:spacing w:after="0" w:line="168"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Employee expressly acknowledges that he has entered this Agreement knowingly and voluntarily, without any coercion or duress, and that he has had an adequate opportunity to review the Agreement and to consult his attorney regarding it to the extent that he wishes to do so. Employee understands the contents of this Agreement, and agrees to all of its terms and conditions.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60" w:type="dxa"/>
            <w:vAlign w:val="bottom"/>
            <w:gridSpan w:val="3"/>
          </w:tcPr>
          <w:p>
            <w:pPr>
              <w:spacing w:after="0"/>
              <w:rPr>
                <w:sz w:val="20"/>
                <w:szCs w:val="20"/>
                <w:color w:val="auto"/>
              </w:rPr>
            </w:pPr>
            <w:r>
              <w:rPr>
                <w:rFonts w:ascii="Arial" w:cs="Arial" w:eastAsia="Arial" w:hAnsi="Arial"/>
                <w:sz w:val="22"/>
                <w:szCs w:val="22"/>
                <w:color w:val="auto"/>
              </w:rPr>
              <w:t>Dated:July 1, 2020</w:t>
            </w:r>
          </w:p>
        </w:tc>
        <w:tc>
          <w:tcPr>
            <w:tcW w:w="4960" w:type="dxa"/>
            <w:vAlign w:val="bottom"/>
            <w:gridSpan w:val="2"/>
          </w:tcPr>
          <w:p>
            <w:pPr>
              <w:spacing w:after="0"/>
              <w:rPr>
                <w:sz w:val="20"/>
                <w:szCs w:val="20"/>
                <w:color w:val="auto"/>
              </w:rPr>
            </w:pPr>
            <w:r>
              <w:rPr>
                <w:rFonts w:ascii="Arial" w:cs="Arial" w:eastAsia="Arial" w:hAnsi="Arial"/>
                <w:sz w:val="22"/>
                <w:szCs w:val="22"/>
                <w:color w:val="auto"/>
              </w:rPr>
              <w:t>/s/ Timothy Morris</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6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22"/>
                <w:szCs w:val="22"/>
                <w:color w:val="auto"/>
              </w:rPr>
              <w:t>Timothy Morris</w:t>
            </w:r>
          </w:p>
        </w:tc>
        <w:tc>
          <w:tcPr>
            <w:tcW w:w="0" w:type="dxa"/>
            <w:vAlign w:val="bottom"/>
          </w:tcPr>
          <w:p>
            <w:pPr>
              <w:spacing w:after="0"/>
              <w:rPr>
                <w:sz w:val="1"/>
                <w:szCs w:val="1"/>
                <w:color w:val="auto"/>
              </w:rPr>
            </w:pPr>
          </w:p>
        </w:tc>
      </w:tr>
      <w:tr>
        <w:trPr>
          <w:trHeight w:val="465"/>
        </w:trPr>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22"/>
                <w:szCs w:val="22"/>
                <w:color w:val="auto"/>
              </w:rPr>
              <w:t>Iovance Biotherapeutics, Inc.</w:t>
            </w:r>
          </w:p>
        </w:tc>
        <w:tc>
          <w:tcPr>
            <w:tcW w:w="0" w:type="dxa"/>
            <w:vAlign w:val="bottom"/>
          </w:tcPr>
          <w:p>
            <w:pPr>
              <w:spacing w:after="0"/>
              <w:rPr>
                <w:sz w:val="1"/>
                <w:szCs w:val="1"/>
                <w:color w:val="auto"/>
              </w:rPr>
            </w:pPr>
          </w:p>
        </w:tc>
      </w:tr>
      <w:tr>
        <w:trPr>
          <w:trHeight w:val="435"/>
        </w:trPr>
        <w:tc>
          <w:tcPr>
            <w:tcW w:w="4960" w:type="dxa"/>
            <w:vAlign w:val="bottom"/>
            <w:gridSpan w:val="3"/>
          </w:tcPr>
          <w:p>
            <w:pPr>
              <w:spacing w:after="0"/>
              <w:rPr>
                <w:sz w:val="20"/>
                <w:szCs w:val="20"/>
                <w:color w:val="auto"/>
              </w:rPr>
            </w:pPr>
            <w:r>
              <w:rPr>
                <w:rFonts w:ascii="Arial" w:cs="Arial" w:eastAsia="Arial" w:hAnsi="Arial"/>
                <w:sz w:val="22"/>
                <w:szCs w:val="22"/>
                <w:color w:val="auto"/>
              </w:rPr>
              <w:t>Dated:July 1, 2020</w:t>
            </w:r>
          </w:p>
        </w:tc>
        <w:tc>
          <w:tcPr>
            <w:tcW w:w="4960" w:type="dxa"/>
            <w:vAlign w:val="bottom"/>
            <w:gridSpan w:val="2"/>
          </w:tcPr>
          <w:p>
            <w:pPr>
              <w:spacing w:after="0"/>
              <w:rPr>
                <w:sz w:val="20"/>
                <w:szCs w:val="20"/>
                <w:color w:val="auto"/>
              </w:rPr>
            </w:pPr>
            <w:r>
              <w:rPr>
                <w:rFonts w:ascii="Arial" w:cs="Arial" w:eastAsia="Arial" w:hAnsi="Arial"/>
                <w:sz w:val="22"/>
                <w:szCs w:val="22"/>
                <w:color w:val="auto"/>
              </w:rPr>
              <w:t>By:  /s/ Maria Fardis</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vMerge w:val="restart"/>
          </w:tcPr>
          <w:p>
            <w:pPr>
              <w:spacing w:after="0"/>
              <w:rPr>
                <w:sz w:val="20"/>
                <w:szCs w:val="20"/>
                <w:color w:val="auto"/>
              </w:rPr>
            </w:pPr>
            <w:r>
              <w:rPr>
                <w:rFonts w:ascii="Arial" w:cs="Arial" w:eastAsia="Arial" w:hAnsi="Arial"/>
                <w:sz w:val="22"/>
                <w:szCs w:val="22"/>
                <w:color w:val="auto"/>
                <w:w w:val="96"/>
              </w:rPr>
              <w:t>Title:</w:t>
            </w:r>
          </w:p>
        </w:tc>
        <w:tc>
          <w:tcPr>
            <w:tcW w:w="4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448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Maria Fardis, Chief Executive Officer of Iovance Biotherapeutics, Inc., certify that:</w:t>
      </w:r>
    </w:p>
    <w:p>
      <w:pPr>
        <w:spacing w:after="0" w:line="225" w:lineRule="exact"/>
        <w:rPr>
          <w:sz w:val="20"/>
          <w:szCs w:val="20"/>
          <w:color w:val="auto"/>
        </w:rPr>
      </w:pPr>
    </w:p>
    <w:p>
      <w:pPr>
        <w:ind w:left="680" w:hanging="672"/>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Dated: August 6, 2020</w:t>
            </w:r>
          </w:p>
        </w:tc>
        <w:tc>
          <w:tcPr>
            <w:tcW w:w="6600" w:type="dxa"/>
            <w:vAlign w:val="bottom"/>
            <w:gridSpan w:val="2"/>
          </w:tcPr>
          <w:p>
            <w:pPr>
              <w:ind w:left="1660"/>
              <w:spacing w:after="0"/>
              <w:rPr>
                <w:sz w:val="20"/>
                <w:szCs w:val="20"/>
                <w:color w:val="auto"/>
              </w:rPr>
            </w:pPr>
            <w:r>
              <w:rPr>
                <w:rFonts w:ascii="Arial" w:cs="Arial" w:eastAsia="Arial" w:hAnsi="Arial"/>
                <w:sz w:val="18"/>
                <w:szCs w:val="18"/>
                <w:color w:val="auto"/>
              </w:rPr>
              <w:t>By: /s/ Maria Fardis, Ph.D., M.B.A.</w:t>
            </w:r>
          </w:p>
        </w:tc>
      </w:tr>
      <w:tr>
        <w:trPr>
          <w:trHeight w:val="195"/>
        </w:trPr>
        <w:tc>
          <w:tcPr>
            <w:tcW w:w="33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 Ph.D., M.B.A.</w:t>
            </w:r>
          </w:p>
        </w:tc>
      </w:tr>
      <w:tr>
        <w:trPr>
          <w:trHeight w:val="230"/>
        </w:trPr>
        <w:tc>
          <w:tcPr>
            <w:tcW w:w="3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776"/>
        </w:trPr>
        <w:tc>
          <w:tcPr>
            <w:tcW w:w="3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Michael C. Swartzburg, Interim Principal Financial Officer of Iovance Biotherapeutics, Inc., certify that:</w:t>
      </w:r>
    </w:p>
    <w:p>
      <w:pPr>
        <w:spacing w:after="0" w:line="225" w:lineRule="exact"/>
        <w:rPr>
          <w:sz w:val="20"/>
          <w:szCs w:val="20"/>
          <w:color w:val="auto"/>
        </w:rPr>
      </w:pPr>
    </w:p>
    <w:p>
      <w:pPr>
        <w:ind w:left="680" w:hanging="672"/>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60" w:hanging="652"/>
        <w:spacing w:after="0" w:line="263" w:lineRule="auto"/>
        <w:tabs>
          <w:tab w:leader="none" w:pos="6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0" w:hanging="652"/>
        <w:spacing w:after="0" w:line="263" w:lineRule="auto"/>
        <w:tabs>
          <w:tab w:leader="none" w:pos="6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28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297"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287"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40" w:hanging="652"/>
        <w:spacing w:after="0" w:line="308" w:lineRule="auto"/>
        <w:tabs>
          <w:tab w:leader="none" w:pos="687"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40" w:hanging="644"/>
        <w:spacing w:after="0" w:line="263" w:lineRule="auto"/>
        <w:tabs>
          <w:tab w:leader="none" w:pos="1277"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80" w:hanging="644"/>
        <w:spacing w:after="0" w:line="277" w:lineRule="auto"/>
        <w:tabs>
          <w:tab w:leader="none" w:pos="1287"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Dated: August 6, 2020</w:t>
            </w:r>
          </w:p>
        </w:tc>
        <w:tc>
          <w:tcPr>
            <w:tcW w:w="6620" w:type="dxa"/>
            <w:vAlign w:val="bottom"/>
            <w:gridSpan w:val="2"/>
          </w:tcPr>
          <w:p>
            <w:pPr>
              <w:ind w:left="1680"/>
              <w:spacing w:after="0"/>
              <w:rPr>
                <w:sz w:val="20"/>
                <w:szCs w:val="20"/>
                <w:color w:val="auto"/>
              </w:rPr>
            </w:pPr>
            <w:r>
              <w:rPr>
                <w:rFonts w:ascii="Arial" w:cs="Arial" w:eastAsia="Arial" w:hAnsi="Arial"/>
                <w:sz w:val="18"/>
                <w:szCs w:val="18"/>
                <w:color w:val="auto"/>
              </w:rPr>
              <w:t>By: /s/ Michael C. Swartzburg</w:t>
            </w:r>
          </w:p>
        </w:tc>
      </w:tr>
      <w:tr>
        <w:trPr>
          <w:trHeight w:val="195"/>
        </w:trPr>
        <w:tc>
          <w:tcPr>
            <w:tcW w:w="3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C. Swartzburg</w:t>
            </w:r>
          </w:p>
        </w:tc>
      </w:tr>
      <w:tr>
        <w:trPr>
          <w:trHeight w:val="230"/>
        </w:trPr>
        <w:tc>
          <w:tcPr>
            <w:tcW w:w="3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VP, Finance (Interim Principal Financial Officer)</w:t>
            </w:r>
          </w:p>
        </w:tc>
      </w:tr>
      <w:tr>
        <w:trPr>
          <w:trHeight w:val="776"/>
        </w:trPr>
        <w:tc>
          <w:tcPr>
            <w:tcW w:w="3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June 30, 2020,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Dated: August 6, 2020</w:t>
            </w:r>
          </w:p>
        </w:tc>
        <w:tc>
          <w:tcPr>
            <w:tcW w:w="6620" w:type="dxa"/>
            <w:vAlign w:val="bottom"/>
            <w:gridSpan w:val="2"/>
          </w:tcPr>
          <w:p>
            <w:pPr>
              <w:ind w:left="1660"/>
              <w:spacing w:after="0"/>
              <w:rPr>
                <w:sz w:val="20"/>
                <w:szCs w:val="20"/>
                <w:color w:val="auto"/>
              </w:rPr>
            </w:pPr>
            <w:r>
              <w:rPr>
                <w:rFonts w:ascii="Arial" w:cs="Arial" w:eastAsia="Arial" w:hAnsi="Arial"/>
                <w:sz w:val="18"/>
                <w:szCs w:val="18"/>
                <w:color w:val="auto"/>
              </w:rPr>
              <w:t>By: /s/ Maria Fardis, Ph.D., M.B.A.</w:t>
            </w:r>
          </w:p>
        </w:tc>
      </w:tr>
      <w:tr>
        <w:trPr>
          <w:trHeight w:val="195"/>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 Ph.D., M.B.A.</w:t>
            </w:r>
          </w:p>
        </w:tc>
      </w:tr>
      <w:tr>
        <w:trPr>
          <w:trHeight w:val="230"/>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June 30, 2020, as filed with the Securities and Exchange Commission on the date hereof (the “Report”), Michael C. Swartzburg, Interim Principal Financial Officer of the Company, hereby certifies, pursuant to 18 U.S.C. §1350, as adopted pursuant to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firstLine="8"/>
        <w:spacing w:after="0" w:line="277" w:lineRule="auto"/>
        <w:tabs>
          <w:tab w:leader="none" w:pos="2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Dated: August 6, 2020</w:t>
            </w:r>
          </w:p>
        </w:tc>
        <w:tc>
          <w:tcPr>
            <w:tcW w:w="6620" w:type="dxa"/>
            <w:vAlign w:val="bottom"/>
            <w:gridSpan w:val="2"/>
          </w:tcPr>
          <w:p>
            <w:pPr>
              <w:ind w:left="1680"/>
              <w:spacing w:after="0"/>
              <w:rPr>
                <w:sz w:val="20"/>
                <w:szCs w:val="20"/>
                <w:color w:val="auto"/>
              </w:rPr>
            </w:pPr>
            <w:r>
              <w:rPr>
                <w:rFonts w:ascii="Arial" w:cs="Arial" w:eastAsia="Arial" w:hAnsi="Arial"/>
                <w:sz w:val="18"/>
                <w:szCs w:val="18"/>
                <w:color w:val="auto"/>
              </w:rPr>
              <w:t>By:  /s/ Michael C. Swartzburg</w:t>
            </w:r>
          </w:p>
        </w:tc>
      </w:tr>
      <w:tr>
        <w:trPr>
          <w:trHeight w:val="195"/>
        </w:trPr>
        <w:tc>
          <w:tcPr>
            <w:tcW w:w="3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C. Swartzburg</w:t>
            </w:r>
          </w:p>
        </w:tc>
      </w:tr>
      <w:tr>
        <w:trPr>
          <w:trHeight w:val="230"/>
        </w:trPr>
        <w:tc>
          <w:tcPr>
            <w:tcW w:w="3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VP, Finance (Interim Principal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lvl w:ilvl="1">
      <w:lvlJc w:val="left"/>
      <w:lvlText w:val="%2"/>
      <w:numFmt w:val="decimal"/>
      <w:start w:val="10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lowerRoman"/>
      <w:start w:val="2"/>
    </w:lvl>
  </w:abstractNum>
  <w:abstractNum w:abstractNumId="29">
    <w:nsid w:val="3855585C"/>
    <w:multiLevelType w:val="hybridMultilevel"/>
    <w:lvl w:ilvl="0">
      <w:lvlJc w:val="left"/>
      <w:lvlText w:val="%1."/>
      <w:numFmt w:val="decimal"/>
      <w:start w:val="3"/>
    </w:lvl>
  </w:abstractNum>
  <w:abstractNum w:abstractNumId="30">
    <w:nsid w:val="70A64E2A"/>
    <w:multiLevelType w:val="hybridMultilevel"/>
    <w:lvl w:ilvl="0">
      <w:lvlJc w:val="left"/>
      <w:lvlText w:val="%1."/>
      <w:numFmt w:val="decimal"/>
      <w:start w:val="4"/>
    </w:lvl>
  </w:abstractNum>
  <w:abstractNum w:abstractNumId="31">
    <w:nsid w:val="6A2342EC"/>
    <w:multiLevelType w:val="hybridMultilevel"/>
    <w:lvl w:ilvl="0">
      <w:lvlJc w:val="left"/>
      <w:lvlText w:val="%1."/>
      <w:numFmt w:val="decimal"/>
      <w:start w:val="5"/>
    </w:lvl>
    <w:lvl w:ilvl="1">
      <w:lvlJc w:val="left"/>
      <w:lvlText w:val="(%2)"/>
      <w:numFmt w:val="lowerLetter"/>
      <w:start w:val="1"/>
    </w:lvl>
  </w:abstractNum>
  <w:abstractNum w:abstractNumId="32">
    <w:nsid w:val="2A487CB0"/>
    <w:multiLevelType w:val="hybridMultilevel"/>
    <w:lvl w:ilvl="0">
      <w:lvlJc w:val="left"/>
      <w:lvlText w:val="(%1)"/>
      <w:numFmt w:val="lowerLetter"/>
      <w:start w:val="2"/>
    </w:lvl>
  </w:abstractNum>
  <w:abstractNum w:abstractNumId="33">
    <w:nsid w:val="1D4ED43B"/>
    <w:multiLevelType w:val="hybridMultilevel"/>
    <w:lvl w:ilvl="0">
      <w:lvlJc w:val="left"/>
      <w:lvlText w:val="(%1)"/>
      <w:numFmt w:val="lowerLetter"/>
      <w:start w:val="35"/>
    </w:lvl>
  </w:abstractNum>
  <w:abstractNum w:abstractNumId="34">
    <w:nsid w:val="725A06FB"/>
    <w:multiLevelType w:val="hybridMultilevel"/>
    <w:lvl w:ilvl="0">
      <w:lvlJc w:val="left"/>
      <w:lvlText w:val="(%1)"/>
      <w:numFmt w:val="lowerLetter"/>
      <w:start w:val="61"/>
    </w:lvl>
  </w:abstractNum>
  <w:abstractNum w:abstractNumId="35">
    <w:nsid w:val="2CD89A32"/>
    <w:multiLevelType w:val="hybridMultilevel"/>
    <w:lvl w:ilvl="0">
      <w:lvlJc w:val="left"/>
      <w:lvlText w:val="%1."/>
      <w:numFmt w:val="decimal"/>
      <w:start w:val="9"/>
    </w:lvl>
    <w:lvl w:ilvl="1">
      <w:lvlJc w:val="left"/>
      <w:lvlText w:val="(%2)"/>
      <w:numFmt w:val="lowerLetter"/>
      <w:start w:val="1"/>
    </w:lvl>
  </w:abstractNum>
  <w:abstractNum w:abstractNumId="36">
    <w:nsid w:val="57E4CCAF"/>
    <w:multiLevelType w:val="hybridMultilevel"/>
    <w:lvl w:ilvl="0">
      <w:lvlJc w:val="left"/>
      <w:lvlText w:val="(%1)"/>
      <w:numFmt w:val="lowerLetter"/>
      <w:start w:val="2"/>
    </w:lvl>
  </w:abstractNum>
  <w:abstractNum w:abstractNumId="37">
    <w:nsid w:val="7A6D8D3C"/>
    <w:multiLevelType w:val="hybridMultilevel"/>
    <w:lvl w:ilvl="0">
      <w:lvlJc w:val="left"/>
      <w:lvlText w:val="%1."/>
      <w:numFmt w:val="decimal"/>
      <w:start w:val="1"/>
    </w:lvl>
    <w:lvl w:ilvl="1">
      <w:lvlJc w:val="left"/>
      <w:lvlText w:val="%2."/>
      <w:numFmt w:val="lowerLetter"/>
      <w:start w:val="1"/>
    </w:lvl>
  </w:abstractNum>
  <w:abstractNum w:abstractNumId="38">
    <w:nsid w:val="4B588F54"/>
    <w:multiLevelType w:val="hybridMultilevel"/>
    <w:lvl w:ilvl="0">
      <w:lvlJc w:val="left"/>
      <w:lvlText w:val="%1."/>
      <w:numFmt w:val="decimal"/>
      <w:start w:val="17"/>
    </w:lvl>
    <w:lvl w:ilvl="1">
      <w:lvlJc w:val="left"/>
      <w:lvlText w:val="%2."/>
      <w:numFmt w:val="decimal"/>
      <w:start w:val="3"/>
    </w:lvl>
  </w:abstractNum>
  <w:abstractNum w:abstractNumId="39">
    <w:nsid w:val="542289EC"/>
    <w:multiLevelType w:val="hybridMultilevel"/>
    <w:lvl w:ilvl="0">
      <w:lvlJc w:val="left"/>
      <w:lvlText w:val="%1."/>
      <w:numFmt w:val="decimal"/>
      <w:start w:val="6"/>
    </w:lvl>
    <w:lvl w:ilvl="1">
      <w:lvlJc w:val="left"/>
      <w:lvlText w:val="%2."/>
      <w:numFmt w:val="lowerLetter"/>
      <w:start w:val="1"/>
    </w:lvl>
  </w:abstractNum>
  <w:abstractNum w:abstractNumId="40">
    <w:nsid w:val="6DE91B18"/>
    <w:multiLevelType w:val="hybridMultilevel"/>
    <w:lvl w:ilvl="0">
      <w:lvlJc w:val="left"/>
      <w:lvlText w:val="%1"/>
      <w:numFmt w:val="decimal"/>
      <w:start w:val="1"/>
    </w:lvl>
    <w:lvl w:ilvl="1">
      <w:lvlJc w:val="left"/>
      <w:lvlText w:val="%2."/>
      <w:numFmt w:val="lowerLetter"/>
      <w:start w:val="4"/>
    </w:lvl>
  </w:abstractNum>
  <w:abstractNum w:abstractNumId="41">
    <w:nsid w:val="38437FDB"/>
    <w:multiLevelType w:val="hybridMultilevel"/>
    <w:lvl w:ilvl="0">
      <w:lvlJc w:val="left"/>
      <w:lvlText w:val="%1."/>
      <w:numFmt w:val="decimal"/>
      <w:start w:val="8"/>
    </w:lvl>
    <w:lvl w:ilvl="1">
      <w:lvlJc w:val="left"/>
      <w:lvlText w:val="%2"/>
      <w:numFmt w:val="lowerLetter"/>
      <w:start w:val="1"/>
    </w:lvl>
  </w:abstractNum>
  <w:abstractNum w:abstractNumId="42">
    <w:nsid w:val="7644A45C"/>
    <w:multiLevelType w:val="hybridMultilevel"/>
    <w:lvl w:ilvl="0">
      <w:lvlJc w:val="left"/>
      <w:lvlText w:val="%1."/>
      <w:numFmt w:val="decimal"/>
      <w:start w:val="9"/>
    </w:lvl>
    <w:lvl w:ilvl="1">
      <w:lvlJc w:val="left"/>
      <w:lvlText w:val="%2."/>
      <w:numFmt w:val="lowerLetter"/>
      <w:start w:val="1"/>
    </w:lvl>
  </w:abstractNum>
  <w:abstractNum w:abstractNumId="43">
    <w:nsid w:val="32FFF902"/>
    <w:multiLevelType w:val="hybridMultilevel"/>
    <w:lvl w:ilvl="0">
      <w:lvlJc w:val="left"/>
      <w:lvlText w:val="%1."/>
      <w:numFmt w:val="decimal"/>
      <w:start w:val="11"/>
    </w:lvl>
    <w:lvl w:ilvl="1">
      <w:lvlJc w:val="left"/>
      <w:lvlText w:val="%2."/>
      <w:numFmt w:val="lowerLetter"/>
      <w:start w:val="1"/>
    </w:lvl>
  </w:abstractNum>
  <w:abstractNum w:abstractNumId="44">
    <w:nsid w:val="684A481A"/>
    <w:multiLevelType w:val="hybridMultilevel"/>
    <w:lvl w:ilvl="0">
      <w:lvlJc w:val="left"/>
      <w:lvlText w:val="%1"/>
      <w:numFmt w:val="lowerLetter"/>
      <w:start w:val="1"/>
    </w:lvl>
    <w:lvl w:ilvl="1">
      <w:lvlJc w:val="left"/>
      <w:lvlText w:val="%2."/>
      <w:numFmt w:val="decimal"/>
      <w:start w:val="15"/>
    </w:lvl>
  </w:abstractNum>
  <w:abstractNum w:abstractNumId="45">
    <w:nsid w:val="579478FE"/>
    <w:multiLevelType w:val="hybridMultilevel"/>
    <w:lvl w:ilvl="0">
      <w:lvlJc w:val="left"/>
      <w:lvlText w:val="(%1)"/>
      <w:numFmt w:val="lowerLetter"/>
      <w:start w:val="1"/>
    </w:lvl>
    <w:lvl w:ilvl="1">
      <w:lvlJc w:val="left"/>
      <w:lvlText w:val="%2"/>
      <w:numFmt w:val="decimal"/>
      <w:start w:val="1"/>
    </w:lvl>
  </w:abstractNum>
  <w:abstractNum w:abstractNumId="46">
    <w:nsid w:val="749ABB43"/>
    <w:multiLevelType w:val="hybridMultilevel"/>
    <w:lvl w:ilvl="0">
      <w:lvlJc w:val="left"/>
      <w:lvlText w:val="(%1)"/>
      <w:numFmt w:val="lowerLetter"/>
      <w:start w:val="6"/>
    </w:lvl>
    <w:lvl w:ilvl="1">
      <w:lvlJc w:val="left"/>
      <w:lvlText w:val="%2"/>
      <w:numFmt w:val="decimal"/>
      <w:start w:val="1"/>
    </w:lvl>
  </w:abstractNum>
  <w:abstractNum w:abstractNumId="47">
    <w:nsid w:val="3DC240FB"/>
    <w:multiLevelType w:val="hybridMultilevel"/>
    <w:lvl w:ilvl="0">
      <w:lvlJc w:val="left"/>
      <w:lvlText w:val="%1."/>
      <w:numFmt w:val="decimal"/>
      <w:start w:val="18"/>
    </w:lvl>
  </w:abstractNum>
  <w:abstractNum w:abstractNumId="48">
    <w:nsid w:val="1BA026FA"/>
    <w:multiLevelType w:val="hybridMultilevel"/>
    <w:lvl w:ilvl="0">
      <w:lvlJc w:val="left"/>
      <w:lvlText w:val="%1."/>
      <w:numFmt w:val="decimal"/>
      <w:start w:val="25"/>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52" Type="http://schemas.openxmlformats.org/officeDocument/2006/relationships/hyperlink" Target="https://www.sec.gov/ix?doc=/Archives/edgar/data/1425205/000110465920024830/iova-20191231x10kab9a30.htm" TargetMode="External"/><Relationship Id="rId97" Type="http://schemas.openxmlformats.org/officeDocument/2006/relationships/hyperlink" Target="https://www.sec.gov/Archives/edgar/data/1425205/000110465920066367/tm2021089d1_ex3-1.htm" TargetMode="External"/><Relationship Id="rId98" Type="http://schemas.openxmlformats.org/officeDocument/2006/relationships/hyperlink" Target="https://www.sec.gov/Archives/edgar/data/1425205/000110465920071492/tm2022183d1_ex10-1.htm" TargetMode="External"/><Relationship Id="rId99" Type="http://schemas.openxmlformats.org/officeDocument/2006/relationships/hyperlink" Target="https://www.sec.gov/Archives/edgar/data/1425205/000110465920071492/tm2022183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2020-08-06T16:36:24Z</dcterms:created>
  <dcterms:modified xsi:type="dcterms:W3CDTF">2020-08-06T16:36:24Z</dcterms:modified>
</cp:coreProperties>
</file>