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3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9" w:lineRule="exact"/>
        <w:rPr>
          <w:rFonts w:ascii="MS PGothic" w:cs="MS PGothic" w:eastAsia="MS PGothic" w:hAnsi="MS PGothic"/>
          <w:sz w:val="18"/>
          <w:szCs w:val="18"/>
          <w:color w:val="auto"/>
        </w:rPr>
      </w:pPr>
    </w:p>
    <w:p>
      <w:pPr>
        <w:ind w:left="31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September 30, 2022</w:t>
      </w:r>
    </w:p>
    <w:p>
      <w:pPr>
        <w:spacing w:after="0" w:line="111"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9" w:lineRule="exact"/>
        <w:rPr>
          <w:sz w:val="24"/>
          <w:szCs w:val="24"/>
          <w:color w:val="auto"/>
        </w:rPr>
      </w:pPr>
    </w:p>
    <w:p>
      <w:pPr>
        <w:ind w:left="3600"/>
        <w:spacing w:after="0"/>
        <w:tabs>
          <w:tab w:leader="none" w:pos="5940" w:val="left"/>
          <w:tab w:leader="none" w:pos="6260" w:val="left"/>
        </w:tabs>
        <w:rPr>
          <w:sz w:val="20"/>
          <w:szCs w:val="20"/>
          <w:color w:val="auto"/>
        </w:rPr>
      </w:pPr>
      <w:r>
        <w:rPr>
          <w:rFonts w:ascii="Times New Roman" w:cs="Times New Roman" w:eastAsia="Times New Roman" w:hAnsi="Times New Roman"/>
          <w:sz w:val="18"/>
          <w:szCs w:val="18"/>
          <w:color w:val="auto"/>
        </w:rPr>
        <w:t>For the transition period from</w:t>
        <w:tab/>
        <w:t>to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3672840</wp:posOffset>
            </wp:positionH>
            <wp:positionV relativeFrom="paragraph">
              <wp:posOffset>-20320</wp:posOffset>
            </wp:positionV>
            <wp:extent cx="85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-20320</wp:posOffset>
            </wp:positionV>
            <wp:extent cx="85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Commission File Number 001-36860</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IOVANCE BIOTHERAPEUTICS,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as specified in its charter)</w:t>
      </w:r>
    </w:p>
    <w:p>
      <w:pPr>
        <w:spacing w:after="0" w:line="120"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370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4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75-3254381</w:t>
            </w:r>
          </w:p>
        </w:tc>
      </w:tr>
      <w:tr>
        <w:trPr>
          <w:trHeight w:val="216"/>
        </w:trPr>
        <w:tc>
          <w:tcPr>
            <w:tcW w:w="370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14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70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4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825 Industrial Road, Suite 400, San Carlos, CA 94070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(650) 260-7120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p>
      <w:pPr>
        <w:ind w:right="1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14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81" w:lineRule="exact"/>
        <w:rPr>
          <w:sz w:val="24"/>
          <w:szCs w:val="24"/>
          <w:color w:val="auto"/>
        </w:rPr>
      </w:pPr>
    </w:p>
    <w:p>
      <w:pPr>
        <w:ind w:left="180"/>
        <w:spacing w:after="0" w:line="312" w:lineRule="auto"/>
        <w:rPr>
          <w:sz w:val="20"/>
          <w:szCs w:val="20"/>
          <w:color w:val="auto"/>
        </w:rPr>
      </w:pPr>
      <w:r>
        <w:rPr>
          <w:rFonts w:ascii="Times New Roman" w:cs="Times New Roman" w:eastAsia="Times New Roman" w:hAnsi="Times New Roman"/>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ectPr>
          <w:pgSz w:w="11900" w:h="16838" w:orient="portrait"/>
          <w:cols w:equalWidth="0" w:num="3">
            <w:col w:w="1780" w:space="40"/>
            <w:col w:w="2420" w:space="720"/>
            <w:col w:w="4960"/>
          </w:cols>
          <w:pgMar w:left="980" w:top="661" w:right="999" w:bottom="1440" w:gutter="0" w:footer="0" w:header="0"/>
          <w:type w:val="continuous"/>
        </w:sectPr>
      </w:pPr>
    </w:p>
    <w:p>
      <w:pPr>
        <w:ind w:right="2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jc w:val="center"/>
        <w:ind w:left="1540" w:right="100"/>
        <w:spacing w:after="0" w:line="30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 registered pursuant to Section 12(b) of the Act:</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$0.000041666</w:t>
            </w:r>
          </w:p>
        </w:tc>
        <w:tc>
          <w:tcPr>
            <w:tcW w:w="140" w:type="dxa"/>
            <w:vAlign w:val="bottom"/>
          </w:tcPr>
          <w:p>
            <w:pPr>
              <w:spacing w:after="0"/>
              <w:rPr>
                <w:sz w:val="19"/>
                <w:szCs w:val="19"/>
                <w:color w:val="auto"/>
              </w:rPr>
            </w:pPr>
          </w:p>
        </w:tc>
        <w:tc>
          <w:tcPr>
            <w:tcW w:w="2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IOVA</w:t>
            </w: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8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At October 26, 2022, the issuer had 157,840,581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1062990</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94615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137160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360" w:type="dxa"/>
            <w:vAlign w:val="bottom"/>
            <w:tcBorders>
              <w:top w:val="single" w:sz="8" w:color="CCEEFF"/>
            </w:tcBorders>
            <w:gridSpan w:val="1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PART I FINANCIAL INFORMATION</w:t>
            </w: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4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4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0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4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1.</w:t>
            </w:r>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84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38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Unregistered Sales of Securities and Use of Proceeds</w:t>
            </w:r>
          </w:p>
        </w:tc>
        <w:tc>
          <w:tcPr>
            <w:tcW w:w="4640" w:type="dxa"/>
            <w:vAlign w:val="bottom"/>
            <w:tcBorders>
              <w:bottom w:val="single" w:sz="8" w:color="CCEEFF"/>
            </w:tcBorders>
            <w:gridSpan w:val="4"/>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4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7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Mine Safety Disclosure</w:t>
            </w:r>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4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6.</w:t>
            </w: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7860" w:type="dxa"/>
            <w:vAlign w:val="bottom"/>
            <w:tcBorders>
              <w:bottom w:val="single" w:sz="8" w:color="CCEEFF"/>
            </w:tcBorders>
            <w:gridSpan w:val="1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 and Market Data</w:t>
      </w:r>
    </w:p>
    <w:p>
      <w:pPr>
        <w:spacing w:after="0" w:line="229"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“might,” “could,” “would,” “should,” “expect,” “intend,” “plan,” “anticipate,” “believe,” “estimate,” “predict,” “project,” “aim,” “potential,” “continue,” “ongoing,” “goal,” “forecast,” “guidance,” “outlook,” or the negative of these terms or other similar expressions, although not all forward-looking statements contain these words.</w:t>
      </w:r>
    </w:p>
    <w:p>
      <w:pPr>
        <w:spacing w:after="0" w:line="18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Quarterly Report on Form 10-Q include, but are not limited to, statements about:</w:t>
      </w:r>
    </w:p>
    <w:p>
      <w:pPr>
        <w:spacing w:after="0" w:line="183"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enrollment, and timing of our clinical trials;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w:t>
      </w:r>
    </w:p>
    <w:p>
      <w:pPr>
        <w:spacing w:after="0" w:line="9" w:lineRule="exact"/>
        <w:rPr>
          <w:rFonts w:ascii="Times New Roman" w:cs="Times New Roman" w:eastAsia="Times New Roman" w:hAnsi="Times New Roman"/>
          <w:sz w:val="18"/>
          <w:szCs w:val="18"/>
          <w:color w:val="auto"/>
        </w:rPr>
      </w:pPr>
    </w:p>
    <w:p>
      <w:pPr>
        <w:ind w:left="680" w:right="2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us or our third-party contract manufacturers to continue to manufacture tumor infiltrating lymphocytes, or TIL, in accordance with our selected process;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construct and staff our own manufacturing facility on a timely basis and within the estimated expenses;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of America, or U.S., and foreign countries;</w:t>
      </w:r>
    </w:p>
    <w:p>
      <w:pPr>
        <w:spacing w:after="0" w:line="9" w:lineRule="exact"/>
        <w:rPr>
          <w:rFonts w:ascii="Times New Roman" w:cs="Times New Roman" w:eastAsia="Times New Roman" w:hAnsi="Times New Roman"/>
          <w:sz w:val="18"/>
          <w:szCs w:val="18"/>
          <w:color w:val="auto"/>
        </w:rPr>
      </w:pPr>
    </w:p>
    <w:p>
      <w:pPr>
        <w:ind w:left="680" w:right="5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U.S. Food and Drug Administration, or the FDA, or other regulatory authority approval of, or other action with respect to, our product candidates;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9" w:lineRule="exact"/>
        <w:rPr>
          <w:rFonts w:ascii="Times New Roman" w:cs="Times New Roman" w:eastAsia="Times New Roman" w:hAnsi="Times New Roman"/>
          <w:sz w:val="18"/>
          <w:szCs w:val="18"/>
          <w:color w:val="auto"/>
        </w:rPr>
      </w:pPr>
    </w:p>
    <w:p>
      <w:pPr>
        <w:ind w:left="680" w:right="106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ind w:left="680" w:right="1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research institution collaborators to continue research and development activities relating to our product candidates;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other research and development and strategic collaborations;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manufacturing methods and product candidates;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price of our common stock;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Actual results may differ from those set forth in this Quarterly Report on Form 10-Q due to the risks and uncertainties inherent in our business, including, without limitation: the FDA may not agree with our interpretation of the results of its clinical trials; later developments with the FDA that may be inconsistent with already completed FDA meetings; the preliminary clinical results, including efficacy and safety results, from ongoing Phase 2 and Phase 3 trials may not be reflected in the final analyses of these trials including new cohorts within these trials; the results obtained in our ongoing clinical trials, such as the studies and trials referred to in this Quarterly Report on Form 10-Q,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FDA’s interpretation, as well as FDA’s authority to request new or additional information; we may not be able to obtain or maintain FDA or other regulatory authority approval of its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spacing w:after="0" w:line="197"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Quarterly Report on Form 10-Q speaks only as of the date of this Quarterly Report on Form 10-Q or as of the date on which it is made. Except as required by law, we undertake no obligation to publicly update any forward-looking statements, whether because of new information, future events or otherwise, after the date of this Quarterly Report on Form 10-Q.</w:t>
      </w:r>
    </w:p>
    <w:p>
      <w:pPr>
        <w:spacing w:after="0" w:line="187"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report the terms “Iovance,” the “Company,” “we,” “us” and “our” refer to Iovance Biotherapeutics,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7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information)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118,366</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241,807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9,711</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369,884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100,746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68,268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Long-term investments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Long-term assets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545,924</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777,333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7,171</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79,245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89,200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71,943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Long-term note payable</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72,943</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152,188</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155,674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Series A Convertible Preferred stock, $0.001 par value; 17,000 shares designated, 194 shares issued and</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outstanding as of September 30, 2022 and December 31, 2021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Series B Convertible Preferred stock, $0.001 par value; 11,500,000 shares designated, 2,842,158 shares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issued and outstanding as of September 30, 2022 and December 31, 2021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 $0.000041666 par value; 300,000,000 shares authorized, 157,840,581 and 157,004,742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shares issued and outstanding as of September 30, 2022 and December 31, 2021, respectively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(2,038)</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1,858,783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1,794,695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(1,463,019)</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(1,172,445)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393,736</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621,659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545,924</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9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96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72,502</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214,208</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86,242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(100,395)</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(86,242)</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(291,842)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(290,574)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Share of Common Stock, Basic and Diluted</w:t>
            </w: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(0.63)</w:t>
            </w:r>
          </w:p>
        </w:tc>
        <w:tc>
          <w:tcPr>
            <w:tcW w:w="22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22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c>
          <w:tcPr>
            <w:tcW w:w="1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8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Shares of Common Stock Outstanding, Basic and</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157,817</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155,508</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157,404</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900" w:type="dxa"/>
            <w:vAlign w:val="bottom"/>
            <w:gridSpan w:val="5"/>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4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(242,922)</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(98,959)</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(292,011)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(242,946)</w:t>
            </w: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2022 and 2021</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40" w:type="dxa"/>
            <w:vAlign w:val="bottom"/>
            <w:gridSpan w:val="4"/>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 Sock</w:t>
            </w:r>
          </w:p>
        </w:tc>
        <w:tc>
          <w:tcPr>
            <w:tcW w:w="144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4"/>
            <w:vMerge w:val="continue"/>
          </w:tcPr>
          <w:p>
            <w:pPr>
              <w:spacing w:after="0"/>
              <w:rPr>
                <w:sz w:val="15"/>
                <w:szCs w:val="15"/>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June 30, 2022</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194</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2,842,158</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157,800,581</w:t>
            </w: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$1,838,778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(1,363,401)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472,690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19,780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upon</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 on</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w:t>
            </w: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(99,618)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88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2,842,158</w:t>
            </w:r>
          </w:p>
        </w:tc>
        <w:tc>
          <w:tcPr>
            <w:tcW w:w="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157,840,581</w:t>
            </w:r>
          </w:p>
        </w:tc>
        <w:tc>
          <w:tcPr>
            <w:tcW w:w="4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1,858,783</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80" w:type="dxa"/>
            <w:vAlign w:val="bottom"/>
          </w:tcPr>
          <w:p>
            <w:pPr>
              <w:spacing w:after="0"/>
              <w:rPr>
                <w:sz w:val="9"/>
                <w:szCs w:val="9"/>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(1,463,019)</w:t>
            </w:r>
          </w:p>
        </w:tc>
        <w:tc>
          <w:tcPr>
            <w:tcW w:w="80" w:type="dxa"/>
            <w:vAlign w:val="bottom"/>
          </w:tcPr>
          <w:p>
            <w:pPr>
              <w:spacing w:after="0"/>
              <w:rPr>
                <w:sz w:val="9"/>
                <w:szCs w:val="9"/>
                <w:color w:val="auto"/>
              </w:rPr>
            </w:pP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393,736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9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42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June 30, 2021</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2,842,158</w:t>
            </w:r>
          </w:p>
        </w:tc>
        <w:tc>
          <w:tcPr>
            <w:tcW w:w="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154,799,721</w:t>
            </w:r>
          </w:p>
        </w:tc>
        <w:tc>
          <w:tcPr>
            <w:tcW w:w="48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$1,731,363</w:t>
            </w:r>
          </w:p>
        </w:tc>
        <w:tc>
          <w:tcPr>
            <w:tcW w:w="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2"/>
                <w:szCs w:val="12"/>
                <w:color w:val="auto"/>
              </w:rPr>
            </w:pPr>
          </w:p>
        </w:tc>
        <w:tc>
          <w:tcPr>
            <w:tcW w:w="1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(986,993)</w:t>
            </w:r>
          </w:p>
        </w:tc>
        <w:tc>
          <w:tcPr>
            <w:tcW w:w="80" w:type="dxa"/>
            <w:vAlign w:val="bottom"/>
          </w:tcPr>
          <w:p>
            <w:pPr>
              <w:spacing w:after="0"/>
              <w:rPr>
                <w:sz w:val="12"/>
                <w:szCs w:val="12"/>
                <w:color w:val="auto"/>
              </w:rPr>
            </w:pPr>
          </w:p>
        </w:tc>
        <w:tc>
          <w:tcPr>
            <w:tcW w:w="2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744,413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19,306</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upon</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1,902,932</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20,771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20,771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 on short-term</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w:t>
            </w: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(86,122)</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(86,122)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88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4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2,842,158</w:t>
            </w:r>
          </w:p>
        </w:tc>
        <w:tc>
          <w:tcPr>
            <w:tcW w:w="2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156,702,653</w:t>
            </w:r>
          </w:p>
        </w:tc>
        <w:tc>
          <w:tcPr>
            <w:tcW w:w="48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1,771,440</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9"/>
                <w:szCs w:val="9"/>
                <w:color w:val="auto"/>
              </w:rPr>
            </w:pPr>
          </w:p>
        </w:tc>
        <w:tc>
          <w:tcPr>
            <w:tcW w:w="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(1,073,115)</w:t>
            </w:r>
          </w:p>
        </w:tc>
        <w:tc>
          <w:tcPr>
            <w:tcW w:w="8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698,330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8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420" w:type="dxa"/>
            <w:vAlign w:val="bottom"/>
            <w:vMerge w:val="continue"/>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 and 2021</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information)</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gridSpan w:val="4"/>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40" w:type="dxa"/>
            <w:vAlign w:val="bottom"/>
            <w:gridSpan w:val="4"/>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4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 Sock</w:t>
            </w:r>
          </w:p>
        </w:tc>
        <w:tc>
          <w:tcPr>
            <w:tcW w:w="144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6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4"/>
            <w:vMerge w:val="continue"/>
          </w:tcPr>
          <w:p>
            <w:pPr>
              <w:spacing w:after="0"/>
              <w:rPr>
                <w:sz w:val="15"/>
                <w:szCs w:val="15"/>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88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2,842,158</w:t>
            </w:r>
          </w:p>
        </w:tc>
        <w:tc>
          <w:tcPr>
            <w:tcW w:w="2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157,004,742</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$1,794,695</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shd w:val="clear" w:color="auto" w:fill="CCEEFF"/>
          </w:tcPr>
          <w:p>
            <w:pPr>
              <w:spacing w:after="0"/>
              <w:rPr>
                <w:sz w:val="9"/>
                <w:szCs w:val="9"/>
                <w:color w:val="auto"/>
              </w:rPr>
            </w:pP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(1,172,445)</w:t>
            </w:r>
          </w:p>
        </w:tc>
        <w:tc>
          <w:tcPr>
            <w:tcW w:w="8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621,659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2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60" w:type="dxa"/>
            <w:vAlign w:val="bottom"/>
            <w:gridSpan w:val="3"/>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64,513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64,513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upon</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employee stock</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shares</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898,392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issued for services</w:t>
            </w: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Tax payments related to</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retired for vested</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(346,335)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upon</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203,579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 on</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w:t>
            </w: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(290,574)</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(290,574)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880" w:type="dxa"/>
            <w:vAlign w:val="bottom"/>
            <w:shd w:val="clear" w:color="auto" w:fill="CCEEFF"/>
          </w:tcPr>
          <w:p>
            <w:pPr>
              <w:ind w:left="80"/>
              <w:spacing w:after="0" w:line="104" w:lineRule="exact"/>
              <w:rPr>
                <w:sz w:val="20"/>
                <w:szCs w:val="20"/>
                <w:color w:val="auto"/>
              </w:rPr>
            </w:pPr>
            <w:r>
              <w:rPr>
                <w:rFonts w:ascii="Times New Roman" w:cs="Times New Roman" w:eastAsia="Times New Roman" w:hAnsi="Times New Roman"/>
                <w:sz w:val="12"/>
                <w:szCs w:val="12"/>
                <w:b w:val="1"/>
                <w:bCs w:val="1"/>
                <w:color w:val="auto"/>
              </w:rPr>
              <w:t>Balance -</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2,842,158</w:t>
            </w:r>
          </w:p>
        </w:tc>
        <w:tc>
          <w:tcPr>
            <w:tcW w:w="2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157,840,581</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1,858,783</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80" w:type="dxa"/>
            <w:vAlign w:val="bottom"/>
            <w:shd w:val="clear" w:color="auto" w:fill="CCEEFF"/>
          </w:tcPr>
          <w:p>
            <w:pPr>
              <w:spacing w:after="0"/>
              <w:rPr>
                <w:sz w:val="9"/>
                <w:szCs w:val="9"/>
                <w:color w:val="auto"/>
              </w:rPr>
            </w:pP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(1,463,019)</w:t>
            </w:r>
          </w:p>
        </w:tc>
        <w:tc>
          <w:tcPr>
            <w:tcW w:w="8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393,736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80" w:type="dxa"/>
            <w:vAlign w:val="bottom"/>
            <w:shd w:val="clear" w:color="auto" w:fill="CCEEFF"/>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4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8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3,581,119</w:t>
            </w:r>
          </w:p>
        </w:tc>
        <w:tc>
          <w:tcPr>
            <w:tcW w:w="2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146,874,917</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$1,486,662</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(830,193)</w:t>
            </w:r>
          </w:p>
        </w:tc>
        <w:tc>
          <w:tcPr>
            <w:tcW w:w="8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656,498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42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60" w:type="dxa"/>
            <w:vAlign w:val="bottom"/>
            <w:gridSpan w:val="3"/>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50,661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upon</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employee stock</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55,315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upon</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2,559,361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29,992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sold in public</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6,474,099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203,154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net of offering costs</w:t>
            </w: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from</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(738,961)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738,961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stock conversion</w:t>
            </w: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 on short-term</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w:t>
            </w: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(242,922)</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880" w:type="dxa"/>
            <w:vAlign w:val="bottom"/>
            <w:shd w:val="clear" w:color="auto" w:fill="CCEEFF"/>
          </w:tcPr>
          <w:p>
            <w:pPr>
              <w:ind w:left="80"/>
              <w:spacing w:after="0" w:line="104" w:lineRule="exact"/>
              <w:rPr>
                <w:sz w:val="20"/>
                <w:szCs w:val="20"/>
                <w:color w:val="auto"/>
              </w:rPr>
            </w:pPr>
            <w:r>
              <w:rPr>
                <w:rFonts w:ascii="Times New Roman" w:cs="Times New Roman" w:eastAsia="Times New Roman" w:hAnsi="Times New Roman"/>
                <w:sz w:val="12"/>
                <w:szCs w:val="12"/>
                <w:b w:val="1"/>
                <w:bCs w:val="1"/>
                <w:color w:val="auto"/>
              </w:rPr>
              <w:t>Balance -</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2,842,158</w:t>
            </w:r>
          </w:p>
        </w:tc>
        <w:tc>
          <w:tcPr>
            <w:tcW w:w="2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156,702,653</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1,771,440</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9"/>
                <w:szCs w:val="9"/>
                <w:color w:val="auto"/>
              </w:rPr>
            </w:pP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(1,073,115)</w:t>
            </w:r>
          </w:p>
        </w:tc>
        <w:tc>
          <w:tcPr>
            <w:tcW w:w="8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698,330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80" w:type="dxa"/>
            <w:vAlign w:val="bottom"/>
            <w:shd w:val="clear" w:color="auto" w:fill="CCEEFF"/>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4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6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CCEEFF"/>
            </w:tcBorders>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(290,574)</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(242,922)</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64,513</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50,661</w:t>
            </w: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Accretion (amortization) of discounts and premiums on investments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write-off of fixed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other assets and long-term assets</w:t>
            </w: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(4,976)</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net of tenant improvement allowance received</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(5,389)</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(5,612)</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20" w:type="dxa"/>
            <w:vAlign w:val="bottom"/>
            <w:shd w:val="clear" w:color="auto" w:fill="CCEEFF"/>
          </w:tcPr>
          <w:p>
            <w:pPr>
              <w:spacing w:after="0"/>
              <w:rPr>
                <w:sz w:val="18"/>
                <w:szCs w:val="18"/>
                <w:color w:val="auto"/>
              </w:rPr>
            </w:pPr>
          </w:p>
        </w:tc>
      </w:tr>
      <w:tr>
        <w:trPr>
          <w:trHeight w:val="209"/>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(215,086)</w:t>
            </w:r>
          </w:p>
        </w:tc>
        <w:tc>
          <w:tcPr>
            <w:tcW w:w="3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(174,092)</w:t>
            </w:r>
          </w:p>
        </w:tc>
        <w:tc>
          <w:tcPr>
            <w:tcW w:w="20" w:type="dxa"/>
            <w:vAlign w:val="bottom"/>
            <w:tcBorders>
              <w:bottom w:val="single" w:sz="8" w:color="CCEEFF"/>
            </w:tcBorders>
          </w:tcPr>
          <w:p>
            <w:pPr>
              <w:spacing w:after="0"/>
              <w:rPr>
                <w:sz w:val="18"/>
                <w:szCs w:val="18"/>
                <w:color w:val="auto"/>
              </w:rPr>
            </w:pPr>
          </w:p>
        </w:tc>
      </w:tr>
      <w:tr>
        <w:trPr>
          <w:trHeight w:val="210"/>
        </w:trPr>
        <w:tc>
          <w:tcPr>
            <w:tcW w:w="6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423,586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544,454</w:t>
            </w: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investments</w:t>
            </w: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(150,189)</w:t>
            </w:r>
          </w:p>
        </w:tc>
        <w:tc>
          <w:tcPr>
            <w:tcW w:w="5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(583,654)</w:t>
            </w: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(17,403)</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(30,006)</w:t>
            </w:r>
          </w:p>
        </w:tc>
      </w:tr>
      <w:tr>
        <w:trPr>
          <w:trHeight w:val="209"/>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 (used in)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255,994</w:t>
            </w:r>
          </w:p>
        </w:tc>
        <w:tc>
          <w:tcPr>
            <w:tcW w:w="3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(69,206)</w:t>
            </w:r>
          </w:p>
        </w:tc>
        <w:tc>
          <w:tcPr>
            <w:tcW w:w="20" w:type="dxa"/>
            <w:vAlign w:val="bottom"/>
            <w:tcBorders>
              <w:bottom w:val="single" w:sz="8" w:color="CCEEFF"/>
            </w:tcBorders>
          </w:tcPr>
          <w:p>
            <w:pPr>
              <w:spacing w:after="0"/>
              <w:rPr>
                <w:sz w:val="18"/>
                <w:szCs w:val="18"/>
                <w:color w:val="auto"/>
              </w:rPr>
            </w:pPr>
          </w:p>
        </w:tc>
      </w:tr>
      <w:tr>
        <w:trPr>
          <w:trHeight w:val="210"/>
        </w:trPr>
        <w:tc>
          <w:tcPr>
            <w:tcW w:w="6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payments related to shares withheld for vested restricted stock units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(2,649)</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the issuance of common stock under employee stock purchase plan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the issuance of common stock upon exercise of options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29,992</w:t>
            </w: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the issuance of common stock, net</w:t>
            </w:r>
          </w:p>
        </w:tc>
        <w:tc>
          <w:tcPr>
            <w:tcW w:w="3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203,156</w:t>
            </w: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the issuance of debt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8"/>
                <w:szCs w:val="18"/>
                <w:color w:val="auto"/>
              </w:rPr>
            </w:pPr>
          </w:p>
        </w:tc>
      </w:tr>
      <w:tr>
        <w:trPr>
          <w:trHeight w:val="210"/>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 provided by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235,118</w:t>
            </w:r>
          </w:p>
        </w:tc>
        <w:tc>
          <w:tcPr>
            <w:tcW w:w="20" w:type="dxa"/>
            <w:vAlign w:val="bottom"/>
            <w:tcBorders>
              <w:bottom w:val="single" w:sz="8" w:color="CCEEFF"/>
            </w:tcBorders>
          </w:tcPr>
          <w:p>
            <w:pPr>
              <w:spacing w:after="0"/>
              <w:rPr>
                <w:sz w:val="18"/>
                <w:szCs w:val="18"/>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20" w:type="dxa"/>
            <w:vAlign w:val="bottom"/>
            <w:shd w:val="clear" w:color="auto" w:fill="CCEEFF"/>
          </w:tcPr>
          <w:p>
            <w:pPr>
              <w:spacing w:after="0"/>
              <w:rPr>
                <w:sz w:val="18"/>
                <w:szCs w:val="18"/>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84,313</w:t>
            </w: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72,854</w:t>
            </w:r>
          </w:p>
        </w:tc>
        <w:tc>
          <w:tcPr>
            <w:tcW w:w="20" w:type="dxa"/>
            <w:vAlign w:val="bottom"/>
            <w:tcBorders>
              <w:bottom w:val="single" w:sz="8" w:color="CCEEFF"/>
            </w:tcBorders>
          </w:tcPr>
          <w:p>
            <w:pPr>
              <w:spacing w:after="0"/>
              <w:rPr>
                <w:sz w:val="18"/>
                <w:szCs w:val="18"/>
                <w:color w:val="auto"/>
              </w:rPr>
            </w:pPr>
          </w:p>
        </w:tc>
      </w:tr>
      <w:tr>
        <w:trPr>
          <w:trHeight w:val="210"/>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124,796</w:t>
            </w:r>
          </w:p>
        </w:tc>
        <w:tc>
          <w:tcPr>
            <w:tcW w:w="3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unrealized (loss) on investments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(1,437)</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198"/>
        </w:trPr>
        <w:tc>
          <w:tcPr>
            <w:tcW w:w="68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Acquisition of property and equipment included in accounts payable and accrued</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4"/>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20" w:type="dxa"/>
            <w:vAlign w:val="bottom"/>
            <w:shd w:val="clear" w:color="auto" w:fill="CCEEFF"/>
          </w:tcPr>
          <w:p>
            <w:pPr>
              <w:spacing w:after="0"/>
              <w:rPr>
                <w:sz w:val="20"/>
                <w:szCs w:val="20"/>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convertible preferred stock to common stock</w:t>
            </w:r>
          </w:p>
        </w:tc>
        <w:tc>
          <w:tcPr>
            <w:tcW w:w="3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 from new leases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17,275</w:t>
            </w:r>
          </w:p>
        </w:tc>
        <w:tc>
          <w:tcPr>
            <w:tcW w:w="20" w:type="dxa"/>
            <w:vAlign w:val="bottom"/>
            <w:shd w:val="clear" w:color="auto" w:fill="CCEEFF"/>
          </w:tcPr>
          <w:p>
            <w:pPr>
              <w:spacing w:after="0"/>
              <w:rPr>
                <w:sz w:val="21"/>
                <w:szCs w:val="21"/>
                <w:color w:val="auto"/>
              </w:rPr>
            </w:pPr>
          </w:p>
        </w:tc>
      </w:tr>
      <w:tr>
        <w:trPr>
          <w:trHeight w:val="234"/>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 from lease modifications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20" w:type="dxa"/>
            <w:vAlign w:val="bottom"/>
          </w:tcPr>
          <w:p>
            <w:pPr>
              <w:spacing w:after="0"/>
              <w:rPr>
                <w:sz w:val="20"/>
                <w:szCs w:val="20"/>
                <w:color w:val="auto"/>
              </w:rPr>
            </w:pPr>
          </w:p>
        </w:tc>
      </w:tr>
    </w:tbl>
    <w:p>
      <w:pPr>
        <w:spacing w:after="0" w:line="17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GENERAL ORGANIZATION, BUSINESS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Organization and Business</w:t>
      </w:r>
    </w:p>
    <w:p>
      <w:pPr>
        <w:spacing w:after="0" w:line="189"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Iovance Biotherapeutics, Inc. (the “Company”) is a clinical-stage biopharmaceutical company pioneering a transformational approach to cure cancer by harnessing the human immune system’s ability to recognize and destroy diverse cancer cells in each patient. Tumor infiltrating lymphocyte (“TIL”) therapy is an autologous, polyclonal cell therapy platform technology that was originally developed by the National Cancer Institute (“NCI”), which conducted initial clinical trials of this therapy in diseases such as metastatic melanoma and cervical cancer. The Company’s mission is to be the global leader in innovating, developing and delivering TIL therapies for patients with cancer. The Company has developed a new, shorter TIL manufacturing process known as Generation 2 (“Gen 2”), which yields a cryopreserved TIL product. This centralized, proprietary, and scalable manufacturing method is being investigated in multiple indications. The Company is currently conducting clinical studies to investigate multiple TIL therapies, including its lead product candidate lifileucel for metastatic melanoma. The Company initiated a rolling Biologics License Application (“BLA”) submission to the U.S. Food and Drug Administration (“FDA”) for lifileucel in August 2022 and expects to complete the BLA submission in the fourth quarter of 2022. The Company is also developing lifileucel in metastatic cervical cancer, as well as a second TIL therapy LN-145 for metastatic non-small cell lung cancer (“NSCLC”). In addition, the Company is investigating the effectiveness and safety of combinations of TIL therapy with immune checkpoint inhibitors (“ICI”), in clinical trials in metastatic melanoma, cervical cancer, NSCLC, and head and neck squamous cell carcinoma (“HNSCC”). The Company also initiated a clinical trial and patient dosing with its first genetically modified TIL therapy, IOV-4001, in patients with previously treated metastatic melanoma and NSCLC. The Company is also developing genetically edited TIL products based on the inactivation of other genes that encode immune checkpoint proteins and the insertion of genes that encode immunomodulatory proteins. The Company’s lead peripheral blood lymphocyte (“PBL”) therapy, an autologous cell therapy platform to address blood cancers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IOV-2001, is being investigated in a clinical study for patients with relapsed or refractory chronic lymphocytic leukemia (“CLL”) and small lymphocytic lymphoma (“SLL”) through its sponsored clinical trials. On June 1, 2017, the Company reincorporated from a Nevada corporation to a Delaware corporation.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of Unaudited Condensed Consolidated Financial Information</w:t>
      </w:r>
    </w:p>
    <w:p>
      <w:pPr>
        <w:spacing w:after="0" w:line="202"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for the three and nine months ended September 30, 2022 and 2021 have been prepared in accordance with accounting principles generally accepted in the United States of America (“GAAP”) for interim financial information and pursuant to the requirements for reporting on Form 10-Q and Regulation S-X. Accordingly, they do not include all the information and footnotes required by GAAP for audited financial statements. However, such information reflects all adjustments (consisting solely of normal recurring adjustments), which are, in the opinion of management, necessary for the fair presentation of the Company's financial position and results of operations. Results shown for interim periods are not necessarily indicative of the results that may be expected for the year ended December 31, 2022 or for any other period. The condensed consolidated balance sheet as of December 31, 2021 was derived from the audited consolidated financial statements included in the Company's Annual Report on Form 10-K filed with the Securities and Exchange Commission (the “SEC”) on February 24, 2022. These interim financial statements should be read in conjunction with that report. Certain prior period amounts reported in our condensed consolidated financial statements and accompanying notes have been reclassified to conform to the current period presentation.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9" w:lineRule="exact"/>
        <w:rPr>
          <w:sz w:val="20"/>
          <w:szCs w:val="20"/>
          <w:color w:val="auto"/>
        </w:rPr>
      </w:pPr>
    </w:p>
    <w:p>
      <w:pPr>
        <w:ind w:right="100" w:firstLine="492"/>
        <w:spacing w:after="0" w:line="255" w:lineRule="auto"/>
        <w:rPr>
          <w:sz w:val="20"/>
          <w:szCs w:val="20"/>
          <w:color w:val="auto"/>
        </w:rPr>
      </w:pPr>
      <w:r>
        <w:rPr>
          <w:rFonts w:ascii="Times New Roman" w:cs="Times New Roman" w:eastAsia="Times New Roman" w:hAnsi="Times New Roman"/>
          <w:sz w:val="18"/>
          <w:szCs w:val="18"/>
          <w:color w:val="auto"/>
        </w:rPr>
        <w:t>The Company is currently engaged in the development of therapeutics to fight cancer, specifically solid tumors. The Company currently does not have any commercial products and has not yet generated any revenues from its business, nor does the Company currently anticipate that it will generate significant revenues from the sale or licensing of any of its product candidates during the twelve months from the date these consolidated financial statements are issued. The Company has incurred a net loss of $290.6 million for the nine months ended September 30, 2022 and used $215.1 million of cash in its operating activities during the nine months ended September 30, 2022. As of September 30, 2022, the Company had $366.6 million in cash, cash equivalents, investments, and restricted cash ($118.4 million of cash and cash equivalents, $241.8 million in short-term investments and $6.4 million in restricted cash).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492"/>
        <w:spacing w:after="0" w:line="273" w:lineRule="auto"/>
        <w:rPr>
          <w:sz w:val="20"/>
          <w:szCs w:val="20"/>
          <w:color w:val="auto"/>
        </w:rPr>
      </w:pPr>
      <w:r>
        <w:rPr>
          <w:rFonts w:ascii="Times New Roman" w:cs="Times New Roman" w:eastAsia="Times New Roman" w:hAnsi="Times New Roman"/>
          <w:sz w:val="17"/>
          <w:szCs w:val="17"/>
          <w:color w:val="auto"/>
        </w:rPr>
        <w:t>The Company expects to continue to incur significant expenses to support its research and development activities, on-going pre-commercial activities and completion of the construction of tenant improvements for the Iovance Cell Therapy Center (the “</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CTC”) facility during the remainder of 2022 and beyond. Specifically, the Company expects continued spending on its current and planned clinical trials, continued expansion of manufacturing activities, higher payroll expenses as the Company increases its professional and scientific staff and continuation of pre-commercial activities. Based on the funds the Company has available as of the date these consolidated financial statements are issued, the Company believes that it has sufficient capital to fund its anticipated operating expenses and capital expenditures as planned for at least the next twelve months from the date these consolidated financial statements are issued.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89"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The Company is subject to credit risk from its portfolio of cash, cash equivalents and investments. Under its investment policy, the Company limits amounts invested in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are safety and preservation of principal, diversification of risk, and liquidity of investments sufficient to meet cash flow requirements.</w:t>
      </w:r>
    </w:p>
    <w:p>
      <w:pPr>
        <w:spacing w:after="0" w:line="368" w:lineRule="exact"/>
        <w:rPr>
          <w:sz w:val="20"/>
          <w:szCs w:val="20"/>
          <w:color w:val="auto"/>
        </w:rPr>
      </w:pPr>
    </w:p>
    <w:p>
      <w:pPr>
        <w:ind w:right="4460"/>
        <w:spacing w:after="0" w:line="4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2. SUMMARY OF SIGNIFICANT ACCOUNTING POLICIES </w:t>
      </w:r>
      <w:r>
        <w:rPr>
          <w:rFonts w:ascii="Times New Roman" w:cs="Times New Roman" w:eastAsia="Times New Roman" w:hAnsi="Times New Roman"/>
          <w:sz w:val="18"/>
          <w:szCs w:val="18"/>
          <w:b w:val="1"/>
          <w:bCs w:val="1"/>
          <w:i w:val="1"/>
          <w:iCs w:val="1"/>
          <w:color w:val="auto"/>
        </w:rPr>
        <w:t>Cash, Cash Equivalents, and Investments</w:t>
      </w:r>
    </w:p>
    <w:p>
      <w:pPr>
        <w:ind w:right="80" w:firstLine="492"/>
        <w:spacing w:after="0" w:line="252" w:lineRule="auto"/>
        <w:rPr>
          <w:sz w:val="20"/>
          <w:szCs w:val="20"/>
          <w:color w:val="auto"/>
        </w:rPr>
      </w:pPr>
      <w:r>
        <w:rPr>
          <w:rFonts w:ascii="Times New Roman" w:cs="Times New Roman" w:eastAsia="Times New Roman" w:hAnsi="Times New Roman"/>
          <w:sz w:val="18"/>
          <w:szCs w:val="18"/>
          <w:color w:val="auto"/>
        </w:rPr>
        <w:t>The Company’s cash and cash equivalents include short-term investments with original maturities of three months or less when purchased. The Company's investments are classified as “available-for-sale.” The Company includes these investments in current assets or non-current assets in the Condensed Consolidated Balance Sheets based on the length of maturity from the reporting date and carries them at fair value. Unrealized gains and losses on available-for-sale securities are recorded in accumulated other comprehensive loss. Impairment losses related to credit losses (if any) are recorded as an allowance for credit losses with an offsetting entry to Interest income, net. No impairment losses related to credit losses were recognized for the three and nine months ended September 30, 2022 and 2021. The cost of debt securities is adjusted for the amortization of premiums and accretion of discounts to maturity. Such amortization and accretion are included in Interest income, net in the Condensed Consolidated Statements of Operations. Gains and losses on securities sold are recorded based on the specific identification method and are included in Interest income, net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 and places restrictions on maturities and concentration by type and issuer, except for securities issued by the U.S. government.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 xml:space="preserve">The Company maintains a required minimum balance in a segregated bank account in connection with its letters of credit for which amounts are restricted as to their use by the Company. Currently, the Company’s letters of credit are primarily comprised of one for the benefit of the landlord for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used as a security deposit for the lease in the amount $5.45 million (See Note 8 - Leases) and one for $0.6 million for the benefit of the landlord for the Company’s current headquarters’ lease. The total amount of the Company’s letters of credit is classified as Restricted Cash in the Condensed Consolidated Balance Sheets. The letter of credit for $5.45 million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$1.5 million maintained through the end of the lease term. The letter of credit with the landlord for the Company’s current headquarters’ lease expires on February 1, 2032, however, it will be automatically extended, without written agreement, for one-year periods to February in each succeeding calendar year. As of September 30, 2022 and December 31, 2021, restricted cash consisted of $6.4 million and $6.1 million, respectively. This amount has been classified as a non-current asset in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492"/>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58,590</w:t>
            </w:r>
          </w:p>
        </w:tc>
      </w:tr>
      <w:tr>
        <w:trPr>
          <w:trHeight w:val="216"/>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w:t>
            </w:r>
          </w:p>
        </w:tc>
      </w:tr>
      <w:tr>
        <w:trPr>
          <w:trHeight w:val="209"/>
        </w:trPr>
        <w:tc>
          <w:tcPr>
            <w:tcW w:w="7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124,796</w:t>
            </w:r>
          </w:p>
        </w:tc>
        <w:tc>
          <w:tcPr>
            <w:tcW w:w="2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64,674</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02" w:lineRule="exact"/>
        <w:rPr>
          <w:sz w:val="20"/>
          <w:szCs w:val="20"/>
          <w:color w:val="auto"/>
        </w:rPr>
      </w:pPr>
    </w:p>
    <w:p>
      <w:pPr>
        <w:ind w:right="440" w:firstLine="492"/>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 average number of common shares outstanding during the period.</w:t>
      </w:r>
    </w:p>
    <w:p>
      <w:pPr>
        <w:spacing w:after="0" w:line="121" w:lineRule="exact"/>
        <w:rPr>
          <w:sz w:val="20"/>
          <w:szCs w:val="20"/>
          <w:color w:val="auto"/>
        </w:rPr>
      </w:pPr>
    </w:p>
    <w:p>
      <w:pPr>
        <w:ind w:right="40" w:firstLine="492"/>
        <w:spacing w:after="0" w:line="258"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by the sum of the weighted average number of shares of common stock outstanding and the dilutive common stock equivalents outstanding during the period. The Company’s potentially dilutive common stock equivalent shares, which include incremental common shares issuable upon (i) the exercise of outstanding stock options, (ii) purchases though the 2020 Employee Stock Purchase Plan (the “2020 ESPP”), (iii) vesting of restricted stock units, and (iv) conversion of preferred stock, are only included in the calculation of diluted net loss per share when their effect is dilutive.</w:t>
      </w:r>
    </w:p>
    <w:p>
      <w:pPr>
        <w:spacing w:after="0" w:line="143" w:lineRule="exact"/>
        <w:rPr>
          <w:sz w:val="20"/>
          <w:szCs w:val="20"/>
          <w:color w:val="auto"/>
        </w:rPr>
      </w:pPr>
    </w:p>
    <w:p>
      <w:pPr>
        <w:ind w:right="800" w:firstLine="492"/>
        <w:spacing w:after="0" w:line="282" w:lineRule="auto"/>
        <w:rPr>
          <w:sz w:val="20"/>
          <w:szCs w:val="20"/>
          <w:color w:val="auto"/>
        </w:rPr>
      </w:pPr>
      <w:r>
        <w:rPr>
          <w:rFonts w:ascii="Times New Roman" w:cs="Times New Roman" w:eastAsia="Times New Roman" w:hAnsi="Times New Roman"/>
          <w:sz w:val="18"/>
          <w:szCs w:val="18"/>
          <w:color w:val="auto"/>
        </w:rPr>
        <w:t>As of September 30, 2022 and 2021, the following outstanding common stock equivalents have been excluded from the calculation of net loss per share because their impact would be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200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r>
      <w:tr>
        <w:trPr>
          <w:trHeight w:val="142"/>
        </w:trPr>
        <w:tc>
          <w:tcPr>
            <w:tcW w:w="696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14,859,674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12,537,858</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182,986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36,263</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2,454,783</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1,160,300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2,842,158</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2,842,158</w:t>
            </w:r>
          </w:p>
        </w:tc>
      </w:tr>
      <w:tr>
        <w:trPr>
          <w:trHeight w:val="228"/>
        </w:trPr>
        <w:tc>
          <w:tcPr>
            <w:tcW w:w="6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20,436,601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16,673,579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-10795</wp:posOffset>
            </wp:positionV>
            <wp:extent cx="18770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i w:val="1"/>
          <w:iCs w:val="1"/>
          <w:color w:val="auto"/>
        </w:rPr>
        <w:t>* on an as-converted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-126365</wp:posOffset>
            </wp:positionV>
            <wp:extent cx="18770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180" w:lineRule="exact"/>
        <w:rPr>
          <w:sz w:val="20"/>
          <w:szCs w:val="20"/>
          <w:color w:val="auto"/>
        </w:rPr>
      </w:pPr>
    </w:p>
    <w:p>
      <w:pPr>
        <w:ind w:right="100" w:firstLine="492"/>
        <w:spacing w:after="0" w:line="266" w:lineRule="auto"/>
        <w:rPr>
          <w:sz w:val="20"/>
          <w:szCs w:val="20"/>
          <w:color w:val="auto"/>
        </w:rPr>
      </w:pPr>
      <w:r>
        <w:rPr>
          <w:rFonts w:ascii="Times New Roman" w:cs="Times New Roman" w:eastAsia="Times New Roman" w:hAnsi="Times New Roman"/>
          <w:sz w:val="18"/>
          <w:szCs w:val="18"/>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20" w:firstLine="492"/>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Significant items subject to such estimates and assumptions include assumptions made in the fair value of equity awards and related stock-based compensation, assumptions used in measuring operating right-of-use assets and operating lease liabilities, accounting for potential liabilities, including estimates inherent in accruals related to clinical trials, and the realizability of the Company’s deferred tax assets.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89" w:lineRule="exact"/>
        <w:rPr>
          <w:sz w:val="20"/>
          <w:szCs w:val="20"/>
          <w:color w:val="auto"/>
        </w:rPr>
      </w:pPr>
    </w:p>
    <w:p>
      <w:pPr>
        <w:ind w:right="140" w:firstLine="492"/>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Iovance Biotherapeutics, Inc. and its wholly-owned subsidiaries, Iovance Biotherapeutics Manufacturing LLC, Iovance Biotherapeutics GmbH, and Iovance Biotherapeutics B.V. All intercompany accounts and transactions have been eliminated. The U.S. dollar is the functional currency for all the Company's consolidated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and thereafter, if modified. Operating leases are included in its Condensed Consolidated Balance Sheets as Operating lease right-of-use assets and Operating lease liabilities as of September 30, 2022 and December 31, 2021.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or modification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or modification date.</w:t>
      </w:r>
    </w:p>
    <w:p>
      <w:pPr>
        <w:spacing w:after="0" w:line="165"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and recorded in costs and expenses in the Condensed Consolidated Statements of Operations. The Company has elected not to apply the recognition requirements of Accounting Standards Update (“ASU”) No. 2016-02 and No. 2018-10 (together “Topic 842”) for short-term leases.</w:t>
      </w:r>
    </w:p>
    <w:p>
      <w:pPr>
        <w:spacing w:after="0" w:line="143" w:lineRule="exact"/>
        <w:rPr>
          <w:sz w:val="20"/>
          <w:szCs w:val="20"/>
          <w:color w:val="auto"/>
        </w:rPr>
      </w:pPr>
    </w:p>
    <w:p>
      <w:pPr>
        <w:ind w:right="200" w:firstLine="492"/>
        <w:spacing w:after="0" w:line="282" w:lineRule="auto"/>
        <w:rPr>
          <w:sz w:val="20"/>
          <w:szCs w:val="20"/>
          <w:color w:val="auto"/>
        </w:rPr>
      </w:pPr>
      <w:r>
        <w:rPr>
          <w:rFonts w:ascii="Times New Roman" w:cs="Times New Roman" w:eastAsia="Times New Roman" w:hAnsi="Times New Roman"/>
          <w:sz w:val="18"/>
          <w:szCs w:val="18"/>
          <w:color w:val="auto"/>
        </w:rPr>
        <w:t>For lease agreements entered into by the Company that include lease and non-lease components, such components are generally accounted for separately.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right="200" w:firstLine="492"/>
        <w:spacing w:after="0" w:line="254" w:lineRule="auto"/>
        <w:rPr>
          <w:sz w:val="20"/>
          <w:szCs w:val="20"/>
          <w:color w:val="auto"/>
        </w:rPr>
      </w:pPr>
      <w:r>
        <w:rPr>
          <w:rFonts w:ascii="Times New Roman" w:cs="Times New Roman" w:eastAsia="Times New Roman" w:hAnsi="Times New Roman"/>
          <w:sz w:val="18"/>
          <w:szCs w:val="18"/>
          <w:color w:val="auto"/>
        </w:rPr>
        <w:t>The Company periodically grants stock options to employees and non-employees as compensation for services rendered. The Company accounts for all stock-based payment awards made to employees, including the employee stock purchase plans, and non-employees in accordance with the authoritative guidance provided by the Financial Accounting Standards Board (“FASB”) where the value of the award is measured on the date of grant and recognized over the vesting period. Forfeitures are recognized in the period in which they occur.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spacing w:after="0" w:line="151" w:lineRule="exact"/>
        <w:rPr>
          <w:sz w:val="20"/>
          <w:szCs w:val="20"/>
          <w:color w:val="auto"/>
        </w:rPr>
      </w:pPr>
    </w:p>
    <w:p>
      <w:pPr>
        <w:ind w:right="40" w:firstLine="492"/>
        <w:spacing w:after="0" w:line="261" w:lineRule="auto"/>
        <w:rPr>
          <w:sz w:val="20"/>
          <w:szCs w:val="20"/>
          <w:color w:val="auto"/>
        </w:rPr>
      </w:pPr>
      <w:r>
        <w:rPr>
          <w:rFonts w:ascii="Times New Roman" w:cs="Times New Roman" w:eastAsia="Times New Roman" w:hAnsi="Times New Roman"/>
          <w:sz w:val="18"/>
          <w:szCs w:val="18"/>
          <w:color w:val="auto"/>
        </w:rPr>
        <w:t>The fair value of the Company's common stock option grants is estimated using a Black-Scholes option pricing model, which uses certain assumptions related to risk-free interest rates, expected volatility, expected term of the common stock options, and future dividends. The stock-based compensation expense is recorded based upon the value derived from the Black-Scholes option pricing model. The assumptions used in the Black-Scholes option pricing model could affect compensation expense recorded in future periods.</w:t>
      </w:r>
    </w:p>
    <w:p>
      <w:pPr>
        <w:spacing w:after="0" w:line="139" w:lineRule="exact"/>
        <w:rPr>
          <w:sz w:val="20"/>
          <w:szCs w:val="20"/>
          <w:color w:val="auto"/>
        </w:rPr>
      </w:pPr>
    </w:p>
    <w:p>
      <w:pPr>
        <w:ind w:right="100" w:firstLine="492"/>
        <w:spacing w:after="0" w:line="261" w:lineRule="auto"/>
        <w:rPr>
          <w:sz w:val="20"/>
          <w:szCs w:val="20"/>
          <w:color w:val="auto"/>
        </w:rPr>
      </w:pPr>
      <w:r>
        <w:rPr>
          <w:rFonts w:ascii="Times New Roman" w:cs="Times New Roman" w:eastAsia="Times New Roman" w:hAnsi="Times New Roman"/>
          <w:sz w:val="18"/>
          <w:szCs w:val="18"/>
          <w:color w:val="auto"/>
        </w:rPr>
        <w:t>The Company issues restricted stock units (“RSUs”) from time to time as part of its equity incentive plans. The Company measures the compensation cost with respect to RSUs issued to employees based upon the estimated fair value of the equity instruments at the date of the grant, which is recognized as an expense over the period during which an employee is required to provide services in exchange for the awards. The fair value of RSUs is based on the closing price of the Company’s common stock on the grant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189"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Clinical development costs compose a significant component of research and development costs. The Company has a history of contracting with third parties, including contract research organizations (“CROs”), independent clinical investigators, and contract manufacturing organizations (“CMOs”) that perform various clinical trial activities on the Company’s behalf in connection with the ongoing development of the Company’s product candidates. The financial terms of these contracts are subject to negotiations and may vary from contract to contract and may result in uneven payment flow. The Company accrues and expenses costs for clinical trial activities performed by third parties based upon estimates of work completed to date for each clinical trial in accordance with agreements established with CROs, hospitals, and clinical investigators. Accruals for CROs and CMOs are recorded based on estimates of services received and efforts expended pursuant to agreements established with CROs, CMOs and other outside service providers. The Company determines its estimates through discussions with internal clinical stakeholders and outside service providers as to the progress or stage of completion of clinical trials or services and the contracted fee to be paid for such services.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Included in the Company’s clinical development costs are investigator costs, which are costs associated with treatments administered at clinical sites as required under each clinical study protocol. The Company’s estimates for clinical investigator costs and timing of expense recognition will depend on a number of factors that include, but are not limited to, (i) the overall number of patients that enroll in the trial at each individual site, (ii) the length of study enrollment period, (iii) discontinuation and completion rates of patients, (iv) duration of patient safety follow-ups, (v) the number of sites included in the clinical trial, and (vi) the contracted fee of each participating site for patient treatment while on study, which can vary greatly for several reasons including, but not limited to, geographic region, medical center or physician costs, and overhead costs. In addition, the Company’s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study treatment. The Company accrues for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makes judgements and estimates in determining the accrual balance in each reporting period.</w:t>
      </w:r>
    </w:p>
    <w:p>
      <w:pPr>
        <w:spacing w:after="0" w:line="198" w:lineRule="exact"/>
        <w:rPr>
          <w:sz w:val="20"/>
          <w:szCs w:val="20"/>
          <w:color w:val="auto"/>
        </w:rPr>
      </w:pPr>
    </w:p>
    <w:p>
      <w:pPr>
        <w:ind w:right="100" w:firstLine="492"/>
        <w:spacing w:after="0" w:line="255" w:lineRule="auto"/>
        <w:rPr>
          <w:sz w:val="20"/>
          <w:szCs w:val="20"/>
          <w:color w:val="auto"/>
        </w:rPr>
      </w:pPr>
      <w:r>
        <w:rPr>
          <w:rFonts w:ascii="Times New Roman" w:cs="Times New Roman" w:eastAsia="Times New Roman" w:hAnsi="Times New Roman"/>
          <w:sz w:val="18"/>
          <w:szCs w:val="18"/>
          <w:color w:val="auto"/>
        </w:rPr>
        <w:t>In the event advance payments are made to a CRO, CMO or other outside service provider, the payments are recorded within prepaid expenses and other current assets in the Condensed Consolidated Balance Sheets and subsequently recognized as research and development expense in the Condensed Consolidated Statements of Operations when the associated services have been performed. As actual costs become known, the Company adjusts its estimates, liabilities and assets. Inputs used in the determination of estimates discussed above may vary from actual, which will result in adjustments to research and development expense in future periods. Changes in these estimates that result in material changes to the Company’s accruals could materially affect its results of operations. The Company’s historical estimates have not been materially different from actual amounts recorded.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89" w:lineRule="exact"/>
        <w:rPr>
          <w:sz w:val="20"/>
          <w:szCs w:val="20"/>
          <w:color w:val="auto"/>
        </w:rPr>
      </w:pPr>
    </w:p>
    <w:p>
      <w:pPr>
        <w:ind w:right="200" w:firstLine="492"/>
        <w:spacing w:after="0" w:line="282" w:lineRule="auto"/>
        <w:rPr>
          <w:sz w:val="20"/>
          <w:szCs w:val="20"/>
          <w:color w:val="auto"/>
        </w:rPr>
      </w:pPr>
      <w:r>
        <w:rPr>
          <w:rFonts w:ascii="Times New Roman" w:cs="Times New Roman" w:eastAsia="Times New Roman" w:hAnsi="Times New Roman"/>
          <w:sz w:val="18"/>
          <w:szCs w:val="18"/>
          <w:color w:val="auto"/>
        </w:rPr>
        <w:t>The Company operates in one segment, focused on innovating, developing and commercializing therapies using autologous TIL for the treatment of metastatic melanoma and other solid tumor cancers.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CASH EQUIVALENTS, INVESTMENTS AND FAIR VALUE MEASUREMENTS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amortized cost, fair value measurements, and fair value of cash equivalents and investments as of September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 as follows (in thousands):</w:t>
      </w:r>
    </w:p>
    <w:tbl>
      <w:tblPr>
        <w:tblLayout w:type="fixed"/>
        <w:tblInd w:w="0" w:type="dxa"/>
        <w:tblCellMar>
          <w:top w:w="0" w:type="dxa"/>
          <w:left w:w="0" w:type="dxa"/>
          <w:bottom w:w="0" w:type="dxa"/>
          <w:right w:w="0" w:type="dxa"/>
        </w:tblCellMar>
      </w:tblPr>
      <w:tr>
        <w:trPr>
          <w:trHeight w:val="146"/>
        </w:trPr>
        <w:tc>
          <w:tcPr>
            <w:tcW w:w="3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36"/>
              <w:spacing w:after="0" w:line="147"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7"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71,308</w:t>
            </w:r>
          </w:p>
        </w:tc>
        <w:tc>
          <w:tcPr>
            <w:tcW w:w="0" w:type="dxa"/>
            <w:vAlign w:val="bottom"/>
          </w:tcPr>
          <w:p>
            <w:pPr>
              <w:spacing w:after="0"/>
              <w:rPr>
                <w:sz w:val="1"/>
                <w:szCs w:val="1"/>
                <w:color w:val="auto"/>
              </w:rPr>
            </w:pPr>
          </w:p>
        </w:tc>
      </w:tr>
      <w:tr>
        <w:trPr>
          <w:trHeight w:val="210"/>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329,232</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327,194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246,767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0" w:type="dxa"/>
            <w:vAlign w:val="bottom"/>
          </w:tcPr>
          <w:p>
            <w:pPr>
              <w:spacing w:after="0"/>
              <w:rPr>
                <w:sz w:val="1"/>
                <w:szCs w:val="1"/>
                <w:color w:val="auto"/>
              </w:rPr>
            </w:pPr>
          </w:p>
        </w:tc>
      </w:tr>
      <w:tr>
        <w:trPr>
          <w:trHeight w:val="209"/>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154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579,620</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579,018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492"/>
        <w:spacing w:after="0" w:line="282" w:lineRule="auto"/>
        <w:rPr>
          <w:sz w:val="20"/>
          <w:szCs w:val="20"/>
          <w:color w:val="auto"/>
        </w:rPr>
      </w:pPr>
      <w:r>
        <w:rPr>
          <w:rFonts w:ascii="Times New Roman" w:cs="Times New Roman" w:eastAsia="Times New Roman" w:hAnsi="Times New Roman"/>
          <w:sz w:val="18"/>
          <w:szCs w:val="18"/>
          <w:color w:val="auto"/>
        </w:rPr>
        <w:t>The fair value of cash equivalents and investments as of September 30, 2022 and December 31, 2021 are classified as follows in the Company’s Consolidated Balance Sheets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Classified as:</w:t>
            </w:r>
          </w:p>
        </w:tc>
        <w:tc>
          <w:tcPr>
            <w:tcW w:w="304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CCEEFF"/>
            </w:tcBorders>
            <w:vMerge w:val="continue"/>
          </w:tcPr>
          <w:p>
            <w:pPr>
              <w:spacing w:after="0"/>
              <w:rPr>
                <w:sz w:val="17"/>
                <w:szCs w:val="17"/>
                <w:color w:val="auto"/>
              </w:rPr>
            </w:pPr>
          </w:p>
        </w:tc>
        <w:tc>
          <w:tcPr>
            <w:tcW w:w="30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426,181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91,588</w:t>
            </w:r>
          </w:p>
        </w:tc>
        <w:tc>
          <w:tcPr>
            <w:tcW w:w="0" w:type="dxa"/>
            <w:vAlign w:val="bottom"/>
          </w:tcPr>
          <w:p>
            <w:pPr>
              <w:spacing w:after="0"/>
              <w:rPr>
                <w:sz w:val="1"/>
                <w:szCs w:val="1"/>
                <w:color w:val="auto"/>
              </w:rPr>
            </w:pPr>
          </w:p>
        </w:tc>
      </w:tr>
      <w:tr>
        <w:trPr>
          <w:trHeight w:val="210"/>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30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327,194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579,018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492"/>
        <w:spacing w:after="0" w:line="255" w:lineRule="auto"/>
        <w:rPr>
          <w:sz w:val="20"/>
          <w:szCs w:val="20"/>
          <w:color w:val="auto"/>
        </w:rPr>
      </w:pPr>
      <w:r>
        <w:rPr>
          <w:rFonts w:ascii="Times New Roman" w:cs="Times New Roman" w:eastAsia="Times New Roman" w:hAnsi="Times New Roman"/>
          <w:sz w:val="18"/>
          <w:szCs w:val="18"/>
          <w:color w:val="auto"/>
        </w:rPr>
        <w:t>Cash equivalents in the tables above exclude cash demand deposits of $33.0 million and $17.0 million as of September 30, 2022 and December 31, 2021, respectively. Unrealized gains and losses are included in accumulated other comprehensive loss, and as of September 30, 2022 and December 31, 2021 no unrealized losses on available-for-sale securities have resulted from credit risk. All available-for-sale securities held as of September 30, 2022 and December 31, 2021 had contractual maturities of less than two years. No available-for-sale securities held as of the periods presented have been in a continuous unrealized loss position for more than 12 months. The Company determined that it has the ability and intent to hold all marketable securities that have been in a continuous loss position until maturity or recovery. To date, the Company has not recorded any impairment charges on its marketable securities.</w:t>
      </w:r>
    </w:p>
    <w:p>
      <w:pPr>
        <w:spacing w:after="0" w:line="162" w:lineRule="exact"/>
        <w:rPr>
          <w:sz w:val="20"/>
          <w:szCs w:val="20"/>
          <w:color w:val="auto"/>
        </w:rPr>
      </w:pPr>
    </w:p>
    <w:p>
      <w:pPr>
        <w:ind w:right="260"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cash equivalents and available-for-sale investments by contractual maturity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142"/>
        </w:trPr>
        <w:tc>
          <w:tcPr>
            <w:tcW w:w="7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329,232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327,194</w:t>
            </w:r>
          </w:p>
        </w:tc>
      </w:tr>
      <w:tr>
        <w:trPr>
          <w:trHeight w:val="210"/>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329,232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327,194</w:t>
            </w: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ind w:right="60" w:firstLine="492"/>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fair value of the Company’s financial assets that are measured at fair value on a recurring basis, which consist of cash equivalents and short-term and long-term investments classified as available-for-sale securities, are categorized in the table below based upon the lowest level of significant input to the valuations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0"/>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Assets at Fair Value as of September 30, 2022</w:t>
            </w:r>
          </w:p>
        </w:tc>
        <w:tc>
          <w:tcPr>
            <w:tcW w:w="760" w:type="dxa"/>
            <w:vAlign w:val="bottom"/>
            <w:tcBorders>
              <w:bottom w:val="single" w:sz="8" w:color="auto"/>
            </w:tcBorders>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70,777</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71,308</w:t>
            </w:r>
          </w:p>
        </w:tc>
      </w:tr>
      <w:tr>
        <w:trPr>
          <w:trHeight w:val="21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242,428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84,766</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327,194</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59"/>
        </w:trPr>
        <w:tc>
          <w:tcPr>
            <w:tcW w:w="5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2021</w:t>
            </w:r>
          </w:p>
        </w:tc>
        <w:tc>
          <w:tcPr>
            <w:tcW w:w="760" w:type="dxa"/>
            <w:vAlign w:val="bottom"/>
            <w:tcBorders>
              <w:bottom w:val="single" w:sz="8" w:color="auto"/>
            </w:tcBorders>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246,767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246,767</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35,588</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w:t>
            </w:r>
          </w:p>
        </w:tc>
      </w:tr>
      <w:tr>
        <w:trPr>
          <w:trHeight w:val="209"/>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303,017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276,001</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579,018</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20" w:firstLine="492"/>
        <w:spacing w:after="0" w:line="312" w:lineRule="auto"/>
        <w:rPr>
          <w:sz w:val="20"/>
          <w:szCs w:val="20"/>
          <w:color w:val="auto"/>
        </w:rPr>
      </w:pPr>
      <w:r>
        <w:rPr>
          <w:rFonts w:ascii="Times New Roman" w:cs="Times New Roman" w:eastAsia="Times New Roman" w:hAnsi="Times New Roman"/>
          <w:sz w:val="17"/>
          <w:szCs w:val="17"/>
          <w:color w:val="auto"/>
        </w:rPr>
        <w:t>Level 2 assets consist of commercial paper and government agency securities. Level 2 inputs for the valuations are limited to quoted prices for similar assets or liabilities in active markets and inputs other than quoted prices that are observable for the asset.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PROPERTY AND EQUIPMENT, NET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4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80" w:type="dxa"/>
            <w:vAlign w:val="bottom"/>
            <w:tcBorders>
              <w:bottom w:val="single" w:sz="8" w:color="CCEEFF"/>
            </w:tcBorders>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57,817</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Lab, process, and validation equipment</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equipment</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35,782</w:t>
            </w:r>
          </w:p>
        </w:tc>
      </w:tr>
      <w:tr>
        <w:trPr>
          <w:trHeight w:val="209"/>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cost</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109,627</w:t>
            </w:r>
          </w:p>
        </w:tc>
      </w:tr>
      <w:tr>
        <w:trPr>
          <w:trHeight w:val="216"/>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(8,689)</w:t>
            </w:r>
          </w:p>
        </w:tc>
      </w:tr>
      <w:tr>
        <w:trPr>
          <w:trHeight w:val="209"/>
        </w:trPr>
        <w:tc>
          <w:tcPr>
            <w:tcW w:w="5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100,746</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100,938</w:t>
            </w:r>
          </w:p>
        </w:tc>
      </w:tr>
      <w:tr>
        <w:trPr>
          <w:trHeight w:val="20"/>
        </w:trPr>
        <w:tc>
          <w:tcPr>
            <w:tcW w:w="5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for the three months ended September 30, 2022 and 2021, was $2.5 million and $1.0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nine months ended September 30, 2022 and 2021, was $6.5 million and $1.8 million, respectively.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ACCRUED EXPENSES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employee related expenses</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Clinical related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18,167</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related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Facilities related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related services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10"/>
        </w:trPr>
        <w:tc>
          <w:tcPr>
            <w:tcW w:w="7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47,819</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56,766</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STOCKHOLDERS’ EQUITY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jc w:val="both"/>
        <w:ind w:right="260" w:firstLine="492"/>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authorizes the issuance of up to 300,000,000 shares of the Company’s common stock, par value $0.000041666. As of September 30, 2022, 157,840,581 shares of the Company’s common stock were issued and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 Program</w:t>
      </w:r>
    </w:p>
    <w:p>
      <w:pPr>
        <w:spacing w:after="0" w:line="202" w:lineRule="exact"/>
        <w:rPr>
          <w:sz w:val="20"/>
          <w:szCs w:val="20"/>
          <w:color w:val="auto"/>
        </w:rPr>
      </w:pPr>
    </w:p>
    <w:p>
      <w:pPr>
        <w:ind w:right="20" w:firstLine="492"/>
        <w:spacing w:after="0" w:line="256" w:lineRule="auto"/>
        <w:rPr>
          <w:sz w:val="20"/>
          <w:szCs w:val="20"/>
          <w:color w:val="auto"/>
        </w:rPr>
      </w:pPr>
      <w:r>
        <w:rPr>
          <w:rFonts w:ascii="Times New Roman" w:cs="Times New Roman" w:eastAsia="Times New Roman" w:hAnsi="Times New Roman"/>
          <w:sz w:val="18"/>
          <w:szCs w:val="18"/>
          <w:color w:val="auto"/>
        </w:rPr>
        <w:t>On February 8, 2021, the Company entered into an Open Market Sale Agreement (the “Sales Agreement”) with Jefferies LLC (“Jefferies”) with respect to an “at the market” offering program, under which the Company may, from time to time, in its sole discretion, issue and sell through Jefferies, acting as sales agent, up to $350.0 million of shares of the Company’s common stock (the “Common Shares”). The issuance and sale, if any, of the Common Shares by the Company under the Sales Agreement will be made pursuant to a prospectus supplement, dated February 8, 2021, to the Company’s Registration Statement on Form S-3ASR, which became effective immediately upon filing with the SEC on May 27,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492"/>
        <w:spacing w:after="0" w:line="256" w:lineRule="auto"/>
        <w:rPr>
          <w:sz w:val="20"/>
          <w:szCs w:val="20"/>
          <w:color w:val="auto"/>
        </w:rPr>
      </w:pPr>
      <w:r>
        <w:rPr>
          <w:rFonts w:ascii="Times New Roman" w:cs="Times New Roman" w:eastAsia="Times New Roman" w:hAnsi="Times New Roman"/>
          <w:sz w:val="18"/>
          <w:szCs w:val="18"/>
          <w:color w:val="auto"/>
        </w:rPr>
        <w:t>Pursuant to the Sales Agreement, Jefferies may sell the Common Shares by any method permitted by law deemed to be an “at the market” offering as defined in Rule 415 of the Securities Act of 1933, as amended.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 The Company will pay Jefferies a commission of up to 3.0% of the gross sales proceeds of any Common Shares sold through Jefferies under the Sales Agreement.</w:t>
      </w:r>
    </w:p>
    <w:p>
      <w:pPr>
        <w:spacing w:after="0" w:line="147" w:lineRule="exact"/>
        <w:rPr>
          <w:sz w:val="20"/>
          <w:szCs w:val="20"/>
          <w:color w:val="auto"/>
        </w:rPr>
      </w:pPr>
    </w:p>
    <w:p>
      <w:pPr>
        <w:ind w:right="480" w:firstLine="492"/>
        <w:spacing w:after="0" w:line="266" w:lineRule="auto"/>
        <w:rPr>
          <w:sz w:val="20"/>
          <w:szCs w:val="20"/>
          <w:color w:val="auto"/>
        </w:rPr>
      </w:pPr>
      <w:r>
        <w:rPr>
          <w:rFonts w:ascii="Times New Roman" w:cs="Times New Roman" w:eastAsia="Times New Roman" w:hAnsi="Times New Roman"/>
          <w:sz w:val="18"/>
          <w:szCs w:val="18"/>
          <w:color w:val="auto"/>
        </w:rPr>
        <w:t>The Company is not obligated to make any sales of Common Shares under the Sales Agreement. The offering of Common Shares pursuant to the Sales Agreement will terminate upon the earlier to occur of (i) the issuance and sale, through Jefferies, of all Common Shares subject to the Sales Agreement and (ii) termination of the Sales Agreement in accordance with its terms.</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sales were made pursuant to the Sales Agreement during the three and nine months ended September 30, 2022 and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September 30, 2021. During the nine months ended September 30, 2021, the Company received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$203.2 million in proceeds, net of offering costs, through the sale of 6,474,099 shares of its common stock through the Sales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 weighted average price per share of $32.12.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89" w:lineRule="exact"/>
        <w:rPr>
          <w:sz w:val="20"/>
          <w:szCs w:val="20"/>
          <w:color w:val="auto"/>
        </w:rPr>
      </w:pPr>
    </w:p>
    <w:p>
      <w:pPr>
        <w:ind w:right="200" w:firstLine="492"/>
        <w:spacing w:after="0" w:line="289" w:lineRule="auto"/>
        <w:rPr>
          <w:sz w:val="20"/>
          <w:szCs w:val="20"/>
          <w:color w:val="auto"/>
        </w:rPr>
      </w:pPr>
      <w:r>
        <w:rPr>
          <w:rFonts w:ascii="Times New Roman" w:cs="Times New Roman" w:eastAsia="Times New Roman" w:hAnsi="Times New Roman"/>
          <w:sz w:val="17"/>
          <w:szCs w:val="17"/>
          <w:color w:val="auto"/>
        </w:rPr>
        <w:t>The Company’s certificate of incorporation authorizes the issuance of up to 50,000,000 shares of “blank check” preferred stock. As of September 30, 2022, 17,000 shares were designated as Series A Convertible Preferred Stock (“Series A Convertible Preferred Stock”) and 11,500,000 shares were designated as Series B Convertible Preferred Stock (“Series B Convertible Preferred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189" w:lineRule="exact"/>
        <w:rPr>
          <w:sz w:val="20"/>
          <w:szCs w:val="20"/>
          <w:color w:val="auto"/>
        </w:rPr>
      </w:pPr>
    </w:p>
    <w:p>
      <w:pPr>
        <w:ind w:right="180" w:firstLine="492"/>
        <w:spacing w:after="0" w:line="261" w:lineRule="auto"/>
        <w:rPr>
          <w:sz w:val="20"/>
          <w:szCs w:val="20"/>
          <w:color w:val="auto"/>
        </w:rPr>
      </w:pPr>
      <w:r>
        <w:rPr>
          <w:rFonts w:ascii="Times New Roman" w:cs="Times New Roman" w:eastAsia="Times New Roman" w:hAnsi="Times New Roman"/>
          <w:sz w:val="18"/>
          <w:szCs w:val="18"/>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pacing w:after="0" w:line="139"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shares of Series A Convertible Preferred Stock were converted during the three and nine months ended September 30, 2022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As of September 30, 2022 and December 31, 2021, 194 shares of Series A Convertible Preferred Stock (that are convertible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97,000 shares of common stock) remained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w:t>
      </w:r>
    </w:p>
    <w:p>
      <w:pPr>
        <w:spacing w:after="0" w:line="189" w:lineRule="exact"/>
        <w:rPr>
          <w:sz w:val="20"/>
          <w:szCs w:val="20"/>
          <w:color w:val="auto"/>
        </w:rPr>
      </w:pPr>
    </w:p>
    <w:p>
      <w:pPr>
        <w:ind w:right="80" w:firstLine="492"/>
        <w:spacing w:after="0" w:line="281" w:lineRule="auto"/>
        <w:rPr>
          <w:sz w:val="20"/>
          <w:szCs w:val="20"/>
          <w:color w:val="auto"/>
        </w:rPr>
      </w:pPr>
      <w:r>
        <w:rPr>
          <w:rFonts w:ascii="Times New Roman" w:cs="Times New Roman" w:eastAsia="Times New Roman" w:hAnsi="Times New Roman"/>
          <w:sz w:val="17"/>
          <w:szCs w:val="17"/>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spacing w:after="0" w:line="137"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The Series B Convertible Preferred Stock may, at the option of each investor, be converted into fully paid and non-assessable shares of common stock. The holders of shares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492"/>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2022, no shares of Series B Convertible Preferred Stock were converted into shares of common stock. During the nine months ended September 30, 2021, a total of 738,961 of Series B Convertible Preferred Stock were converted into 738,961 shares of common stock. No shares of Series B Convertible Preferred Stock were converted into shares of common stock during the three months ended September 30, 2021. As of September 30, 2022 and December 31, 2021, 2,842,158 shares of Series B Preferred Stock (that are convertible into 2,842,158 shares of common stock) remained outstanding.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02"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Company has multiple equity incentive plans under which it grants awards. As of September 30, 2022, there are 8,954 shares available to grant under the 2014 Equity Incentive Plan (the “2014 Plan”).</w:t>
      </w:r>
    </w:p>
    <w:p>
      <w:pPr>
        <w:spacing w:after="0" w:line="121"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On April 22, 2018, the Company’s board of directors (the “Board”) adopted the Iovance Biotherapeutics, Inc. 2018 Equity Incentive Plan (the “2018 Plan”), which was approved by the Company’s stockholders in June 2018. The 2018 Plan as approved initially authorized the issuance up to an aggregate of 6,000,000 shares of common stock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under the 2018 Plan from 6,000,000 to 14,000,000 shares, which became effective immediately. Additionally, on June 10, 2022, the Company’s stockholders approved an amendment to the 2018 Plan to increase the number of shares available for issuance under the 2018 Plan from 14,000,000 to 20,700,000 shares, which became effective immediately. As of September 30, 2022, 7,273,608 shares of common stock were available for grant under the Company’s 2018 Plan.</w:t>
      </w:r>
    </w:p>
    <w:p>
      <w:pPr>
        <w:spacing w:after="0" w:line="148" w:lineRule="exact"/>
        <w:rPr>
          <w:sz w:val="20"/>
          <w:szCs w:val="20"/>
          <w:color w:val="auto"/>
        </w:rPr>
      </w:pPr>
    </w:p>
    <w:p>
      <w:pPr>
        <w:ind w:right="160" w:firstLine="492"/>
        <w:spacing w:after="0" w:line="256" w:lineRule="auto"/>
        <w:rPr>
          <w:sz w:val="20"/>
          <w:szCs w:val="20"/>
          <w:color w:val="auto"/>
        </w:rPr>
      </w:pPr>
      <w:r>
        <w:rPr>
          <w:rFonts w:ascii="Times New Roman" w:cs="Times New Roman" w:eastAsia="Times New Roman" w:hAnsi="Times New Roman"/>
          <w:sz w:val="18"/>
          <w:szCs w:val="18"/>
          <w:color w:val="auto"/>
        </w:rPr>
        <w:t>On September 22, 2021, the Board adopted the Iovance Biotherapeutics, Inc. 2021 Inducement Plan (the “2021 Inducement Plan”). The 2021 Inducement Plan provides for the grant of non-qualified options, common stock, stock appreciation rights, restricted stock awards, restricted stock units, other stock-based awards, other cash-based awards, or any combination of the foregoing. The 2021 Inducement Plan was recommended for approval by the Compensation Committee of the Board (the “Compensation Committee”), and subsequently approved and adopted by the Board without stockholder approval pursuant to Rule 5635(c)(4) of the rules and regulations of The Nasdaq Stock Market, LLC (the “Nasdaq Listing Rules”).</w:t>
      </w:r>
    </w:p>
    <w:p>
      <w:pPr>
        <w:spacing w:after="0" w:line="160"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Board initially reserved 1,000,000 shares of the Company’s common stock for issuance pursuant to equity awards granted under the 2021 Inducement Plan, and the 2021 Inducement Plan is administered by the Compensation Committee. On January 12, 2022, the Compensation Committee approved an amendment to the 2021 Inducement Plan solely to increase the number of shares reserved for issuance under the 2021 Inducement Plan from 1,000,000 shares of the Company’s common stock to 1,750,000 shares of the Company’s common stock without stockholder approval pursuant to Rule 5635(c)(4) of the Nasdaq Listing Rules.</w:t>
      </w:r>
    </w:p>
    <w:p>
      <w:pPr>
        <w:spacing w:after="0" w:line="143"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In accordance with Rule 5635(c)(4) of the Nasdaq Listing Rules, equity awards under the 2021 Inducement Plan may only be made to an employee if such employee is granted such equity awards in connection with his or her commencement of employment with the Company or a subsidiary and such grant is an inducement material to his or her entering into employment with the Company or such subsidiary. In addition, awards under the 2021 Inducement Plan may only be made to employees who have not previously been an employee or member of the Board (or any parent or subsidiary of the Company) or following a bona fide period of non-employment of the employee by the Company (or a parent or subsidiary of the Company). As of September 30, 2022, 55,775 shares of common stock were available for grant under the 2021 Inducement Plan.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stock option activity during the nine months ended September 30, 2022, is presented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w:t>
            </w: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12,520,865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2,976,652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(203,579)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Expired/Cancelled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(434,264)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14,859,674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 vested and expected to vest at September 30, 2022</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14,859,674</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22.98</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7.43</w:t>
            </w:r>
          </w:p>
        </w:tc>
        <w:tc>
          <w:tcPr>
            <w:tcW w:w="2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September 30, 2022</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8,916,117</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22.22</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6.43</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60" w:firstLine="492"/>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$71.1 million of total unrecognized compensation expense related to the options that is expected to be recognized over a weighted average period of 1.84 years.</w:t>
      </w:r>
    </w:p>
    <w:p>
      <w:pPr>
        <w:spacing w:after="0" w:line="135" w:lineRule="exact"/>
        <w:rPr>
          <w:sz w:val="20"/>
          <w:szCs w:val="20"/>
          <w:color w:val="auto"/>
        </w:rPr>
      </w:pPr>
    </w:p>
    <w:p>
      <w:pPr>
        <w:ind w:right="120" w:firstLine="492"/>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for employee options granted under the Company’s stock option plans during the nine months ended September 30, 2022 and 2021 was $8.78 and $23.29 per option, respectively.</w:t>
      </w:r>
    </w:p>
    <w:p>
      <w:pPr>
        <w:spacing w:after="0" w:line="121" w:lineRule="exact"/>
        <w:rPr>
          <w:sz w:val="20"/>
          <w:szCs w:val="20"/>
          <w:color w:val="auto"/>
        </w:rPr>
      </w:pPr>
    </w:p>
    <w:p>
      <w:pPr>
        <w:ind w:right="80" w:firstLine="492"/>
        <w:spacing w:after="0" w:line="258" w:lineRule="auto"/>
        <w:rPr>
          <w:sz w:val="20"/>
          <w:szCs w:val="20"/>
          <w:color w:val="auto"/>
        </w:rPr>
      </w:pPr>
      <w:r>
        <w:rPr>
          <w:rFonts w:ascii="Times New Roman" w:cs="Times New Roman" w:eastAsia="Times New Roman" w:hAnsi="Times New Roman"/>
          <w:sz w:val="18"/>
          <w:szCs w:val="18"/>
          <w:color w:val="auto"/>
        </w:rPr>
        <w:t>The aggregate intrinsic value in the table above reflects the total pre-tax intrinsic value (calculated as the difference between the Company’s closing stock price on the last trading day of the quarter ended September 30, 2022 and the exercise price of the options, multiplied by the number of in-the-money stock options) that would have been received by the option holders had all option holders exercised their options on September 30, 2022. The intrinsic value of the Company’s stock options changes based on the closing price of the Company’s common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02" w:lineRule="exact"/>
        <w:rPr>
          <w:sz w:val="20"/>
          <w:szCs w:val="20"/>
          <w:color w:val="auto"/>
        </w:rPr>
      </w:pPr>
    </w:p>
    <w:p>
      <w:pPr>
        <w:jc w:val="both"/>
        <w:ind w:right="140" w:firstLine="492"/>
        <w:spacing w:after="0" w:line="282" w:lineRule="auto"/>
        <w:rPr>
          <w:sz w:val="20"/>
          <w:szCs w:val="20"/>
          <w:color w:val="auto"/>
        </w:rPr>
      </w:pPr>
      <w:r>
        <w:rPr>
          <w:rFonts w:ascii="Times New Roman" w:cs="Times New Roman" w:eastAsia="Times New Roman" w:hAnsi="Times New Roman"/>
          <w:sz w:val="18"/>
          <w:szCs w:val="18"/>
          <w:color w:val="auto"/>
        </w:rPr>
        <w:t>In June 2020, the Company adopted the 2020 ESPP upon its approval by the Company’s shareholders at its Annual Stockholders Meeting on June 8, 2020. The Company reserved 500,000 shares of its common stock for issuance under the 2020 ESPP.</w:t>
      </w:r>
    </w:p>
    <w:p>
      <w:pPr>
        <w:spacing w:after="0" w:line="121" w:lineRule="exact"/>
        <w:rPr>
          <w:sz w:val="20"/>
          <w:szCs w:val="20"/>
          <w:color w:val="auto"/>
        </w:rPr>
      </w:pPr>
    </w:p>
    <w:p>
      <w:pPr>
        <w:ind w:right="140" w:firstLine="492"/>
        <w:spacing w:after="0" w:line="261" w:lineRule="auto"/>
        <w:rPr>
          <w:sz w:val="20"/>
          <w:szCs w:val="20"/>
          <w:color w:val="auto"/>
        </w:rPr>
      </w:pPr>
      <w:r>
        <w:rPr>
          <w:rFonts w:ascii="Times New Roman" w:cs="Times New Roman" w:eastAsia="Times New Roman" w:hAnsi="Times New Roman"/>
          <w:sz w:val="18"/>
          <w:szCs w:val="18"/>
          <w:color w:val="auto"/>
        </w:rPr>
        <w:t>Under the 2020 ESPP, employees of the Company can purchase shares of its common stock based on a percentage of their compensation subject to certain limits. The purchase price per share is equal to the lower of 85% of the fair market value of its common stock on the offering date or the purchase date with a six month look-back feature. The 2020 ESPP purchases are settled with common stock from the 2020 ESPP’s previously authorized and available pool of shares.</w:t>
      </w:r>
    </w:p>
    <w:p>
      <w:pPr>
        <w:spacing w:after="0" w:line="139" w:lineRule="exact"/>
        <w:rPr>
          <w:sz w:val="20"/>
          <w:szCs w:val="20"/>
          <w:color w:val="auto"/>
        </w:rPr>
      </w:pPr>
    </w:p>
    <w:p>
      <w:pPr>
        <w:ind w:right="80" w:firstLine="492"/>
        <w:spacing w:after="0" w:line="258" w:lineRule="auto"/>
        <w:rPr>
          <w:sz w:val="20"/>
          <w:szCs w:val="20"/>
          <w:color w:val="auto"/>
        </w:rPr>
      </w:pPr>
      <w:r>
        <w:rPr>
          <w:rFonts w:ascii="Times New Roman" w:cs="Times New Roman" w:eastAsia="Times New Roman" w:hAnsi="Times New Roman"/>
          <w:sz w:val="18"/>
          <w:szCs w:val="18"/>
          <w:color w:val="auto"/>
        </w:rPr>
        <w:t>The compensation expense related to the 2020 ESPP for the three months ended September 30, 2022 and 2021 was $0.4 million and $0.2 million, respectively. The compensation expense related to the 2020 ESPP for the nine months ended September 30, 2022 and 2021 was $0.9 million and $1.0 million, respectively. As of September 30, 2022, 80,203 shares had been issued to date under the 2020 ESPP and there was $0.4 million of unrecognized compensation cost associated with the 2020 ESPP, which is expected to be recognized over the remaining 2.3 months.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Restricted Stock Units</w:t>
      </w:r>
    </w:p>
    <w:p>
      <w:pPr>
        <w:spacing w:after="0" w:line="189" w:lineRule="exact"/>
        <w:rPr>
          <w:sz w:val="20"/>
          <w:szCs w:val="20"/>
          <w:color w:val="auto"/>
        </w:rPr>
      </w:pPr>
    </w:p>
    <w:p>
      <w:pPr>
        <w:ind w:right="420" w:firstLine="492"/>
        <w:spacing w:after="0" w:line="282" w:lineRule="auto"/>
        <w:rPr>
          <w:sz w:val="20"/>
          <w:szCs w:val="20"/>
          <w:color w:val="auto"/>
        </w:rPr>
      </w:pPr>
      <w:r>
        <w:rPr>
          <w:rFonts w:ascii="Times New Roman" w:cs="Times New Roman" w:eastAsia="Times New Roman" w:hAnsi="Times New Roman"/>
          <w:sz w:val="18"/>
          <w:szCs w:val="18"/>
          <w:color w:val="auto"/>
        </w:rPr>
        <w:t>In addition to RSUs that have time-based vesting requirements, from time to time the Company may issue RSUs that include certain performance vesting criteria based upon the satisfaction of stated objectives (“PRSUs”). Compensation expense related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PRSUs is based on the grant date fair value of the award and recorded from the period that achievement is determined to be probable through the stated service period associated with the award.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Activity for RSUs and PRSUs during the nine months ended September 30, 2022 is presented in the following table: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3"/>
                <w:szCs w:val="13"/>
                <w:color w:val="auto"/>
              </w:rPr>
            </w:pPr>
          </w:p>
        </w:tc>
        <w:tc>
          <w:tcPr>
            <w:tcW w:w="1380" w:type="dxa"/>
            <w:vAlign w:val="bottom"/>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40" w:type="dxa"/>
            <w:vAlign w:val="bottom"/>
          </w:tcPr>
          <w:p>
            <w:pPr>
              <w:spacing w:after="0"/>
              <w:rPr>
                <w:sz w:val="12"/>
                <w:szCs w:val="12"/>
                <w:color w:val="auto"/>
              </w:rPr>
            </w:pPr>
          </w:p>
        </w:tc>
        <w:tc>
          <w:tcPr>
            <w:tcW w:w="1380" w:type="dxa"/>
            <w:vAlign w:val="bottom"/>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15"/>
                <w:szCs w:val="15"/>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RSUs and PRSUs</w:t>
            </w:r>
          </w:p>
        </w:tc>
        <w:tc>
          <w:tcPr>
            <w:tcW w:w="340" w:type="dxa"/>
            <w:vAlign w:val="bottom"/>
          </w:tcPr>
          <w:p>
            <w:pPr>
              <w:spacing w:after="0"/>
              <w:rPr>
                <w:sz w:val="15"/>
                <w:szCs w:val="15"/>
                <w:color w:val="auto"/>
              </w:rPr>
            </w:pPr>
          </w:p>
        </w:tc>
        <w:tc>
          <w:tcPr>
            <w:tcW w:w="138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non-vested as of December 31,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1,110,010</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2,386,203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Vested/Released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(894,760)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Canceled/Forfeited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(146,670)</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non-vested as of September 30,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2,454,783</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40" w:firstLine="492"/>
        <w:spacing w:after="0" w:line="266" w:lineRule="auto"/>
        <w:rPr>
          <w:sz w:val="20"/>
          <w:szCs w:val="20"/>
          <w:color w:val="auto"/>
        </w:rPr>
      </w:pPr>
      <w:r>
        <w:rPr>
          <w:rFonts w:ascii="Times New Roman" w:cs="Times New Roman" w:eastAsia="Times New Roman" w:hAnsi="Times New Roman"/>
          <w:sz w:val="18"/>
          <w:szCs w:val="18"/>
          <w:color w:val="auto"/>
        </w:rPr>
        <w:t>As of September 30, 2022, there was $26.0 million of unrecognized stock-based compensation expense associated with unvested RSU and PRSUs, which the Company expects to recognize over a remaining weighted-average period of 1.86 years. The aggregate intrinsic value of the unvested RSUs and PRSUs outstanding as of September 30, 2022 was $23.5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440" w:firstLine="492"/>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related to all of the Company’s stock-based awards was recorded on the Condensed Consolidated Statements of Operations as follows (in thousands):</w:t>
      </w:r>
    </w:p>
    <w:tbl>
      <w:tblPr>
        <w:tblLayout w:type="fixed"/>
        <w:tblInd w:w="0" w:type="dxa"/>
        <w:tblCellMar>
          <w:top w:w="0" w:type="dxa"/>
          <w:left w:w="0" w:type="dxa"/>
          <w:bottom w:w="0" w:type="dxa"/>
          <w:right w:w="0" w:type="dxa"/>
        </w:tblCellMar>
      </w:tblPr>
      <w:tr>
        <w:trPr>
          <w:trHeight w:val="155"/>
        </w:trPr>
        <w:tc>
          <w:tcPr>
            <w:tcW w:w="5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7"/>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8"/>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6"/>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2"/>
                <w:szCs w:val="12"/>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11,272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w:t>
            </w:r>
          </w:p>
        </w:tc>
        <w:tc>
          <w:tcPr>
            <w:tcW w:w="20" w:type="dxa"/>
            <w:vAlign w:val="bottom"/>
            <w:shd w:val="clear" w:color="auto" w:fill="CCEEFF"/>
          </w:tcPr>
          <w:p>
            <w:pPr>
              <w:spacing w:after="0"/>
              <w:rPr>
                <w:sz w:val="18"/>
                <w:szCs w:val="18"/>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20" w:type="dxa"/>
            <w:vAlign w:val="bottom"/>
            <w:tcBorders>
              <w:bottom w:val="single" w:sz="8" w:color="auto"/>
            </w:tcBorders>
          </w:tcPr>
          <w:p>
            <w:pPr>
              <w:spacing w:after="0"/>
              <w:rPr>
                <w:sz w:val="18"/>
                <w:szCs w:val="18"/>
                <w:color w:val="auto"/>
              </w:rPr>
            </w:pPr>
          </w:p>
        </w:tc>
      </w:tr>
      <w:tr>
        <w:trPr>
          <w:trHeight w:val="21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19,780</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64,513</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50,661</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13"/>
        </w:trPr>
        <w:tc>
          <w:tcPr>
            <w:tcW w:w="752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Total stock-based compensation expense by type of award was as follows (in thousands):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5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3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20" w:type="dxa"/>
            <w:vAlign w:val="bottom"/>
            <w:tcBorders>
              <w:bottom w:val="single" w:sz="8" w:color="CCEEFF"/>
            </w:tcBorders>
          </w:tcPr>
          <w:p>
            <w:pPr>
              <w:spacing w:after="0"/>
              <w:rPr>
                <w:sz w:val="12"/>
                <w:szCs w:val="12"/>
                <w:color w:val="auto"/>
              </w:rPr>
            </w:pP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44,267</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42,782</w:t>
            </w:r>
          </w:p>
        </w:tc>
        <w:tc>
          <w:tcPr>
            <w:tcW w:w="2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expense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2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ESPP expense</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shd w:val="clear" w:color="auto" w:fill="CCEEFF"/>
          </w:tcPr>
          <w:p>
            <w:pPr>
              <w:spacing w:after="0"/>
              <w:rPr>
                <w:sz w:val="18"/>
                <w:szCs w:val="18"/>
                <w:color w:val="auto"/>
              </w:rPr>
            </w:pPr>
          </w:p>
        </w:tc>
      </w:tr>
      <w:tr>
        <w:trPr>
          <w:trHeight w:val="21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64,513</w:t>
            </w:r>
          </w:p>
        </w:tc>
        <w:tc>
          <w:tcPr>
            <w:tcW w:w="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50,661</w:t>
            </w:r>
          </w:p>
        </w:tc>
        <w:tc>
          <w:tcPr>
            <w:tcW w:w="2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LICENSES AND AGREEMENTS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Institutes of Health (the “NIH”) and the National Cancer Institute (the “NCI”)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 (the “CRADA”)</w:t>
      </w:r>
    </w:p>
    <w:p>
      <w:pPr>
        <w:spacing w:after="0" w:line="187" w:lineRule="exact"/>
        <w:rPr>
          <w:sz w:val="20"/>
          <w:szCs w:val="20"/>
          <w:color w:val="auto"/>
        </w:rPr>
      </w:pPr>
    </w:p>
    <w:p>
      <w:pPr>
        <w:ind w:right="80" w:firstLine="567"/>
        <w:spacing w:after="0" w:line="255" w:lineRule="auto"/>
        <w:rPr>
          <w:sz w:val="20"/>
          <w:szCs w:val="20"/>
          <w:color w:val="auto"/>
        </w:rPr>
      </w:pPr>
      <w:r>
        <w:rPr>
          <w:rFonts w:ascii="Times New Roman" w:cs="Times New Roman" w:eastAsia="Times New Roman" w:hAnsi="Times New Roman"/>
          <w:sz w:val="18"/>
          <w:szCs w:val="18"/>
          <w:color w:val="auto"/>
        </w:rPr>
        <w:t>In August 2011, the Company signed a five-year CRADA with the NCI to work on the development of adoptive cell immunotherapies that are designed to destroy metastatic melanoma cells. The CRADA was amended in 2015 and 2016 to, among other things, extend the term of the CRADA through August 2021, include new indications such as the development of TIL therapy for the treatment of patients with bladder, lung, triple-negative breast, and Human Papilloma Virus (“HPV”)-associated cancers, and modify the focus on the development of unmodified TIL as a stand-alone therapy or in combination. The parties have continued the development of improved methods for the generation and selection of TIL with anti-tumor reactivity in metastatic melanoma, bladder, lung, breast, and HPV-associated cancers.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492"/>
        <w:spacing w:after="0" w:line="261" w:lineRule="auto"/>
        <w:rPr>
          <w:sz w:val="20"/>
          <w:szCs w:val="20"/>
          <w:color w:val="auto"/>
        </w:rPr>
      </w:pPr>
      <w:r>
        <w:rPr>
          <w:rFonts w:ascii="Times New Roman" w:cs="Times New Roman" w:eastAsia="Times New Roman" w:hAnsi="Times New Roman"/>
          <w:sz w:val="18"/>
          <w:szCs w:val="18"/>
          <w:color w:val="auto"/>
        </w:rPr>
        <w:t>In August 2021, the NCI and the Company entered into a third amendment to the CRADA. The third amendment, among other things, extended the term of the CRADA by three years to August 2024. The research plan in this amendment includes the evaluation in clinical trials of strategies for development of more potent TILs, such as selection of CD39/69 double negative cells and the use of certain inhibitors or other reagents in TIL expansion cultures.</w:t>
      </w:r>
    </w:p>
    <w:p>
      <w:pPr>
        <w:spacing w:after="0" w:line="139" w:lineRule="exact"/>
        <w:rPr>
          <w:sz w:val="20"/>
          <w:szCs w:val="20"/>
          <w:color w:val="auto"/>
        </w:rPr>
      </w:pPr>
    </w:p>
    <w:p>
      <w:pPr>
        <w:ind w:right="100" w:firstLine="492"/>
        <w:spacing w:after="0" w:line="254" w:lineRule="auto"/>
        <w:rPr>
          <w:sz w:val="20"/>
          <w:szCs w:val="20"/>
          <w:color w:val="auto"/>
        </w:rPr>
      </w:pPr>
      <w:r>
        <w:rPr>
          <w:rFonts w:ascii="Times New Roman" w:cs="Times New Roman" w:eastAsia="Times New Roman" w:hAnsi="Times New Roman"/>
          <w:sz w:val="18"/>
          <w:szCs w:val="18"/>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Current Good Manufacturing Practice (“cGMP”) conditions, suitable for use in clinical trials. The extended CRADA has a three-year term expiring in August 2024. The Company or the NCI may unilaterally terminate the CRADA for any reason or for no reason at any time by providing written notice at least 60 days before the desired termination date. The Company recorded costs associated with the CRADA of $0.5 million for each of the three months ended September 30, 2022 and 2021, respectively, and $1.5 million for each of the nine months ended September 30, 2022 and 2021, as research and development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License Agreement Related to the Development and Manufacture of TIL Therapies</w:t>
      </w:r>
    </w:p>
    <w:p>
      <w:pPr>
        <w:spacing w:after="0" w:line="187" w:lineRule="exact"/>
        <w:rPr>
          <w:sz w:val="20"/>
          <w:szCs w:val="20"/>
          <w:color w:val="auto"/>
        </w:rPr>
      </w:pPr>
    </w:p>
    <w:p>
      <w:pPr>
        <w:ind w:right="100" w:firstLine="492"/>
        <w:spacing w:after="0" w:line="258" w:lineRule="auto"/>
        <w:rPr>
          <w:sz w:val="20"/>
          <w:szCs w:val="20"/>
          <w:color w:val="auto"/>
        </w:rPr>
      </w:pPr>
      <w:r>
        <w:rPr>
          <w:rFonts w:ascii="Times New Roman" w:cs="Times New Roman" w:eastAsia="Times New Roman" w:hAnsi="Times New Roman"/>
          <w:sz w:val="18"/>
          <w:szCs w:val="18"/>
          <w:color w:val="auto"/>
        </w:rPr>
        <w:t>The Company entered into an Exclusive Patent License Agreement (the “Patent License Agreement”) with the NIH, an agency of the U.S. Public Health Service within the Department of Health and Human Services, in 2011, as amended in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w:t>
      </w:r>
    </w:p>
    <w:p>
      <w:pPr>
        <w:spacing w:after="0" w:line="143" w:lineRule="exact"/>
        <w:rPr>
          <w:sz w:val="20"/>
          <w:szCs w:val="20"/>
          <w:color w:val="auto"/>
        </w:rPr>
      </w:pPr>
    </w:p>
    <w:p>
      <w:pPr>
        <w:ind w:right="20" w:firstLine="492"/>
        <w:spacing w:after="0" w:line="256" w:lineRule="auto"/>
        <w:rPr>
          <w:sz w:val="20"/>
          <w:szCs w:val="20"/>
          <w:color w:val="auto"/>
        </w:rPr>
      </w:pPr>
      <w:r>
        <w:rPr>
          <w:rFonts w:ascii="Times New Roman" w:cs="Times New Roman" w:eastAsia="Times New Roman" w:hAnsi="Times New Roman"/>
          <w:sz w:val="18"/>
          <w:szCs w:val="18"/>
          <w:color w:val="auto"/>
        </w:rPr>
        <w:t>Effective May 6, 2021, the Company entered into an Amended and Restated Patent License Agreement with NIH, which included the grant of additional exclusive, worldwide patent rights in the indications to cytokine-tethered TIL technology, and expanded the non-exclusive, worldwide field of use to all cancers. Effective August 1, 2022, the Company entered into a Second Amended and Restated Patent License Agreement with NIH to include additional exclusive, worldwide patent rights to TIL products expressing IL-12, expanded rights to TIL selection technologies previously licensed under the Exclusive Patent License Agreement below, and additional non-exclusive, worldwide patent rights to certain technologies related to enhancing TIL potency.</w:t>
      </w:r>
    </w:p>
    <w:p>
      <w:pPr>
        <w:spacing w:after="0" w:line="160"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The Second Amended and Restated Patent License Agreement requires the Company to pay royalties based on a percentage of net sales in jurisdictions where patent rights exist, which percentage can fall into a tier that may be less than one percent to mid-single digits depending upon certain events, including the exclusivity of the rights, and the Company expects lower overall royalty payments as a result. The Company also agreed to potential milestone payments on the achievement of certain clinical, regulatory, and commercial sales milestones for each of the indications and other direct costs incurred by the NIH pursuant to the Second Amended and Restated Patent License Agreement. The Company anticipates making milestone payments, including a payment in the low-single-digit millions of dollars in conjunction with the approval of a Biologics License Application, for any of its product candidates covered by the Second Amended and Restated Patent License Agreement. The term of the Second Amended and Restated Patent License Agreement continues until the expiry of the last-to-expire patent rights licensed thereunder, and the agreement contains standard termination provisions.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Patent License Agreement Related to TIL Selection</w:t>
      </w:r>
    </w:p>
    <w:p>
      <w:pPr>
        <w:spacing w:after="0" w:line="187" w:lineRule="exact"/>
        <w:rPr>
          <w:sz w:val="20"/>
          <w:szCs w:val="20"/>
          <w:color w:val="auto"/>
        </w:rPr>
      </w:pPr>
    </w:p>
    <w:p>
      <w:pPr>
        <w:ind w:right="400" w:firstLine="492"/>
        <w:spacing w:after="0" w:line="266" w:lineRule="auto"/>
        <w:rPr>
          <w:sz w:val="20"/>
          <w:szCs w:val="20"/>
          <w:color w:val="auto"/>
        </w:rPr>
      </w:pPr>
      <w:r>
        <w:rPr>
          <w:rFonts w:ascii="Times New Roman" w:cs="Times New Roman" w:eastAsia="Times New Roman" w:hAnsi="Times New Roman"/>
          <w:sz w:val="18"/>
          <w:szCs w:val="18"/>
          <w:color w:val="auto"/>
        </w:rPr>
        <w:t>On February 10, 2015, the Company entered into an exclusive patent license agreement (the “Exclusive Patent License Agreement”) with the NIH under which the Company received an exclusive, worldwide license under the selected TIL patents. This license was superseded and replaced by the Second Amended and Restated Patent License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Lee Moffitt Cancer Center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Collaboration and Clinical Grant Agreements with Moffitt</w:t>
      </w:r>
    </w:p>
    <w:p>
      <w:pPr>
        <w:spacing w:after="0" w:line="187"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In June 2020, the Company entered into a Sponsored Research Agreement with the H. Lee Moffitt Cancer Center (“Moffitt”), with a term that ends either upon completion of the research thereunder or on July 1, 2022, whichever is sooner. In June 2022, this agreement was extended to December 31, 2022. The Company recorded $0.3 million and a de minimis amount for the three months ended September 30, 2022 and 2021, respectively, and $0.5 million and $0.3 million for the nine months ended September 30, 2022 and 2021, respectively.</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In December 2016,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The Company recorded a de minimis amount of research and development expense for each of the three months ended September 30, 2022 and 2021, respectively, and $0.1 million of research and development expense for each of the nine months ended September 30, 2022 and 2021, respectively, in connection with the research collaboration and clinical grant agreements with Moffitt.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Agreements with Moffitt</w:t>
      </w:r>
    </w:p>
    <w:p>
      <w:pPr>
        <w:spacing w:after="0" w:line="200" w:lineRule="exact"/>
        <w:rPr>
          <w:sz w:val="20"/>
          <w:szCs w:val="20"/>
          <w:color w:val="auto"/>
        </w:rPr>
      </w:pPr>
    </w:p>
    <w:p>
      <w:pPr>
        <w:ind w:right="180" w:firstLine="492"/>
        <w:spacing w:after="0" w:line="261" w:lineRule="auto"/>
        <w:rPr>
          <w:sz w:val="20"/>
          <w:szCs w:val="20"/>
          <w:color w:val="auto"/>
        </w:rPr>
      </w:pPr>
      <w:r>
        <w:rPr>
          <w:rFonts w:ascii="Times New Roman" w:cs="Times New Roman" w:eastAsia="Times New Roman" w:hAnsi="Times New Roman"/>
          <w:sz w:val="18"/>
          <w:szCs w:val="18"/>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39"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Pursuant to the First Moffitt License, the Company paid an upfront licensing fee in the amount of $0.1 million which was recorded as research and development expense.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the Company in agreement with Moffitt. No expenses were recorded for the First Moffitt License for both the three and nine months ended September 30, 2022 and 2021.</w:t>
      </w:r>
    </w:p>
    <w:p>
      <w:pPr>
        <w:spacing w:after="0" w:line="154"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The Company entered into a second license agreement with Moffitt effective as of May 7, 2018 (the “Second Moffitt License”), under which the Company received a license to Moffitt’s rights to patent-pending technologies related to the use of 4-1BB agonists in conjunction with TIL manufacturing processes and therapies. Pursuant to the Second Moffitt License, the Company paid an upfront licensing fee in the amount of $0.1 million in 2018. An annual license maintenance fee is also payable commencing on the first anniversary of the effective date. In addition, the Company agreed to pay an annual commercial use payment for each indication for which a first sale has occurred, which in the aggregate amounts to up to $0.4 million a year. The Company recorded a de minimis amount for each of the three months ended September 30, 2022 and 2021, respectively, and $0.1 million and a de minimis amount for each of the nine months ended September 30, 2022 and 2021, as research and development expenses in connection with this agreement.</w:t>
      </w:r>
    </w:p>
    <w:p>
      <w:pPr>
        <w:spacing w:after="0" w:line="165" w:lineRule="exact"/>
        <w:rPr>
          <w:sz w:val="20"/>
          <w:szCs w:val="20"/>
          <w:color w:val="auto"/>
        </w:rPr>
      </w:pPr>
    </w:p>
    <w:p>
      <w:pPr>
        <w:ind w:firstLine="492"/>
        <w:spacing w:after="0" w:line="257" w:lineRule="auto"/>
        <w:rPr>
          <w:sz w:val="20"/>
          <w:szCs w:val="20"/>
          <w:color w:val="auto"/>
        </w:rPr>
      </w:pPr>
      <w:r>
        <w:rPr>
          <w:rFonts w:ascii="Times New Roman" w:cs="Times New Roman" w:eastAsia="Times New Roman" w:hAnsi="Times New Roman"/>
          <w:sz w:val="18"/>
          <w:szCs w:val="18"/>
          <w:color w:val="auto"/>
        </w:rPr>
        <w:t>The Company subsequently exercised an option to exclusively license Moffitt’s rights to patent pending technologies related to the use of tumor digests in conjunction with TIL manufacturing processes and therapies and entered into an amended and restated Second Moffitt License in October 2021 (the “Amended &amp; Restated Second Moffit License”), to include these rights. Pursuant to the Amended</w:t>
      </w:r>
    </w:p>
    <w:p>
      <w:pPr>
        <w:spacing w:after="0" w:line="1" w:lineRule="exact"/>
        <w:rPr>
          <w:sz w:val="20"/>
          <w:szCs w:val="20"/>
          <w:color w:val="auto"/>
        </w:rPr>
      </w:pPr>
    </w:p>
    <w:p>
      <w:pPr>
        <w:ind w:right="140" w:firstLine="8"/>
        <w:spacing w:after="0" w:line="253" w:lineRule="auto"/>
        <w:tabs>
          <w:tab w:leader="none" w:pos="1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Second Moffitt License, the Company paid an upfront licensing fee in the amount of $0.2 million in 2021, which was recorded as research and development expense. In addition, the Company agreed to pay an annual commercial use payment for each indication for which a first sale has occurred for products relating to the use of 4-1BB antagonists and for products relating to the use of tumor digests covered by the license.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University of Texas M.D. Anderson Cancer Center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Alliance Agreement</w:t>
      </w:r>
    </w:p>
    <w:p>
      <w:pPr>
        <w:spacing w:after="0" w:line="200" w:lineRule="exact"/>
        <w:rPr>
          <w:sz w:val="20"/>
          <w:szCs w:val="20"/>
          <w:color w:val="auto"/>
        </w:rPr>
      </w:pPr>
    </w:p>
    <w:p>
      <w:pPr>
        <w:ind w:right="120" w:firstLine="492"/>
        <w:spacing w:after="0" w:line="258" w:lineRule="auto"/>
        <w:rPr>
          <w:sz w:val="20"/>
          <w:szCs w:val="20"/>
          <w:color w:val="auto"/>
        </w:rPr>
      </w:pPr>
      <w:r>
        <w:rPr>
          <w:rFonts w:ascii="Times New Roman" w:cs="Times New Roman" w:eastAsia="Times New Roman" w:hAnsi="Times New Roman"/>
          <w:sz w:val="18"/>
          <w:szCs w:val="18"/>
          <w:color w:val="auto"/>
        </w:rPr>
        <w:t>On April 17, 2017, the Company entered into a Strategic Alliance Agreement (the “SAA”) with The University of Texas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of which approximately $7.0 million has been funded cumulatively through September 30, 2022, and has been recorded as research and development expense. In return, the Company acquired all rights to inventions resulting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The Company recorded $0.1 million associated with the SAA for each of the three months ended September 30, 2022 and 2021, and $0.1 million and $0.2 million for the nine months ended September 30, 2022 and 2021, respectively, as research and development expenses.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WuXi Advanced Therapies,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WuXi Manufacturing and Services Agreement</w:t>
      </w:r>
    </w:p>
    <w:p>
      <w:pPr>
        <w:spacing w:after="0" w:line="187"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In November 2016, the Company entered into a three-year manufacturing and services agreement (the “First WuXi MSA”) with WuXi Advanced Therapies, Inc. (“WuXi”) pursuant to which WuXi agreed to provide manufacturing and other services, which has since been amended and assigned to its subsidiary Iovance Biotherapeutics Manufacturing LLC. Under the First WuXi MSA, the Company entered into two statements of work for two cGMP manufacturing suites to be operated by WuXi for the Company. Both of the suites are expected to be capable of being used for the commercial manufacture of the Company’s products. The terms of one of these statements of work was extended to December 2022. The Company recorded costs associated with agreements with WuXi of $3.4 million and $4.5 million for the three months ended September 30, 2022 and 2021, respectively, and $10.6 million and $12.7 million for the nine months ended September 30, 2022 and 2021, respectively, as research and development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WuXi Manufacturing and Services Agreement</w:t>
      </w:r>
    </w:p>
    <w:p>
      <w:pPr>
        <w:spacing w:after="0" w:line="200"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October 2022, the Company’s subsidiary Iovance Biotherapeutics Manufacturing LLC entered into an additional three-year manufacturing and services agreement (the “Second WuXi MSA”) with WuXi and its parent company WuXi Apptec, Co, Ltd pursuant to which WuXi agreed to provide commercial and clinical manufacturing services and related testing services. Under the Second WuXi MSA, the Company entered into a statement of work for the two cGMP manufacturing suites to be operated by WuXi for the Company. Both of the suites are expected to be capable of being used for the commercial and clinical manufacture of the Company’s products. The Second WuXi MSA and its related statement of work will supersede the statement of works under the First WuXi MSA with respect to commercial and clinical manufacturing and related services and the two manufacturing suites. The First WuXi MSA will continue to address development services provided by WuXi to the Company. </w:t>
      </w:r>
      <w:r>
        <w:rPr>
          <w:rFonts w:ascii="Times New Roman" w:cs="Times New Roman" w:eastAsia="Times New Roman" w:hAnsi="Times New Roman"/>
          <w:sz w:val="18"/>
          <w:szCs w:val="18"/>
          <w:color w:val="242424"/>
        </w:rPr>
        <w:t>The Company, or WuXi, may unilaterally terminate the Second WuXi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MSA for any reason, or for no reason, at any time by providing written notice at least 120 days before regulatory approval or 15 months post-regulatory approval, each before the desired termination 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Cellectis S.A.</w:t>
      </w:r>
    </w:p>
    <w:p>
      <w:pPr>
        <w:spacing w:after="0" w:line="189" w:lineRule="exact"/>
        <w:rPr>
          <w:sz w:val="20"/>
          <w:szCs w:val="20"/>
          <w:color w:val="auto"/>
        </w:rPr>
      </w:pPr>
    </w:p>
    <w:p>
      <w:pPr>
        <w:ind w:right="160" w:firstLine="492"/>
        <w:spacing w:after="0" w:line="255" w:lineRule="auto"/>
        <w:rPr>
          <w:sz w:val="20"/>
          <w:szCs w:val="20"/>
          <w:color w:val="auto"/>
        </w:rPr>
      </w:pPr>
      <w:r>
        <w:rPr>
          <w:rFonts w:ascii="Times New Roman" w:cs="Times New Roman" w:eastAsia="Times New Roman" w:hAnsi="Times New Roman"/>
          <w:sz w:val="18"/>
          <w:szCs w:val="18"/>
          <w:color w:val="auto"/>
        </w:rPr>
        <w:t>On December 31, 2019, the Company entered into a research collaboration and exclusive worldwide license agreement whereby the Company will license gene-editing technology from Cellectis S.A. (“Cellectis”), a clinical-stage biopharmaceutical company, to develop TIL therapies that have been genetically edited, including a PD-1 inactivated product that the Company refers to as IOV-4001. Financial terms of the license include development, regulatory and sales milestone payments from the Company to Cellectis, as well as royalty payments based on net sales of TALEN®-modified TIL products. The Company recorded costs associated with the license agreement with Cellectis of $0.1 million for each of the three months ended September 30, 2022 and 2021, and $0.3 million for each of the nine months ended September 30, 2022 and 2021, as research and development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 Pharma AG</w:t>
      </w:r>
    </w:p>
    <w:p>
      <w:pPr>
        <w:spacing w:after="0" w:line="189"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On January 12, 2020, the Company obtained a license from Novartis Pharma AG (“Novartis”) to develop and commercialize an antibody cytokine engrafted protein, which the Company refers to as IOV-3001. Under the agreement, the Company has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The Company recorded costs associated with the license agreement from Novartis of $10.0 million as research and development expenses during the fiscal year ended December 31, 2020. No expenses were recorded for both the three and nine months ended September 30, 2022 and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92"/>
        <w:spacing w:after="0" w:line="254" w:lineRule="auto"/>
        <w:rPr>
          <w:sz w:val="20"/>
          <w:szCs w:val="20"/>
          <w:color w:val="auto"/>
        </w:rPr>
      </w:pPr>
      <w:r>
        <w:rPr>
          <w:rFonts w:ascii="Times New Roman" w:cs="Times New Roman" w:eastAsia="Times New Roman" w:hAnsi="Times New Roman"/>
          <w:sz w:val="18"/>
          <w:szCs w:val="18"/>
          <w:color w:val="auto"/>
        </w:rPr>
        <w:t xml:space="preserve">The Company leases corporate office space in California, including 49,918 square feet for its current corporate headquarters’ office space in San Carlos, California, manufacturing, research and development lab facilities and office space in Philadelphia, Pennsylvania, including 136,000 square feet of commercial manufacturing and lab space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research and development lab facilities in Tampa, Florida. The determination if an arrangement is a lease occurs at inception, and for leases with terms greater than 12 months, the Company records a related right-of-use asset and lease liability at the present value of lease payments over the term. Many leases include fixed rental escalation clauses, renewal options and/or termination options that are factored into the determination of lease payments when appropriate. The Company’s leases do not provide an implicit rate, and thus the Company estimated the incremental borrowing rate in calculating the present value of the lease payments.</w:t>
      </w:r>
    </w:p>
    <w:p>
      <w:pPr>
        <w:spacing w:after="0" w:line="151" w:lineRule="exact"/>
        <w:rPr>
          <w:sz w:val="20"/>
          <w:szCs w:val="20"/>
          <w:color w:val="auto"/>
        </w:rPr>
      </w:pPr>
    </w:p>
    <w:p>
      <w:pPr>
        <w:ind w:right="60" w:firstLine="492"/>
        <w:spacing w:after="0" w:line="258" w:lineRule="auto"/>
        <w:rPr>
          <w:sz w:val="20"/>
          <w:szCs w:val="20"/>
          <w:color w:val="auto"/>
        </w:rPr>
      </w:pPr>
      <w:r>
        <w:rPr>
          <w:rFonts w:ascii="Times New Roman" w:cs="Times New Roman" w:eastAsia="Times New Roman" w:hAnsi="Times New Roman"/>
          <w:sz w:val="18"/>
          <w:szCs w:val="18"/>
          <w:color w:val="auto"/>
        </w:rPr>
        <w:t>The Company’s leases have remaining lease terms that range from less than one year to approximately 20 years. Some of our leases include one or more options to renew with renewal terms that can extend the lease for additional years, or options to terminate the leases, both at the Company’s discretion. The Company’s leases may include options to extend or terminate the lease, which is considered in the lease term when it is reasonably certain that the Company will exercise any such options. Lease expense for minimum lease payments is recognized on a straight-line basis based on the fixed components of a lease arrangement.</w:t>
      </w:r>
    </w:p>
    <w:p>
      <w:pPr>
        <w:spacing w:after="0" w:line="156" w:lineRule="exact"/>
        <w:rPr>
          <w:sz w:val="20"/>
          <w:szCs w:val="20"/>
          <w:color w:val="auto"/>
        </w:rPr>
      </w:pPr>
    </w:p>
    <w:p>
      <w:pPr>
        <w:ind w:right="80" w:firstLine="492"/>
        <w:spacing w:after="0" w:line="282" w:lineRule="auto"/>
        <w:rPr>
          <w:sz w:val="20"/>
          <w:szCs w:val="20"/>
          <w:color w:val="auto"/>
        </w:rPr>
      </w:pPr>
      <w:r>
        <w:rPr>
          <w:rFonts w:ascii="Times New Roman" w:cs="Times New Roman" w:eastAsia="Times New Roman" w:hAnsi="Times New Roman"/>
          <w:sz w:val="18"/>
          <w:szCs w:val="18"/>
          <w:color w:val="auto"/>
        </w:rPr>
        <w:t>Variable lease cost is determined based on performance or usage in accordance with the contractual agreements, and not based on an index or rate. Such costs that are not fixed in nature are recognized as incurred.</w:t>
      </w:r>
    </w:p>
    <w:p>
      <w:pPr>
        <w:spacing w:after="0" w:line="121" w:lineRule="exact"/>
        <w:rPr>
          <w:sz w:val="20"/>
          <w:szCs w:val="20"/>
          <w:color w:val="auto"/>
        </w:rPr>
      </w:pPr>
    </w:p>
    <w:p>
      <w:pPr>
        <w:ind w:firstLine="492"/>
        <w:spacing w:after="0" w:line="289" w:lineRule="auto"/>
        <w:rPr>
          <w:sz w:val="20"/>
          <w:szCs w:val="20"/>
          <w:color w:val="auto"/>
        </w:rPr>
      </w:pPr>
      <w:r>
        <w:rPr>
          <w:rFonts w:ascii="Times New Roman" w:cs="Times New Roman" w:eastAsia="Times New Roman" w:hAnsi="Times New Roman"/>
          <w:sz w:val="17"/>
          <w:szCs w:val="17"/>
          <w:color w:val="auto"/>
        </w:rPr>
        <w:t>The Company also leases certain furniture and equipment that has a lease term of 12 months or less. Since the lease agreement do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Contracts</w:t>
      </w:r>
    </w:p>
    <w:p>
      <w:pPr>
        <w:spacing w:after="0" w:line="202"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The contracts with CMOs generally contain embedded operating leases based on the fact that the suites are used for the Company’s production are implicitly identified, are used exclusively by the Company during the contractual term of the arrangements, and the CMOs have no substantive contractual rights to substitute the facilities used by the Company.</w:t>
      </w:r>
    </w:p>
    <w:p>
      <w:pPr>
        <w:spacing w:after="0" w:line="148" w:lineRule="exact"/>
        <w:rPr>
          <w:sz w:val="20"/>
          <w:szCs w:val="20"/>
          <w:color w:val="auto"/>
        </w:rPr>
      </w:pPr>
    </w:p>
    <w:p>
      <w:pPr>
        <w:ind w:firstLine="492"/>
        <w:spacing w:after="0" w:line="261" w:lineRule="auto"/>
        <w:rPr>
          <w:sz w:val="20"/>
          <w:szCs w:val="20"/>
          <w:color w:val="auto"/>
        </w:rPr>
      </w:pPr>
      <w:r>
        <w:rPr>
          <w:rFonts w:ascii="Times New Roman" w:cs="Times New Roman" w:eastAsia="Times New Roman" w:hAnsi="Times New Roman"/>
          <w:sz w:val="18"/>
          <w:szCs w:val="18"/>
          <w:color w:val="auto"/>
        </w:rPr>
        <w:t>Further, the Company controls the use of the facilities by obtaining all of the economic benefits from the use of the facilities and direct the use of the facilities throughout the period of use. The terms of the CMO contracts include options to terminate the lease with an advance notice of five to six months. The termination clauses and extension clauses are included in the calculation of the lease term for each of the CMOs when it is reasonably certain that it will not exercise such options.</w:t>
      </w:r>
    </w:p>
    <w:p>
      <w:pPr>
        <w:spacing w:after="0" w:line="139" w:lineRule="exact"/>
        <w:rPr>
          <w:sz w:val="20"/>
          <w:szCs w:val="20"/>
          <w:color w:val="auto"/>
        </w:rPr>
      </w:pPr>
    </w:p>
    <w:p>
      <w:pPr>
        <w:ind w:right="100" w:firstLine="492"/>
        <w:spacing w:after="0" w:line="254" w:lineRule="auto"/>
        <w:rPr>
          <w:sz w:val="20"/>
          <w:szCs w:val="20"/>
          <w:color w:val="auto"/>
        </w:rPr>
      </w:pPr>
      <w:r>
        <w:rPr>
          <w:rFonts w:ascii="Times New Roman" w:cs="Times New Roman" w:eastAsia="Times New Roman" w:hAnsi="Times New Roman"/>
          <w:sz w:val="18"/>
          <w:szCs w:val="18"/>
          <w:color w:val="auto"/>
        </w:rPr>
        <w:t>For contracts with multiple deliverables, Topic 842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uses estimates and assumptions in determining relative standalone selling price of lease of a suite and labor service using information that includes market and other observable inputs to the extent possible.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 sheet classification of the Company’s right-of-use asset and lease liabilities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included in current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portion included in non-current liabilities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80" w:firstLine="492"/>
        <w:spacing w:after="0" w:line="266" w:lineRule="auto"/>
        <w:rPr>
          <w:sz w:val="20"/>
          <w:szCs w:val="20"/>
          <w:color w:val="auto"/>
        </w:rPr>
      </w:pPr>
      <w:r>
        <w:rPr>
          <w:rFonts w:ascii="Times New Roman" w:cs="Times New Roman" w:eastAsia="Times New Roman" w:hAnsi="Times New Roman"/>
          <w:sz w:val="18"/>
          <w:szCs w:val="18"/>
          <w:color w:val="auto"/>
        </w:rPr>
        <w:t>The following table summarizes components of lease expenses, which were included in Total costs and expenses in the Company’s Condensed Consolidated Statements of Operations, and other information related to its operating leases as follows (in thousands except weighted-average remaining lease terms and discount rates):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0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17,120</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information</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Operating cash flows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5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Tenant improvement allowance received for amounts included in the</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measurement of lease liabilities included in Operating cash flows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from entering new leases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Increase / (decrease) in right-of-use assets from lease modifications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20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terms (years)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2022, the maturities of the Company’s operating lease liabilities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CMO</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embedded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8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7"/>
                <w:szCs w:val="17"/>
                <w:color w:val="auto"/>
              </w:rPr>
            </w:pP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92,013</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its corporate headquarters’ office, the lease agreement includes a tenant improvement allowance of $8.2 million.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the Company has received reimbursements associated with this tenant improvement allowance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 million, of which $1.2 million and $6.4 million were received during the three and nine months ended September 30,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The Company does not expect to receive additional reimbursements associated with this tenant improvement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LEGAL PROCEEDINGS</w:t>
      </w:r>
    </w:p>
    <w:p>
      <w:pPr>
        <w:spacing w:after="0" w:line="189" w:lineRule="exact"/>
        <w:rPr>
          <w:sz w:val="20"/>
          <w:szCs w:val="20"/>
          <w:color w:val="auto"/>
        </w:rPr>
      </w:pPr>
    </w:p>
    <w:p>
      <w:pPr>
        <w:ind w:right="140" w:firstLine="492"/>
        <w:spacing w:after="0" w:line="254" w:lineRule="auto"/>
        <w:rPr>
          <w:sz w:val="20"/>
          <w:szCs w:val="20"/>
          <w:color w:val="auto"/>
        </w:rPr>
      </w:pPr>
      <w:r>
        <w:rPr>
          <w:rFonts w:ascii="Times New Roman" w:cs="Times New Roman" w:eastAsia="Times New Roman" w:hAnsi="Times New Roman"/>
          <w:sz w:val="18"/>
          <w:szCs w:val="18"/>
          <w:u w:val="single" w:color="auto"/>
          <w:color w:val="auto"/>
        </w:rPr>
        <w:t>Derivative Lawsuit.</w:t>
      </w:r>
      <w:r>
        <w:rPr>
          <w:rFonts w:ascii="Times New Roman" w:cs="Times New Roman" w:eastAsia="Times New Roman" w:hAnsi="Times New Roman"/>
          <w:sz w:val="18"/>
          <w:szCs w:val="18"/>
          <w:color w:val="auto"/>
        </w:rPr>
        <w:t xml:space="preserve"> On December 11, 2020, a purported stockholder derivative complaint was filed by plaintiff Leo Shumacher against the Company, as nominal defendant, and its current directors, as defendants, in the Court of Chancery in the State of Delaware (the “Court”). The complaint alleges breach of fiduciary duty and a claim for unjust enrichment in connection with alleged excessive compensation of certain non-executive directors of the Company and seeks unspecified damages on behalf of the Company. The parties have agreed to a proposed settlement, which was submitted to the Court on June 15, 2022. Under the terms of the proposed settlement, the Company will make certain governance changes related to non-executive director compensation and make a monetary payment to plaintiff for reasonable legal fees and costs in the amount of $400,000, which has been accrued as of September 30, 2022. The settlement is subject to approval by the Court. On August 26, 2022, the Court entered a Scheduling Order setting a hearing to determine whether final approval will be given to the settlement. The hearing has been set for November 2022.</w:t>
      </w:r>
    </w:p>
    <w:p>
      <w:pPr>
        <w:spacing w:after="0" w:line="213" w:lineRule="exact"/>
        <w:rPr>
          <w:sz w:val="20"/>
          <w:szCs w:val="20"/>
          <w:color w:val="auto"/>
        </w:rPr>
      </w:pPr>
    </w:p>
    <w:p>
      <w:pPr>
        <w:ind w:right="120" w:firstLine="492"/>
        <w:spacing w:after="0" w:line="258" w:lineRule="auto"/>
        <w:rPr>
          <w:sz w:val="20"/>
          <w:szCs w:val="20"/>
          <w:color w:val="auto"/>
        </w:rPr>
      </w:pPr>
      <w:r>
        <w:rPr>
          <w:rFonts w:ascii="Times New Roman" w:cs="Times New Roman" w:eastAsia="Times New Roman" w:hAnsi="Times New Roman"/>
          <w:sz w:val="18"/>
          <w:szCs w:val="18"/>
          <w:u w:val="single" w:color="auto"/>
          <w:color w:val="auto"/>
        </w:rPr>
        <w:t>Solomon Capital, LLC.</w:t>
      </w:r>
      <w:r>
        <w:rPr>
          <w:rFonts w:ascii="Times New Roman" w:cs="Times New Roman" w:eastAsia="Times New Roman" w:hAnsi="Times New Roman"/>
          <w:sz w:val="18"/>
          <w:szCs w:val="18"/>
          <w:color w:val="auto"/>
        </w:rPr>
        <w:t xml:space="preserve"> On April 8, 2016, a lawsuit (“the First Solomon Suit”) titled </w:t>
      </w:r>
      <w:r>
        <w:rPr>
          <w:rFonts w:ascii="Times New Roman" w:cs="Times New Roman" w:eastAsia="Times New Roman" w:hAnsi="Times New Roman"/>
          <w:sz w:val="18"/>
          <w:szCs w:val="18"/>
          <w:i w:val="1"/>
          <w:iCs w:val="1"/>
          <w:color w:val="auto"/>
        </w:rPr>
        <w:t>Solomon Capital, LLC, Solomon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401(K) Trust, Solomon Sharbat and Shelhav Raff v. Lion Biotechnologies, Inc. </w:t>
      </w:r>
      <w:r>
        <w:rPr>
          <w:rFonts w:ascii="Times New Roman" w:cs="Times New Roman" w:eastAsia="Times New Roman" w:hAnsi="Times New Roman"/>
          <w:sz w:val="18"/>
          <w:szCs w:val="18"/>
          <w:color w:val="auto"/>
        </w:rPr>
        <w:t>was filed by Solomon Capital, LLC, Solomon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401(k) Trust, Solomon Sharbat and Shelhav Raff (“Solomon Plaintiffs”) against the Company in the Supreme Court of the State of New York, County of New York (index no. 651881/2016). The Solomon Plaintiffs allege that, between June and November 2012, they provided to the Company $0.1 million and that they advanced and paid on behalf of the Company an additional $0.2 million.</w:t>
      </w:r>
    </w:p>
    <w:p>
      <w:pPr>
        <w:spacing w:after="0" w:line="158" w:lineRule="exact"/>
        <w:rPr>
          <w:sz w:val="20"/>
          <w:szCs w:val="20"/>
          <w:color w:val="auto"/>
        </w:rPr>
      </w:pPr>
    </w:p>
    <w:p>
      <w:pPr>
        <w:ind w:right="60" w:firstLine="492"/>
        <w:spacing w:after="0" w:line="253" w:lineRule="auto"/>
        <w:rPr>
          <w:sz w:val="20"/>
          <w:szCs w:val="20"/>
          <w:color w:val="auto"/>
        </w:rPr>
      </w:pPr>
      <w:r>
        <w:rPr>
          <w:rFonts w:ascii="Times New Roman" w:cs="Times New Roman" w:eastAsia="Times New Roman" w:hAnsi="Times New Roman"/>
          <w:sz w:val="18"/>
          <w:szCs w:val="18"/>
          <w:color w:val="auto"/>
        </w:rPr>
        <w:t>The complaint further alleges that the Company agreed to (i) provide them with promissory notes totaling $0.2 million, plus interest, (ii) issue a total of 1,110 shares to the Solomon Plaintiffs (after the 1-for-100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lawsuits.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w:t>
      </w:r>
    </w:p>
    <w:p>
      <w:pPr>
        <w:spacing w:after="0" w:line="151"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In its counterclaims, the Company is seeking damages in an amount exceeding $0.5 million and an order rescinding any and all agreements that the Solomon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January 4, 2021, the court granted the Solomon Plaintiffs motion for reconsideration, and reinstituted the case. On January 15, 2021, the Company filed a notice of appeal of the court’s grant of the Solomon Plaintiffs motion for reconsideration. On May 11, 2021, the Appellate Division upheld the court’s grant of the Solomon Plaintiffs’ motion for reconsideration of the dismissal of the First Solomon Suit for want of prosecution.</w:t>
      </w:r>
    </w:p>
    <w:p>
      <w:pPr>
        <w:spacing w:after="0" w:line="151" w:lineRule="exact"/>
        <w:rPr>
          <w:sz w:val="20"/>
          <w:szCs w:val="20"/>
          <w:color w:val="auto"/>
        </w:rPr>
      </w:pPr>
    </w:p>
    <w:p>
      <w:pPr>
        <w:ind w:right="40" w:firstLine="492"/>
        <w:spacing w:after="0" w:line="252" w:lineRule="auto"/>
        <w:rPr>
          <w:sz w:val="20"/>
          <w:szCs w:val="20"/>
          <w:color w:val="auto"/>
        </w:rPr>
      </w:pPr>
      <w:r>
        <w:rPr>
          <w:rFonts w:ascii="Times New Roman" w:cs="Times New Roman" w:eastAsia="Times New Roman" w:hAnsi="Times New Roman"/>
          <w:sz w:val="18"/>
          <w:szCs w:val="18"/>
          <w:color w:val="auto"/>
        </w:rPr>
        <w:t xml:space="preserve">On September 27, 2019, the Solomon Plaintiffs filed a new lawsuit (through new legal counsel) (“the Second Solomon Suit”) titled </w:t>
      </w:r>
      <w:r>
        <w:rPr>
          <w:rFonts w:ascii="Times New Roman" w:cs="Times New Roman" w:eastAsia="Times New Roman" w:hAnsi="Times New Roman"/>
          <w:sz w:val="18"/>
          <w:szCs w:val="18"/>
          <w:i w:val="1"/>
          <w:iCs w:val="1"/>
          <w:color w:val="auto"/>
        </w:rPr>
        <w:t>Solomon Capital, LLC, Solomon Capital 401(K) Trust, Solomon Sharbat and Shelhav Raff v. Iovance Biotherapeutics, Inc., f/k/a/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Lion Biotechnologies Inc. f/k/a/ Genesis Biopharma Inc., and Manish Singh </w:t>
      </w:r>
      <w:r>
        <w:rPr>
          <w:rFonts w:ascii="Times New Roman" w:cs="Times New Roman" w:eastAsia="Times New Roman" w:hAnsi="Times New Roman"/>
          <w:sz w:val="18"/>
          <w:szCs w:val="18"/>
          <w:color w:val="auto"/>
        </w:rPr>
        <w:t>in the Supreme Court of the State of New York, County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U.S. District Court for the Southern District of New York, where the case has been assigned case no. 1:20-cv-1391. On May 22, 2020, the Company moved to dismiss the Second Solomon Suit for lack of personal jurisdiction. On March 26, 2021, the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January 5, 2022, the Court granted the Company’s motions for judgement on the pleadings, dismissing the second and third claims against the Company and dismissing all claims against Singh.</w:t>
      </w:r>
    </w:p>
    <w:p>
      <w:pPr>
        <w:spacing w:after="0" w:line="121" w:lineRule="exact"/>
        <w:rPr>
          <w:sz w:val="20"/>
          <w:szCs w:val="20"/>
          <w:color w:val="auto"/>
        </w:rPr>
      </w:pPr>
    </w:p>
    <w:p>
      <w:pPr>
        <w:jc w:val="both"/>
        <w:ind w:right="60" w:firstLine="492"/>
        <w:spacing w:after="0" w:line="266" w:lineRule="auto"/>
        <w:rPr>
          <w:sz w:val="20"/>
          <w:szCs w:val="20"/>
          <w:color w:val="auto"/>
        </w:rPr>
      </w:pPr>
      <w:r>
        <w:rPr>
          <w:rFonts w:ascii="Times New Roman" w:cs="Times New Roman" w:eastAsia="Times New Roman" w:hAnsi="Times New Roman"/>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49" w:lineRule="exact"/>
        <w:rPr>
          <w:sz w:val="20"/>
          <w:szCs w:val="20"/>
          <w:color w:val="auto"/>
        </w:rPr>
      </w:pPr>
    </w:p>
    <w:p>
      <w:pPr>
        <w:ind w:right="20" w:firstLine="492"/>
        <w:spacing w:after="0" w:line="256" w:lineRule="auto"/>
        <w:rPr>
          <w:sz w:val="20"/>
          <w:szCs w:val="20"/>
          <w:color w:val="auto"/>
        </w:rPr>
      </w:pPr>
      <w:r>
        <w:rPr>
          <w:rFonts w:ascii="Times New Roman" w:cs="Times New Roman" w:eastAsia="Times New Roman" w:hAnsi="Times New Roman"/>
          <w:sz w:val="18"/>
          <w:szCs w:val="18"/>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INCOME TAXES</w:t>
      </w:r>
    </w:p>
    <w:p>
      <w:pPr>
        <w:spacing w:after="0" w:line="189"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The Company did not record income tax expense for the three and nine months ended September 30, 2022 and 2021, respectively as the Company expected to be in a taxable loss position in 2022 and 2021, and the net deferred tax assets are fully offset by a valuation allowance as it is not more likely than not that the benefit will be realized. As of September 30, 2022, the Company remains in a cumulative book loss position and does not have sufficient positive evidence to realize its net deferred tax assets. As such, the Company continues to maintain a full valuation allowance against its net deferred tax assets.</w:t>
      </w:r>
    </w:p>
    <w:p>
      <w:pPr>
        <w:spacing w:after="0" w:line="183"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The Inflation Reduction Act of 2022 (the "Act"), which includes certain new tax measures, was signed into law in August 2022. The Act contains two main tax provisions, a new corporate alternative minimum tax imposed on certain corporations meeting average annual financial statement income of more than $1 billion during a three year tax period, and an excise tax imposed upon share repurchases by certain publicly traded corporations. The Act is effective for tax years beginning after December 31, 2022; the Company is evaluating the provisions of the Act but currently does not believe these provisions will have a material impact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as of September 30, 2022 and results of operations for the three and nine months ended September 30, 2022, should be read in conjunction with management’s discussion and analysis of financial condition and results of operations included in our Annual Report on Form 10-K for the year ended December 31, 2021 which was filed with the Securities and Exchange Commission (the “SEC”) on February 24, 2022.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of our Annual Report on Form 10-K and elsewhere in this Quarterly Report on Form 10-Q and other reports we file with the SEC.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 Unless the context requires otherwise, references in this Quarterly Report on Form 10-Q to “Iovance,” “we,” “us” and “our” refer to Iovance Biotherapeutics, Inc. and our subsidiaries.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92"/>
        <w:spacing w:after="0" w:line="251" w:lineRule="auto"/>
        <w:rPr>
          <w:sz w:val="20"/>
          <w:szCs w:val="20"/>
          <w:color w:val="auto"/>
        </w:rPr>
      </w:pPr>
      <w:r>
        <w:rPr>
          <w:rFonts w:ascii="Times New Roman" w:cs="Times New Roman" w:eastAsia="Times New Roman" w:hAnsi="Times New Roman"/>
          <w:sz w:val="18"/>
          <w:szCs w:val="18"/>
          <w:color w:val="auto"/>
        </w:rPr>
        <w:t>We are a clinical-stage biopharmaceutical company pioneering a transformational approach to cure cancer by harnessing the human immune system’s ability to recognize and destroy diverse cancer cells in each patient. Tumor infiltrating lymphocytes, or, TIL, therapy is an autologous, polyclonal cell therapy platform technology that was originally developed by the National Cancer Institute, or NCI, which conducted initial clinical trials of this therapy in diseases such as metastatic melanoma and cervical cancer. Our mission is to be the global leader in innovating, developing and delivering TIL therapies for patients with cancer. We have developed a new, shorter TIL manufacturing process known as Gen 2, which yields a cryopreserved TIL product. This centralized, proprietary, and scalable manufacturing method is being investigated in multiple indications. We are currently conducting clinical studies to investigate multiple TIL therapies, including our lead product candidate, lifileucel, for metastatic melanoma. We initiated a rolling Biologics License Application, or BLA, submission to the U.S. Food and Drug Administration, or FDA, for lifileucel in August 2022, and we expect to complete the BLA submission in the fourth quarter of 2022. We are also developing lifileucel in metastatic cervical cancer, as well as a second TIL therapy LN-145 for metastatic non-small cell lung cancer, or NSCLC. In addition, we are investigating the effectiveness and safety of combinations of TIL therapy with immune checkpoint inhibitors, or ICIs, in clinical trials in metastatic melanoma, cervical cancer, NSCLC, and head and neck squamous cell carcinoma, or HNSCC. We also initiated a clinical trial and patient dosing with our first genetically modified TIL therapy, IOV-4001, in patients with previously treated metastatic melanoma and NSCLC. IOV-4001 leverages the gene-editing TALEN® technology to inactivate the gene coding for the programmed cell death protein-1, or PD-1. We are also developing genetically edited TIL products based on the inactivation of other genes that encode immune checkpoint proteins and the insertion of genes that encode immunomodulatory proteins. Peripheral blood lymphocyte, or PBL, therapy, an autologous cell therapy platform to address blood cancers, is focused on leveraging patient-specific cells to recognize and attack diverse cancer cells that are unique to each patient. Our lead PBL therapy, IOV-2001, is being investigated in a clinical study for patients with relapsed or refractory chronic lymphocytic leukemia, or CLL, and small lymphocytic lymphoma, or SLL, through our sponsored trials. In addition, we are investigating the potential for TIL therapy in other oncology indications and treatment settings through academic collaborations with leading cancer research centers. Finally, we are developing IOV-3001, an alternative interleukin-2, or IL-2, in Investigational New Drug, or IND, -enabling studies for use with TIL therapies to stimulate T-cell proliferation in the body after infusion.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product candidate pipeline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128905</wp:posOffset>
            </wp:positionV>
            <wp:extent cx="5966460" cy="31203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646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TIL Monotherapy in Metastatic Solid Tumor Cancers</w:t>
      </w:r>
    </w:p>
    <w:p>
      <w:pPr>
        <w:spacing w:after="0" w:line="187"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 xml:space="preserve">We have investigated TIL monotherapy in metastatic melanoma, cervical cancer, NSCLC and HNSCC. We are conducting a Phase 2 clinical trial, C-144-01, of our lead TIL product candidate, lifileucel, for the treatment of metastatic melanoma. This multicenter pivotal trial enrolled melanoma patients with disease progression following treatment with at least one systemic therapy, including a PD-1 inhibitor and, if BRAF mutated, a BRAF inhibitor, or a combination of BRAF and MEK inhibitors. Cohort 4 of the C-144-01 clinical trial is a single-arm cohort that supports the BLA submission for lifileucel to the FDA. Cohorts 2 and 4 of the C-144-01 trial use our Gen 2 manufacturing process. We completed and closed enrollment of patients into Cohort 2 of the C-144-01 trial in 2018. Results from Cohort 2 of the C-144-01 clinical trial were initially reported at the American Society of Clinical Oncology annual meeting, or ASCO, in June 2019 and most recently updated at ASCO in June 2021. In addition, detailed Cohort 2 data was published in the </w:t>
      </w:r>
      <w:r>
        <w:rPr>
          <w:rFonts w:ascii="Times New Roman" w:cs="Times New Roman" w:eastAsia="Times New Roman" w:hAnsi="Times New Roman"/>
          <w:sz w:val="18"/>
          <w:szCs w:val="18"/>
          <w:i w:val="1"/>
          <w:iCs w:val="1"/>
          <w:color w:val="auto"/>
        </w:rPr>
        <w:t>Journal of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Oncology </w:t>
      </w:r>
      <w:r>
        <w:rPr>
          <w:rFonts w:ascii="Times New Roman" w:cs="Times New Roman" w:eastAsia="Times New Roman" w:hAnsi="Times New Roman"/>
          <w:sz w:val="18"/>
          <w:szCs w:val="18"/>
          <w:color w:val="auto"/>
        </w:rPr>
        <w:t>in May 2021.</w:t>
      </w:r>
    </w:p>
    <w:p>
      <w:pPr>
        <w:spacing w:after="0" w:line="148"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Pivotal Cohort 4 of the C-144-01 trial was enrolled to evaluate Objective Response Rate, or ORR, as the primary endpoint based on our interpretation of discussions with the FDA as part of an End of Phase 2, or EOP2, meeting held with the FDA in the third quarter of 2018. In October 2018, based on the data provided to the FDA during the EOP2 meeting, we announced that lifileucel had received a Regenerative Medicines Advanced Therapy, or RMAT, designation from the FDA. Enrollment in Cohort 4 of the C-144-01 trial commenced in March 2019 and patient dosing was completed in January 2020. In May 2022, we announced the Cohort 4 data read by an Independent Review Committee, or IRC, met the primary endpoint of the trial and presented the results of Cohort 4, and in addition, presented IRC read results from Cohort 2 and for pooled Cohorts 2 and 4 of the C-144-01 trial. We plan to present additional data from Cohorts 2 and 4 at the Society for Immunotherapy of Cancer’s Annual Meeting, or SITC, in November 2022.</w:t>
      </w:r>
    </w:p>
    <w:p>
      <w:pPr>
        <w:spacing w:after="0" w:line="219" w:lineRule="exact"/>
        <w:rPr>
          <w:sz w:val="20"/>
          <w:szCs w:val="20"/>
          <w:color w:val="auto"/>
        </w:rPr>
      </w:pPr>
    </w:p>
    <w:p>
      <w:pPr>
        <w:ind w:right="60" w:firstLine="492"/>
        <w:spacing w:after="0" w:line="255" w:lineRule="auto"/>
        <w:rPr>
          <w:sz w:val="20"/>
          <w:szCs w:val="20"/>
          <w:color w:val="auto"/>
        </w:rPr>
      </w:pPr>
      <w:r>
        <w:rPr>
          <w:rFonts w:ascii="Times New Roman" w:cs="Times New Roman" w:eastAsia="Times New Roman" w:hAnsi="Times New Roman"/>
          <w:sz w:val="18"/>
          <w:szCs w:val="18"/>
          <w:color w:val="auto"/>
        </w:rPr>
        <w:t>In October 2020, we reported the submission of additional potency assay data to the FDA, and at the same time, we also announced that we had reached agreement with the FDA on the minimum duration of follow up for Cohort 4 to support our BLA submission for lifileucel in the treatment of metastatic melanoma. In May 2021, we announced that we had received regulatory feedback from the FDA regarding our potency assays for lifileucel. Following FDA feedback, we continued our ongoing work developing and validating our potency assays and engaged in discussions with the FDA during the second half of 2021 and the first quarter of 2022. Based on feedback received from these discussions, we held a pre-BLA meeting in July 2022. We initiated a rolling BLA for lifileucel in metastatic melanoma in August 2022, which we plan to complete in the fourth quarter of 2022.</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We are also conducting a Phase 2 clinical trial, C-145-04, which is a multicenter pivotal trial to assess the safety and efficacy of our lead product candidate lifileucel for the treatment of patients with recurrent, metastatic, or persistent cervical cancer. In February 2019, lifileucel received Fast Track designation from the FDA for development in the treatment of cervical cancer with disease progression on or after chemotherapy. In March 2019, the protocol for this trial was amended to modify the primary endpoint of ORR to be determined based on IRC assessment. In May 2019, lifileucel received Breakthrough Therapy Designation, or BTD, from the FDA for development in the treatment of cervical cancer. Results from the C-145-04 clinical trial were reported at ASCO in June 2019. In November 2019, we amended the C-145-04 trial to collect additional data on early-line patients as well as late-line patients by adding additional cohorts, in anticipation of a changing landscape in this indication, including Cohort 2 for patients that had previously received chemotherapy and anti-PD-1/anti-PD-L1 therapy. In January 2021, we announced that Cohort 2 of the C-145-04 trial had completed enrollment and that the landscape of care for cervical cancer patients had changed because of a recent FDA approval for pembrolizumab in the frontline cervical cancer setting. Following FDA discussions and feedback on a registration strategy to address the shift in frontline standard of care, we reopened Cohort 2 of the ongoing C-145-04 trial to enroll additional patients. The expanded Cohort 2 is intended to support a BLA in cervical cancer following progression on chemotherapy and pembrolizumab.</w:t>
      </w:r>
    </w:p>
    <w:p>
      <w:pPr>
        <w:spacing w:after="0" w:line="147"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In November 2020, we announced that we had amended the protocol for our potential registrational clinical trial in NSCLC, IOV-LUN-202, to investigate LN-145 in patients with second-line metastatic NSCLC who previously received approved systemic therapy of combined checkpoint inhibitor and chemotherapy. The IOV-LUN-202 clinical trial includes three cohorts. Cohort 1 of the IOV-LUN-202 clinical trial enrolls patients with a PD-L1 Tumor Proportion Score, or TPS, of less than one percent or unknown TPS at the time they started front-line therapy, and Cohort 2 enrolls patients with a PD-L1 TPS of greater than or equal to one percent at the time they started front-line therapy. Cohort 3 will explore manufacturing TIL extracted from core biopsies using our third-generation, or Gen 3, manufacturing process. In June 2021, we reported that the first patient was dosed in the IOV-LUN-202 clinical trial. In a poster on IOV-LUN-202 at the American Association for Cancer Research, or AACR, 2022 Annual Meeting, we featured updated eligibility criteria to broaden enrollment in reflection of the unmet need in NSCLC. We intend to continue to enroll patients in the IOV-LUN-202 clinical trial throughout 2022. We are engaged in regulatory discussions with the FDA on IOV-LUN-202 and intend to incorporate FDA feedback to optimize this clinical trial to support further registration in NSCLC.</w:t>
      </w:r>
    </w:p>
    <w:p>
      <w:pPr>
        <w:spacing w:after="0" w:line="192"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In June 2021, we reported initial data for LN-145 in Cohort 3B of our IOV-COM-202 clinical trial in metastatic NSCLC. IOV-COM-202 is a Phase 2, multicenter trial for that is composed of seven cohorts. Cohort 3B of IOV-COM-202 enrolled patients with metastatic NSCLC that had progressed on prior ICI therapy, including patients with oncogene-driven tumors who received prior tyrosine kinase inhibitor therapy. Patients were treated with LN-145 monotherapy. All patients treated in Cohort 3B of the IOV-COM-202 trial received prior anti-PD-1/L1 therapy and all six responding patients also received prior chemotherapy. We also provided an update on Cohort 3B at SITC in November 2021 and in a June 2022 corporate presentation.</w:t>
      </w:r>
    </w:p>
    <w:p>
      <w:pPr>
        <w:spacing w:after="0" w:line="160" w:lineRule="exact"/>
        <w:rPr>
          <w:sz w:val="20"/>
          <w:szCs w:val="20"/>
          <w:color w:val="auto"/>
        </w:rPr>
      </w:pPr>
    </w:p>
    <w:p>
      <w:pPr>
        <w:ind w:right="120" w:firstLine="492"/>
        <w:spacing w:after="0" w:line="256" w:lineRule="auto"/>
        <w:rPr>
          <w:sz w:val="20"/>
          <w:szCs w:val="20"/>
          <w:color w:val="auto"/>
        </w:rPr>
      </w:pPr>
      <w:r>
        <w:rPr>
          <w:rFonts w:ascii="Times New Roman" w:cs="Times New Roman" w:eastAsia="Times New Roman" w:hAnsi="Times New Roman"/>
          <w:sz w:val="18"/>
          <w:szCs w:val="18"/>
          <w:color w:val="auto"/>
        </w:rPr>
        <w:t>C-145-03 is our Phase 2, multicenter trial to assess the safety and efficacy of our product candidate LN-145 for the treatment of patients with metastatic HNSCC. We redesigned our C-145-03 trial to include multiple cohorts, in order to allow for dosing of TIL therapies produced by multiple manufacturing methods, including our Gen 2 manufacturing process, our Gen 3 manufacturing process, and our PD-1 selected TIL manufacturing process. Our PD-1 selected TIL manufacturing process results in a product that we refer to as LN-145-S1. In January 2021, we announced that we are closing the C-145-03 clinical trial after the trial reached its pre-specified enrollment target.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TIL Combinations in Earlier Treatment Settings for Solid Tumors</w:t>
      </w:r>
    </w:p>
    <w:p>
      <w:pPr>
        <w:spacing w:after="0" w:line="187" w:lineRule="exact"/>
        <w:rPr>
          <w:sz w:val="20"/>
          <w:szCs w:val="20"/>
          <w:color w:val="auto"/>
        </w:rPr>
      </w:pPr>
    </w:p>
    <w:p>
      <w:pPr>
        <w:ind w:right="160" w:firstLine="492"/>
        <w:spacing w:after="0" w:line="261" w:lineRule="auto"/>
        <w:rPr>
          <w:sz w:val="20"/>
          <w:szCs w:val="20"/>
          <w:color w:val="auto"/>
        </w:rPr>
      </w:pPr>
      <w:r>
        <w:rPr>
          <w:rFonts w:ascii="Times New Roman" w:cs="Times New Roman" w:eastAsia="Times New Roman" w:hAnsi="Times New Roman"/>
          <w:sz w:val="18"/>
          <w:szCs w:val="18"/>
          <w:color w:val="auto"/>
        </w:rPr>
        <w:t>We are also investigating the potential of our TIL therapies in earlier lines of treatment in combination with pembrolizumab or other ICIs, including in four cohorts in our IOV-COM-202 study in solid tumors as well as in one cohort in our C-145-04 clinical study in cervical cancer. In addition to its ongoing enrollment in the U.S., the IOV-COM-202 trial has also received regulatory approval in Canada and in certain European countries.</w:t>
      </w:r>
    </w:p>
    <w:p>
      <w:pPr>
        <w:spacing w:after="0" w:line="153" w:lineRule="exact"/>
        <w:rPr>
          <w:sz w:val="20"/>
          <w:szCs w:val="20"/>
          <w:color w:val="auto"/>
        </w:rPr>
      </w:pPr>
    </w:p>
    <w:p>
      <w:pPr>
        <w:ind w:right="40" w:firstLine="492"/>
        <w:spacing w:after="0" w:line="261" w:lineRule="auto"/>
        <w:rPr>
          <w:sz w:val="20"/>
          <w:szCs w:val="20"/>
          <w:color w:val="auto"/>
        </w:rPr>
      </w:pPr>
      <w:r>
        <w:rPr>
          <w:rFonts w:ascii="Times New Roman" w:cs="Times New Roman" w:eastAsia="Times New Roman" w:hAnsi="Times New Roman"/>
          <w:sz w:val="18"/>
          <w:szCs w:val="18"/>
          <w:color w:val="auto"/>
        </w:rPr>
        <w:t>In Cohort 1A of the IOV-COM-202 trial, we are enrolling advanced unresectable or metastatic melanoma patients who are naïve to anti-PD-1 therapy. In Cohort 2A of the IOV-COM-202 trial, we have enrolled advanced, recurrent, or metastatic HNSCC patients who are naïve to prior immunotherapy including anti-PD-1/anti-PD-L1 therapy. The patients receive LN-145 in combination with pembrolizumab. In Cohort 3 of our C-145-04 cervical cancer study, patients receive TIL therapy plus pembrolizumab.</w:t>
      </w:r>
    </w:p>
    <w:p>
      <w:pPr>
        <w:spacing w:after="0" w:line="180" w:lineRule="exact"/>
        <w:rPr>
          <w:sz w:val="20"/>
          <w:szCs w:val="20"/>
          <w:color w:val="auto"/>
        </w:rPr>
      </w:pPr>
    </w:p>
    <w:p>
      <w:pPr>
        <w:ind w:right="460" w:firstLine="492"/>
        <w:spacing w:after="0" w:line="312" w:lineRule="auto"/>
        <w:rPr>
          <w:sz w:val="20"/>
          <w:szCs w:val="20"/>
          <w:color w:val="auto"/>
        </w:rPr>
      </w:pPr>
      <w:r>
        <w:rPr>
          <w:rFonts w:ascii="Times New Roman" w:cs="Times New Roman" w:eastAsia="Times New Roman" w:hAnsi="Times New Roman"/>
          <w:sz w:val="17"/>
          <w:szCs w:val="17"/>
          <w:color w:val="auto"/>
        </w:rPr>
        <w:t>We reported results from ongoing Cohort 1A of the IOV-COM-202 trial at ASCO in June 2021, as well as updated results in November 2021 at SITC and in an April 2022 corporate update. We plan to begin a Phase 3 trial of lifileucel in combination with</w:t>
      </w:r>
    </w:p>
    <w:p>
      <w:pPr>
        <w:sectPr>
          <w:pgSz w:w="11900" w:h="16838" w:orient="portrait"/>
          <w:cols w:equalWidth="0" w:num="1">
            <w:col w:w="9900"/>
          </w:cols>
          <w:pgMar w:left="980" w:top="661" w:right="1019"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pembrolizumab in frontline metastatic melanoma in late 2022. The trial is intended to expand the opportunity for lifileucel as an earlier treatment and may serve as a confirmatory study for our BLA submission for lifileucel in metastatic melanoma.</w:t>
      </w:r>
    </w:p>
    <w:p>
      <w:pPr>
        <w:spacing w:after="0" w:line="162" w:lineRule="exact"/>
        <w:rPr>
          <w:sz w:val="20"/>
          <w:szCs w:val="20"/>
          <w:color w:val="auto"/>
        </w:rPr>
      </w:pPr>
    </w:p>
    <w:p>
      <w:pPr>
        <w:jc w:val="both"/>
        <w:ind w:right="260" w:firstLine="492"/>
        <w:spacing w:after="0" w:line="266" w:lineRule="auto"/>
        <w:rPr>
          <w:sz w:val="20"/>
          <w:szCs w:val="20"/>
          <w:color w:val="auto"/>
        </w:rPr>
      </w:pPr>
      <w:r>
        <w:rPr>
          <w:rFonts w:ascii="Times New Roman" w:cs="Times New Roman" w:eastAsia="Times New Roman" w:hAnsi="Times New Roman"/>
          <w:sz w:val="18"/>
          <w:szCs w:val="18"/>
          <w:color w:val="auto"/>
        </w:rPr>
        <w:t>Our oral presentation of TIL therapy plus pembrolizumab at SITC in November 2021 also included updated results in HNSCC patients from Cohort 2A in IOV-COM-202 as well as initial results in cervical cancer patients from Cohort 3 of our C-145-04 cervical cancer study.</w:t>
      </w:r>
    </w:p>
    <w:p>
      <w:pPr>
        <w:spacing w:after="0" w:line="176" w:lineRule="exact"/>
        <w:rPr>
          <w:sz w:val="20"/>
          <w:szCs w:val="20"/>
          <w:color w:val="auto"/>
        </w:rPr>
      </w:pPr>
    </w:p>
    <w:p>
      <w:pPr>
        <w:ind w:right="60" w:firstLine="492"/>
        <w:spacing w:after="0" w:line="261" w:lineRule="auto"/>
        <w:rPr>
          <w:sz w:val="20"/>
          <w:szCs w:val="20"/>
          <w:color w:val="auto"/>
        </w:rPr>
      </w:pPr>
      <w:r>
        <w:rPr>
          <w:rFonts w:ascii="Times New Roman" w:cs="Times New Roman" w:eastAsia="Times New Roman" w:hAnsi="Times New Roman"/>
          <w:sz w:val="18"/>
          <w:szCs w:val="18"/>
          <w:color w:val="auto"/>
        </w:rPr>
        <w:t>The Cohort 1A and Cohort 2A results from the IOV-COM-202 study as well as Cohort 3 from the C-145-04 study demonstrated that lifileucel or LN-145 can be safely combined with pembrolizumab. The treatment emergent adverse event, or TEAE, profile in all Cohorts was consistent with the underlying advanced disease and the known adverse event profiles of pembrolizumab, lymphodepletion, and IL-2 regimens.</w:t>
      </w:r>
    </w:p>
    <w:p>
      <w:pPr>
        <w:spacing w:after="0" w:line="180" w:lineRule="exact"/>
        <w:rPr>
          <w:sz w:val="20"/>
          <w:szCs w:val="20"/>
          <w:color w:val="auto"/>
        </w:rPr>
      </w:pPr>
    </w:p>
    <w:p>
      <w:pPr>
        <w:ind w:right="80" w:firstLine="492"/>
        <w:spacing w:after="0" w:line="258" w:lineRule="auto"/>
        <w:rPr>
          <w:sz w:val="20"/>
          <w:szCs w:val="20"/>
          <w:color w:val="auto"/>
        </w:rPr>
      </w:pPr>
      <w:r>
        <w:rPr>
          <w:rFonts w:ascii="Times New Roman" w:cs="Times New Roman" w:eastAsia="Times New Roman" w:hAnsi="Times New Roman"/>
          <w:sz w:val="18"/>
          <w:szCs w:val="18"/>
          <w:color w:val="auto"/>
        </w:rPr>
        <w:t>Two additional cohorts, Cohort 3A and 3C in the IOV-COM-202 study, explore LN-145/ICI combination therapies in NSCLC patients. Cohort 3A is evaluating LN-145 in combination with pembrolizumab in patients with recurrent or metastatic NSCLC who have not received prior immunotherapy, including checkpoint inhibitors. Cohort 3C is investigating LN-145 therapy in combination with ipilimumab and nivolumab in patients with recurrent or metastatic NSCLC who have previously received one line of approved checkpoint inhibitor monotherapy as the only prior line of systemic therapy.</w:t>
      </w:r>
    </w:p>
    <w:p>
      <w:pPr>
        <w:spacing w:after="0" w:line="181" w:lineRule="exact"/>
        <w:rPr>
          <w:sz w:val="20"/>
          <w:szCs w:val="20"/>
          <w:color w:val="auto"/>
        </w:rPr>
      </w:pPr>
    </w:p>
    <w:p>
      <w:pPr>
        <w:ind w:right="60" w:firstLine="492"/>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2021, we announced that our Iovance Cell Therapy Center, or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had successfully manufactured and delivered its first clinical batch of LN-145 for the IOV-COM-202 trial, representing our first internally manufactured TIL product. We continue to supply the IOV-COM-202 trial, and other ongoing trials, with both internally manufactured and externally manufactured TIL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Genetically Modified TIL Therapies</w:t>
      </w:r>
    </w:p>
    <w:p>
      <w:pPr>
        <w:spacing w:after="0" w:line="227"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In January 2020, we announced a research collaboration and exclusive worldwide licensing agreement with Cellectis S.A., or Cellectis, a clinical-stage biopharmaceutical company focused on developing immunotherapies based on gene-edited allogeneic chimeric antigen receptor modified T cells. The worldwide exclusive license enables us to use certain TALEN® technology addressing multiple gene targets to develop TIL products that have been genetically edited to create potentially more potent cancer therapeutics for use in several cancer indications. We are investigating the safety and efficacy of our lead genetically modified TIL therapy, IOV-4001, in the IOV-GM1-201 multicenter clinical trial in previously treated patients with advanced melanoma or metastatic NSCLC. IOV-4001 leverages the gene-editing TALEN® technology licensed from Cellectis to inactivate the gene coding for PD-1. In March 2022, we announced that the FDA allowed an IND to proceed for the IOV-GM1-201 trial. We initiated the IOV-GM1-201 trial in the second quarter of 2022 and began patient dosing in the third quarter of 2022. Cohort 1 is enrolling patients with unresectable or metastatic melanoma who have progressed following anti-PD-1/PD-L1 blocking antibody therapy and, in those patients with BRAF mutations, after BRAF/MEK inhibitor therapy. Cohort 2 is enrolling patients with NSCLC who have received no more than three prior lines of therapy, with or without oncogene-driven mutations. In addition to IOV-4001, we are developing additional targets for genetic modification, including double-knock out programs, which are currently in preclinical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PBL Therapy in Blood Cancers</w:t>
      </w:r>
    </w:p>
    <w:p>
      <w:pPr>
        <w:spacing w:after="0" w:line="227" w:lineRule="exact"/>
        <w:rPr>
          <w:sz w:val="20"/>
          <w:szCs w:val="20"/>
          <w:color w:val="auto"/>
        </w:rPr>
      </w:pPr>
    </w:p>
    <w:p>
      <w:pPr>
        <w:ind w:right="20" w:firstLine="492"/>
        <w:spacing w:after="0" w:line="258" w:lineRule="auto"/>
        <w:rPr>
          <w:sz w:val="20"/>
          <w:szCs w:val="20"/>
          <w:color w:val="auto"/>
        </w:rPr>
      </w:pPr>
      <w:r>
        <w:rPr>
          <w:rFonts w:ascii="Times New Roman" w:cs="Times New Roman" w:eastAsia="Times New Roman" w:hAnsi="Times New Roman"/>
          <w:sz w:val="18"/>
          <w:szCs w:val="18"/>
          <w:color w:val="auto"/>
        </w:rPr>
        <w:t>Our lead PBL therapy, designated IOV-2001, is a non-genetically modified, polyclonal T cell product that is manufactured using a nine-day process starting from 50 mL of patient's blood. In November 2019, we announced that our IND application for IOV-2001 was allowed to proceed by the FDA. Our sponsored clinical trial using this therapy, IOV-CLL-01, was initiated and patient dosing began in 2020. IOV-CLL-01 is a Phase 1/2 clinical trial evaluating the safety and efficacy of IOV-2001 in patients with relapsed or refractory CLL or SLL.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Next-Generation Product Candidates</w:t>
      </w:r>
    </w:p>
    <w:p>
      <w:pPr>
        <w:spacing w:after="0" w:line="227" w:lineRule="exact"/>
        <w:rPr>
          <w:sz w:val="20"/>
          <w:szCs w:val="20"/>
          <w:color w:val="auto"/>
        </w:rPr>
      </w:pPr>
    </w:p>
    <w:p>
      <w:pPr>
        <w:ind w:right="100" w:firstLine="492"/>
        <w:spacing w:after="0" w:line="289" w:lineRule="auto"/>
        <w:rPr>
          <w:sz w:val="20"/>
          <w:szCs w:val="20"/>
          <w:color w:val="auto"/>
        </w:rPr>
      </w:pPr>
      <w:r>
        <w:rPr>
          <w:rFonts w:ascii="Times New Roman" w:cs="Times New Roman" w:eastAsia="Times New Roman" w:hAnsi="Times New Roman"/>
          <w:sz w:val="17"/>
          <w:szCs w:val="17"/>
          <w:color w:val="auto"/>
        </w:rPr>
        <w:t>Our clinical pipeline also includes next generation TIL product candidates and manufacturing processes, as well as a cytokine-engrafted protein. Our TIL candidate LN-145-S1, in which TIL are selected for PD-1 expression, is being investigated in post-anti-PD-1 melanoma in Cohort 1B of our IOV-COM-202 basket study and previously in post-anti-PD-1 HNSCC in Cohort 4 of our C-145-03 trial.</w:t>
      </w:r>
    </w:p>
    <w:p>
      <w:pPr>
        <w:spacing w:after="0" w:line="158" w:lineRule="exact"/>
        <w:rPr>
          <w:sz w:val="20"/>
          <w:szCs w:val="20"/>
          <w:color w:val="auto"/>
        </w:rPr>
      </w:pPr>
    </w:p>
    <w:p>
      <w:pPr>
        <w:ind w:right="20" w:firstLine="492"/>
        <w:spacing w:after="0" w:line="282" w:lineRule="auto"/>
        <w:rPr>
          <w:sz w:val="20"/>
          <w:szCs w:val="20"/>
          <w:color w:val="auto"/>
        </w:rPr>
      </w:pPr>
      <w:r>
        <w:rPr>
          <w:rFonts w:ascii="Times New Roman" w:cs="Times New Roman" w:eastAsia="Times New Roman" w:hAnsi="Times New Roman"/>
          <w:sz w:val="18"/>
          <w:szCs w:val="18"/>
          <w:color w:val="auto"/>
        </w:rPr>
        <w:t>We are using our Gen 3 manufacturing process in Cohort 3 of the IOV-LUN-202 clinical trial in NSCLC and have previously used it in the C-145-03 clinical trial in HNSCC and in Cohort 1C of the IOV-COM-202 clinical trial in melanoma.</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92"/>
        <w:spacing w:after="0" w:line="256" w:lineRule="auto"/>
        <w:rPr>
          <w:sz w:val="20"/>
          <w:szCs w:val="20"/>
          <w:color w:val="auto"/>
        </w:rPr>
      </w:pPr>
      <w:r>
        <w:rPr>
          <w:rFonts w:ascii="Times New Roman" w:cs="Times New Roman" w:eastAsia="Times New Roman" w:hAnsi="Times New Roman"/>
          <w:sz w:val="18"/>
          <w:szCs w:val="18"/>
          <w:color w:val="auto"/>
        </w:rPr>
        <w:t>We continue to explore additional transient and permanent genetic modifications of TIL products. For example, under the amended and restated patent license agreement we entered into May 2021 with National Institutes of Health, or NIH, an agency of the U.S. Public Health Service within the Department of Health and Human Services, we license a patent family related to cytokine-tethered TILs, which are intended to potentially expand and activate TILs to achieve better efficacy while avoiding systemic side effects of cytokines. We are currently developing cytokine-tethered TIL products in preclinical studies. We are also developing additional TIL products using transient and stable gene insertion and inactivation.</w:t>
      </w:r>
    </w:p>
    <w:p>
      <w:pPr>
        <w:spacing w:after="0" w:line="147" w:lineRule="exact"/>
        <w:rPr>
          <w:sz w:val="20"/>
          <w:szCs w:val="20"/>
          <w:color w:val="auto"/>
        </w:rPr>
      </w:pPr>
    </w:p>
    <w:p>
      <w:pPr>
        <w:ind w:right="140" w:firstLine="492"/>
        <w:spacing w:after="0" w:line="258" w:lineRule="auto"/>
        <w:rPr>
          <w:sz w:val="20"/>
          <w:szCs w:val="20"/>
          <w:color w:val="auto"/>
        </w:rPr>
      </w:pPr>
      <w:r>
        <w:rPr>
          <w:rFonts w:ascii="Times New Roman" w:cs="Times New Roman" w:eastAsia="Times New Roman" w:hAnsi="Times New Roman"/>
          <w:sz w:val="18"/>
          <w:szCs w:val="18"/>
          <w:color w:val="auto"/>
        </w:rPr>
        <w:t>In addition, in January 2020, we obtained a license from Novartis Pharma AG, or Novartis, to develop and commercialize an antibody cytokine-engrafted protein, which we refer to as IOV-3001. Under the agreement, we paid an upfront payment to Novartis and may pay milestones involved in initiation of patient dosing in various phases of clinical development for IOV-3001 and approval of a potential product in the U.S., EU, and Japan. We are currently conducting IND enabling studies of this novel IL-2 analog. Novartis is also entitled to low-to-mid single digit percentage royalties from commercial sales of IOV-3001.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Investigator-Sponsored Trials</w:t>
      </w:r>
    </w:p>
    <w:p>
      <w:pPr>
        <w:spacing w:after="0" w:line="187" w:lineRule="exact"/>
        <w:rPr>
          <w:sz w:val="20"/>
          <w:szCs w:val="20"/>
          <w:color w:val="auto"/>
        </w:rPr>
      </w:pPr>
    </w:p>
    <w:p>
      <w:pPr>
        <w:ind w:right="60" w:firstLine="492"/>
        <w:spacing w:after="0" w:line="253" w:lineRule="auto"/>
        <w:rPr>
          <w:sz w:val="20"/>
          <w:szCs w:val="20"/>
          <w:color w:val="auto"/>
        </w:rPr>
      </w:pPr>
      <w:r>
        <w:rPr>
          <w:rFonts w:ascii="Times New Roman" w:cs="Times New Roman" w:eastAsia="Times New Roman" w:hAnsi="Times New Roman"/>
          <w:sz w:val="18"/>
          <w:szCs w:val="18"/>
          <w:color w:val="auto"/>
        </w:rPr>
        <w:t>Through our academic collaborators, we are also exploring the potential for TIL therapies in additional indications. As part of our collaboration program with The University of Texas M.D. Anderson Cancer Center, or MDACC, two Phase 2 trials were initiated in 2018. Both trials are sponsored by MDACC. The first trial, NCT03449108, investigates LN-145 manufactured by us, using our manufacturing processes, to treat patients with soft tissue sarcoma, osteosarcoma, platinum resistant ovarian cancer, anaplastic thyroid cancer, and triple negative breast cancer. A second trial under the collaboration with MDACC, NCT03610490, was previously active. This trial treated patients with platinum resistant ovarian cancer, pancreatic and colorectal cancer with TIL manufactured by MDACC. The data obtained using this manufacturing process may not be representative of our data using our Gen 2 manufacturing process. We also collaborate with many other academic institutions using our TIL therapies. For example, a trial in collaboration with The Ohio State University, NCT05176470, began recruiting in April 2022, and will explore the use of lifileucel in high-risk melanoma in the neoadjuvant setting. Additionally, the Yale Comprehensive Cancer Study, NCT04111510, is exploring LN-145 in triple-negative breast cancer.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00"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We have developed our own patent portfolio based on internal research and development activities. As a result, we now own a number of pending patent applications and granted patents in the fields of TIL therapy, MIL therapy, and PBL therapy, TIL, MIL, and PBL manufacturing processes, and TIL, MIL, and PBL expansion methods. For example, we currently own at least 60 U.S. patents related to TIL therapy, including patents directed to compositions and methods of treatment in a broad range of cancers, such as U.S. 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11,141,438 11,168,303; 11,168,304; 11,179,419; 11,202,803; 11,202,804; 11,241,456; 11,254,913; 11,266,694; 11,273,180; 11,273,181; 11,291,687; 11,304,979; 11,304,980; 11,311,578; 11,337,998; 11,344,579; 11,344,580; 11,344,581; 11,351,197; 11,351,198; 11,351,199; 11,364,266; 11,369,637; 11,384,637; and 11,433,097. More than 35 of these patents are related to our Gen 2 TIL manufacturing processes and have terms that we anticipate will extend to January 2038, not including any patent term extensions or adjustments that may be available. Our owned and licensed intellectual property portfolio also includes patents and patent applications relating to TIL, MIL, and PBL therapies; frozen tumor-based TIL technologies; remnant TIL and digest TIL compositions, methods and processes; methods of treatment of a broad range of cancers using TIL therapies; methods of manufacturing TIL, MIL, and PBL therapies; the use of costimulatory molecules in TIL therapy and manufacturing; stable and transient genetically-modified TIL therapies; methods of using ICIs in combination with TIL therapies; TIL selection technologies; and methods of treating patient subpopulations.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Liquidity</w:t>
      </w:r>
    </w:p>
    <w:p>
      <w:pPr>
        <w:spacing w:after="0" w:line="227" w:lineRule="exact"/>
        <w:rPr>
          <w:sz w:val="20"/>
          <w:szCs w:val="20"/>
          <w:color w:val="auto"/>
        </w:rPr>
      </w:pPr>
    </w:p>
    <w:p>
      <w:pPr>
        <w:ind w:right="200" w:firstLine="492"/>
        <w:spacing w:after="0" w:line="258" w:lineRule="auto"/>
        <w:rPr>
          <w:sz w:val="20"/>
          <w:szCs w:val="20"/>
          <w:color w:val="auto"/>
        </w:rPr>
      </w:pPr>
      <w:r>
        <w:rPr>
          <w:rFonts w:ascii="Times New Roman" w:cs="Times New Roman" w:eastAsia="Times New Roman" w:hAnsi="Times New Roman"/>
          <w:sz w:val="18"/>
          <w:szCs w:val="18"/>
          <w:color w:val="auto"/>
        </w:rPr>
        <w:t>The full impact of the novel strain of coronavirus, or COVID-19, pandemic is unknown and continuously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continue to implement these measures until we determine that the COVID-19 pandemic is adequately contained for purposes of our business. We may take further actions as government authorities require or recommend or as we determine to be in the best interests of our employees. We do not believe that the COVID-19 pandemic had a material impact on our liquidity or results of operations for the three and nine months ended September 30, 2022. Further, to date, the COVID-19 pandemic has not had significant effects on our clinical trial enrollment. Given the nature and type of our short-term investments in U.S. government securities, we do not believe that the COVID-19 pandemic will have a material impact on our current investment liquidity.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Outlook</w:t>
      </w:r>
    </w:p>
    <w:p>
      <w:pPr>
        <w:spacing w:after="0" w:line="227" w:lineRule="exact"/>
        <w:rPr>
          <w:sz w:val="20"/>
          <w:szCs w:val="20"/>
          <w:color w:val="auto"/>
        </w:rPr>
      </w:pPr>
    </w:p>
    <w:p>
      <w:pPr>
        <w:ind w:right="60" w:firstLine="492"/>
        <w:spacing w:after="0" w:line="261" w:lineRule="auto"/>
        <w:rPr>
          <w:sz w:val="20"/>
          <w:szCs w:val="20"/>
          <w:color w:val="auto"/>
        </w:rPr>
      </w:pPr>
      <w:r>
        <w:rPr>
          <w:rFonts w:ascii="Times New Roman" w:cs="Times New Roman" w:eastAsia="Times New Roman" w:hAnsi="Times New Roman"/>
          <w:sz w:val="18"/>
          <w:szCs w:val="18"/>
          <w:color w:val="auto"/>
        </w:rPr>
        <w:t>Although there is uncertainty related to the anticipated impact of the recent COVID-19 pandemic on our future results, we believe our current cash reserves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53" w:lineRule="exact"/>
        <w:rPr>
          <w:sz w:val="20"/>
          <w:szCs w:val="20"/>
          <w:color w:val="auto"/>
        </w:rPr>
      </w:pPr>
    </w:p>
    <w:p>
      <w:pPr>
        <w:ind w:right="60" w:firstLine="492"/>
        <w:spacing w:after="0" w:line="266" w:lineRule="auto"/>
        <w:rPr>
          <w:sz w:val="20"/>
          <w:szCs w:val="20"/>
          <w:color w:val="auto"/>
        </w:rPr>
      </w:pPr>
      <w:r>
        <w:rPr>
          <w:rFonts w:ascii="Times New Roman" w:cs="Times New Roman" w:eastAsia="Times New Roman" w:hAnsi="Times New Roman"/>
          <w:sz w:val="18"/>
          <w:szCs w:val="18"/>
          <w:color w:val="auto"/>
        </w:rPr>
        <w:t>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future periods.</w:t>
      </w:r>
    </w:p>
    <w:p>
      <w:pPr>
        <w:spacing w:after="0" w:line="135" w:lineRule="exact"/>
        <w:rPr>
          <w:sz w:val="20"/>
          <w:szCs w:val="20"/>
          <w:color w:val="auto"/>
        </w:rPr>
      </w:pPr>
    </w:p>
    <w:p>
      <w:pPr>
        <w:ind w:right="60" w:firstLine="492"/>
        <w:spacing w:after="0" w:line="256" w:lineRule="auto"/>
        <w:rPr>
          <w:sz w:val="20"/>
          <w:szCs w:val="20"/>
          <w:color w:val="auto"/>
        </w:rPr>
      </w:pPr>
      <w:r>
        <w:rPr>
          <w:rFonts w:ascii="Times New Roman" w:cs="Times New Roman" w:eastAsia="Times New Roman" w:hAnsi="Times New Roman"/>
          <w:sz w:val="18"/>
          <w:szCs w:val="18"/>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 As such, given the dynamic nature of this situation, we cannot reasonably estimate the impacts of COVID-19 on our financial condition, results of operations or cash flows in the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jc w:val="both"/>
        <w:ind w:right="40" w:firstLine="492"/>
        <w:spacing w:after="0" w:line="258" w:lineRule="auto"/>
        <w:rPr>
          <w:sz w:val="20"/>
          <w:szCs w:val="20"/>
          <w:color w:val="auto"/>
        </w:rPr>
      </w:pPr>
      <w:r>
        <w:rPr>
          <w:rFonts w:ascii="Times New Roman" w:cs="Times New Roman" w:eastAsia="Times New Roman" w:hAnsi="Times New Roman"/>
          <w:sz w:val="18"/>
          <w:szCs w:val="18"/>
          <w:color w:val="auto"/>
        </w:rPr>
        <w:t>We have not yet generated any revenues since our formation. With the submission of the rolling BLA for lifileucel for metastatic melanoma and our expected completion of the submission in the fourth quarter of 2022, we anticipate generating revenue from the sale of products during the 12 months from the date of these consolidated financial statements are issued, however such revenues may not be material. Our ability to generate revenues in the future depends on our ability to complete the development of our product candidates and to obtain regulatory approval for them.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ind w:right="40" w:firstLine="492"/>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43"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492"/>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increase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executive, finance, accounting, legal, investor relations, facilities, business development, marketing, commercial, information technology and human resources functions. Other significant costs include facility costs not otherwise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spacing w:after="0" w:line="151" w:lineRule="exact"/>
        <w:rPr>
          <w:sz w:val="20"/>
          <w:szCs w:val="20"/>
          <w:color w:val="auto"/>
        </w:rPr>
      </w:pPr>
    </w:p>
    <w:p>
      <w:pPr>
        <w:ind w:right="140" w:firstLine="492"/>
        <w:spacing w:after="0" w:line="282" w:lineRule="auto"/>
        <w:rPr>
          <w:sz w:val="20"/>
          <w:szCs w:val="20"/>
          <w:color w:val="auto"/>
        </w:rPr>
      </w:pPr>
      <w:r>
        <w:rPr>
          <w:rFonts w:ascii="Times New Roman" w:cs="Times New Roman" w:eastAsia="Times New Roman" w:hAnsi="Times New Roman"/>
          <w:sz w:val="18"/>
          <w:szCs w:val="18"/>
          <w:color w:val="auto"/>
        </w:rPr>
        <w:t>We anticipate general and administrative expenses will increase as we continue to prepare for commercialization and support the expected continued growth of the internal general and administrative team.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net results from our interest-bearing cash and investment balances.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2022 and 2021</w:t>
      </w:r>
    </w:p>
    <w:p>
      <w:pPr>
        <w:spacing w:after="0" w:line="189" w:lineRule="exact"/>
        <w:rPr>
          <w:sz w:val="20"/>
          <w:szCs w:val="20"/>
          <w:color w:val="auto"/>
        </w:rPr>
      </w:pPr>
    </w:p>
    <w:p>
      <w:pPr>
        <w:ind w:right="120" w:firstLine="492"/>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 of clinical development generally have higher development costs than those in earlier stages of clinical development, primarily due to the increased size and duration of later-stage clinical trials. As a clinical stage company that is currently engaged in the development of novel cancer immunotherapy products, we have not yet generated any revenues from our biotechnology business or otherwise since our formation. Our ability to generate revenues in the future will depend on our ability to complete the development of our product candidates and to obtain regulatory approval for them. Our major sources of funding to date have been proceeds from various public and private offerings of our equity securities (both common stock and preferred stock), option and warrant exercises, and interest income. Since 2017 our primary source of funds has been from the public sale of our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60" w:type="dxa"/>
            <w:vAlign w:val="bottom"/>
          </w:tcPr>
          <w:p>
            <w:pPr>
              <w:spacing w:after="0"/>
              <w:rPr>
                <w:sz w:val="13"/>
                <w:szCs w:val="13"/>
                <w:color w:val="auto"/>
              </w:rPr>
            </w:pPr>
          </w:p>
        </w:tc>
      </w:tr>
      <w:tr>
        <w:trPr>
          <w:trHeight w:val="173"/>
        </w:trPr>
        <w:tc>
          <w:tcPr>
            <w:tcW w:w="3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0" w:type="dxa"/>
            <w:vAlign w:val="bottom"/>
          </w:tcPr>
          <w:p>
            <w:pPr>
              <w:spacing w:after="0"/>
              <w:rPr>
                <w:sz w:val="15"/>
                <w:szCs w:val="15"/>
                <w:color w:val="auto"/>
              </w:rPr>
            </w:pPr>
          </w:p>
        </w:tc>
        <w:tc>
          <w:tcPr>
            <w:tcW w:w="17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700" w:type="dxa"/>
            <w:vAlign w:val="bottom"/>
            <w:tcBorders>
              <w:top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$ 72,502</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$ 65,355</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$ 214,208</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$ 183,423</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included in</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38,863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29,291</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198"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Research and development expense for the three months ended September 30, 2022 increased by $7.1 million, or 11%, compared to the same period in 2021. The increase was primarily attributable to (i) a $7.8 million increase in payroll and related expenses, including stock-based compensation expenses, driven by increased hiring of research and development employees to support our ongoing and planned clinical development activities, (ii) a $3.7 million increase in facility and related costs, including depreciation expenses, associated with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the build-out of our new corporate headquarters office, and (iii) a $2.1 million increase in other costs, including lab consumables, research alliance activities, patient advocacy and physician outreach, travel, and license costs associated with expansion of our information technology infrastructure to support our clinical activities. These expenses were partially offset by a $3.3 million decrease in clinical trial costs driven by the timing of study drug procurement and completion of enrollment in pivotal cohorts for melanoma and cervical cancer, as well as our head and neck clinical trials, and a $3.2 million decrease in manufacturing costs driven by completion of the pivotal clinical trials.</w:t>
      </w:r>
    </w:p>
    <w:p>
      <w:pPr>
        <w:spacing w:after="0" w:line="221"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for the nine months ended September 30, 2022 increased by $30.8 million, or 17%, compared to the same period in 2021. The increase was primarily attributable to (i) a $21.5 million increase in payroll and related</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5" w:name="page36"/>
    <w:bookmarkEnd w:id="3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20" w:right="100"/>
        <w:spacing w:after="0" w:line="259" w:lineRule="auto"/>
        <w:rPr>
          <w:sz w:val="20"/>
          <w:szCs w:val="20"/>
          <w:color w:val="auto"/>
        </w:rPr>
      </w:pPr>
      <w:r>
        <w:rPr>
          <w:rFonts w:ascii="Times New Roman" w:cs="Times New Roman" w:eastAsia="Times New Roman" w:hAnsi="Times New Roman"/>
          <w:sz w:val="18"/>
          <w:szCs w:val="18"/>
          <w:color w:val="auto"/>
        </w:rPr>
        <w:t xml:space="preserve">expenses and a $9.6 million increase in stock-based compensation expenses, both driven by increased hiring of research and development employees to support our ongoing and planned clinical development activities, (ii) a $14.7 million increase in facility and related costs, including depreciation expenses, associated with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the build-out of our new corporate headquarters office, (iii) a $3.2 million increase in other costs related to patient advocacy and physician outreach, travel, and license costs associated with expansion of our information technology infrastructure to support our clinical operations, and (iv) $3.1 million increase in lab consumables to support our research programs and research alliance activities. These expenses were partially offset by a $14.7 million decrease in clinical trial costs due to the completion of enrollment in pivotal cohorts for melanoma and cervical cancer, as well as our head and neck clinical trials and a $6.6 million decrease in manufacturing costs driven by completion of pivotal clinical trials.</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 (in thousands)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gridSpan w:val="3"/>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80" w:type="dxa"/>
            <w:vAlign w:val="bottom"/>
          </w:tcPr>
          <w:p>
            <w:pPr>
              <w:spacing w:after="0"/>
              <w:rPr>
                <w:sz w:val="13"/>
                <w:szCs w:val="13"/>
                <w:color w:val="auto"/>
              </w:rPr>
            </w:pPr>
          </w:p>
        </w:tc>
      </w:tr>
      <w:tr>
        <w:trPr>
          <w:trHeight w:val="173"/>
        </w:trPr>
        <w:tc>
          <w:tcPr>
            <w:tcW w:w="4120" w:type="dxa"/>
            <w:vAlign w:val="bottom"/>
          </w:tcPr>
          <w:p>
            <w:pPr>
              <w:spacing w:after="0"/>
              <w:rPr>
                <w:sz w:val="15"/>
                <w:szCs w:val="15"/>
                <w:color w:val="auto"/>
              </w:rPr>
            </w:pPr>
          </w:p>
        </w:tc>
        <w:tc>
          <w:tcPr>
            <w:tcW w:w="15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5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41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$ 27,893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$ 20,887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$ 77,634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$ 59,815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included in general</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and administrative expense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ind w:left="20" w:right="20" w:firstLine="492"/>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2022 increased by $7.0 million, or 34%, compared to the same period in 2021. The increase was primarily attributable to (i) a $4.0 million increase in payroll and related expenses and a $0.7 million increase in stock-based compensation expenses, both resulting from increases in headcount to support the growth in the overall business and related corporate infrastructure, as well as the growth of our commercial organization to support our commercial readiness activities, (ii) a $1.2 million increase in marketing and advertising costs related to branding awareness, and (iii) and $1.1 million increase in other costs, such as travel and professional services to support our pre-commercialization activities.</w:t>
      </w:r>
    </w:p>
    <w:p>
      <w:pPr>
        <w:spacing w:after="0" w:line="147" w:lineRule="exact"/>
        <w:rPr>
          <w:sz w:val="20"/>
          <w:szCs w:val="20"/>
          <w:color w:val="auto"/>
        </w:rPr>
      </w:pPr>
    </w:p>
    <w:p>
      <w:pPr>
        <w:ind w:left="20" w:right="140" w:firstLine="492"/>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2022 increased by $17.8 million, or 30%, compared to the same period in 2021. The increase was primarily attributable to (i) a $8.4 million increase in payroll and related expenses and a $4.3 million increase in stock-based compensation expenses, both resulting from increases in headcount to support the growth in the overall business and related corporate infrastructure, as well as the growth of our commercial organization to support our commercial readiness activities, and (ii) a $5.1 million increase in other costs, including marketing, travel, and depreciation costs associated with the build-out of our new corporate headquarters, and increased costs to enhance and expand our information technology infrastructure to support our pre-commercialization activities as well as the continued growth in the overall company.</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Interest income, net (in thousands)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52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00" w:type="dxa"/>
            <w:vAlign w:val="bottom"/>
          </w:tcPr>
          <w:p>
            <w:pPr>
              <w:spacing w:after="0"/>
              <w:rPr>
                <w:sz w:val="13"/>
                <w:szCs w:val="13"/>
                <w:color w:val="auto"/>
              </w:rPr>
            </w:pPr>
          </w:p>
        </w:tc>
      </w:tr>
      <w:tr>
        <w:trPr>
          <w:trHeight w:val="173"/>
        </w:trPr>
        <w:tc>
          <w:tcPr>
            <w:tcW w:w="4120" w:type="dxa"/>
            <w:vAlign w:val="bottom"/>
          </w:tcPr>
          <w:p>
            <w:pPr>
              <w:spacing w:after="0"/>
              <w:rPr>
                <w:sz w:val="15"/>
                <w:szCs w:val="15"/>
                <w:color w:val="auto"/>
              </w:rPr>
            </w:pPr>
          </w:p>
        </w:tc>
        <w:tc>
          <w:tcPr>
            <w:tcW w:w="1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5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4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bl>
    <w:p>
      <w:pPr>
        <w:spacing w:after="0" w:line="130" w:lineRule="exact"/>
        <w:rPr>
          <w:sz w:val="20"/>
          <w:szCs w:val="20"/>
          <w:color w:val="auto"/>
        </w:rPr>
      </w:pPr>
    </w:p>
    <w:p>
      <w:pPr>
        <w:ind w:left="20" w:right="280" w:firstLine="492"/>
        <w:spacing w:after="0" w:line="266" w:lineRule="auto"/>
        <w:rPr>
          <w:sz w:val="20"/>
          <w:szCs w:val="20"/>
          <w:color w:val="auto"/>
        </w:rPr>
      </w:pPr>
      <w:r>
        <w:rPr>
          <w:rFonts w:ascii="Times New Roman" w:cs="Times New Roman" w:eastAsia="Times New Roman" w:hAnsi="Times New Roman"/>
          <w:sz w:val="18"/>
          <w:szCs w:val="18"/>
          <w:color w:val="auto"/>
        </w:rPr>
        <w:t>Interest income, net for the three and nine months ended September 30, 2022 and 2021 increased by $0.7 million, or 548% and $1.0 million or 301%, respectively, primarily due to a recent increase in interest rates and higher interest received on our cash, cash equivalents and investment portfolio.</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Net loss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6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gridSpan w:val="3"/>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80" w:type="dxa"/>
            <w:vAlign w:val="bottom"/>
          </w:tcPr>
          <w:p>
            <w:pPr>
              <w:spacing w:after="0"/>
              <w:rPr>
                <w:sz w:val="13"/>
                <w:szCs w:val="13"/>
                <w:color w:val="auto"/>
              </w:rPr>
            </w:pPr>
          </w:p>
        </w:tc>
      </w:tr>
      <w:tr>
        <w:trPr>
          <w:trHeight w:val="173"/>
        </w:trPr>
        <w:tc>
          <w:tcPr>
            <w:tcW w:w="4080" w:type="dxa"/>
            <w:vAlign w:val="bottom"/>
          </w:tcPr>
          <w:p>
            <w:pPr>
              <w:spacing w:after="0"/>
              <w:rPr>
                <w:sz w:val="15"/>
                <w:szCs w:val="15"/>
                <w:color w:val="auto"/>
              </w:rPr>
            </w:pPr>
          </w:p>
        </w:tc>
        <w:tc>
          <w:tcPr>
            <w:tcW w:w="16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40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(99,618)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(86,122)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(290,574)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(242,922)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ind w:left="20" w:right="80" w:firstLine="492"/>
        <w:spacing w:after="0" w:line="258" w:lineRule="auto"/>
        <w:rPr>
          <w:sz w:val="20"/>
          <w:szCs w:val="20"/>
          <w:color w:val="auto"/>
        </w:rPr>
      </w:pPr>
      <w:r>
        <w:rPr>
          <w:rFonts w:ascii="Times New Roman" w:cs="Times New Roman" w:eastAsia="Times New Roman" w:hAnsi="Times New Roman"/>
          <w:sz w:val="18"/>
          <w:szCs w:val="18"/>
          <w:color w:val="auto"/>
        </w:rPr>
        <w:t>Net loss for the three and nine months ended September 30, 2022 increased by $13.4 million, or 16%, and $47.7 million, or 20%, respectively, compared to the same periods in 2021. The increase in our net loss was due to the continued expansion of our research and development activities and the overall growth of our corporate infrastructure, as well as our pre-commercialization activities. We anticipate that we will continue to incur net losses in the future as we further invest in our research and development activities, including our commercial readiness and both clinical and internal development programs.</w:t>
      </w:r>
    </w:p>
    <w:p>
      <w:pPr>
        <w:sectPr>
          <w:pgSz w:w="11900" w:h="16838" w:orient="portrait"/>
          <w:cols w:equalWidth="0" w:num="1">
            <w:col w:w="9940"/>
          </w:cols>
          <w:pgMar w:left="960" w:top="661" w:right="99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60" w:top="661"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9"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 xml:space="preserve">We have incurred losses and generated negative cash flows from operations since inception.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 With the submission of the rolling BLA for lifileucel for metastatic melanoma and the expected completion of the submission in the fourth quarter of 2022, we anticipate generating revenue from the sale of products during the 12 months from the date these consolidated financial statements are issued, however such revenues may not be material. We expect to continue to incur significant expenses to support our research and development activities, on-going pre-commercial activities and completion of the construction of tenant improvements for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facility during the remainder of 2022 and beyond. Specifically, we expect increased spending on clinical trials, research and development activities, higher payroll expenses as we increase our professional and scientific staff and continue our expansion of manufacturing activities, including completion of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Based on the funds the Company has available as of the date these consolidated financial statements are issued, we believe that we have sufficient capital to fund our anticipated operating expenses and capital expenditures as planned for at least the next twelve months from the date these consolidated financial statements are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Capitalization</w:t>
      </w:r>
    </w:p>
    <w:p>
      <w:pPr>
        <w:spacing w:after="0" w:line="187"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As of September 30, 2022, we had outstanding 157,840,581 shares of our $0.000041666 par value common stock, 194 shares of our $0.001 par value Series A Convertible Preferred Stock, and 2,842,158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2,842,158 shares of our common stock. The shares of Series A Convertible Preferred Stock and Series B Convertible Preferred Stock do not have voting rights or accrue dividends.</w:t>
      </w:r>
    </w:p>
    <w:p>
      <w:pPr>
        <w:spacing w:after="0" w:line="147" w:lineRule="exact"/>
        <w:rPr>
          <w:sz w:val="20"/>
          <w:szCs w:val="20"/>
          <w:color w:val="auto"/>
        </w:rPr>
      </w:pPr>
    </w:p>
    <w:p>
      <w:pPr>
        <w:jc w:val="both"/>
        <w:ind w:right="100" w:firstLine="492"/>
        <w:spacing w:after="0" w:line="266" w:lineRule="auto"/>
        <w:rPr>
          <w:sz w:val="20"/>
          <w:szCs w:val="20"/>
          <w:color w:val="auto"/>
        </w:rPr>
      </w:pPr>
      <w:r>
        <w:rPr>
          <w:rFonts w:ascii="Times New Roman" w:cs="Times New Roman" w:eastAsia="Times New Roman" w:hAnsi="Times New Roman"/>
          <w:sz w:val="18"/>
          <w:szCs w:val="18"/>
          <w:color w:val="auto"/>
        </w:rPr>
        <w:t>On May 27, 2020, we filed an automatic shelf registration statement with the SEC for the issuance of an indeterminate amount of Shelf Securities (the “2020 Automatic Shelf Registration Statement”), which was immediately effective upon filing with the SEC. Upon filing of the 2020 Automatic Shelf Registration Statement, the 2019 Shelf Registration Statement was terminated.</w:t>
      </w:r>
    </w:p>
    <w:p>
      <w:pPr>
        <w:spacing w:after="0" w:line="149" w:lineRule="exact"/>
        <w:rPr>
          <w:sz w:val="20"/>
          <w:szCs w:val="20"/>
          <w:color w:val="auto"/>
        </w:rPr>
      </w:pPr>
    </w:p>
    <w:p>
      <w:pPr>
        <w:ind w:right="180" w:firstLine="492"/>
        <w:spacing w:after="0" w:line="261" w:lineRule="auto"/>
        <w:rPr>
          <w:sz w:val="20"/>
          <w:szCs w:val="20"/>
          <w:color w:val="auto"/>
        </w:rPr>
      </w:pPr>
      <w:r>
        <w:rPr>
          <w:rFonts w:ascii="Times New Roman" w:cs="Times New Roman" w:eastAsia="Times New Roman" w:hAnsi="Times New Roman"/>
          <w:sz w:val="18"/>
          <w:szCs w:val="18"/>
          <w:color w:val="auto"/>
        </w:rPr>
        <w:t>On June 2, 2020, we sold 19,475,806 shares of our common stock at a public offering price of $31.00 per share pursuant to the 2020 Automatic Shelf Registration Statement (the “June 2020 Public Offering”). We received gross proceeds of $603.7 million and net proceeds of $567.0 million, after deducting underwriting discounts and offering expenses. Following the public offering, the 2020 Automatic Shelf Registration Statement remains available for the future issuance of an indeterminate amount of Shelf Securities.</w:t>
      </w:r>
    </w:p>
    <w:p>
      <w:pPr>
        <w:spacing w:after="0" w:line="139" w:lineRule="exact"/>
        <w:rPr>
          <w:sz w:val="20"/>
          <w:szCs w:val="20"/>
          <w:color w:val="auto"/>
        </w:rPr>
      </w:pPr>
    </w:p>
    <w:p>
      <w:pPr>
        <w:ind w:right="20" w:firstLine="492"/>
        <w:spacing w:after="0" w:line="256" w:lineRule="auto"/>
        <w:rPr>
          <w:sz w:val="20"/>
          <w:szCs w:val="20"/>
          <w:color w:val="auto"/>
        </w:rPr>
      </w:pPr>
      <w:r>
        <w:rPr>
          <w:rFonts w:ascii="Times New Roman" w:cs="Times New Roman" w:eastAsia="Times New Roman" w:hAnsi="Times New Roman"/>
          <w:sz w:val="18"/>
          <w:szCs w:val="18"/>
          <w:color w:val="auto"/>
        </w:rPr>
        <w:t>On February 8, 2021, we entered into an Open Market Sale Agreement (the “Sales Agreement”), with Jefferies LLC (“Jefferies”), with respect to an “at the market” offering program, under which we may, from time to time, in our sole discretion, issue and sell through Jefferies, acting as sales agent, up to $350.0 million of shares of our common stock. The issuance and sale, if any, of shares of our common stock under the Sales Agreement will be made pursuant to a prospectus supplement, dated February 8, 2021, to the 2020 Automatic Shelf Registration Statement. There were no sales of our common stock through the Sales Agreement during the three and nine months ended September 30, 2022.</w:t>
      </w:r>
    </w:p>
    <w:p>
      <w:pPr>
        <w:spacing w:after="0" w:line="147" w:lineRule="exact"/>
        <w:rPr>
          <w:sz w:val="20"/>
          <w:szCs w:val="20"/>
          <w:color w:val="auto"/>
        </w:rPr>
      </w:pPr>
    </w:p>
    <w:p>
      <w:pPr>
        <w:ind w:right="100" w:firstLine="492"/>
        <w:spacing w:after="0" w:line="266" w:lineRule="auto"/>
        <w:rPr>
          <w:sz w:val="20"/>
          <w:szCs w:val="20"/>
          <w:color w:val="auto"/>
        </w:rPr>
      </w:pPr>
      <w:r>
        <w:rPr>
          <w:rFonts w:ascii="Times New Roman" w:cs="Times New Roman" w:eastAsia="Times New Roman" w:hAnsi="Times New Roman"/>
          <w:sz w:val="18"/>
          <w:szCs w:val="18"/>
          <w:color w:val="auto"/>
        </w:rPr>
        <w:t>In the future, we may periodically offer one or more of these securities in amounts, prices and terms to be announced when and if the securities are offered. If any of the securities covered by the 2020 Shelf Registration Statement are offered for sale, a prospectus supplement will be prepared and filed with the SEC containing specific information about the terms of such offering at that time.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2340" w:type="dxa"/>
            <w:vAlign w:val="bottom"/>
            <w:tcBorders>
              <w:bottom w:val="single" w:sz="8" w:color="auto"/>
            </w:tcBorders>
            <w:gridSpan w:val="5"/>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75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(215,086)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(174,092)</w:t>
            </w: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255,994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(69,206)</w:t>
            </w: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235,118</w:t>
            </w:r>
          </w:p>
        </w:tc>
      </w:tr>
      <w:tr>
        <w:trPr>
          <w:trHeight w:val="209"/>
        </w:trPr>
        <w:tc>
          <w:tcPr>
            <w:tcW w:w="7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represents cash disbursements related to all of our activities other than investing and financing activities. Operating cash flow is derived by adjusting our net loss for non-cash items and changes in operating assets and liabilities. Net cash used in operating activities for the nine months ended September 30, 2022 was $215.1 million as compared to $174.1 million for the same period in 2021. The increase of $41.0 million in cash used in operating activities was due to an increase in net loss driven by increased costs in research and development and pre-commercial activities, as well as the overall expansion of our clinical trials for new TIL therapies, which was partially offset by an increase in non-cash charges of $16.0 million primarily driven by higher stock-based compensation expenses, as well as depreciation expenses and the amortization of operating right-of-use assets associated with our leased facilities. We also had an increase in cash used by assets and liabilities driven primarily by changes in accruals, accounts payable, as well as prepaid assets, resulting from the increased size of our workforce, overall growth in the business and operations, and the timing of vendor invoicing and related payments. These increases were offset by a net increase in our operating lease liabilities associated with receipts of tenant improvement allowances for our new corporate headquarters office, offset by payments on lease arrangements.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for the periods presented primarily relates to the purchase and maturity of investments and capital expenditures. Net cash provided by investing activities for the nine months ended September 30, 2022 was $256.0 million compared to net cash used in investing activities of $69.2 million for the same period in 2021. The increase in cash provided by investing activities of $325.2 million was primarily due to the timing of maturities and purchases of investments, partially offset by a decrease in capital expenditures.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2022 was $0.4 million compared to $235.1 million cash provided for the same period in 2021. The net cash used in financing activities for the nine months ended September 30, 2022 related to $2.6 million of tax payments related to shares withheld for vested restricted stock units, offset by cash proceeds of $2.2 million from the issuance of common stock upon exercise of stock options and under the employee stock purchase plan during the period. The net cash provided by financing activities for the same period in 2021 primarily related to net proceeds of $203.2 million received from sales of common shares through the “at the market” offering program and $30.0 million received from issuance of common stock upon exercise of stock options and under the employee stock purchase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8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contractual obligations as of September 30, 2022, as compared to those disclosed in the Annual Report on Form 10-K for the year ended December 31, 2021. Details of our future lease obligations as of September 30, 2022 can be found in Note 8 of the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02" w:lineRule="exact"/>
        <w:rPr>
          <w:sz w:val="20"/>
          <w:szCs w:val="20"/>
          <w:color w:val="auto"/>
        </w:rPr>
      </w:pPr>
    </w:p>
    <w:p>
      <w:pPr>
        <w:ind w:right="1180" w:firstLine="492"/>
        <w:spacing w:after="0" w:line="453" w:lineRule="auto"/>
        <w:rPr>
          <w:sz w:val="20"/>
          <w:szCs w:val="20"/>
          <w:color w:val="auto"/>
        </w:rPr>
      </w:pPr>
      <w:r>
        <w:rPr>
          <w:rFonts w:ascii="Times New Roman" w:cs="Times New Roman" w:eastAsia="Times New Roman" w:hAnsi="Times New Roman"/>
          <w:sz w:val="18"/>
          <w:szCs w:val="18"/>
          <w:color w:val="auto"/>
        </w:rPr>
        <w:t xml:space="preserve">As of September 30, 2022, we had no obligations that would require disclosure as off-balance sheet arrangements. </w:t>
      </w:r>
      <w:r>
        <w:rPr>
          <w:rFonts w:ascii="Times New Roman" w:cs="Times New Roman" w:eastAsia="Times New Roman" w:hAnsi="Times New Roman"/>
          <w:sz w:val="18"/>
          <w:szCs w:val="18"/>
          <w:b w:val="1"/>
          <w:bCs w:val="1"/>
          <w:i w:val="1"/>
          <w:iCs w:val="1"/>
          <w:color w:val="auto"/>
        </w:rPr>
        <w:t>Significant Accounting Policies and Recent Accounting Standards</w:t>
      </w:r>
    </w:p>
    <w:p>
      <w:pPr>
        <w:spacing w:after="0" w:line="2"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See Note 2 of the condensed consolidated financial statements for a discussion of our significant accounting policies. There were no recently issued accounting standards applicable to us and we did not adopt any accounting standards during the three and nine months ended September 30,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Inflation has not had a material effect on our business, financial condition, or results of operations over our two most recent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6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September 30, 2022, we had $327.2 million invested in marketable securities with a maturity date of less than one year. As such, we believe that we are not exposed to any material market risk. If interest rates had varied by 1% as of September 30, 2022, the fair value of our investment portfolio would increase or decrease by approximately $0.8 million.</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6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62" w:lineRule="exact"/>
        <w:rPr>
          <w:sz w:val="20"/>
          <w:szCs w:val="20"/>
          <w:color w:val="auto"/>
        </w:rPr>
      </w:pPr>
    </w:p>
    <w:p>
      <w:pPr>
        <w:ind w:right="20" w:firstLine="492"/>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information in Note 9 to the Condensed Consolidated Financial Statements contained in Part I, Item 1 of this Quarterly Report on Form 10-Q is incorporated herein by reference. There are no matters which constitute material pending legal proceedings to which we are a party other than those incorporated into this item by reference from Note 9 to our Condensed Consolidated Financial Statements for the quarter ended September 30, 2022 contained in this Quarterly Report on Form 10-Q.</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7" w:lineRule="exact"/>
        <w:rPr>
          <w:sz w:val="20"/>
          <w:szCs w:val="20"/>
          <w:color w:val="auto"/>
        </w:rPr>
      </w:pPr>
    </w:p>
    <w:p>
      <w:pPr>
        <w:ind w:right="20" w:firstLine="492"/>
        <w:spacing w:after="0" w:line="258" w:lineRule="auto"/>
        <w:rPr>
          <w:sz w:val="20"/>
          <w:szCs w:val="20"/>
          <w:color w:val="auto"/>
        </w:rPr>
      </w:pPr>
      <w:r>
        <w:rPr>
          <w:rFonts w:ascii="Times New Roman" w:cs="Times New Roman" w:eastAsia="Times New Roman" w:hAnsi="Times New Roman"/>
          <w:sz w:val="18"/>
          <w:szCs w:val="18"/>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Quarterly Report on Form 10-Q, including our financial statements and related notes, and our other filings from time to time with the Securities and Exchange Commission, or SEC.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87" w:lineRule="exact"/>
        <w:rPr>
          <w:sz w:val="20"/>
          <w:szCs w:val="20"/>
          <w:color w:val="auto"/>
        </w:rPr>
      </w:pPr>
    </w:p>
    <w:p>
      <w:pPr>
        <w:ind w:right="20" w:firstLine="492"/>
        <w:spacing w:after="0" w:line="284" w:lineRule="auto"/>
        <w:rPr>
          <w:sz w:val="20"/>
          <w:szCs w:val="20"/>
          <w:color w:val="auto"/>
        </w:rPr>
      </w:pPr>
      <w:r>
        <w:rPr>
          <w:rFonts w:ascii="Times New Roman" w:cs="Times New Roman" w:eastAsia="Times New Roman" w:hAnsi="Times New Roman"/>
          <w:sz w:val="18"/>
          <w:szCs w:val="18"/>
          <w:i w:val="1"/>
          <w:iCs w:val="1"/>
          <w:color w:val="auto"/>
        </w:rPr>
        <w:t>We have marked with an asterisk (*) those risk factors below that reflect a substantive change from the risk factors included in our Annual Report on Form 10-K filed with the SEC on February 24, 2022.</w:t>
      </w:r>
    </w:p>
    <w:p>
      <w:pPr>
        <w:spacing w:after="0" w:line="120" w:lineRule="exact"/>
        <w:rPr>
          <w:sz w:val="20"/>
          <w:szCs w:val="20"/>
          <w:color w:val="auto"/>
        </w:rPr>
      </w:pPr>
    </w:p>
    <w:p>
      <w:pPr>
        <w:ind w:right="40" w:firstLine="492"/>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200" w:lineRule="exact"/>
        <w:rPr>
          <w:sz w:val="20"/>
          <w:szCs w:val="20"/>
          <w:color w:val="auto"/>
        </w:rPr>
      </w:pPr>
    </w:p>
    <w:p>
      <w:pPr>
        <w:ind w:left="680" w:right="2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product candidates and cannot guarantee that these product candidates will successfully complete development, receive regulatory approval, or be successfully commercialized;*</w:t>
      </w:r>
    </w:p>
    <w:p>
      <w:pPr>
        <w:ind w:left="680" w:right="28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longer and cost more to complete our clinical trials than we project, or we may not be able to complete them at all;</w:t>
      </w:r>
    </w:p>
    <w:p>
      <w:pPr>
        <w:spacing w:after="0" w:line="49"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adequately the safety and efficacy of our product candidates, which would prevent or delay regulatory approval and commercialization;</w:t>
      </w:r>
    </w:p>
    <w:p>
      <w:pPr>
        <w:ind w:left="680" w:right="60" w:hanging="321"/>
        <w:spacing w:after="0" w:line="258"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7"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4" w:lineRule="exact"/>
        <w:rPr>
          <w:rFonts w:ascii="Times New Roman" w:cs="Times New Roman" w:eastAsia="Times New Roman" w:hAnsi="Times New Roman"/>
          <w:sz w:val="18"/>
          <w:szCs w:val="18"/>
          <w:color w:val="auto"/>
        </w:rPr>
      </w:pPr>
    </w:p>
    <w:p>
      <w:pPr>
        <w:jc w:val="both"/>
        <w:ind w:left="680" w:right="140" w:hanging="321"/>
        <w:spacing w:after="0" w:line="260"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2"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financing to fund our operations and complete the development and commercialization of our various product candidates, and if we are unable to obtain such financing, we may be unable to complete the development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80"/>
        <w:spacing w:after="0" w:line="273" w:lineRule="auto"/>
        <w:rPr>
          <w:sz w:val="20"/>
          <w:szCs w:val="20"/>
          <w:color w:val="auto"/>
        </w:rPr>
      </w:pPr>
      <w:r>
        <w:rPr>
          <w:rFonts w:ascii="Times New Roman" w:cs="Times New Roman" w:eastAsia="Times New Roman" w:hAnsi="Times New Roman"/>
          <w:sz w:val="18"/>
          <w:szCs w:val="18"/>
          <w:color w:val="auto"/>
        </w:rPr>
        <w:t>and commercialization of our product candidates. Raising additional capital may cause dilution to our existing stockholders, restrict our operations or require us to relinquish rights to our technologies or product candidates;</w:t>
      </w:r>
    </w:p>
    <w:p>
      <w:pPr>
        <w:spacing w:after="0" w:line="2" w:lineRule="exact"/>
        <w:rPr>
          <w:sz w:val="20"/>
          <w:szCs w:val="20"/>
          <w:color w:val="auto"/>
        </w:rPr>
      </w:pPr>
    </w:p>
    <w:p>
      <w:pPr>
        <w:ind w:left="680" w:right="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can be costly, time consuming and can subject us to unanticipated delays; even if we obtain regulatory approval for some of our products, those products may still face regulatory difficulties;</w:t>
      </w:r>
    </w:p>
    <w:p>
      <w:pPr>
        <w:ind w:left="680" w:right="280" w:hanging="321"/>
        <w:spacing w:after="0" w:line="273"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ind w:left="680" w:right="16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can be given that the Gen 2 manufacturing process we have selected will be FDA-compliant, more efficient and lower the cost to manufacture TIL products;</w:t>
      </w: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from non-profit institutions;*</w:t>
      </w:r>
    </w:p>
    <w:p>
      <w:pPr>
        <w:spacing w:after="0" w:line="49" w:lineRule="exact"/>
        <w:rPr>
          <w:rFonts w:ascii="Times New Roman" w:cs="Times New Roman" w:eastAsia="Times New Roman" w:hAnsi="Times New Roman"/>
          <w:sz w:val="18"/>
          <w:szCs w:val="18"/>
          <w:color w:val="auto"/>
        </w:rPr>
      </w:pPr>
    </w:p>
    <w:p>
      <w:pPr>
        <w:ind w:left="680" w:right="280" w:hanging="321"/>
        <w:spacing w:after="0" w:line="273"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product candidate intended for use in combination with an already approved product may present more or different challenges than development of a product candidate for use as a single agent;</w:t>
      </w:r>
    </w:p>
    <w:p>
      <w:pPr>
        <w:spacing w:after="0" w:line="1" w:lineRule="exact"/>
        <w:rPr>
          <w:rFonts w:ascii="Times New Roman" w:cs="Times New Roman" w:eastAsia="Times New Roman" w:hAnsi="Times New Roman"/>
          <w:sz w:val="18"/>
          <w:szCs w:val="18"/>
          <w:color w:val="auto"/>
        </w:rPr>
      </w:pPr>
    </w:p>
    <w:p>
      <w:pPr>
        <w:ind w:left="680" w:right="120" w:hanging="321"/>
        <w:spacing w:after="0" w:line="260"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2"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jc w:val="both"/>
        <w:ind w:left="680" w:right="2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ind w:left="680" w:right="22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ind w:left="680" w:right="560" w:hanging="321"/>
        <w:spacing w:after="0" w:line="273"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 candidates do not achieve broad market acceptance, the revenues that we generate from their sales will be limited;</w:t>
      </w:r>
    </w:p>
    <w:p>
      <w:pPr>
        <w:spacing w:after="0" w:line="1" w:lineRule="exact"/>
        <w:rPr>
          <w:rFonts w:ascii="Times New Roman" w:cs="Times New Roman" w:eastAsia="Times New Roman" w:hAnsi="Times New Roman"/>
          <w:sz w:val="18"/>
          <w:szCs w:val="18"/>
          <w:color w:val="auto"/>
        </w:rPr>
      </w:pPr>
    </w:p>
    <w:p>
      <w:pPr>
        <w:ind w:left="680" w:right="100" w:hanging="321"/>
        <w:spacing w:after="0" w:line="25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are currently subject to state executive orders and shelter-in-place orders, and at our clinical trial sites, as well as the business or operations of our other manufacturers, CROs or other third parties with whom we conduct business;*</w:t>
      </w:r>
    </w:p>
    <w:p>
      <w:pPr>
        <w:spacing w:after="0" w:line="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the size and capabilities of our organization, and we may experience difficulties in managing this growth;</w:t>
      </w:r>
    </w:p>
    <w:p>
      <w:pPr>
        <w:spacing w:after="0" w:line="36" w:lineRule="exact"/>
        <w:rPr>
          <w:rFonts w:ascii="Times New Roman" w:cs="Times New Roman" w:eastAsia="Times New Roman" w:hAnsi="Times New Roman"/>
          <w:sz w:val="18"/>
          <w:szCs w:val="18"/>
          <w:color w:val="auto"/>
        </w:rPr>
      </w:pPr>
    </w:p>
    <w:p>
      <w:pPr>
        <w:ind w:left="680" w:right="320" w:hanging="321"/>
        <w:spacing w:after="0" w:line="277" w:lineRule="auto"/>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currently operating in a period of economic uncertainty and capital markets disruption, which has been significantly impacted by geopolitical instability, an ongoing military conflict between Russia and Ukraine and record inflation. Our business, financial condition and results of operations could be materially adversely affected by any negative impact on the global economy and capital markets resulting from the conflict in Ukraine, geopolitical tensions or record inflation;*</w:t>
      </w:r>
    </w:p>
    <w:p>
      <w:pPr>
        <w:spacing w:after="0" w:line="2" w:lineRule="exact"/>
        <w:rPr>
          <w:rFonts w:ascii="Times New Roman" w:cs="Times New Roman" w:eastAsia="Times New Roman" w:hAnsi="Times New Roman"/>
          <w:sz w:val="17"/>
          <w:szCs w:val="17"/>
          <w:color w:val="auto"/>
        </w:rPr>
      </w:pPr>
    </w:p>
    <w:p>
      <w:pPr>
        <w:ind w:left="680" w:right="20" w:hanging="321"/>
        <w:spacing w:after="0" w:line="273"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or legal, regulatory or market measures to address climate change may negatively affect our business, results of operations, cash flows and prospects;*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matters may impact our business and reputation;* and</w:t>
      </w:r>
    </w:p>
    <w:p>
      <w:pPr>
        <w:spacing w:after="0" w:line="36" w:lineRule="exact"/>
        <w:rPr>
          <w:rFonts w:ascii="Times New Roman" w:cs="Times New Roman" w:eastAsia="Times New Roman" w:hAnsi="Times New Roman"/>
          <w:sz w:val="18"/>
          <w:szCs w:val="18"/>
          <w:color w:val="auto"/>
        </w:rPr>
      </w:pPr>
    </w:p>
    <w:p>
      <w:pPr>
        <w:ind w:left="680" w:right="180" w:hanging="321"/>
        <w:spacing w:after="0" w:line="258"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Government Regulation:</w:t>
      </w:r>
    </w:p>
    <w:p>
      <w:pPr>
        <w:spacing w:after="0" w:line="187" w:lineRule="exact"/>
        <w:rPr>
          <w:sz w:val="20"/>
          <w:szCs w:val="20"/>
          <w:color w:val="auto"/>
        </w:rPr>
      </w:pPr>
    </w:p>
    <w:p>
      <w:pPr>
        <w:ind w:left="680" w:right="120" w:hanging="321"/>
        <w:spacing w:after="0" w:line="273"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1" w:lineRule="exact"/>
        <w:rPr>
          <w:rFonts w:ascii="Times New Roman" w:cs="Times New Roman" w:eastAsia="Times New Roman" w:hAnsi="Times New Roman"/>
          <w:sz w:val="18"/>
          <w:szCs w:val="18"/>
          <w:color w:val="auto"/>
        </w:rPr>
      </w:pPr>
    </w:p>
    <w:p>
      <w:pPr>
        <w:ind w:left="680" w:right="420" w:hanging="321"/>
        <w:spacing w:after="0" w:line="273"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1"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may be limited or unavailable in certain market segments for our product candidates, which could make it difficult for us to sell our product candidates profitably; and</w:t>
      </w: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outside the U.S. tend to impose strict price controls, which may adversely affect our revenues, if any.</w:t>
      </w:r>
    </w:p>
    <w:p>
      <w:pPr>
        <w:spacing w:after="0" w:line="266" w:lineRule="exact"/>
        <w:rPr>
          <w:sz w:val="20"/>
          <w:szCs w:val="20"/>
          <w:color w:val="auto"/>
        </w:rPr>
      </w:pPr>
    </w:p>
    <w:p>
      <w:pPr>
        <w:ind w:right="80" w:firstLine="492"/>
        <w:spacing w:after="0" w:line="256"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this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the other information set forth in this Quarterly Report on Form 10-Q, including our condensed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we expect to continue to incur losses and we may never be profitable.*</w:t>
      </w:r>
    </w:p>
    <w:p>
      <w:pPr>
        <w:spacing w:after="0" w:line="175"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September 30, 2022, we had an accumulated deficit of $1.5 billion. In addition, during the nine months ended September 30, 2022, we incurred a net loss of $290.6 million. Since our inception we have not generated any revenues from operations. We are preparing for the commercial launch of our products, if approved, in 2022. We do not expect to generate any meaningful product sales or royalty revenues until we have a product approved. We expect to incur significant additional operating losses in the future as we expand our development and clinical trial activities in support of demonstrating the effectiveness of our products.</w:t>
      </w:r>
    </w:p>
    <w:p>
      <w:pPr>
        <w:spacing w:after="0" w:line="138" w:lineRule="exact"/>
        <w:rPr>
          <w:sz w:val="20"/>
          <w:szCs w:val="20"/>
          <w:color w:val="auto"/>
        </w:rPr>
      </w:pPr>
    </w:p>
    <w:p>
      <w:pPr>
        <w:ind w:right="160" w:firstLine="492"/>
        <w:spacing w:after="0" w:line="266" w:lineRule="auto"/>
        <w:rPr>
          <w:sz w:val="20"/>
          <w:szCs w:val="20"/>
          <w:color w:val="auto"/>
        </w:rPr>
      </w:pPr>
      <w:r>
        <w:rPr>
          <w:rFonts w:ascii="Times New Roman" w:cs="Times New Roman" w:eastAsia="Times New Roman" w:hAnsi="Times New Roman"/>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18" w:lineRule="exact"/>
        <w:rPr>
          <w:sz w:val="20"/>
          <w:szCs w:val="20"/>
          <w:color w:val="auto"/>
        </w:rPr>
      </w:pPr>
    </w:p>
    <w:p>
      <w:pPr>
        <w:ind w:right="2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line of business, and the biotechnology industry in which we operate, makes it difficult to evaluate our business plan and our prospects.</w:t>
      </w:r>
    </w:p>
    <w:p>
      <w:pPr>
        <w:spacing w:after="0" w:line="105" w:lineRule="exact"/>
        <w:rPr>
          <w:sz w:val="20"/>
          <w:szCs w:val="20"/>
          <w:color w:val="auto"/>
        </w:rPr>
      </w:pPr>
    </w:p>
    <w:p>
      <w:pPr>
        <w:ind w:right="200" w:firstLine="492"/>
        <w:spacing w:after="0" w:line="258" w:lineRule="auto"/>
        <w:rPr>
          <w:sz w:val="20"/>
          <w:szCs w:val="20"/>
          <w:color w:val="auto"/>
        </w:rPr>
      </w:pPr>
      <w:r>
        <w:rPr>
          <w:rFonts w:ascii="Times New Roman" w:cs="Times New Roman" w:eastAsia="Times New Roman" w:hAnsi="Times New Roman"/>
          <w:sz w:val="18"/>
          <w:szCs w:val="18"/>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29" w:lineRule="exact"/>
        <w:rPr>
          <w:sz w:val="20"/>
          <w:szCs w:val="20"/>
          <w:color w:val="auto"/>
        </w:rPr>
      </w:pPr>
    </w:p>
    <w:p>
      <w:pPr>
        <w:ind w:right="80" w:firstLine="492"/>
        <w:spacing w:after="0" w:line="254" w:lineRule="auto"/>
        <w:rPr>
          <w:sz w:val="20"/>
          <w:szCs w:val="20"/>
          <w:color w:val="auto"/>
        </w:rPr>
      </w:pPr>
      <w:r>
        <w:rPr>
          <w:rFonts w:ascii="Times New Roman" w:cs="Times New Roman" w:eastAsia="Times New Roman" w:hAnsi="Times New Roman"/>
          <w:sz w:val="18"/>
          <w:szCs w:val="18"/>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8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105" w:lineRule="exact"/>
        <w:rPr>
          <w:sz w:val="20"/>
          <w:szCs w:val="20"/>
          <w:color w:val="auto"/>
        </w:rPr>
      </w:pPr>
    </w:p>
    <w:p>
      <w:pPr>
        <w:ind w:right="120" w:firstLine="492"/>
        <w:spacing w:after="0" w:line="255" w:lineRule="auto"/>
        <w:rPr>
          <w:sz w:val="20"/>
          <w:szCs w:val="20"/>
          <w:color w:val="auto"/>
        </w:rPr>
      </w:pPr>
      <w:r>
        <w:rPr>
          <w:rFonts w:ascii="Times New Roman" w:cs="Times New Roman" w:eastAsia="Times New Roman" w:hAnsi="Times New Roman"/>
          <w:sz w:val="18"/>
          <w:szCs w:val="18"/>
          <w:color w:val="auto"/>
        </w:rPr>
        <w:t>We currently have no products approved for commercial sale. We have invested a significant portion of our efforts and financial resources in the development of our current product candidates, including lifileucel, LN-145, IOV-2001, and IOV-3001,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35" w:lineRule="exact"/>
        <w:rPr>
          <w:sz w:val="20"/>
          <w:szCs w:val="20"/>
          <w:color w:val="auto"/>
        </w:rPr>
      </w:pPr>
    </w:p>
    <w:p>
      <w:pPr>
        <w:ind w:firstLine="492"/>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the negative impact of the COVID-19 pandemic.</w:t>
      </w:r>
    </w:p>
    <w:p>
      <w:pPr>
        <w:spacing w:after="0" w:line="126" w:lineRule="exact"/>
        <w:rPr>
          <w:sz w:val="20"/>
          <w:szCs w:val="20"/>
          <w:color w:val="auto"/>
        </w:rPr>
      </w:pPr>
    </w:p>
    <w:p>
      <w:pPr>
        <w:ind w:right="80" w:firstLine="492"/>
        <w:spacing w:after="0" w:line="274" w:lineRule="auto"/>
        <w:rPr>
          <w:sz w:val="20"/>
          <w:szCs w:val="20"/>
          <w:color w:val="auto"/>
        </w:rPr>
      </w:pPr>
      <w:r>
        <w:rPr>
          <w:rFonts w:ascii="Times New Roman" w:cs="Times New Roman" w:eastAsia="Times New Roman" w:hAnsi="Times New Roman"/>
          <w:sz w:val="17"/>
          <w:szCs w:val="17"/>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spacing w:after="0" w:line="119"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Prior to our initiation of a rolling BLA for lifileucel, we have not previously submitted a BLA to the FDA, or similar marketing application to comparable foreign authorities, for any product candidate, and we cannot be certain that our current or any future product candidates will be successful in clinical trials or receive regulatory approval. Furthermore, although we have not submitted our BLA with comparisons to existing or more established therapies and likewise do not expect the FDA to base its determination with respect to product approval on such comparisons, the FDA may factor these comparisons into its decision whether to approve our TIL therapies, including lifileucel for metastatic melanoma. The FDA may also consider its approvals of competing products, which may alter the treatment landscape concurrently with their review of our BLA filings, and which may lead to changes in the FDA’s review requirements that have been previously communicated to us and our interpretation thereof, including changes to requirements for clinical data or clinical study design. Such changes could delay approval or necessitate withdrawal of our BLA filings.</w:t>
      </w:r>
    </w:p>
    <w:p>
      <w:pPr>
        <w:spacing w:after="0" w:line="134" w:lineRule="exact"/>
        <w:rPr>
          <w:sz w:val="20"/>
          <w:szCs w:val="20"/>
          <w:color w:val="auto"/>
        </w:rPr>
      </w:pPr>
    </w:p>
    <w:p>
      <w:pPr>
        <w:ind w:right="240" w:firstLine="492"/>
        <w:spacing w:after="0" w:line="26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22" w:lineRule="exact"/>
        <w:rPr>
          <w:sz w:val="20"/>
          <w:szCs w:val="20"/>
          <w:color w:val="auto"/>
        </w:rPr>
      </w:pPr>
    </w:p>
    <w:p>
      <w:pPr>
        <w:ind w:right="200" w:firstLine="492"/>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revenues from our product candidates will depend on our ability to:</w:t>
      </w:r>
    </w:p>
    <w:p>
      <w:pPr>
        <w:spacing w:after="0" w:line="121" w:lineRule="exact"/>
        <w:rPr>
          <w:sz w:val="20"/>
          <w:szCs w:val="20"/>
          <w:color w:val="auto"/>
        </w:rPr>
      </w:pPr>
    </w:p>
    <w:p>
      <w:pPr>
        <w:ind w:left="820" w:right="540" w:hanging="320"/>
        <w:spacing w:after="0" w:line="261" w:lineRule="auto"/>
        <w:tabs>
          <w:tab w:leader="none" w:pos="8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 candidates competitively such that third-party and government reimbursement leads to broad product adoption;</w:t>
      </w:r>
    </w:p>
    <w:p>
      <w:pPr>
        <w:ind w:left="820" w:hanging="320"/>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broad network of clinical sites for administration of our product;</w:t>
      </w:r>
    </w:p>
    <w:p>
      <w:pPr>
        <w:spacing w:after="0" w:line="9" w:lineRule="exact"/>
        <w:rPr>
          <w:rFonts w:ascii="Times New Roman" w:cs="Times New Roman" w:eastAsia="Times New Roman" w:hAnsi="Times New Roman"/>
          <w:sz w:val="18"/>
          <w:szCs w:val="18"/>
          <w:color w:val="auto"/>
        </w:rPr>
      </w:pPr>
    </w:p>
    <w:p>
      <w:pPr>
        <w:ind w:left="820" w:right="80" w:hanging="320"/>
        <w:spacing w:after="0" w:line="250" w:lineRule="auto"/>
        <w:tabs>
          <w:tab w:leader="none" w:pos="8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ind w:left="820" w:right="380" w:hanging="320"/>
        <w:spacing w:after="0" w:line="250" w:lineRule="auto"/>
        <w:tabs>
          <w:tab w:leader="none" w:pos="8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w:t>
      </w:r>
    </w:p>
    <w:p>
      <w:pPr>
        <w:ind w:left="820" w:hanging="320"/>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commercialize our products;</w:t>
      </w:r>
    </w:p>
    <w:p>
      <w:pPr>
        <w:spacing w:after="0" w:line="9" w:lineRule="exact"/>
        <w:rPr>
          <w:rFonts w:ascii="Times New Roman" w:cs="Times New Roman" w:eastAsia="Times New Roman" w:hAnsi="Times New Roman"/>
          <w:sz w:val="18"/>
          <w:szCs w:val="18"/>
          <w:color w:val="auto"/>
        </w:rPr>
      </w:pPr>
    </w:p>
    <w:p>
      <w:pPr>
        <w:ind w:left="820" w:right="80" w:hanging="320"/>
        <w:spacing w:after="0" w:line="250" w:lineRule="auto"/>
        <w:tabs>
          <w:tab w:leader="none" w:pos="8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through CMOs or in our own manufacturing facility in sufficient quantities and at acceptable quality and manufacturing cost to meet commercial demand at launch and thereafter;</w:t>
      </w:r>
    </w:p>
    <w:p>
      <w:pPr>
        <w:ind w:left="820" w:right="660" w:hanging="320"/>
        <w:spacing w:after="0" w:line="250" w:lineRule="auto"/>
        <w:tabs>
          <w:tab w:leader="none" w:pos="8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ind w:left="820" w:hanging="320"/>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right="220" w:hanging="320"/>
        <w:spacing w:after="0" w:line="257" w:lineRule="auto"/>
        <w:tabs>
          <w:tab w:leader="none" w:pos="8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1"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third-party payors;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for our product candidates;</w:t>
      </w:r>
    </w:p>
    <w:p>
      <w:pPr>
        <w:spacing w:after="0" w:line="9" w:lineRule="exact"/>
        <w:rPr>
          <w:rFonts w:ascii="Times New Roman" w:cs="Times New Roman" w:eastAsia="Times New Roman" w:hAnsi="Times New Roman"/>
          <w:sz w:val="18"/>
          <w:szCs w:val="18"/>
          <w:color w:val="auto"/>
        </w:rPr>
      </w:pPr>
    </w:p>
    <w:p>
      <w:pPr>
        <w:ind w:left="820" w:right="200" w:hanging="320"/>
        <w:spacing w:after="0" w:line="250" w:lineRule="auto"/>
        <w:tabs>
          <w:tab w:leader="none" w:pos="8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w:t>
      </w:r>
    </w:p>
    <w:p>
      <w:pPr>
        <w:ind w:left="820" w:hanging="320"/>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or competitors; and</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launch, assure that our product will be used as directed and that additional unexpected safety risks will not arise.</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due to the need to rely on third parties, including clinical trial sites.</w:t>
      </w:r>
    </w:p>
    <w:p>
      <w:pPr>
        <w:spacing w:after="0" w:line="189"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Furthermore, clinical trials may be delayed or otherwise may be more difficult to execute in the future.</w:t>
      </w:r>
    </w:p>
    <w:p>
      <w:pPr>
        <w:spacing w:after="0" w:line="167" w:lineRule="exact"/>
        <w:rPr>
          <w:sz w:val="20"/>
          <w:szCs w:val="20"/>
          <w:color w:val="auto"/>
        </w:rPr>
      </w:pPr>
    </w:p>
    <w:p>
      <w:pPr>
        <w:ind w:right="60" w:firstLine="492"/>
        <w:spacing w:after="0" w:line="256" w:lineRule="auto"/>
        <w:rPr>
          <w:sz w:val="20"/>
          <w:szCs w:val="20"/>
          <w:color w:val="auto"/>
        </w:rPr>
      </w:pPr>
      <w:r>
        <w:rPr>
          <w:rFonts w:ascii="Times New Roman" w:cs="Times New Roman" w:eastAsia="Times New Roman" w:hAnsi="Times New Roman"/>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47"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or with our own manufacturing facility,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51"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61" w:lineRule="exact"/>
        <w:rPr>
          <w:sz w:val="20"/>
          <w:szCs w:val="20"/>
          <w:color w:val="auto"/>
        </w:rPr>
      </w:pPr>
    </w:p>
    <w:p>
      <w:pPr>
        <w:ind w:right="100" w:firstLine="492"/>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these oversight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credible and accurate and that the rights, integrity, and confidentiality of trial participants are protected. Regulatory authorities enforce these requirements through periodic inspections (including pre-approval inspections once a BLA is filed with the FDA) of trial sponsors, clinical investigators, trial sites and certain third parties including CMOs. If we, our CROs, clinical trial sites, or other third parties fail to comply with Good Clinical Practices, or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48"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49"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43"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47"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alternative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60" w:lineRule="exact"/>
        <w:rPr>
          <w:sz w:val="20"/>
          <w:szCs w:val="20"/>
          <w:color w:val="auto"/>
        </w:rPr>
      </w:pPr>
    </w:p>
    <w:p>
      <w:pPr>
        <w:ind w:right="120" w:firstLine="492"/>
        <w:spacing w:after="0" w:line="261" w:lineRule="auto"/>
        <w:rPr>
          <w:sz w:val="20"/>
          <w:szCs w:val="20"/>
          <w:color w:val="auto"/>
        </w:rPr>
      </w:pPr>
      <w:r>
        <w:rPr>
          <w:rFonts w:ascii="Times New Roman" w:cs="Times New Roman" w:eastAsia="Times New Roman" w:hAnsi="Times New Roman"/>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35" w:lineRule="exact"/>
        <w:rPr>
          <w:sz w:val="20"/>
          <w:szCs w:val="20"/>
          <w:color w:val="auto"/>
        </w:rPr>
      </w:pPr>
    </w:p>
    <w:p>
      <w:pPr>
        <w:jc w:val="both"/>
        <w:ind w:right="22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34" w:lineRule="exact"/>
        <w:rPr>
          <w:sz w:val="20"/>
          <w:szCs w:val="20"/>
          <w:color w:val="auto"/>
        </w:rPr>
      </w:pPr>
    </w:p>
    <w:p>
      <w:pPr>
        <w:ind w:right="160" w:firstLine="492"/>
        <w:spacing w:after="0" w:line="270" w:lineRule="auto"/>
        <w:rPr>
          <w:sz w:val="20"/>
          <w:szCs w:val="20"/>
          <w:color w:val="auto"/>
        </w:rPr>
      </w:pPr>
      <w:r>
        <w:rPr>
          <w:rFonts w:ascii="Times New Roman" w:cs="Times New Roman" w:eastAsia="Times New Roman" w:hAnsi="Times New Roman"/>
          <w:sz w:val="17"/>
          <w:szCs w:val="17"/>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clinical trial for melanoma, C-144-</w:t>
      </w:r>
    </w:p>
    <w:p>
      <w:pPr>
        <w:spacing w:after="0" w:line="3" w:lineRule="exact"/>
        <w:rPr>
          <w:sz w:val="20"/>
          <w:szCs w:val="20"/>
          <w:color w:val="auto"/>
        </w:rPr>
      </w:pPr>
    </w:p>
    <w:p>
      <w:pPr>
        <w:ind w:right="60" w:firstLine="8"/>
        <w:spacing w:after="0" w:line="260" w:lineRule="auto"/>
        <w:tabs>
          <w:tab w:leader="none" w:pos="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we announced that initial Cohort 4 data read by the Independent Review Committee, or IRC, met the primary endpoint in this trial. We plan to initiate trials in new indications, and new cohorts in existing trials. Even as these trials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progress, issues may arise that could require us to suspend or terminate such clinical trials or could cause the results of one cohort to differ from a prior cohort. For example, we may experience slower than anticipated enrollment in our pivotal clinical trials, which may consequently delay our BLA filing timelines or permit competitors to obtain approvals that may alter our BLA filing strategy.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210" w:lineRule="exact"/>
        <w:rPr>
          <w:sz w:val="20"/>
          <w:szCs w:val="20"/>
          <w:color w:val="auto"/>
        </w:rPr>
      </w:pPr>
    </w:p>
    <w:p>
      <w:pPr>
        <w:ind w:left="820" w:right="260" w:hanging="320"/>
        <w:spacing w:after="0" w:line="257" w:lineRule="auto"/>
        <w:tabs>
          <w:tab w:leader="none" w:pos="8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conduct a clinical trial at a prospective trial site, or amend trial protocols, or regulators or IRBs may require that we modify or amend our clinical trial protocols;</w:t>
      </w:r>
    </w:p>
    <w:p>
      <w:pPr>
        <w:spacing w:after="0" w:line="1"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or inability to obtain agreement with regulatory agencies on study design;</w:t>
      </w:r>
    </w:p>
    <w:p>
      <w:pPr>
        <w:spacing w:after="0" w:line="9" w:lineRule="exact"/>
        <w:rPr>
          <w:rFonts w:ascii="Times New Roman" w:cs="Times New Roman" w:eastAsia="Times New Roman" w:hAnsi="Times New Roman"/>
          <w:sz w:val="18"/>
          <w:szCs w:val="18"/>
          <w:color w:val="auto"/>
        </w:rPr>
      </w:pPr>
    </w:p>
    <w:p>
      <w:pPr>
        <w:ind w:left="820" w:right="100" w:hanging="320"/>
        <w:spacing w:after="0" w:line="250" w:lineRule="auto"/>
        <w:tabs>
          <w:tab w:leader="none" w:pos="8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spacing w:after="0" w:line="1" w:lineRule="exact"/>
        <w:rPr>
          <w:rFonts w:ascii="Times New Roman" w:cs="Times New Roman" w:eastAsia="Times New Roman" w:hAnsi="Times New Roman"/>
          <w:sz w:val="18"/>
          <w:szCs w:val="18"/>
          <w:color w:val="auto"/>
        </w:rPr>
      </w:pPr>
    </w:p>
    <w:p>
      <w:pPr>
        <w:ind w:left="820" w:right="440" w:hanging="320"/>
        <w:spacing w:after="0" w:line="250" w:lineRule="auto"/>
        <w:tabs>
          <w:tab w:leader="none" w:pos="8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jc w:val="both"/>
        <w:ind w:left="820" w:right="60" w:hanging="320"/>
        <w:spacing w:after="0" w:line="250" w:lineRule="auto"/>
        <w:tabs>
          <w:tab w:leader="none" w:pos="8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1" w:lineRule="exact"/>
        <w:rPr>
          <w:rFonts w:ascii="Times New Roman" w:cs="Times New Roman" w:eastAsia="Times New Roman" w:hAnsi="Times New Roman"/>
          <w:sz w:val="18"/>
          <w:szCs w:val="18"/>
          <w:color w:val="auto"/>
        </w:rPr>
      </w:pPr>
    </w:p>
    <w:p>
      <w:pPr>
        <w:ind w:left="820" w:right="300" w:hanging="320"/>
        <w:spacing w:after="0" w:line="265" w:lineRule="auto"/>
        <w:tabs>
          <w:tab w:leader="none" w:pos="81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ind w:left="820" w:hanging="320"/>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approval at each clinical study site;</w:t>
      </w:r>
    </w:p>
    <w:p>
      <w:pPr>
        <w:spacing w:after="0" w:line="9" w:lineRule="exact"/>
        <w:rPr>
          <w:rFonts w:ascii="Times New Roman" w:cs="Times New Roman" w:eastAsia="Times New Roman" w:hAnsi="Times New Roman"/>
          <w:sz w:val="18"/>
          <w:szCs w:val="18"/>
          <w:color w:val="auto"/>
        </w:rPr>
      </w:pPr>
    </w:p>
    <w:p>
      <w:pPr>
        <w:ind w:left="820" w:right="60" w:hanging="320"/>
        <w:spacing w:after="0" w:line="250" w:lineRule="auto"/>
        <w:tabs>
          <w:tab w:leader="none" w:pos="8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1"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our clinical studies;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adding new investigators or clinical trial sites, or withdrawal of clinical trial sites from a study;</w:t>
      </w:r>
    </w:p>
    <w:p>
      <w:pPr>
        <w:spacing w:after="0" w:line="9" w:lineRule="exact"/>
        <w:rPr>
          <w:rFonts w:ascii="Times New Roman" w:cs="Times New Roman" w:eastAsia="Times New Roman" w:hAnsi="Times New Roman"/>
          <w:sz w:val="18"/>
          <w:szCs w:val="18"/>
          <w:color w:val="auto"/>
        </w:rPr>
      </w:pPr>
    </w:p>
    <w:p>
      <w:pPr>
        <w:ind w:left="820" w:right="120" w:hanging="320"/>
        <w:spacing w:after="0" w:line="250" w:lineRule="auto"/>
        <w:tabs>
          <w:tab w:leader="none" w:pos="8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change in strategic direction for an indication resulting from differences in results between cohorts in a clinical trial, such as Cohort 2 and Cohort 4 of the C-144-01 clinical trial or the previously disclosed preliminary results for the C-145-04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spacing w:after="0" w:line="1"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clinical trial sites, patients, or other third parties, or us to adhere to clinical study requirements, including regulatory, contractual or protocol requirements;</w:t>
      </w:r>
    </w:p>
    <w:p>
      <w:pPr>
        <w:ind w:left="820" w:hanging="320"/>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cGCP requirements, or applicable regulatory guidelines in other countries;</w:t>
      </w:r>
    </w:p>
    <w:p>
      <w:pPr>
        <w:spacing w:after="0" w:line="9" w:lineRule="exact"/>
        <w:rPr>
          <w:rFonts w:ascii="Times New Roman" w:cs="Times New Roman" w:eastAsia="Times New Roman" w:hAnsi="Times New Roman"/>
          <w:sz w:val="18"/>
          <w:szCs w:val="18"/>
          <w:color w:val="auto"/>
        </w:rPr>
      </w:pPr>
    </w:p>
    <w:p>
      <w:pPr>
        <w:ind w:left="820" w:right="140" w:hanging="320"/>
        <w:spacing w:after="0" w:line="250" w:lineRule="auto"/>
        <w:tabs>
          <w:tab w:leader="none" w:pos="8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1" w:lineRule="exact"/>
        <w:rPr>
          <w:rFonts w:ascii="Times New Roman" w:cs="Times New Roman" w:eastAsia="Times New Roman" w:hAnsi="Times New Roman"/>
          <w:sz w:val="18"/>
          <w:szCs w:val="18"/>
          <w:color w:val="auto"/>
        </w:rPr>
      </w:pPr>
    </w:p>
    <w:p>
      <w:pPr>
        <w:ind w:left="820" w:right="40" w:hanging="320"/>
        <w:spacing w:after="0" w:line="250" w:lineRule="auto"/>
        <w:tabs>
          <w:tab w:leader="none" w:pos="8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a study;</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9" w:lineRule="exact"/>
        <w:rPr>
          <w:rFonts w:ascii="Times New Roman" w:cs="Times New Roman" w:eastAsia="Times New Roman" w:hAnsi="Times New Roman"/>
          <w:sz w:val="18"/>
          <w:szCs w:val="18"/>
          <w:color w:val="auto"/>
        </w:rPr>
      </w:pPr>
    </w:p>
    <w:p>
      <w:pPr>
        <w:ind w:left="820" w:right="340" w:hanging="320"/>
        <w:spacing w:after="0" w:line="265" w:lineRule="auto"/>
        <w:tabs>
          <w:tab w:leader="none" w:pos="81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requirements and guidance that require amending or submitting new clinical protocols to regulatory authorities and IRBs, and which may cause delays in our development programs, or changes to regulatory review times;</w:t>
      </w:r>
    </w:p>
    <w:p>
      <w:pPr>
        <w:ind w:left="820" w:right="380" w:hanging="320"/>
        <w:spacing w:after="0" w:line="250" w:lineRule="auto"/>
        <w:tabs>
          <w:tab w:leader="none" w:pos="8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ind w:left="820" w:hanging="320"/>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9" w:lineRule="exact"/>
        <w:rPr>
          <w:rFonts w:ascii="Times New Roman" w:cs="Times New Roman" w:eastAsia="Times New Roman" w:hAnsi="Times New Roman"/>
          <w:sz w:val="18"/>
          <w:szCs w:val="18"/>
          <w:color w:val="auto"/>
        </w:rPr>
      </w:pPr>
    </w:p>
    <w:p>
      <w:pPr>
        <w:ind w:left="820" w:right="100" w:hanging="320"/>
        <w:spacing w:after="0" w:line="250" w:lineRule="auto"/>
        <w:tabs>
          <w:tab w:leader="none" w:pos="8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ind w:left="820" w:right="260" w:hanging="320"/>
        <w:spacing w:after="0" w:line="260" w:lineRule="auto"/>
        <w:tabs>
          <w:tab w:leader="none" w:pos="8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studies of our product candidates producing negative or inconclusive results may fail to provide sufficient data and information to support product approval, or our studies may fail to reach the necessary level of statistical or clinical</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right="80"/>
        <w:spacing w:after="0" w:line="261" w:lineRule="auto"/>
        <w:rPr>
          <w:sz w:val="20"/>
          <w:szCs w:val="20"/>
          <w:color w:val="auto"/>
        </w:rPr>
      </w:pPr>
      <w:r>
        <w:rPr>
          <w:rFonts w:ascii="Times New Roman" w:cs="Times New Roman" w:eastAsia="Times New Roman" w:hAnsi="Times New Roman"/>
          <w:sz w:val="18"/>
          <w:szCs w:val="18"/>
          <w:color w:val="auto"/>
        </w:rPr>
        <w:t>significance, which may result in our deciding, or regulators requiring us, to conduct additional clinical studies, or preclinical studies, or abandon product development programs;</w:t>
      </w:r>
    </w:p>
    <w:p>
      <w:pPr>
        <w:ind w:left="820" w:right="80" w:hanging="320"/>
        <w:spacing w:after="0" w:line="250" w:lineRule="auto"/>
        <w:tabs>
          <w:tab w:leader="none" w:pos="8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1" w:lineRule="exact"/>
        <w:rPr>
          <w:rFonts w:ascii="Times New Roman" w:cs="Times New Roman" w:eastAsia="Times New Roman" w:hAnsi="Times New Roman"/>
          <w:sz w:val="18"/>
          <w:szCs w:val="18"/>
          <w:color w:val="auto"/>
        </w:rPr>
      </w:pPr>
    </w:p>
    <w:p>
      <w:pPr>
        <w:ind w:left="820" w:right="40" w:hanging="320"/>
        <w:spacing w:after="0" w:line="250" w:lineRule="auto"/>
        <w:tabs>
          <w:tab w:leader="none" w:pos="8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ind w:left="820" w:right="560" w:hanging="320"/>
        <w:spacing w:after="0" w:line="250" w:lineRule="auto"/>
        <w:tabs>
          <w:tab w:leader="none" w:pos="8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changes to the therapeutics or their regulatory status which we are administering in combination with our product candidates;</w:t>
      </w:r>
    </w:p>
    <w:p>
      <w:pPr>
        <w:ind w:left="840" w:hanging="319"/>
        <w:spacing w:after="0"/>
        <w:tabs>
          <w:tab w:leader="none" w:pos="8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enrollment due to the ongoing COVID-19 pandemic;</w:t>
      </w:r>
    </w:p>
    <w:p>
      <w:pPr>
        <w:spacing w:after="0" w:line="9" w:lineRule="exact"/>
        <w:rPr>
          <w:rFonts w:ascii="Times New Roman" w:cs="Times New Roman" w:eastAsia="Times New Roman" w:hAnsi="Times New Roman"/>
          <w:sz w:val="18"/>
          <w:szCs w:val="18"/>
          <w:color w:val="auto"/>
        </w:rPr>
      </w:pPr>
    </w:p>
    <w:p>
      <w:pPr>
        <w:ind w:left="820" w:right="180" w:hanging="320"/>
        <w:spacing w:after="0" w:line="250" w:lineRule="auto"/>
        <w:tabs>
          <w:tab w:leader="none" w:pos="8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right="800" w:hanging="320"/>
        <w:spacing w:after="0" w:line="250" w:lineRule="auto"/>
        <w:tabs>
          <w:tab w:leader="none" w:pos="8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take longer than we anticipate making a decision on our product candidates;</w:t>
      </w:r>
    </w:p>
    <w:p>
      <w:pPr>
        <w:ind w:left="820" w:hanging="320"/>
        <w:spacing w:after="0" w:line="250" w:lineRule="auto"/>
        <w:tabs>
          <w:tab w:leader="none" w:pos="8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our manufacturing processes to our CMOs or other larger-scale facilities operated by a CMO or by us and delays or failure by our CMOs or us to make any necessary changes to such manufacturing process;</w:t>
      </w:r>
    </w:p>
    <w:p>
      <w:pPr>
        <w:ind w:left="820" w:right="260" w:hanging="320"/>
        <w:spacing w:after="0" w:line="250" w:lineRule="auto"/>
        <w:tabs>
          <w:tab w:leader="none" w:pos="8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Times New Roman" w:cs="Times New Roman" w:eastAsia="Times New Roman" w:hAnsi="Times New Roman"/>
          <w:sz w:val="18"/>
          <w:szCs w:val="18"/>
          <w:color w:val="auto"/>
        </w:rPr>
      </w:pPr>
    </w:p>
    <w:p>
      <w:pPr>
        <w:ind w:left="820" w:right="420" w:hanging="320"/>
        <w:spacing w:after="0" w:line="255" w:lineRule="auto"/>
        <w:tabs>
          <w:tab w:leader="none" w:pos="8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45" w:lineRule="exact"/>
        <w:rPr>
          <w:sz w:val="20"/>
          <w:szCs w:val="20"/>
          <w:color w:val="auto"/>
        </w:rPr>
      </w:pPr>
    </w:p>
    <w:p>
      <w:pPr>
        <w:ind w:right="20" w:firstLine="492"/>
        <w:spacing w:after="0" w:line="258" w:lineRule="auto"/>
        <w:rPr>
          <w:sz w:val="20"/>
          <w:szCs w:val="20"/>
          <w:color w:val="auto"/>
        </w:rPr>
      </w:pPr>
      <w:r>
        <w:rPr>
          <w:rFonts w:ascii="Times New Roman" w:cs="Times New Roman" w:eastAsia="Times New Roman" w:hAnsi="Times New Roman"/>
          <w:sz w:val="18"/>
          <w:szCs w:val="18"/>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29" w:lineRule="exact"/>
        <w:rPr>
          <w:sz w:val="20"/>
          <w:szCs w:val="20"/>
          <w:color w:val="auto"/>
        </w:rPr>
      </w:pPr>
    </w:p>
    <w:p>
      <w:pPr>
        <w:ind w:right="100" w:firstLine="492"/>
        <w:spacing w:after="0" w:line="254"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FDA approval or notification, may not have their desired effect, or the FDA may not accept data from prior versions of the product to support an application, delaying our clinical trials or programs or necessitating additional clinical or preclinical studies. For example, while our first BLA submission includes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and preclinical studies, or results in a refusal to file or non-approval of a BLA.</w:t>
      </w:r>
    </w:p>
    <w:p>
      <w:pPr>
        <w:spacing w:after="0" w:line="134" w:lineRule="exact"/>
        <w:rPr>
          <w:sz w:val="20"/>
          <w:szCs w:val="20"/>
          <w:color w:val="auto"/>
        </w:rPr>
      </w:pPr>
    </w:p>
    <w:p>
      <w:pPr>
        <w:jc w:val="both"/>
        <w:ind w:right="140" w:firstLine="492"/>
        <w:spacing w:after="0" w:line="266" w:lineRule="auto"/>
        <w:rPr>
          <w:sz w:val="20"/>
          <w:szCs w:val="20"/>
          <w:color w:val="auto"/>
        </w:rPr>
      </w:pPr>
      <w:r>
        <w:rPr>
          <w:rFonts w:ascii="Times New Roman" w:cs="Times New Roman" w:eastAsia="Times New Roman" w:hAnsi="Times New Roman"/>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22" w:lineRule="exact"/>
        <w:rPr>
          <w:sz w:val="20"/>
          <w:szCs w:val="20"/>
          <w:color w:val="auto"/>
        </w:rPr>
      </w:pPr>
    </w:p>
    <w:p>
      <w:pPr>
        <w:ind w:right="60" w:firstLine="492"/>
        <w:spacing w:after="0" w:line="253"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It may take longer and cost more to complete our clinical trials than we project, or we may not be able to complete them at all.</w:t>
      </w:r>
    </w:p>
    <w:p>
      <w:pPr>
        <w:spacing w:after="0" w:line="175" w:lineRule="exact"/>
        <w:rPr>
          <w:sz w:val="20"/>
          <w:szCs w:val="20"/>
          <w:color w:val="auto"/>
        </w:rPr>
      </w:pPr>
    </w:p>
    <w:p>
      <w:pPr>
        <w:ind w:right="120" w:firstLine="492"/>
        <w:spacing w:after="0" w:line="258" w:lineRule="auto"/>
        <w:rPr>
          <w:sz w:val="20"/>
          <w:szCs w:val="20"/>
          <w:color w:val="auto"/>
        </w:rPr>
      </w:pPr>
      <w:r>
        <w:rPr>
          <w:rFonts w:ascii="Times New Roman" w:cs="Times New Roman" w:eastAsia="Times New Roman" w:hAnsi="Times New Roman"/>
          <w:sz w:val="18"/>
          <w:szCs w:val="18"/>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difficulties in identifying and enrolling patients who meet trial eligibility criteria, and the ongoing COVID-19 pandemic, may cause significant delays. We may not commence or complete clinical trials involving any of our products as projected or may not conduct them successfully.</w:t>
      </w:r>
    </w:p>
    <w:p>
      <w:pPr>
        <w:spacing w:after="0" w:line="129" w:lineRule="exact"/>
        <w:rPr>
          <w:sz w:val="20"/>
          <w:szCs w:val="20"/>
          <w:color w:val="auto"/>
        </w:rPr>
      </w:pPr>
    </w:p>
    <w:p>
      <w:pPr>
        <w:ind w:right="120" w:firstLine="492"/>
        <w:spacing w:after="0" w:line="255" w:lineRule="auto"/>
        <w:rPr>
          <w:sz w:val="20"/>
          <w:szCs w:val="20"/>
          <w:color w:val="auto"/>
        </w:rPr>
      </w:pPr>
      <w:r>
        <w:rPr>
          <w:rFonts w:ascii="Times New Roman" w:cs="Times New Roman" w:eastAsia="Times New Roman" w:hAnsi="Times New Roman"/>
          <w:sz w:val="18"/>
          <w:szCs w:val="18"/>
          <w:color w:val="auto"/>
        </w:rPr>
        <w:t>We are currently enrolling seven company-sponsored clinical trials to assess the overall safety and efficacy of Iovance TIL monotherapy and TIL combinations in patients with melanoma, cervical, head and neck and lung cancers across late-line and early treatment settings, as well as our genetically modified TIL therapy IOV-4001 and our peripheral blood lymphocyte, or PBL, technology for hematological malignancies.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trials.</w:t>
      </w:r>
    </w:p>
    <w:p>
      <w:pPr>
        <w:spacing w:after="0" w:line="135"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For example, our current clinical studies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the investigators have significant discretion over the selection of patient participants. Although preliminary data from certain trials were generally positive, that data may not necessarily be representative of interim or final results, as new patients are cycled through the applicable treatment regimes. As the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trials and replaced by patients with less advanced forms of cancer. This opportunity for investigator selection bias in our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41"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Furthermore, the timely completion of clinical trials in accordance with their protocols depends, among other things, on our ability to enroll a sufficient number of patients who remain in the study until its conclusion, including the ability of us or our 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48" w:lineRule="exact"/>
        <w:rPr>
          <w:sz w:val="20"/>
          <w:szCs w:val="20"/>
          <w:color w:val="auto"/>
        </w:rPr>
      </w:pPr>
    </w:p>
    <w:p>
      <w:pPr>
        <w:ind w:right="140" w:firstLine="492"/>
        <w:spacing w:after="0" w:line="261" w:lineRule="auto"/>
        <w:rPr>
          <w:sz w:val="20"/>
          <w:szCs w:val="20"/>
          <w:color w:val="auto"/>
        </w:rPr>
      </w:pPr>
      <w:r>
        <w:rPr>
          <w:rFonts w:ascii="Times New Roman" w:cs="Times New Roman" w:eastAsia="Times New Roman" w:hAnsi="Times New Roman"/>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53" w:lineRule="exact"/>
        <w:rPr>
          <w:sz w:val="20"/>
          <w:szCs w:val="20"/>
          <w:color w:val="auto"/>
        </w:rPr>
      </w:pPr>
    </w:p>
    <w:p>
      <w:pPr>
        <w:jc w:val="both"/>
        <w:ind w:right="40" w:firstLine="492"/>
        <w:spacing w:after="0" w:line="261" w:lineRule="auto"/>
        <w:rPr>
          <w:sz w:val="20"/>
          <w:szCs w:val="20"/>
          <w:color w:val="auto"/>
        </w:rPr>
      </w:pPr>
      <w:r>
        <w:rPr>
          <w:rFonts w:ascii="Times New Roman" w:cs="Times New Roman" w:eastAsia="Times New Roman" w:hAnsi="Times New Roman"/>
          <w:sz w:val="18"/>
          <w:szCs w:val="18"/>
          <w:color w:val="auto"/>
        </w:rPr>
        <w:t>We currently anticipate that we will have to rely on our CMOs to manufacture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18"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pacing w:after="0" w:line="159" w:lineRule="exact"/>
        <w:rPr>
          <w:sz w:val="20"/>
          <w:szCs w:val="20"/>
          <w:color w:val="auto"/>
        </w:rPr>
      </w:pPr>
    </w:p>
    <w:p>
      <w:pPr>
        <w:ind w:right="18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18" w:lineRule="exact"/>
        <w:rPr>
          <w:sz w:val="20"/>
          <w:szCs w:val="20"/>
          <w:color w:val="auto"/>
        </w:rPr>
      </w:pPr>
    </w:p>
    <w:p>
      <w:pPr>
        <w:ind w:right="20" w:firstLine="492"/>
        <w:spacing w:after="0" w:line="252" w:lineRule="auto"/>
        <w:rPr>
          <w:sz w:val="20"/>
          <w:szCs w:val="20"/>
          <w:color w:val="auto"/>
        </w:rPr>
      </w:pPr>
      <w:r>
        <w:rPr>
          <w:rFonts w:ascii="Times New Roman" w:cs="Times New Roman" w:eastAsia="Times New Roman" w:hAnsi="Times New Roman"/>
          <w:sz w:val="18"/>
          <w:szCs w:val="18"/>
          <w:color w:val="auto"/>
        </w:rPr>
        <w:t>The clinical trials of our product candidates are, and the manufacturing and marketing of our products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49"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62"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492"/>
        <w:spacing w:after="0" w:line="258"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43" w:lineRule="exact"/>
        <w:rPr>
          <w:sz w:val="20"/>
          <w:szCs w:val="20"/>
          <w:color w:val="auto"/>
        </w:rPr>
      </w:pPr>
    </w:p>
    <w:p>
      <w:pPr>
        <w:ind w:right="100" w:firstLine="492"/>
        <w:spacing w:after="0" w:line="254" w:lineRule="auto"/>
        <w:rPr>
          <w:sz w:val="20"/>
          <w:szCs w:val="20"/>
          <w:color w:val="auto"/>
        </w:rPr>
      </w:pPr>
      <w:r>
        <w:rPr>
          <w:rFonts w:ascii="Times New Roman" w:cs="Times New Roman" w:eastAsia="Times New Roman" w:hAnsi="Times New Roman"/>
          <w:sz w:val="18"/>
          <w:szCs w:val="18"/>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61" w:lineRule="exact"/>
        <w:rPr>
          <w:sz w:val="20"/>
          <w:szCs w:val="20"/>
          <w:color w:val="auto"/>
        </w:rPr>
      </w:pPr>
    </w:p>
    <w:p>
      <w:pPr>
        <w:ind w:right="44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18" w:lineRule="exact"/>
        <w:rPr>
          <w:sz w:val="20"/>
          <w:szCs w:val="20"/>
          <w:color w:val="auto"/>
        </w:rPr>
      </w:pPr>
    </w:p>
    <w:p>
      <w:pPr>
        <w:ind w:right="140" w:firstLine="492"/>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or similar patients in a Phase 2 clinical trial to a pivotal program, who remain in the trial until its conclusion. We may experience difficulties or delays in patient enrollment in our clinical trials for a variety of reasons, including:</w:t>
      </w:r>
    </w:p>
    <w:p>
      <w:pPr>
        <w:spacing w:after="0" w:line="135" w:lineRule="exact"/>
        <w:rPr>
          <w:sz w:val="20"/>
          <w:szCs w:val="20"/>
          <w:color w:val="auto"/>
        </w:rPr>
      </w:pPr>
    </w:p>
    <w:p>
      <w:pPr>
        <w:ind w:left="820" w:hanging="3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03"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90"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90"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study population required for analysis of the trial’s primary endpoints;</w:t>
      </w:r>
    </w:p>
    <w:p>
      <w:pPr>
        <w:spacing w:after="0" w:line="103"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90"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03"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90"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 and the effectiveness of recruiting publicity;</w:t>
      </w:r>
    </w:p>
    <w:p>
      <w:pPr>
        <w:spacing w:after="0" w:line="90"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03"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other new therapeutics not involving cell-based immunotherapy;</w:t>
      </w:r>
    </w:p>
    <w:p>
      <w:pPr>
        <w:spacing w:after="0" w:line="90" w:lineRule="exact"/>
        <w:rPr>
          <w:rFonts w:ascii="Times New Roman" w:cs="Times New Roman" w:eastAsia="Times New Roman" w:hAnsi="Times New Roman"/>
          <w:sz w:val="18"/>
          <w:szCs w:val="18"/>
          <w:color w:val="auto"/>
        </w:rPr>
      </w:pPr>
    </w:p>
    <w:p>
      <w:pPr>
        <w:jc w:val="both"/>
        <w:ind w:left="820" w:right="180" w:hanging="320"/>
        <w:spacing w:after="0" w:line="266" w:lineRule="auto"/>
        <w:tabs>
          <w:tab w:leader="none" w:pos="8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54" w:lineRule="exact"/>
        <w:rPr>
          <w:rFonts w:ascii="Times New Roman" w:cs="Times New Roman" w:eastAsia="Times New Roman" w:hAnsi="Times New Roman"/>
          <w:sz w:val="18"/>
          <w:szCs w:val="18"/>
          <w:color w:val="auto"/>
        </w:rPr>
      </w:pPr>
    </w:p>
    <w:p>
      <w:pPr>
        <w:ind w:left="820" w:right="120" w:hanging="320"/>
        <w:spacing w:after="0" w:line="282" w:lineRule="auto"/>
        <w:tabs>
          <w:tab w:leader="none" w:pos="8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enrolling patients who do not meet the enrollment criteria, requiring the inclusion of additional patients in the clinical trial;</w:t>
      </w:r>
    </w:p>
    <w:p>
      <w:pPr>
        <w:spacing w:after="0" w:line="26" w:lineRule="exact"/>
        <w:rPr>
          <w:rFonts w:ascii="Times New Roman" w:cs="Times New Roman" w:eastAsia="Times New Roman" w:hAnsi="Times New Roman"/>
          <w:sz w:val="18"/>
          <w:szCs w:val="18"/>
          <w:color w:val="auto"/>
        </w:rPr>
      </w:pPr>
    </w:p>
    <w:p>
      <w:pPr>
        <w:ind w:left="840" w:right="80" w:hanging="319"/>
        <w:spacing w:after="0" w:line="266" w:lineRule="auto"/>
        <w:tabs>
          <w:tab w:leader="none" w:pos="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limiting our access to patients who would otherwise be eligible for enrollment, including treatment-naïve patients who may be more likely to seek standard of care therapies available at local treatment centers rather than enroll in a clinical trial at a larger hospital;</w:t>
      </w:r>
    </w:p>
    <w:p>
      <w:pPr>
        <w:spacing w:after="0" w:line="40"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new indications for existing therapies or approval of new therapies in general;</w:t>
      </w:r>
    </w:p>
    <w:p>
      <w:pPr>
        <w:spacing w:after="0" w:line="103"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90" w:lineRule="exact"/>
        <w:rPr>
          <w:rFonts w:ascii="Times New Roman" w:cs="Times New Roman" w:eastAsia="Times New Roman" w:hAnsi="Times New Roman"/>
          <w:sz w:val="18"/>
          <w:szCs w:val="18"/>
          <w:color w:val="auto"/>
        </w:rPr>
      </w:pPr>
    </w:p>
    <w:p>
      <w:pPr>
        <w:ind w:left="820" w:hanging="320"/>
        <w:spacing w:after="0" w:line="261" w:lineRule="auto"/>
        <w:tabs>
          <w:tab w:leader="none" w:pos="8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58" w:lineRule="exact"/>
        <w:rPr>
          <w:sz w:val="20"/>
          <w:szCs w:val="20"/>
          <w:color w:val="auto"/>
        </w:rPr>
      </w:pPr>
    </w:p>
    <w:p>
      <w:pPr>
        <w:ind w:right="20" w:firstLine="492"/>
        <w:spacing w:after="0" w:line="282"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amendments we have made to further define the patient population to be studied.</w:t>
      </w:r>
    </w:p>
    <w:p>
      <w:pPr>
        <w:spacing w:after="0" w:line="148" w:lineRule="exact"/>
        <w:rPr>
          <w:sz w:val="20"/>
          <w:szCs w:val="20"/>
          <w:color w:val="auto"/>
        </w:rPr>
      </w:pPr>
    </w:p>
    <w:p>
      <w:pPr>
        <w:jc w:val="both"/>
        <w:ind w:right="160" w:firstLine="492"/>
        <w:spacing w:after="0" w:line="266" w:lineRule="auto"/>
        <w:rPr>
          <w:sz w:val="20"/>
          <w:szCs w:val="20"/>
          <w:color w:val="auto"/>
        </w:rPr>
      </w:pPr>
      <w:r>
        <w:rPr>
          <w:rFonts w:ascii="Times New Roman" w:cs="Times New Roman" w:eastAsia="Times New Roman" w:hAnsi="Times New Roman"/>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45" w:lineRule="exact"/>
        <w:rPr>
          <w:sz w:val="20"/>
          <w:szCs w:val="20"/>
          <w:color w:val="auto"/>
        </w:rPr>
      </w:pPr>
    </w:p>
    <w:p>
      <w:pPr>
        <w:ind w:right="1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1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Results of our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Risk Evaluation and Mitigations Strategy or REMS, to monitor the safety or efficacy of the products, and in turn prevent us from commercializing and generating revenues from the sale of our current or future product candidates.</w:t>
      </w:r>
    </w:p>
    <w:p>
      <w:pPr>
        <w:spacing w:after="0" w:line="148"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6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44" w:lineRule="exact"/>
        <w:rPr>
          <w:sz w:val="20"/>
          <w:szCs w:val="20"/>
          <w:color w:val="auto"/>
        </w:rPr>
      </w:pPr>
    </w:p>
    <w:p>
      <w:pPr>
        <w:ind w:right="20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40" w:lineRule="exact"/>
        <w:rPr>
          <w:sz w:val="20"/>
          <w:szCs w:val="20"/>
          <w:color w:val="auto"/>
        </w:rPr>
      </w:pPr>
    </w:p>
    <w:p>
      <w:pPr>
        <w:ind w:right="160" w:firstLine="492"/>
        <w:spacing w:after="0" w:line="256" w:lineRule="auto"/>
        <w:rPr>
          <w:sz w:val="20"/>
          <w:szCs w:val="20"/>
          <w:color w:val="auto"/>
        </w:rPr>
      </w:pPr>
      <w:r>
        <w:rPr>
          <w:rFonts w:ascii="Times New Roman" w:cs="Times New Roman" w:eastAsia="Times New Roman" w:hAnsi="Times New Roman"/>
          <w:sz w:val="18"/>
          <w:szCs w:val="18"/>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isolating the T cells from the tumor fragments,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36"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61"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the FDA not agreeing with all of the details of our validation data or other aspects of our potency assay or assays for Cohort 4 of our C-144-01 clinical trial. For example, on October 5, 2020, we announced that we and the FDA were not able to agree on the required potency assays to fully define our TIL therapy, which is required as part of a BLA submission, and that as a result of these developments, our BLA submission was not expected by the end of 2020 and was anticipated instead to occur in 2021. Previously, we reported the submission of assay data to the FDA, and on May 18, 2021, we announced that we had received regulatory feedback from the FDA regarding our potency assays for lifileucel. Following FDA feedback regarding the potency assays for lifileucel, we continued work developing and validating our potency assays and engaged in discussions with the FDA during the second half of 2021 and first quarter of 2022. Based on feedback received from these discussions, we held a pre-BLA meeting in July 2022. We initiated a rolling BLA for lifileucel in metastatic melanoma in August 2022, which we plan to complete in the fourth quarter of 2022. In addition, as previously disclosed, we plan to begin a confirmatory Phase 3 clinical trial of lifileucel in combination with pembrolizumab in frontline metastatic melanoma in late 2022 which we expect to utilize significant manufacturing capacity.</w:t>
      </w:r>
    </w:p>
    <w:p>
      <w:pPr>
        <w:spacing w:after="0" w:line="153"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8"/>
          <w:szCs w:val="18"/>
          <w:color w:val="auto"/>
        </w:rPr>
        <w:t>As a result of these challenges, we may experience delays in our clinical development and/or commercialization plans. Furthermore, we may ultimately be unable to reduce the cost of goods for our product candidates to levels that will allow for an attractive return on investment if and when those product candidates are commercialized.</w:t>
      </w:r>
    </w:p>
    <w:p>
      <w:pPr>
        <w:spacing w:after="0" w:line="135"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Our current manufacturing strategy involves the use of CMOs. Currently our product candidates are manufactured by WuXi, Lonza,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92"/>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the product candidate ourselves, including:</w:t>
      </w:r>
    </w:p>
    <w:p>
      <w:pPr>
        <w:spacing w:after="0" w:line="121" w:lineRule="exact"/>
        <w:rPr>
          <w:sz w:val="20"/>
          <w:szCs w:val="20"/>
          <w:color w:val="auto"/>
        </w:rPr>
      </w:pPr>
    </w:p>
    <w:p>
      <w:pPr>
        <w:ind w:left="820" w:hanging="320"/>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27" w:lineRule="exact"/>
        <w:rPr>
          <w:rFonts w:ascii="Times New Roman" w:cs="Times New Roman" w:eastAsia="Times New Roman" w:hAnsi="Times New Roman"/>
          <w:sz w:val="18"/>
          <w:szCs w:val="18"/>
          <w:color w:val="auto"/>
        </w:rPr>
      </w:pPr>
    </w:p>
    <w:p>
      <w:pPr>
        <w:ind w:left="820" w:right="620" w:hanging="320"/>
        <w:spacing w:after="0" w:line="260" w:lineRule="auto"/>
        <w:tabs>
          <w:tab w:leader="none" w:pos="8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day-to-day control over the manufacturing process for our product candidates as a result of using third-party manufacturers for all aspects of manufacturing activities;</w:t>
      </w:r>
    </w:p>
    <w:p>
      <w:pPr>
        <w:spacing w:after="0" w:line="5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the protection of our trade secrets and know-how from misappropriation or inadvertent disclosure;</w:t>
      </w:r>
    </w:p>
    <w:p>
      <w:pPr>
        <w:spacing w:after="0" w:line="90" w:lineRule="exact"/>
        <w:rPr>
          <w:rFonts w:ascii="Times New Roman" w:cs="Times New Roman" w:eastAsia="Times New Roman" w:hAnsi="Times New Roman"/>
          <w:sz w:val="18"/>
          <w:szCs w:val="18"/>
          <w:color w:val="auto"/>
        </w:rPr>
      </w:pPr>
    </w:p>
    <w:p>
      <w:pPr>
        <w:ind w:left="820" w:right="380" w:hanging="320"/>
        <w:spacing w:after="0" w:line="282" w:lineRule="auto"/>
        <w:tabs>
          <w:tab w:leader="none" w:pos="8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product candidates; and</w:t>
      </w:r>
    </w:p>
    <w:p>
      <w:pPr>
        <w:spacing w:after="0" w:line="40" w:lineRule="exact"/>
        <w:rPr>
          <w:rFonts w:ascii="Times New Roman" w:cs="Times New Roman" w:eastAsia="Times New Roman" w:hAnsi="Times New Roman"/>
          <w:sz w:val="18"/>
          <w:szCs w:val="18"/>
          <w:color w:val="auto"/>
        </w:rPr>
      </w:pPr>
    </w:p>
    <w:p>
      <w:pPr>
        <w:ind w:left="820" w:right="140" w:hanging="320"/>
        <w:spacing w:after="0" w:line="282" w:lineRule="auto"/>
        <w:tabs>
          <w:tab w:leader="none" w:pos="8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of the manufacturer or supplier.</w:t>
      </w:r>
    </w:p>
    <w:p>
      <w:pPr>
        <w:spacing w:after="0" w:line="27"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In May 2019 we entered into a lease agreement to build a commercial-scale manufacturing facility in Philadelphia, Pennsylvania for commercial and clinical production of autologous TIL products, including our product candidate lifileucel. We expect that development of our own manufacturing facility will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54" w:lineRule="exact"/>
        <w:rPr>
          <w:sz w:val="20"/>
          <w:szCs w:val="20"/>
          <w:color w:val="auto"/>
        </w:rPr>
      </w:pPr>
    </w:p>
    <w:p>
      <w:pPr>
        <w:ind w:right="40" w:firstLine="492"/>
        <w:spacing w:after="0" w:line="258" w:lineRule="auto"/>
        <w:rPr>
          <w:sz w:val="20"/>
          <w:szCs w:val="20"/>
          <w:color w:val="auto"/>
        </w:rPr>
      </w:pPr>
      <w:r>
        <w:rPr>
          <w:rFonts w:ascii="Times New Roman" w:cs="Times New Roman" w:eastAsia="Times New Roman" w:hAnsi="Times New Roman"/>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56" w:lineRule="exact"/>
        <w:rPr>
          <w:sz w:val="20"/>
          <w:szCs w:val="20"/>
          <w:color w:val="auto"/>
        </w:rPr>
      </w:pPr>
    </w:p>
    <w:p>
      <w:pPr>
        <w:ind w:right="260" w:firstLine="486"/>
        <w:spacing w:after="0" w:line="256" w:lineRule="auto"/>
        <w:rPr>
          <w:sz w:val="20"/>
          <w:szCs w:val="20"/>
          <w:color w:val="auto"/>
        </w:rPr>
      </w:pPr>
      <w:r>
        <w:rPr>
          <w:rFonts w:ascii="Times New Roman" w:cs="Times New Roman" w:eastAsia="Times New Roman" w:hAnsi="Times New Roman"/>
          <w:sz w:val="18"/>
          <w:szCs w:val="18"/>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4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There is no guarantee that we or our CMOs will be able to successfully pass all aspects of a pre-approval inspection by the FDA or other foreign regulatory authorities.</w:t>
      </w:r>
    </w:p>
    <w:p>
      <w:pPr>
        <w:spacing w:after="0" w:line="15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w:t>
      </w:r>
    </w:p>
    <w:p>
      <w:pPr>
        <w:sectPr>
          <w:pgSz w:w="11900" w:h="16838" w:orient="portrait"/>
          <w:cols w:equalWidth="0" w:num="1">
            <w:col w:w="9840"/>
          </w:cols>
          <w:pgMar w:left="980" w:top="661" w:right="107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3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6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31" w:lineRule="exact"/>
        <w:rPr>
          <w:sz w:val="20"/>
          <w:szCs w:val="20"/>
          <w:color w:val="auto"/>
        </w:rPr>
      </w:pPr>
    </w:p>
    <w:p>
      <w:pPr>
        <w:ind w:right="100" w:firstLine="492"/>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16"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65"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47"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and to collect additional data from patients prior to undertaking more advanced clinical trials.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will be unable to commercialize our products if our trials are not successful.</w:t>
      </w:r>
    </w:p>
    <w:p>
      <w:pPr>
        <w:spacing w:after="0" w:line="202" w:lineRule="exact"/>
        <w:rPr>
          <w:sz w:val="20"/>
          <w:szCs w:val="20"/>
          <w:color w:val="auto"/>
        </w:rPr>
      </w:pPr>
    </w:p>
    <w:p>
      <w:pPr>
        <w:ind w:right="40" w:firstLine="492"/>
        <w:spacing w:after="0" w:line="261" w:lineRule="auto"/>
        <w:rPr>
          <w:sz w:val="20"/>
          <w:szCs w:val="20"/>
          <w:color w:val="auto"/>
        </w:rPr>
      </w:pPr>
      <w:r>
        <w:rPr>
          <w:rFonts w:ascii="Times New Roman" w:cs="Times New Roman" w:eastAsia="Times New Roman" w:hAnsi="Times New Roman"/>
          <w:sz w:val="18"/>
          <w:szCs w:val="18"/>
          <w:color w:val="auto"/>
        </w:rPr>
        <w:t>With the exception of lifileucel for metastatic melanoma and metastatic cervical cancer, 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39" w:lineRule="exact"/>
        <w:rPr>
          <w:sz w:val="20"/>
          <w:szCs w:val="20"/>
          <w:color w:val="auto"/>
        </w:rPr>
      </w:pPr>
    </w:p>
    <w:p>
      <w:pPr>
        <w:ind w:left="820" w:hanging="320"/>
        <w:spacing w:after="0" w:line="282" w:lineRule="auto"/>
        <w:tabs>
          <w:tab w:leader="none" w:pos="8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in various human clinical trials reported in scientific and medical literature may not be indicative of results we obtain in our clinical trials;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right="540" w:hanging="320"/>
        <w:spacing w:after="0" w:line="261" w:lineRule="auto"/>
        <w:tabs>
          <w:tab w:leader="none" w:pos="8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test results, we or our collaborators may abandon projects that we might previously have believed to be promising;</w:t>
      </w:r>
    </w:p>
    <w:p>
      <w:pPr>
        <w:ind w:left="820" w:right="180" w:hanging="320"/>
        <w:spacing w:after="0" w:line="250" w:lineRule="auto"/>
        <w:tabs>
          <w:tab w:leader="none" w:pos="8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collaborators or regulators, may suspend or terminate clinical trials if the participating subjects or patients are being exposed to unacceptable health risks;</w:t>
      </w:r>
    </w:p>
    <w:p>
      <w:pPr>
        <w:ind w:left="820" w:right="700" w:hanging="320"/>
        <w:spacing w:after="0" w:line="250" w:lineRule="auto"/>
        <w:tabs>
          <w:tab w:leader="none" w:pos="8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820" w:right="20" w:hanging="320"/>
        <w:spacing w:after="0" w:line="250" w:lineRule="auto"/>
        <w:tabs>
          <w:tab w:leader="none" w:pos="8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may not meet the necessary standards for the production of the product candidates or may not be able to supply the product candidates in a sufficient quantity; and</w:t>
      </w:r>
    </w:p>
    <w:p>
      <w:pPr>
        <w:ind w:left="820" w:hanging="32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find that our clinical trial design or conduct does not meet the applicable approval requirements.</w:t>
      </w:r>
    </w:p>
    <w:p>
      <w:pPr>
        <w:spacing w:after="0" w:line="166"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Even if our lead product lifileucel is approved and commercialized, we may not become profitable.</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lead product, lifileucel, is initially targeting a small population of refractory patients that suffer from metastatic melanoma and metastatic cervical cancer. Even if the FDA approves these new therapies, and even if we obtain significant market share for each product candidate,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43" w:lineRule="exact"/>
        <w:rPr>
          <w:sz w:val="20"/>
          <w:szCs w:val="20"/>
          <w:color w:val="auto"/>
        </w:rPr>
      </w:pPr>
    </w:p>
    <w:p>
      <w:pPr>
        <w:ind w:right="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48" w:lineRule="exact"/>
        <w:rPr>
          <w:sz w:val="20"/>
          <w:szCs w:val="20"/>
          <w:color w:val="auto"/>
        </w:rPr>
      </w:pPr>
    </w:p>
    <w:p>
      <w:pPr>
        <w:ind w:right="40" w:firstLine="486"/>
        <w:spacing w:after="0" w:line="268" w:lineRule="auto"/>
        <w:rPr>
          <w:sz w:val="20"/>
          <w:szCs w:val="20"/>
          <w:color w:val="auto"/>
        </w:rPr>
      </w:pPr>
      <w:r>
        <w:rPr>
          <w:rFonts w:ascii="Times New Roman" w:cs="Times New Roman" w:eastAsia="Times New Roman" w:hAnsi="Times New Roman"/>
          <w:sz w:val="17"/>
          <w:szCs w:val="17"/>
          <w:color w:val="auto"/>
        </w:rPr>
        <w:t>In addition to our own research and process development efforts, we seek to collaborate with government, academic research institutions and corporate partners to improve TIL manufacturing and to develop TIL therapies for new indications. In 2017-2020, we announced our continued collaborations with Moffitt, MDACC, and The Ohio State University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and MDACC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139" w:lineRule="exact"/>
        <w:rPr>
          <w:sz w:val="20"/>
          <w:szCs w:val="20"/>
          <w:color w:val="auto"/>
        </w:rPr>
      </w:pPr>
    </w:p>
    <w:p>
      <w:pPr>
        <w:ind w:right="6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40" w:lineRule="exact"/>
        <w:rPr>
          <w:sz w:val="20"/>
          <w:szCs w:val="20"/>
          <w:color w:val="auto"/>
        </w:rPr>
      </w:pPr>
    </w:p>
    <w:p>
      <w:pPr>
        <w:ind w:right="140" w:firstLine="492"/>
        <w:spacing w:after="0" w:line="261"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From our inception to September 30, 2022, we have an accumulated deficit of $1.5 billion. In addition, our research and development and our operating costs have also been substantial and are expected to increase. For example, in October 2018, we closed an underwritten public offering of our common stock. The net proceeds from the offering, after deducting the underwriting discounts and commissions and other offering expenses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payable by us, were $236.7 million. In June 2020, we closed another underwritten offering of our common stock. The net proceeds from the offering, after deducting the underwriting discounts and commissions and other offering expenses payable by us, were $567.0 million. In February 2021 we entered into an open market sale agreement, or the Sales Agreement, with Jefferies LLC, which provides for the sale of up to $350.0 million of our common stock from time to time. As of September 30, 2022, we had $366.6 million in cash, cash equivalents and investments ($118.4 million of cash and cash equivalents, $241.8 million in short-term investments, and restricted cash of $6.4 million).</w:t>
      </w:r>
    </w:p>
    <w:p>
      <w:pPr>
        <w:spacing w:after="0" w:line="147"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Accordingly, we believe that our existing cash, cash equivalents and investments will be sufficient to fund our operations for at least the next twelve months from the date this Quarterly Report on Form 10-Q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65" w:lineRule="exact"/>
        <w:rPr>
          <w:sz w:val="20"/>
          <w:szCs w:val="20"/>
          <w:color w:val="auto"/>
        </w:rPr>
      </w:pPr>
    </w:p>
    <w:p>
      <w:pPr>
        <w:ind w:right="20" w:firstLine="486"/>
        <w:spacing w:after="0" w:line="312" w:lineRule="auto"/>
        <w:rPr>
          <w:sz w:val="20"/>
          <w:szCs w:val="20"/>
          <w:color w:val="auto"/>
        </w:rPr>
      </w:pPr>
      <w:r>
        <w:rPr>
          <w:rFonts w:ascii="Times New Roman" w:cs="Times New Roman" w:eastAsia="Times New Roman" w:hAnsi="Times New Roman"/>
          <w:sz w:val="17"/>
          <w:szCs w:val="17"/>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99" w:lineRule="exact"/>
        <w:rPr>
          <w:sz w:val="20"/>
          <w:szCs w:val="20"/>
          <w:color w:val="auto"/>
        </w:rPr>
      </w:pPr>
    </w:p>
    <w:p>
      <w:pPr>
        <w:ind w:left="820" w:right="120" w:hanging="320"/>
        <w:spacing w:after="0" w:line="261" w:lineRule="auto"/>
        <w:tabs>
          <w:tab w:leader="none" w:pos="8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ind w:left="820" w:right="80" w:hanging="320"/>
        <w:spacing w:after="0" w:line="250" w:lineRule="auto"/>
        <w:tabs>
          <w:tab w:leader="none" w:pos="8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 necessary to obtain regulatory approvals that may be required by regulatory authorities to execute clinical trials or commercialize our product;</w:t>
      </w:r>
    </w:p>
    <w:p>
      <w:pPr>
        <w:ind w:left="820" w:hanging="320"/>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approved;</w:t>
      </w:r>
    </w:p>
    <w:p>
      <w:pPr>
        <w:spacing w:after="0" w:line="9" w:lineRule="exact"/>
        <w:rPr>
          <w:rFonts w:ascii="Times New Roman" w:cs="Times New Roman" w:eastAsia="Times New Roman" w:hAnsi="Times New Roman"/>
          <w:sz w:val="18"/>
          <w:szCs w:val="18"/>
          <w:color w:val="auto"/>
        </w:rPr>
      </w:pPr>
    </w:p>
    <w:p>
      <w:pPr>
        <w:ind w:left="820" w:right="100" w:hanging="320"/>
        <w:spacing w:after="0" w:line="250" w:lineRule="auto"/>
        <w:tabs>
          <w:tab w:leader="none" w:pos="8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clinical and commercial product successfully manufactured consistent with FDA and European Medicines Agency, or EMA, regulations;</w:t>
      </w:r>
    </w:p>
    <w:p>
      <w:pPr>
        <w:ind w:left="820" w:right="220" w:hanging="320"/>
        <w:spacing w:after="0" w:line="250" w:lineRule="auto"/>
        <w:tabs>
          <w:tab w:leader="none" w:pos="8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ind w:left="820" w:right="620" w:hanging="320"/>
        <w:spacing w:after="0" w:line="250" w:lineRule="auto"/>
        <w:tabs>
          <w:tab w:leader="none" w:pos="8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costs associated with commercializing our products, if approved, including the cost and timing of building our marketing and sales capabilities;</w:t>
      </w:r>
    </w:p>
    <w:p>
      <w:pPr>
        <w:ind w:left="820" w:hanging="320"/>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building, staffing and validating our own manufacturing facility in the U.S.;</w:t>
      </w:r>
    </w:p>
    <w:p>
      <w:pPr>
        <w:spacing w:after="0" w:line="9" w:lineRule="exact"/>
        <w:rPr>
          <w:rFonts w:ascii="Times New Roman" w:cs="Times New Roman" w:eastAsia="Times New Roman" w:hAnsi="Times New Roman"/>
          <w:sz w:val="18"/>
          <w:szCs w:val="18"/>
          <w:color w:val="auto"/>
        </w:rPr>
      </w:pPr>
    </w:p>
    <w:p>
      <w:pPr>
        <w:ind w:left="820" w:right="700" w:hanging="320"/>
        <w:spacing w:after="0" w:line="250" w:lineRule="auto"/>
        <w:tabs>
          <w:tab w:leader="none" w:pos="8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and timing of our current and any potential future collaborations, licensing or other arrangements that we have established or may establish;</w:t>
      </w:r>
    </w:p>
    <w:p>
      <w:pPr>
        <w:ind w:left="820" w:hanging="320"/>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requirements of any future acquisitions or the development of other product candidates;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operating as a public company;</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 necessary to respond to technological, regulatory, political and market developments;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filing, prosecuting, defending and enforcing any patent claims and other intellectual property rights; and</w:t>
      </w:r>
    </w:p>
    <w:p>
      <w:pPr>
        <w:spacing w:after="0" w:line="9" w:lineRule="exact"/>
        <w:rPr>
          <w:rFonts w:ascii="Times New Roman" w:cs="Times New Roman" w:eastAsia="Times New Roman" w:hAnsi="Times New Roman"/>
          <w:sz w:val="18"/>
          <w:szCs w:val="18"/>
          <w:color w:val="auto"/>
        </w:rPr>
      </w:pPr>
    </w:p>
    <w:p>
      <w:pPr>
        <w:ind w:left="820" w:right="280" w:hanging="320"/>
        <w:spacing w:after="0" w:line="260" w:lineRule="auto"/>
        <w:tabs>
          <w:tab w:leader="none" w:pos="8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potential business or product acquisitions, strategic collaborations, licensing agreements or other arrangements that we may establish.</w:t>
      </w:r>
    </w:p>
    <w:p>
      <w:pPr>
        <w:spacing w:after="0" w:line="14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6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31" w:lineRule="exact"/>
        <w:rPr>
          <w:sz w:val="20"/>
          <w:szCs w:val="20"/>
          <w:color w:val="auto"/>
        </w:rPr>
      </w:pPr>
    </w:p>
    <w:p>
      <w:pPr>
        <w:ind w:right="14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Subject to various spending levels approved by our Board of Directors, our management will have broad discretion in the use of the net proceeds from our capital raises, including our June 2020, October 2018 and January 2018 public offerings and the proceeds from sales pursuant to our “at-the-market” sales agreement with Jefferies LLC, and may not use them effectively.</w:t>
      </w:r>
    </w:p>
    <w:p>
      <w:pPr>
        <w:spacing w:after="0" w:line="14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management will have discretion in the application of the net proceeds from our capital raises, including our June 2020, October 2018, and January 2018 public offerings, and the proceeds from sales pursuant to the Sales Agreement with Jefferies LLC, which provides for the sale of up to $350.0 million of our common stock from time to time,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 bearing cash accounts, short-term, investment-grade, interest-bearing instruments and U.S. government securities. These temporary investments are not likely to yield a significant return.</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18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net operating loss carryforwards and any future research and development tax credits may expire and not be used. As of December 31, 2021, we had U.S. federal net operating loss carryforwards of approximately $945.3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6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Prior to December 31, 2020, we have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44" w:lineRule="exact"/>
        <w:rPr>
          <w:sz w:val="20"/>
          <w:szCs w:val="20"/>
          <w:color w:val="auto"/>
        </w:rPr>
      </w:pPr>
    </w:p>
    <w:p>
      <w:pPr>
        <w:ind w:right="5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1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In recent years, various tax legislations were signed into law. On December 22, 2017, the Tax Cuts and Jobs Act of 2017, or the Tax Act, was signed into law, making significant changes to the Internal Revenue Code.</w:t>
      </w:r>
    </w:p>
    <w:p>
      <w:pPr>
        <w:spacing w:after="0" w:line="13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On June 15, 2020, Assembly Bill 85 was passed in California which suspended the use of net operating losses and limited the use of credits for certain corporations. Changes to existing federal and state tax laws could adversely impact our business, results of operations and financial position as the impact of recent tax legislation is uncertain.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 xml:space="preserve">In addition, U.S. federal, state and local tax laws are extremely complex and subject to various interpretations. Although we believe that our tax estimates and positions are reasonable, including our decision to build our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47"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32"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Our potential products,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4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No adoptive cell therapy using TIL has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initiated the process for FDA approval for one adoptive cell therapy product. We will not be able to commercialize any of our potential products until we obtain FDA approval, and so any delay in obtaining, or inability to obtain, FDA approval would harm our business.</w:t>
      </w:r>
    </w:p>
    <w:p>
      <w:pPr>
        <w:spacing w:after="0" w:line="14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license new technology from third parties.</w:t>
      </w:r>
    </w:p>
    <w:p>
      <w:pPr>
        <w:spacing w:after="0" w:line="18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18"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61"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1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Under our license agreements with the NIH, Moffitt, Novartis, and Cellectis for our adoptive cell therapy and immunotherapy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44" w:lineRule="exact"/>
        <w:rPr>
          <w:sz w:val="20"/>
          <w:szCs w:val="20"/>
          <w:color w:val="auto"/>
        </w:rPr>
      </w:pPr>
    </w:p>
    <w:p>
      <w:pPr>
        <w:jc w:val="both"/>
        <w:ind w:right="3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4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5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43"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4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spacing w:after="0" w:line="149" w:lineRule="exact"/>
        <w:rPr>
          <w:sz w:val="20"/>
          <w:szCs w:val="20"/>
          <w:color w:val="auto"/>
        </w:rPr>
      </w:pPr>
    </w:p>
    <w:p>
      <w:pPr>
        <w:ind w:right="1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18"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we and our third-party manufacturers will have to continually adhere to current cGMP regulations enforced by the FDA through its facilities inspection program. If our facilities or any of the facilities of these manufacturers cannot demonstrate adequate assurance of compliance with FDA standards during a pre-approval inspection, the FDA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50" w:lineRule="exact"/>
        <w:rPr>
          <w:sz w:val="20"/>
          <w:szCs w:val="20"/>
          <w:color w:val="auto"/>
        </w:rPr>
      </w:pPr>
    </w:p>
    <w:p>
      <w:pPr>
        <w:ind w:right="8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32"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8" w:lineRule="exact"/>
        <w:rPr>
          <w:sz w:val="20"/>
          <w:szCs w:val="20"/>
          <w:color w:val="auto"/>
        </w:rPr>
      </w:pPr>
    </w:p>
    <w:p>
      <w:pPr>
        <w:ind w:left="820" w:hanging="320"/>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7"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sites and potential termination of clinical trial sites or entire clinical programs;</w:t>
      </w:r>
    </w:p>
    <w:p>
      <w:pPr>
        <w:spacing w:after="0" w:line="9" w:lineRule="exact"/>
        <w:rPr>
          <w:rFonts w:ascii="Times New Roman" w:cs="Times New Roman" w:eastAsia="Times New Roman" w:hAnsi="Times New Roman"/>
          <w:sz w:val="18"/>
          <w:szCs w:val="18"/>
          <w:color w:val="auto"/>
        </w:rPr>
      </w:pPr>
    </w:p>
    <w:p>
      <w:pPr>
        <w:ind w:left="820" w:right="580" w:hanging="320"/>
        <w:spacing w:after="0" w:line="250" w:lineRule="auto"/>
        <w:tabs>
          <w:tab w:leader="none" w:pos="8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 refusal to approve marketing applications or supplements, and withdrawal or limitation of product approvals;</w:t>
      </w:r>
    </w:p>
    <w:p>
      <w:pPr>
        <w:ind w:left="820" w:hanging="320"/>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price of our stock and overall value of our company;</w:t>
      </w:r>
    </w:p>
    <w:p>
      <w:pPr>
        <w:spacing w:after="0" w:line="27"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our available insurance coverage and our capital resources; or</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166" w:lineRule="exact"/>
        <w:rPr>
          <w:sz w:val="20"/>
          <w:szCs w:val="20"/>
          <w:color w:val="auto"/>
        </w:rPr>
      </w:pPr>
    </w:p>
    <w:p>
      <w:pPr>
        <w:ind w:right="120" w:firstLine="492"/>
        <w:spacing w:after="0" w:line="255"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from non-profit institutions.*</w:t>
      </w:r>
    </w:p>
    <w:p>
      <w:pPr>
        <w:spacing w:after="0" w:line="189" w:lineRule="exact"/>
        <w:rPr>
          <w:sz w:val="20"/>
          <w:szCs w:val="20"/>
          <w:color w:val="auto"/>
        </w:rPr>
      </w:pPr>
    </w:p>
    <w:p>
      <w:pPr>
        <w:ind w:right="80" w:firstLine="492"/>
        <w:spacing w:after="0" w:line="258" w:lineRule="auto"/>
        <w:rPr>
          <w:sz w:val="20"/>
          <w:szCs w:val="20"/>
          <w:color w:val="auto"/>
        </w:rPr>
      </w:pPr>
      <w:r>
        <w:rPr>
          <w:rFonts w:ascii="Times New Roman" w:cs="Times New Roman" w:eastAsia="Times New Roman" w:hAnsi="Times New Roman"/>
          <w:sz w:val="18"/>
          <w:szCs w:val="18"/>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43" w:lineRule="exact"/>
        <w:rPr>
          <w:sz w:val="20"/>
          <w:szCs w:val="20"/>
          <w:color w:val="auto"/>
        </w:rPr>
      </w:pP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safer, more convenient or more effective immunotherapies and other therapeutic products;</w:t>
      </w:r>
    </w:p>
    <w:p>
      <w:pPr>
        <w:spacing w:after="0" w:line="27"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therapies that are less expensive or have better reimbursement from private or public payors;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the market more rapidly, reducing the potential sales of our products; or</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proprietary positions.</w:t>
      </w:r>
    </w:p>
    <w:p>
      <w:pPr>
        <w:spacing w:after="0" w:line="180"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Agenus, BeyondSpring, Bristol-Myers Squibb, Merck, Nektar Therapeutics, Idera Pharmaceuticals, Checkmate Pharmaceuticals, Daiichi Sankyo, Eisai, Exelixis, Mirati Therapeutics, OncoSec Medical, Replimune, Regeneron Pharmaceuticals, Seagen, and Genmab. We also may compete with other TIL therapies in development by companies such as Instil Bio, Achilles Therapeutics, KSQ Therapeutics, Obsidian Therapeutics, Immatics, TILT Biotherapeutics, WindMIL Therapeutics, GRIT Biotechnology, Lyell Immunopharma, Cellular Biomedicine Group, and others. We also may compete with therapies based on genetically engineered T cell receptors rendered reactive against tumor-associated antigens prior to their administration to patients, as well as TIL therapies that are designed to be specific to neoantigens, including products developed by Adaptimmune Therapeutics, Alaunos Therapeutics, Intima Bioscience, Marker Therapeutics, Turnstone Biologics, Neogene,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Pharmaceuticals, Roche, and BioNTech. We may also face competition from novel interleukin-2 (IL-2) treatments in development by Werewolf, Nektar Therapeutics, Merck, Sanofi, Neoleukin Therapeutics and others.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4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Universities and public and private research institutions in the U.S. and Europe are also potential competitors. For example, a Phase 3 M14TIL trial comparing TIL to standard ipilimumab in patients with metastatic melanoma is currently being conducted in Europe by the Netherlands Cancer Institute, the Copenhagen County Herlev University Hospital, and the University of Manchester. Results from the M14TIL trial were presented at the European Society for Medical Oncology Congress in September 2022.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492"/>
        <w:spacing w:after="0" w:line="254" w:lineRule="auto"/>
        <w:rPr>
          <w:sz w:val="20"/>
          <w:szCs w:val="20"/>
          <w:color w:val="auto"/>
        </w:rPr>
      </w:pPr>
      <w:r>
        <w:rPr>
          <w:rFonts w:ascii="Times New Roman" w:cs="Times New Roman" w:eastAsia="Times New Roman" w:hAnsi="Times New Roman"/>
          <w:sz w:val="18"/>
          <w:szCs w:val="18"/>
          <w:color w:val="auto"/>
        </w:rPr>
        <w:t>Our lead product candidate lifileucel is a therapy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faces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51" w:lineRule="exact"/>
        <w:rPr>
          <w:sz w:val="20"/>
          <w:szCs w:val="20"/>
          <w:color w:val="auto"/>
        </w:rPr>
      </w:pPr>
    </w:p>
    <w:p>
      <w:pPr>
        <w:ind w:right="80" w:firstLine="492"/>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2" w:lineRule="exact"/>
        <w:rPr>
          <w:sz w:val="20"/>
          <w:szCs w:val="20"/>
          <w:color w:val="auto"/>
        </w:rPr>
      </w:pPr>
    </w:p>
    <w:p>
      <w:pPr>
        <w:ind w:right="5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118" w:lineRule="exact"/>
        <w:rPr>
          <w:sz w:val="20"/>
          <w:szCs w:val="20"/>
          <w:color w:val="auto"/>
        </w:rPr>
      </w:pPr>
    </w:p>
    <w:p>
      <w:pPr>
        <w:jc w:val="both"/>
        <w:ind w:right="80" w:firstLine="492"/>
        <w:spacing w:after="0" w:line="272" w:lineRule="auto"/>
        <w:rPr>
          <w:sz w:val="20"/>
          <w:szCs w:val="20"/>
          <w:color w:val="auto"/>
        </w:rPr>
      </w:pPr>
      <w:r>
        <w:rPr>
          <w:rFonts w:ascii="Times New Roman" w:cs="Times New Roman" w:eastAsia="Times New Roman" w:hAnsi="Times New Roman"/>
          <w:sz w:val="17"/>
          <w:szCs w:val="17"/>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48"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Cellectis, Yale University, and Novartis.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63" w:lineRule="exact"/>
        <w:rPr>
          <w:sz w:val="20"/>
          <w:szCs w:val="20"/>
          <w:color w:val="auto"/>
        </w:rPr>
      </w:pPr>
    </w:p>
    <w:p>
      <w:pPr>
        <w:ind w:right="100" w:firstLine="492"/>
        <w:spacing w:after="0" w:line="261" w:lineRule="auto"/>
        <w:rPr>
          <w:sz w:val="20"/>
          <w:szCs w:val="20"/>
          <w:color w:val="auto"/>
        </w:rPr>
      </w:pPr>
      <w:r>
        <w:rPr>
          <w:rFonts w:ascii="Times New Roman" w:cs="Times New Roman" w:eastAsia="Times New Roman" w:hAnsi="Times New Roman"/>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39" w:lineRule="exact"/>
        <w:rPr>
          <w:sz w:val="20"/>
          <w:szCs w:val="20"/>
          <w:color w:val="auto"/>
        </w:rPr>
      </w:pPr>
    </w:p>
    <w:p>
      <w:pPr>
        <w:ind w:right="280" w:firstLine="492"/>
        <w:spacing w:after="0" w:line="266" w:lineRule="auto"/>
        <w:rPr>
          <w:sz w:val="20"/>
          <w:szCs w:val="20"/>
          <w:color w:val="auto"/>
        </w:rPr>
      </w:pPr>
      <w:r>
        <w:rPr>
          <w:rFonts w:ascii="Times New Roman" w:cs="Times New Roman" w:eastAsia="Times New Roman" w:hAnsi="Times New Roman"/>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35" w:lineRule="exact"/>
        <w:rPr>
          <w:sz w:val="20"/>
          <w:szCs w:val="20"/>
          <w:color w:val="auto"/>
        </w:rPr>
      </w:pPr>
    </w:p>
    <w:p>
      <w:pPr>
        <w:ind w:left="820" w:hanging="320"/>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7" w:lineRule="exact"/>
        <w:rPr>
          <w:rFonts w:ascii="Times New Roman" w:cs="Times New Roman" w:eastAsia="Times New Roman" w:hAnsi="Times New Roman"/>
          <w:sz w:val="18"/>
          <w:szCs w:val="18"/>
          <w:color w:val="auto"/>
        </w:rPr>
      </w:pPr>
    </w:p>
    <w:p>
      <w:pPr>
        <w:ind w:left="820" w:right="60" w:hanging="320"/>
        <w:spacing w:after="0" w:line="253" w:lineRule="auto"/>
        <w:tabs>
          <w:tab w:leader="none" w:pos="8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right="20" w:hanging="320"/>
        <w:spacing w:after="0" w:line="257" w:lineRule="auto"/>
        <w:tabs>
          <w:tab w:leader="none" w:pos="8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9" w:lineRule="exact"/>
        <w:rPr>
          <w:rFonts w:ascii="Times New Roman" w:cs="Times New Roman" w:eastAsia="Times New Roman" w:hAnsi="Times New Roman"/>
          <w:sz w:val="18"/>
          <w:szCs w:val="18"/>
          <w:color w:val="auto"/>
        </w:rPr>
      </w:pPr>
    </w:p>
    <w:p>
      <w:pPr>
        <w:ind w:left="820" w:right="20" w:hanging="320"/>
        <w:spacing w:after="0" w:line="250" w:lineRule="auto"/>
        <w:tabs>
          <w:tab w:leader="none" w:pos="8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ind w:left="820" w:hanging="320"/>
        <w:spacing w:after="0" w:line="250" w:lineRule="auto"/>
        <w:tabs>
          <w:tab w:leader="none" w:pos="8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Times New Roman" w:cs="Times New Roman" w:eastAsia="Times New Roman" w:hAnsi="Times New Roman"/>
          <w:sz w:val="18"/>
          <w:szCs w:val="18"/>
          <w:color w:val="auto"/>
        </w:rPr>
      </w:pPr>
    </w:p>
    <w:p>
      <w:pPr>
        <w:ind w:left="820" w:right="140" w:hanging="320"/>
        <w:spacing w:after="0" w:line="250" w:lineRule="auto"/>
        <w:tabs>
          <w:tab w:leader="none" w:pos="8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Times New Roman" w:cs="Times New Roman" w:eastAsia="Times New Roman" w:hAnsi="Times New Roman"/>
          <w:sz w:val="18"/>
          <w:szCs w:val="18"/>
          <w:color w:val="auto"/>
        </w:rPr>
      </w:pPr>
    </w:p>
    <w:p>
      <w:pPr>
        <w:jc w:val="both"/>
        <w:ind w:left="820" w:right="600" w:hanging="320"/>
        <w:spacing w:after="0" w:line="265" w:lineRule="auto"/>
        <w:tabs>
          <w:tab w:leader="none" w:pos="81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collaborator with marketing and distribution rights to one or more of our product candidates that achieve regulatory approval may not commit sufficient resources to the marketing and distribution of such product candidate or product;</w:t>
      </w:r>
    </w:p>
    <w:p>
      <w:pPr>
        <w:ind w:left="820" w:right="160" w:hanging="320"/>
        <w:spacing w:after="0" w:line="250" w:lineRule="auto"/>
        <w:tabs>
          <w:tab w:leader="none" w:pos="8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Times New Roman" w:cs="Times New Roman" w:eastAsia="Times New Roman" w:hAnsi="Times New Roman"/>
          <w:sz w:val="18"/>
          <w:szCs w:val="18"/>
          <w:color w:val="auto"/>
        </w:rPr>
      </w:pPr>
    </w:p>
    <w:p>
      <w:pPr>
        <w:ind w:left="820" w:right="140" w:hanging="320"/>
        <w:spacing w:after="0" w:line="250" w:lineRule="auto"/>
        <w:tabs>
          <w:tab w:leader="none" w:pos="8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Times New Roman" w:cs="Times New Roman" w:eastAsia="Times New Roman" w:hAnsi="Times New Roman"/>
          <w:sz w:val="18"/>
          <w:szCs w:val="18"/>
          <w:color w:val="auto"/>
        </w:rPr>
      </w:pPr>
    </w:p>
    <w:p>
      <w:pPr>
        <w:ind w:left="820" w:right="320" w:hanging="320"/>
        <w:spacing w:after="0" w:line="250" w:lineRule="auto"/>
        <w:tabs>
          <w:tab w:leader="none" w:pos="8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ind w:left="820" w:right="80" w:hanging="320"/>
        <w:spacing w:after="0" w:line="250" w:lineRule="auto"/>
        <w:tabs>
          <w:tab w:leader="none" w:pos="8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20" w:hanging="320"/>
        <w:spacing w:after="0" w:line="260" w:lineRule="auto"/>
        <w:tabs>
          <w:tab w:leader="none" w:pos="8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41"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56" w:lineRule="exact"/>
        <w:rPr>
          <w:sz w:val="20"/>
          <w:szCs w:val="20"/>
          <w:color w:val="auto"/>
        </w:rPr>
      </w:pPr>
    </w:p>
    <w:p>
      <w:pPr>
        <w:ind w:right="80" w:firstLine="492"/>
        <w:spacing w:after="0" w:line="261" w:lineRule="auto"/>
        <w:rPr>
          <w:sz w:val="20"/>
          <w:szCs w:val="20"/>
          <w:color w:val="auto"/>
        </w:rPr>
      </w:pPr>
      <w:r>
        <w:rPr>
          <w:rFonts w:ascii="Times New Roman" w:cs="Times New Roman" w:eastAsia="Times New Roman" w:hAnsi="Times New Roman"/>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39" w:lineRule="exact"/>
        <w:rPr>
          <w:sz w:val="20"/>
          <w:szCs w:val="20"/>
          <w:color w:val="auto"/>
        </w:rPr>
      </w:pPr>
    </w:p>
    <w:p>
      <w:pPr>
        <w:ind w:right="60" w:firstLine="492"/>
        <w:spacing w:after="0" w:line="256" w:lineRule="auto"/>
        <w:rPr>
          <w:sz w:val="20"/>
          <w:szCs w:val="20"/>
          <w:color w:val="auto"/>
        </w:rPr>
      </w:pPr>
      <w:r>
        <w:rPr>
          <w:rFonts w:ascii="Times New Roman" w:cs="Times New Roman" w:eastAsia="Times New Roman" w:hAnsi="Times New Roman"/>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47" w:lineRule="exact"/>
        <w:rPr>
          <w:sz w:val="20"/>
          <w:szCs w:val="20"/>
          <w:color w:val="auto"/>
        </w:rPr>
      </w:pPr>
    </w:p>
    <w:p>
      <w:pPr>
        <w:ind w:firstLine="492"/>
        <w:spacing w:after="0" w:line="261" w:lineRule="auto"/>
        <w:rPr>
          <w:sz w:val="20"/>
          <w:szCs w:val="20"/>
          <w:color w:val="auto"/>
        </w:rPr>
      </w:pPr>
      <w:r>
        <w:rPr>
          <w:rFonts w:ascii="Times New Roman" w:cs="Times New Roman" w:eastAsia="Times New Roman" w:hAnsi="Times New Roman"/>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18"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We are currently developing lifileucel as part of a regimen which uses IL-2. We and our collaborators are also studying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61" w:lineRule="exact"/>
        <w:rPr>
          <w:sz w:val="20"/>
          <w:szCs w:val="20"/>
          <w:color w:val="auto"/>
        </w:rPr>
      </w:pPr>
    </w:p>
    <w:p>
      <w:pPr>
        <w:ind w:right="42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34" w:lineRule="exact"/>
        <w:rPr>
          <w:sz w:val="20"/>
          <w:szCs w:val="20"/>
          <w:color w:val="auto"/>
        </w:rPr>
      </w:pPr>
    </w:p>
    <w:p>
      <w:pPr>
        <w:ind w:right="80" w:firstLine="492"/>
        <w:spacing w:after="0" w:line="254" w:lineRule="auto"/>
        <w:rPr>
          <w:sz w:val="20"/>
          <w:szCs w:val="20"/>
          <w:color w:val="auto"/>
        </w:rPr>
      </w:pPr>
      <w:r>
        <w:rPr>
          <w:rFonts w:ascii="Times New Roman" w:cs="Times New Roman" w:eastAsia="Times New Roman" w:hAnsi="Times New Roman"/>
          <w:sz w:val="18"/>
          <w:szCs w:val="18"/>
          <w:color w:val="auto"/>
        </w:rPr>
        <w:t>We were granted Fast Track designation by the FDA for lifileucel in metastatic melanoma and metastatic cervical cancer, as well as for lifileucel in combination with pembrolizumab in advanced melanoma. We were granted BTD, for lifileucel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44" w:lineRule="exact"/>
        <w:rPr>
          <w:sz w:val="20"/>
          <w:szCs w:val="20"/>
          <w:color w:val="auto"/>
        </w:rPr>
      </w:pPr>
    </w:p>
    <w:p>
      <w:pPr>
        <w:jc w:val="both"/>
        <w:ind w:right="6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48"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We received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does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54" w:lineRule="exact"/>
        <w:rPr>
          <w:sz w:val="20"/>
          <w:szCs w:val="20"/>
          <w:color w:val="auto"/>
        </w:rPr>
      </w:pPr>
    </w:p>
    <w:p>
      <w:pPr>
        <w:jc w:val="both"/>
        <w:ind w:right="220" w:firstLine="492"/>
        <w:spacing w:after="0" w:line="266" w:lineRule="auto"/>
        <w:rPr>
          <w:sz w:val="20"/>
          <w:szCs w:val="20"/>
          <w:color w:val="auto"/>
        </w:rPr>
      </w:pPr>
      <w:r>
        <w:rPr>
          <w:rFonts w:ascii="Times New Roman" w:cs="Times New Roman" w:eastAsia="Times New Roman" w:hAnsi="Times New Roman"/>
          <w:sz w:val="18"/>
          <w:szCs w:val="18"/>
          <w:color w:val="auto"/>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w:t>
      </w:r>
    </w:p>
    <w:p>
      <w:pPr>
        <w:spacing w:after="0" w:line="135" w:lineRule="exact"/>
        <w:rPr>
          <w:sz w:val="20"/>
          <w:szCs w:val="20"/>
          <w:color w:val="auto"/>
        </w:rPr>
      </w:pPr>
    </w:p>
    <w:p>
      <w:pPr>
        <w:ind w:right="120" w:firstLine="492"/>
        <w:spacing w:after="0" w:line="258" w:lineRule="auto"/>
        <w:rPr>
          <w:sz w:val="20"/>
          <w:szCs w:val="20"/>
          <w:color w:val="auto"/>
        </w:rPr>
      </w:pPr>
      <w:r>
        <w:rPr>
          <w:rFonts w:ascii="Times New Roman" w:cs="Times New Roman" w:eastAsia="Times New Roman" w:hAnsi="Times New Roman"/>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34"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As a condition of biologic licensing, the FDA is authorized to require that sponsors of approved BLAs implement various post-market requirements, including REMS and Phase 4 studies. For example, when the FDA approved Novartis’ Kymriah in August 2017, a CAR-T cell therapy for the treatment of patients up to 25 years of age with B-cell precursor acute lymphoblastic leukemia, or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61" w:lineRule="exact"/>
        <w:rPr>
          <w:sz w:val="20"/>
          <w:szCs w:val="20"/>
          <w:color w:val="auto"/>
        </w:rPr>
      </w:pPr>
    </w:p>
    <w:p>
      <w:pPr>
        <w:ind w:right="18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118" w:lineRule="exact"/>
        <w:rPr>
          <w:sz w:val="20"/>
          <w:szCs w:val="20"/>
          <w:color w:val="auto"/>
        </w:rPr>
      </w:pPr>
    </w:p>
    <w:p>
      <w:pPr>
        <w:ind w:right="60" w:firstLine="492"/>
        <w:spacing w:after="0" w:line="254" w:lineRule="auto"/>
        <w:rPr>
          <w:sz w:val="20"/>
          <w:szCs w:val="20"/>
          <w:color w:val="auto"/>
        </w:rPr>
      </w:pPr>
      <w:r>
        <w:rPr>
          <w:rFonts w:ascii="Times New Roman" w:cs="Times New Roman" w:eastAsia="Times New Roman" w:hAnsi="Times New Roman"/>
          <w:sz w:val="18"/>
          <w:szCs w:val="18"/>
          <w:color w:val="auto"/>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51" w:lineRule="exact"/>
        <w:rPr>
          <w:sz w:val="20"/>
          <w:szCs w:val="20"/>
          <w:color w:val="auto"/>
        </w:rPr>
      </w:pPr>
    </w:p>
    <w:p>
      <w:pPr>
        <w:ind w:right="60" w:firstLine="492"/>
        <w:spacing w:after="0" w:line="254" w:lineRule="auto"/>
        <w:rPr>
          <w:sz w:val="20"/>
          <w:szCs w:val="20"/>
          <w:color w:val="auto"/>
        </w:rPr>
      </w:pPr>
      <w:r>
        <w:rPr>
          <w:rFonts w:ascii="Times New Roman" w:cs="Times New Roman" w:eastAsia="Times New Roman" w:hAnsi="Times New Roman"/>
          <w:sz w:val="18"/>
          <w:szCs w:val="18"/>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65" w:lineRule="exact"/>
        <w:rPr>
          <w:sz w:val="20"/>
          <w:szCs w:val="20"/>
          <w:color w:val="auto"/>
        </w:rPr>
      </w:pPr>
    </w:p>
    <w:p>
      <w:pPr>
        <w:ind w:left="820" w:right="340" w:hanging="320"/>
        <w:spacing w:after="0" w:line="261" w:lineRule="auto"/>
        <w:tabs>
          <w:tab w:leader="none" w:pos="8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COVID-19 pandemic continues or reoccurs it may negatively impact our ability to establish commercial operations, educate and interact with healthcare professionals, and successfully launch our product on a timely basis;</w:t>
      </w:r>
    </w:p>
    <w:p>
      <w:pPr>
        <w:ind w:left="820" w:right="320" w:hanging="320"/>
        <w:spacing w:after="0" w:line="250" w:lineRule="auto"/>
        <w:tabs>
          <w:tab w:leader="none" w:pos="8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our current or future product candidates;</w:t>
      </w:r>
    </w:p>
    <w:p>
      <w:pPr>
        <w:ind w:left="820" w:hanging="320"/>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9" w:lineRule="exact"/>
        <w:rPr>
          <w:rFonts w:ascii="Times New Roman" w:cs="Times New Roman" w:eastAsia="Times New Roman" w:hAnsi="Times New Roman"/>
          <w:sz w:val="18"/>
          <w:szCs w:val="18"/>
          <w:color w:val="auto"/>
        </w:rPr>
      </w:pPr>
    </w:p>
    <w:p>
      <w:pPr>
        <w:ind w:left="820" w:right="260" w:hanging="320"/>
        <w:spacing w:after="0" w:line="250" w:lineRule="auto"/>
        <w:tabs>
          <w:tab w:leader="none" w:pos="8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time associated with the initial and ongoing training of sales and marketing personnel on legal and regulatory compliance matters and monitoring their actions;</w:t>
      </w:r>
    </w:p>
    <w:p>
      <w:pPr>
        <w:ind w:left="820" w:hanging="320"/>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coverage and reimbursement by government and private health plans;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claims that we may make for the products;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9" w:lineRule="exact"/>
        <w:rPr>
          <w:rFonts w:ascii="Times New Roman" w:cs="Times New Roman" w:eastAsia="Times New Roman" w:hAnsi="Times New Roman"/>
          <w:sz w:val="18"/>
          <w:szCs w:val="18"/>
          <w:color w:val="auto"/>
        </w:rPr>
      </w:pPr>
    </w:p>
    <w:p>
      <w:pPr>
        <w:ind w:left="820" w:right="320" w:hanging="320"/>
        <w:spacing w:after="0" w:line="250" w:lineRule="auto"/>
        <w:tabs>
          <w:tab w:leader="none" w:pos="8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ind w:left="820" w:hanging="320"/>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9" w:lineRule="exact"/>
        <w:rPr>
          <w:rFonts w:ascii="Times New Roman" w:cs="Times New Roman" w:eastAsia="Times New Roman" w:hAnsi="Times New Roman"/>
          <w:sz w:val="18"/>
          <w:szCs w:val="18"/>
          <w:color w:val="auto"/>
        </w:rPr>
      </w:pPr>
    </w:p>
    <w:p>
      <w:pPr>
        <w:ind w:left="820" w:right="60" w:hanging="320"/>
        <w:spacing w:after="0" w:line="250" w:lineRule="auto"/>
        <w:tabs>
          <w:tab w:leader="none" w:pos="8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ind w:left="820" w:right="560" w:hanging="320"/>
        <w:spacing w:after="0" w:line="260" w:lineRule="auto"/>
        <w:tabs>
          <w:tab w:leader="none" w:pos="8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ectPr>
          <w:pgSz w:w="11900" w:h="16838" w:orient="portrait"/>
          <w:cols w:equalWidth="0" w:num="1">
            <w:col w:w="9920"/>
          </w:cols>
          <w:pgMar w:left="980" w:top="661"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8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do not achieve broad market acceptance, the revenues that we generate from their sales will be limited.</w:t>
      </w:r>
    </w:p>
    <w:p>
      <w:pPr>
        <w:spacing w:after="0" w:line="118"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62" w:lineRule="exact"/>
        <w:rPr>
          <w:sz w:val="20"/>
          <w:szCs w:val="20"/>
          <w:color w:val="auto"/>
        </w:rPr>
      </w:pPr>
    </w:p>
    <w:p>
      <w:pPr>
        <w:ind w:right="40" w:firstLine="492"/>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39" w:lineRule="exact"/>
        <w:rPr>
          <w:sz w:val="20"/>
          <w:szCs w:val="20"/>
          <w:color w:val="auto"/>
        </w:rPr>
      </w:pPr>
    </w:p>
    <w:p>
      <w:pPr>
        <w:ind w:left="820" w:hanging="32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 candidates;</w:t>
      </w:r>
    </w:p>
    <w:p>
      <w:pPr>
        <w:spacing w:after="0" w:line="27"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 candidates;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9" w:lineRule="exact"/>
        <w:rPr>
          <w:rFonts w:ascii="Times New Roman" w:cs="Times New Roman" w:eastAsia="Times New Roman" w:hAnsi="Times New Roman"/>
          <w:sz w:val="18"/>
          <w:szCs w:val="18"/>
          <w:color w:val="auto"/>
        </w:rPr>
      </w:pPr>
    </w:p>
    <w:p>
      <w:pPr>
        <w:ind w:left="820" w:right="640" w:hanging="320"/>
        <w:spacing w:after="0" w:line="250" w:lineRule="auto"/>
        <w:tabs>
          <w:tab w:leader="none" w:pos="8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approved product’s FDA-required labeling, including potential limitations or warnings for such products that may be more restrictive than other competitive products;</w:t>
      </w:r>
    </w:p>
    <w:p>
      <w:pPr>
        <w:ind w:left="820" w:hanging="32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difficulty of administration of such product candidates;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9" w:lineRule="exact"/>
        <w:rPr>
          <w:rFonts w:ascii="Times New Roman" w:cs="Times New Roman" w:eastAsia="Times New Roman" w:hAnsi="Times New Roman"/>
          <w:sz w:val="18"/>
          <w:szCs w:val="18"/>
          <w:color w:val="auto"/>
        </w:rPr>
      </w:pPr>
    </w:p>
    <w:p>
      <w:pPr>
        <w:ind w:left="820" w:right="320" w:hanging="320"/>
        <w:spacing w:after="0" w:line="250" w:lineRule="auto"/>
        <w:tabs>
          <w:tab w:leader="none" w:pos="8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9" w:lineRule="exact"/>
        <w:rPr>
          <w:rFonts w:ascii="Times New Roman" w:cs="Times New Roman" w:eastAsia="Times New Roman" w:hAnsi="Times New Roman"/>
          <w:sz w:val="18"/>
          <w:szCs w:val="18"/>
          <w:color w:val="auto"/>
        </w:rPr>
      </w:pPr>
    </w:p>
    <w:p>
      <w:pPr>
        <w:ind w:left="820" w:right="240" w:hanging="320"/>
        <w:spacing w:after="0" w:line="250" w:lineRule="auto"/>
        <w:tabs>
          <w:tab w:leader="none" w:pos="8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ind w:left="820" w:hanging="320"/>
        <w:spacing w:after="0" w:line="250" w:lineRule="auto"/>
        <w:tabs>
          <w:tab w:leader="none" w:pos="8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candidates for sale at competitive prices;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6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sooner than anticipated.</w:t>
      </w:r>
    </w:p>
    <w:p>
      <w:pPr>
        <w:spacing w:after="0" w:line="18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enactment of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45" w:lineRule="exact"/>
        <w:rPr>
          <w:sz w:val="20"/>
          <w:szCs w:val="20"/>
          <w:color w:val="auto"/>
        </w:rPr>
      </w:pPr>
    </w:p>
    <w:p>
      <w:pPr>
        <w:ind w:right="2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3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44" w:lineRule="exact"/>
        <w:rPr>
          <w:sz w:val="20"/>
          <w:szCs w:val="20"/>
          <w:color w:val="auto"/>
        </w:rPr>
      </w:pPr>
    </w:p>
    <w:p>
      <w:pPr>
        <w:ind w:right="1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18"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information technology, systems, infrastructure and data.*</w:t>
      </w:r>
    </w:p>
    <w:p>
      <w:pPr>
        <w:spacing w:after="0" w:line="189" w:lineRule="exact"/>
        <w:rPr>
          <w:sz w:val="20"/>
          <w:szCs w:val="20"/>
          <w:color w:val="auto"/>
        </w:rPr>
      </w:pPr>
    </w:p>
    <w:p>
      <w:pPr>
        <w:ind w:right="120" w:firstLine="486"/>
        <w:spacing w:after="0" w:line="252" w:lineRule="auto"/>
        <w:rPr>
          <w:sz w:val="20"/>
          <w:szCs w:val="20"/>
          <w:color w:val="auto"/>
        </w:rPr>
      </w:pPr>
      <w:r>
        <w:rPr>
          <w:rFonts w:ascii="Times New Roman" w:cs="Times New Roman" w:eastAsia="Times New Roman" w:hAnsi="Times New Roman"/>
          <w:sz w:val="18"/>
          <w:szCs w:val="18"/>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cybersecurity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The Russia-Ukraine conflict may also increase cybersecurity risks on a global basis.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cybersecurity related breaches.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firstLine="49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at our manufacturing facility in Philadelphia, Pennsylvania, and at our clinical trial sites, as well as the business or operations of our other manufacturers, CROs or other third parties with whom we conduct business.*</w:t>
      </w:r>
    </w:p>
    <w:p>
      <w:pPr>
        <w:spacing w:after="0" w:line="143"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a novel strain of coronavirus (“COVID-19”) was reported to have surfaced in Wuhan, China and has spread to multiple countries, including the U.S. and several European countries. In March 2020, the World Health Organization declared COVID-19 a global pandemic and the U.S. declared the COVID-19 pandemic a national emergency. Similarly, during that time, the State of California declared a state of emergency related to the spread of the COVID-19 pandemic and the health officers of six San Francisco Bay Area counties, including San Mateo County where our headquarters in San Carlos is located, issued shelter-in-place orders.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Similar executive orders have been issued by state and local governments in Pennsylvania, Florida, and elsewhere, and states of emergency have been declared at the state and local level in most jurisdictions throughout the U.S. As recently as April 2022, ports and airports in Shanghai, China have been closed due to another outbreak of COVID-19, resulting in a lockdown of the city and disruption to export and import activities. In the U.S., many of these executive orders in the U.S. have been rescinded, however the Company remains vigilant and continues to monitor the situation closely to determine if additional actions are required.</w:t>
      </w:r>
    </w:p>
    <w:p>
      <w:pPr>
        <w:spacing w:after="0" w:line="168"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 The COVID-19 pandemic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spacing w:after="0" w:line="147"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We continue to monitor the impact, if any, of the COVID-19 pandemic on our current and future operations, including our regulatory filing timelines and strategy as well as our preparation for commercial launch. It is unclear the extent to which the COVID-19 pandemic (including future variants) will impact our business, results of operations, financial condition and our future strategic plans as future developments of the outbreak are highly uncertain and cannot be predicted. New information is constantly emerging concerning the severity of COVID-19 and the actions to contain COVID-19 or treat its impact, among others. As the COVID-19 pandemic continues for an extended period of time, and with travel, face to face interactions, and resources are not allowed or are severely limited, either by us or our contractors, including our CMOs, our regulatory strategy, BLA filing timelines, or commercial launch preparations may be negatively impacted. The COVID-19 pandemic may also impact the FDA and their ability to timely review our regulatory filings and conduct the pre-approval inspections necessary for ultimate approval of BLA. We cannot predict at this time whether and how FDA operations may be impacted at relevant times for our planned regulatory submissions.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18" w:lineRule="exact"/>
        <w:rPr>
          <w:sz w:val="20"/>
          <w:szCs w:val="20"/>
          <w:color w:val="auto"/>
        </w:rPr>
      </w:pPr>
    </w:p>
    <w:p>
      <w:pPr>
        <w:ind w:right="60" w:firstLine="492"/>
        <w:spacing w:after="0" w:line="255" w:lineRule="auto"/>
        <w:rPr>
          <w:sz w:val="20"/>
          <w:szCs w:val="20"/>
          <w:color w:val="auto"/>
        </w:rPr>
      </w:pPr>
      <w:r>
        <w:rPr>
          <w:rFonts w:ascii="Times New Roman" w:cs="Times New Roman" w:eastAsia="Times New Roman" w:hAnsi="Times New Roman"/>
          <w:sz w:val="18"/>
          <w:szCs w:val="18"/>
          <w:color w:val="auto"/>
        </w:rPr>
        <w:t>European Union, or EU, member states and other foreign jurisdictions, including Switzerland, the United Kingdom and Canada,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w:t>
      </w:r>
    </w:p>
    <w:p>
      <w:pPr>
        <w:spacing w:after="0" w:line="162" w:lineRule="exact"/>
        <w:rPr>
          <w:sz w:val="20"/>
          <w:szCs w:val="20"/>
          <w:color w:val="auto"/>
        </w:rPr>
      </w:pPr>
    </w:p>
    <w:p>
      <w:pPr>
        <w:ind w:right="20" w:firstLine="492"/>
        <w:spacing w:after="0" w:line="252"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The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If we fail to comply with the data protection laws in any EU member country or other jurisdiction, the data protection authority of such country or other jurisdiction may, in addition to fines, impose sanctions on us, which may include a prohibition that prevents us from transferring and/or processing personal data of data subjects from such country or other jurisdiction for a duration determined by the sanctioning authority. Our inability to transfer and/or process personal data of data subjects could preclude us from conducting clinical trials of our products in the EU member country or other jurisdiction for the duration of the sanction. Our inability to conduct clinical trials in the EU member country or other jurisdiction for the duration of the sanction may delay and increase the cost of development of our products, with a material adverse effect on our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spacing w:after="0" w:line="150" w:lineRule="exact"/>
        <w:rPr>
          <w:sz w:val="20"/>
          <w:szCs w:val="20"/>
          <w:color w:val="auto"/>
        </w:rPr>
      </w:pPr>
    </w:p>
    <w:p>
      <w:pPr>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18"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the California Consumer Privacy Act, or CCPA, which went into effect January 1, 2020 and was recently amended and expanded by the California Privacy Rights Act, or CPRA, which will take effect on January 1, 2023. The CCPA and CPRA, among other things, create new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165"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Although the law includes limited exceptions, including for certain information collected as part of clinical trials as specified in the law, it may regulate or impact our processing of personal information depending on the context.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grow the size and capabilities of our organization, and we may experience difficulties in managing this growth.</w:t>
      </w:r>
    </w:p>
    <w:p>
      <w:pPr>
        <w:spacing w:after="0" w:line="200" w:lineRule="exact"/>
        <w:rPr>
          <w:sz w:val="20"/>
          <w:szCs w:val="20"/>
          <w:color w:val="auto"/>
        </w:rPr>
      </w:pPr>
    </w:p>
    <w:p>
      <w:pPr>
        <w:ind w:right="80" w:firstLine="492"/>
        <w:spacing w:after="0" w:line="256" w:lineRule="auto"/>
        <w:rPr>
          <w:sz w:val="20"/>
          <w:szCs w:val="20"/>
          <w:color w:val="auto"/>
        </w:rPr>
      </w:pPr>
      <w:r>
        <w:rPr>
          <w:rFonts w:ascii="Times New Roman" w:cs="Times New Roman" w:eastAsia="Times New Roman" w:hAnsi="Times New Roman"/>
          <w:sz w:val="18"/>
          <w:szCs w:val="18"/>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firstLine="492"/>
        <w:spacing w:after="0" w:line="261" w:lineRule="auto"/>
        <w:rPr>
          <w:sz w:val="20"/>
          <w:szCs w:val="20"/>
          <w:color w:val="auto"/>
        </w:rPr>
      </w:pPr>
      <w:r>
        <w:rPr>
          <w:rFonts w:ascii="Times New Roman" w:cs="Times New Roman" w:eastAsia="Times New Roman" w:hAnsi="Times New Roman"/>
          <w:sz w:val="18"/>
          <w:szCs w:val="18"/>
          <w:color w:val="auto"/>
        </w:rPr>
        <w:t>For example, we continue to recruit for a new Chief Executive Officer.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39" w:lineRule="exact"/>
        <w:rPr>
          <w:sz w:val="20"/>
          <w:szCs w:val="20"/>
          <w:color w:val="auto"/>
        </w:rPr>
      </w:pPr>
    </w:p>
    <w:p>
      <w:pPr>
        <w:ind w:left="820" w:hanging="320"/>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7" w:lineRule="exact"/>
        <w:rPr>
          <w:rFonts w:ascii="Times New Roman" w:cs="Times New Roman" w:eastAsia="Times New Roman" w:hAnsi="Times New Roman"/>
          <w:sz w:val="18"/>
          <w:szCs w:val="18"/>
          <w:color w:val="auto"/>
        </w:rPr>
      </w:pPr>
    </w:p>
    <w:p>
      <w:pPr>
        <w:ind w:left="820" w:right="660" w:hanging="320"/>
        <w:spacing w:after="0" w:line="250" w:lineRule="auto"/>
        <w:tabs>
          <w:tab w:leader="none" w:pos="8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0"/>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80" w:lineRule="exact"/>
        <w:rPr>
          <w:sz w:val="20"/>
          <w:szCs w:val="20"/>
          <w:color w:val="auto"/>
        </w:rPr>
      </w:pPr>
    </w:p>
    <w:p>
      <w:pPr>
        <w:ind w:right="40" w:firstLine="492"/>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35"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51" w:lineRule="exact"/>
        <w:rPr>
          <w:sz w:val="20"/>
          <w:szCs w:val="20"/>
          <w:color w:val="auto"/>
        </w:rPr>
      </w:pPr>
    </w:p>
    <w:p>
      <w:pPr>
        <w:ind w:right="240" w:firstLine="492"/>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45" w:lineRule="exact"/>
        <w:rPr>
          <w:sz w:val="20"/>
          <w:szCs w:val="20"/>
          <w:color w:val="auto"/>
        </w:rPr>
      </w:pPr>
    </w:p>
    <w:p>
      <w:pPr>
        <w:ind w:right="9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18" w:lineRule="exact"/>
        <w:rPr>
          <w:sz w:val="20"/>
          <w:szCs w:val="20"/>
          <w:color w:val="auto"/>
        </w:rPr>
      </w:pPr>
    </w:p>
    <w:p>
      <w:pPr>
        <w:ind w:right="360" w:firstLine="492"/>
        <w:spacing w:after="0" w:line="266"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35" w:lineRule="exact"/>
        <w:rPr>
          <w:sz w:val="20"/>
          <w:szCs w:val="20"/>
          <w:color w:val="auto"/>
        </w:rPr>
      </w:pPr>
    </w:p>
    <w:p>
      <w:pPr>
        <w:ind w:left="820" w:hanging="320"/>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7"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9" w:lineRule="exact"/>
        <w:rPr>
          <w:rFonts w:ascii="Times New Roman" w:cs="Times New Roman" w:eastAsia="Times New Roman" w:hAnsi="Times New Roman"/>
          <w:sz w:val="18"/>
          <w:szCs w:val="18"/>
          <w:color w:val="auto"/>
        </w:rPr>
      </w:pPr>
    </w:p>
    <w:p>
      <w:pPr>
        <w:ind w:left="820" w:right="58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or product, including difficulties associated with integrating new personnel;</w:t>
      </w:r>
    </w:p>
    <w:p>
      <w:pPr>
        <w:ind w:left="820" w:right="24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ind w:left="820" w:hanging="320"/>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9" w:lineRule="exact"/>
        <w:rPr>
          <w:rFonts w:ascii="Times New Roman" w:cs="Times New Roman" w:eastAsia="Times New Roman" w:hAnsi="Times New Roman"/>
          <w:sz w:val="18"/>
          <w:szCs w:val="18"/>
          <w:color w:val="auto"/>
        </w:rPr>
      </w:pPr>
    </w:p>
    <w:p>
      <w:pPr>
        <w:ind w:left="820" w:right="36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40" w:hanging="320"/>
        <w:spacing w:after="0" w:line="26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54"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49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an ongoing military conflict between Russia and Ukraine, and record inflation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Our business, financial condition and results of operations could be materially adversely affected by any negative impact on the global economy and capital markets resulting from the conflict in Ukraine, geopolitical tensions or record inflation.*</w:t>
      </w:r>
    </w:p>
    <w:p>
      <w:pPr>
        <w:spacing w:after="0" w:line="140" w:lineRule="exact"/>
        <w:rPr>
          <w:sz w:val="20"/>
          <w:szCs w:val="20"/>
          <w:color w:val="auto"/>
        </w:rPr>
      </w:pPr>
    </w:p>
    <w:p>
      <w:pPr>
        <w:ind w:right="60" w:firstLine="492"/>
        <w:spacing w:after="0" w:line="256"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which has led to record inflation globally. We are continuing to monitor inflation, the situation in Ukraine and global capital markets and assessing the potential impacts on our business.</w:t>
      </w:r>
    </w:p>
    <w:p>
      <w:pPr>
        <w:spacing w:after="0" w:line="160" w:lineRule="exact"/>
        <w:rPr>
          <w:sz w:val="20"/>
          <w:szCs w:val="20"/>
          <w:color w:val="auto"/>
        </w:rPr>
      </w:pPr>
    </w:p>
    <w:p>
      <w:pPr>
        <w:ind w:right="160" w:firstLine="486"/>
        <w:spacing w:after="0" w:line="253" w:lineRule="auto"/>
        <w:rPr>
          <w:sz w:val="20"/>
          <w:szCs w:val="20"/>
          <w:color w:val="auto"/>
        </w:rPr>
      </w:pPr>
      <w:r>
        <w:rPr>
          <w:rFonts w:ascii="Times New Roman" w:cs="Times New Roman" w:eastAsia="Times New Roman" w:hAnsi="Times New Roman"/>
          <w:sz w:val="18"/>
          <w:szCs w:val="18"/>
          <w:color w:val="auto"/>
        </w:rPr>
        <w:t>The global economy has been, and may continue to be, negatively impacted by Russia’s invasion of Ukraine. As a result of Russia's invasion of Ukraine, the U.S., the European Union, the United Kingdom, and other G7 countries, among other countries, have imposed substantial financial and economic sanctions on certain industry sectors and parties in Russia. Broad restrictions on exports to Russia have also been imposed. These measures include: (i) comprehensive financial sanctions against major Russian banks; (ii) additional designations of Russian individuals with significant business interests and government connections; (iii) designations of individuals and entities involved in Russian military activities; and (iv) enhanced export controls and trade sanctions limiting Russia's ability to import various goods. Russian military actions and the resulting sanctions could continue to adversely affect the global economy and financial markets and lead to instability and lack of liquidity in capital markets, potentially making it more difficult for us to obtain additional funds. Further, there are current geopolitical tensions with China. Recently, the Biden administration has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Any additional executive orders or potential sanctions with China could materially impact our current manufacturing partners.</w:t>
      </w:r>
    </w:p>
    <w:p>
      <w:pPr>
        <w:spacing w:after="0" w:line="147"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Although our business has not been materially impacted by the ongoing military conflict between Russian and Ukraine, geopolitical tensions, or record inflation to date, it is impossible to predict the extent to which our operations, or those of our suppliers and manufacturers, will be impacted in the short and long term, or the ways in which the conflict may impact our business. The extent and duration of the conflict in Ukraine, geopolitical tensions, record inflation, sanctions and resulting market disruptions are impossible to predict, but could be substantial. Any such disruptions may also magnify the impact of other risks described herein.</w:t>
      </w:r>
    </w:p>
    <w:p>
      <w:pPr>
        <w:spacing w:after="0" w:line="139" w:lineRule="exact"/>
        <w:rPr>
          <w:sz w:val="20"/>
          <w:szCs w:val="20"/>
          <w:color w:val="auto"/>
        </w:rPr>
      </w:pPr>
    </w:p>
    <w:p>
      <w:pPr>
        <w:ind w:right="8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53"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51"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39"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1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5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20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its ESG performance, we risk negative stockholder reaction, including from proxy advisory services, as well as damage to its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its investors, customers and other stakeholders, we could experience reduced demand for its products, loss of customers, and other negative impacts on our business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85" w:lineRule="exact"/>
        <w:rPr>
          <w:sz w:val="20"/>
          <w:szCs w:val="20"/>
          <w:color w:val="auto"/>
        </w:rPr>
      </w:pPr>
    </w:p>
    <w:p>
      <w:pPr>
        <w:ind w:right="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32" w:lineRule="exact"/>
        <w:rPr>
          <w:sz w:val="20"/>
          <w:szCs w:val="20"/>
          <w:color w:val="auto"/>
        </w:rPr>
      </w:pPr>
    </w:p>
    <w:p>
      <w:pPr>
        <w:ind w:right="180" w:firstLine="492"/>
        <w:spacing w:after="0" w:line="256" w:lineRule="auto"/>
        <w:rPr>
          <w:sz w:val="20"/>
          <w:szCs w:val="20"/>
          <w:color w:val="auto"/>
        </w:rPr>
      </w:pPr>
      <w:r>
        <w:rPr>
          <w:rFonts w:ascii="Times New Roman" w:cs="Times New Roman" w:eastAsia="Times New Roman" w:hAnsi="Times New Roman"/>
          <w:sz w:val="18"/>
          <w:szCs w:val="18"/>
          <w:color w:val="auto"/>
        </w:rPr>
        <w:t>We have recently commenced our first submission of a rolling BLA to the FDA for lifileucel in August 2022 and expect to complete the BLA submission in the fourth quarter of 2022. A BLA must include extensive preclinical and clinical data and supporting information to establish the product candidate’s safety and effectiveness for each desired indication. Our BLA submission and current expected timelines for our lifileucel product candidate for the treatment of metastatic melanoma are based on our interpretation of communications received from the FDA to date regarding this product candidate, and are subject to revision if additional communications are received from the FDA.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492"/>
        <w:spacing w:after="0" w:line="252" w:lineRule="auto"/>
        <w:rPr>
          <w:sz w:val="20"/>
          <w:szCs w:val="20"/>
          <w:color w:val="auto"/>
        </w:rPr>
      </w:pPr>
      <w:r>
        <w:rPr>
          <w:rFonts w:ascii="Times New Roman" w:cs="Times New Roman" w:eastAsia="Times New Roman" w:hAnsi="Times New Roman"/>
          <w:sz w:val="18"/>
          <w:szCs w:val="18"/>
          <w:color w:val="auto"/>
        </w:rPr>
        <w:t>Following our End of Phase 2 meeting with the FDA in June 2019, we increased enrollment in Cohort 1 of our ongoing C-145-04 clinical trial of TIL therapy lifileucel to at least 75 patients of the appropriate population to address the expected sample size in anticipation of a BLA submission in 2021. Additionally, the patient population was defined per the discussion with FDA as patients who have progressed following initial systemic therapy for recurrent or metastatic disease which include many of the more advanced patients enrolled to date. In January 2021, we announced that Cohort 2 of the C-145-04 trial had completed enrollment and that the landscape of care for cervical cancer patients had changed because of a recent FDA approval for pembrolizumab in the frontline cervical cancer setting. In August 2022 we announced that following FDA discussions and feedback on a registration strategy to address the shift in frontline standard of care, we reopened Cohort 2 of the ongoing C-145-04 trial to enroll additional patients. The expanded Cohort 2 is intended to support a BLA submission in cervical cancer following progression on or after chemotherapy and PD-1 therapy. Our current beliefs regarding the registration pathway for the lifileucel product candidate in metastatic cervical cancer are based on our interpretation of communications with the FDA to date and our efforts to address such communications, which may be incorrect. Our statements that the study may support a BLA submission also assume that our as-adjusted study has addressed the additional requests and feedback by the FDA. Further, enrollment in this study may need to be further adjusted based on future feedback from the FDA, changes in the competitive environment, or other regulatory agency input. Protocol revisions may have an adverse effect on the results reported to date. Changes to implement an independent review committee and assay validation and implementation, and the data within this study may not ultimately be supportive of product approval, all of which could result in significant delays to our currently anticipated timeline for development and approval of lifileucel product candidate or prevent its approval for the treatment of cervical cancer.</w:t>
      </w:r>
    </w:p>
    <w:p>
      <w:pPr>
        <w:spacing w:after="0" w:line="153"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A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For example, on October 5, 2020, we reported the submission of additional potency assay data to the FDA, and at the same time, we also announced that we had reached agreement with the FDA on the minimum duration of follow up for Cohort 4 to support our BLA submission for lifileucel in the treatment of metastatic melanoma. In May 2021, we announced that we had received regulatory feedback from the FDA regarding our potency assays for lifileucel. Following FDA feedback, we continued our work developing and validating our potency assays and engaged in discussions with the FDA during the second half of 2021 and the first quarter of 2022. Based on the FDA feedback we received from these discussions, we held a pre-BLA meeting in July 2022, and initiated a rolling BLA for lifileucel in metastatic melanoma in August 2022, which we plan to complete in the fourth quarter of 2022. In addition, as previously disclosed, Iovance plans to open a confirmatory Phase 3 clinical trial of lifileucel in combination with pembrolizumab in frontline metastatic melanoma in late 2022. The FDA previously granted Fast Track Designation for lifileucel in combination with pembrolizumab for the treatment of immune checkpoint inhibitor naïve metastatic melanoma. However, the regulatory approval pathway for our product candidates may be uncertain, complex, expensive and lengthy, and approval may not be obtained.</w:t>
      </w:r>
    </w:p>
    <w:p>
      <w:pPr>
        <w:spacing w:after="0" w:line="193" w:lineRule="exact"/>
        <w:rPr>
          <w:sz w:val="20"/>
          <w:szCs w:val="20"/>
          <w:color w:val="auto"/>
        </w:rPr>
      </w:pPr>
    </w:p>
    <w:p>
      <w:pPr>
        <w:ind w:right="400" w:firstLine="492"/>
        <w:spacing w:after="0" w:line="282" w:lineRule="auto"/>
        <w:rPr>
          <w:sz w:val="20"/>
          <w:szCs w:val="20"/>
          <w:color w:val="auto"/>
        </w:rPr>
      </w:pPr>
      <w:r>
        <w:rPr>
          <w:rFonts w:ascii="Times New Roman" w:cs="Times New Roman" w:eastAsia="Times New Roman" w:hAnsi="Times New Roman"/>
          <w:sz w:val="18"/>
          <w:szCs w:val="18"/>
          <w:color w:val="auto"/>
        </w:rPr>
        <w:t>We may also experience delays, including delays arising from the need to increase enrollment, in completing planned clinical trials for a variety of reasons, including delays related to:</w:t>
      </w:r>
    </w:p>
    <w:p>
      <w:pPr>
        <w:spacing w:after="0" w:line="135" w:lineRule="exact"/>
        <w:rPr>
          <w:sz w:val="20"/>
          <w:szCs w:val="20"/>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27" w:lineRule="exact"/>
        <w:rPr>
          <w:rFonts w:ascii="Times New Roman" w:cs="Times New Roman" w:eastAsia="Times New Roman" w:hAnsi="Times New Roman"/>
          <w:sz w:val="18"/>
          <w:szCs w:val="18"/>
          <w:color w:val="auto"/>
        </w:rPr>
      </w:pPr>
    </w:p>
    <w:p>
      <w:pPr>
        <w:ind w:left="820" w:right="340" w:hanging="320"/>
        <w:spacing w:after="0" w:line="250" w:lineRule="auto"/>
        <w:tabs>
          <w:tab w:leader="none" w:pos="8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contract terms with prospective CROs and clinical trial sites, the terms of which can be subject to extensive negotiation and may vary significantly among different CROs and trial sites;</w:t>
      </w: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at each clinical trial site by an independent IRB, or central IRB;</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9" w:lineRule="exact"/>
        <w:rPr>
          <w:rFonts w:ascii="Times New Roman" w:cs="Times New Roman" w:eastAsia="Times New Roman" w:hAnsi="Times New Roman"/>
          <w:sz w:val="18"/>
          <w:szCs w:val="18"/>
          <w:color w:val="auto"/>
        </w:rPr>
      </w:pPr>
    </w:p>
    <w:p>
      <w:pPr>
        <w:ind w:left="820" w:right="200" w:hanging="320"/>
        <w:spacing w:after="0" w:line="250" w:lineRule="auto"/>
        <w:tabs>
          <w:tab w:leader="none" w:pos="8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qualified materials under cGMPs and applying them on a subject-by-subject basis for use in clinical trials; or</w:t>
      </w:r>
    </w:p>
    <w:p>
      <w:pPr>
        <w:ind w:left="820" w:right="140" w:hanging="320"/>
        <w:spacing w:after="0" w:line="260" w:lineRule="auto"/>
        <w:tabs>
          <w:tab w:leader="none" w:pos="8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implementing or validating changes to our manufacturing or quality control processes and methods needed to address FDA feedback.</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there are unresolved ethical issues associated with physicians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including as a result of genetic editing methods,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45" w:lineRule="exact"/>
        <w:rPr>
          <w:sz w:val="20"/>
          <w:szCs w:val="20"/>
          <w:color w:val="auto"/>
        </w:rPr>
      </w:pPr>
    </w:p>
    <w:p>
      <w:pPr>
        <w:ind w:right="28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32"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outside the U.S.,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w:t>
      </w:r>
    </w:p>
    <w:p>
      <w:pPr>
        <w:spacing w:after="0" w:line="147" w:lineRule="exact"/>
        <w:rPr>
          <w:sz w:val="20"/>
          <w:szCs w:val="20"/>
          <w:color w:val="auto"/>
        </w:rPr>
      </w:pPr>
    </w:p>
    <w:p>
      <w:pPr>
        <w:ind w:right="80" w:firstLine="492"/>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43" w:lineRule="exact"/>
        <w:rPr>
          <w:sz w:val="20"/>
          <w:szCs w:val="20"/>
          <w:color w:val="auto"/>
        </w:rPr>
      </w:pPr>
    </w:p>
    <w:p>
      <w:pPr>
        <w:ind w:right="6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48"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ongoing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48" w:lineRule="exact"/>
        <w:rPr>
          <w:sz w:val="20"/>
          <w:szCs w:val="20"/>
          <w:color w:val="auto"/>
        </w:rPr>
      </w:pPr>
    </w:p>
    <w:p>
      <w:pPr>
        <w:ind w:right="260" w:firstLine="492"/>
        <w:spacing w:after="0" w:line="258" w:lineRule="auto"/>
        <w:rPr>
          <w:sz w:val="20"/>
          <w:szCs w:val="20"/>
          <w:color w:val="auto"/>
        </w:rPr>
      </w:pPr>
      <w:r>
        <w:rPr>
          <w:rFonts w:ascii="Times New Roman" w:cs="Times New Roman" w:eastAsia="Times New Roman" w:hAnsi="Times New Roman"/>
          <w:sz w:val="18"/>
          <w:szCs w:val="18"/>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492"/>
        <w:spacing w:after="0" w:line="261"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39" w:lineRule="exact"/>
        <w:rPr>
          <w:sz w:val="20"/>
          <w:szCs w:val="20"/>
          <w:color w:val="auto"/>
        </w:rPr>
      </w:pPr>
    </w:p>
    <w:p>
      <w:pPr>
        <w:ind w:right="100" w:firstLine="492"/>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49" w:lineRule="exact"/>
        <w:rPr>
          <w:sz w:val="20"/>
          <w:szCs w:val="20"/>
          <w:color w:val="auto"/>
        </w:rPr>
      </w:pPr>
    </w:p>
    <w:p>
      <w:pPr>
        <w:ind w:left="820" w:right="280" w:hanging="320"/>
        <w:spacing w:after="0" w:line="261" w:lineRule="auto"/>
        <w:tabs>
          <w:tab w:leader="none" w:pos="8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distribution, or manufacturing of our product candidates, withdrawal of the product from the market, or voluntary or mandatory product recalls;</w:t>
      </w:r>
    </w:p>
    <w:p>
      <w:pPr>
        <w:ind w:left="820" w:right="300" w:hanging="320"/>
        <w:spacing w:after="0" w:line="250" w:lineRule="auto"/>
        <w:tabs>
          <w:tab w:leader="none" w:pos="8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0"/>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product labeling or the way the product is administered;</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disgorgement, warning letters, untitled letters, or holds on or termination of clinical trials;</w:t>
      </w:r>
    </w:p>
    <w:p>
      <w:pPr>
        <w:spacing w:after="0" w:line="9" w:lineRule="exact"/>
        <w:rPr>
          <w:rFonts w:ascii="Times New Roman" w:cs="Times New Roman" w:eastAsia="Times New Roman" w:hAnsi="Times New Roman"/>
          <w:sz w:val="18"/>
          <w:szCs w:val="18"/>
          <w:color w:val="auto"/>
        </w:rPr>
      </w:pPr>
    </w:p>
    <w:p>
      <w:pPr>
        <w:ind w:left="820" w:right="360" w:hanging="320"/>
        <w:spacing w:after="0" w:line="250" w:lineRule="auto"/>
        <w:tabs>
          <w:tab w:leader="none" w:pos="8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ind w:left="820" w:hanging="320"/>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9" w:lineRule="exact"/>
        <w:rPr>
          <w:rFonts w:ascii="Times New Roman" w:cs="Times New Roman" w:eastAsia="Times New Roman" w:hAnsi="Times New Roman"/>
          <w:sz w:val="18"/>
          <w:szCs w:val="18"/>
          <w:color w:val="auto"/>
        </w:rPr>
      </w:pPr>
    </w:p>
    <w:p>
      <w:pPr>
        <w:ind w:left="820" w:right="80" w:hanging="320"/>
        <w:spacing w:after="0" w:line="250" w:lineRule="auto"/>
        <w:tabs>
          <w:tab w:leader="none" w:pos="8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520" w:hanging="320"/>
        <w:spacing w:after="0" w:line="250" w:lineRule="auto"/>
        <w:tabs>
          <w:tab w:leader="none" w:pos="8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biologic;</w:t>
      </w:r>
    </w:p>
    <w:p>
      <w:pPr>
        <w:ind w:left="820" w:hanging="320"/>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or</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166" w:lineRule="exact"/>
        <w:rPr>
          <w:sz w:val="20"/>
          <w:szCs w:val="20"/>
          <w:color w:val="auto"/>
        </w:rPr>
      </w:pPr>
    </w:p>
    <w:p>
      <w:pPr>
        <w:ind w:right="400" w:firstLine="492"/>
        <w:spacing w:after="0" w:line="312" w:lineRule="auto"/>
        <w:rPr>
          <w:sz w:val="20"/>
          <w:szCs w:val="20"/>
          <w:color w:val="auto"/>
        </w:rPr>
      </w:pPr>
      <w:r>
        <w:rPr>
          <w:rFonts w:ascii="Times New Roman" w:cs="Times New Roman" w:eastAsia="Times New Roman" w:hAnsi="Times New Roman"/>
          <w:sz w:val="17"/>
          <w:szCs w:val="17"/>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99" w:lineRule="exact"/>
        <w:rPr>
          <w:sz w:val="20"/>
          <w:szCs w:val="20"/>
          <w:color w:val="auto"/>
        </w:rPr>
      </w:pPr>
    </w:p>
    <w:p>
      <w:pPr>
        <w:ind w:right="340" w:firstLine="492"/>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56" w:lineRule="exact"/>
        <w:rPr>
          <w:sz w:val="20"/>
          <w:szCs w:val="20"/>
          <w:color w:val="auto"/>
        </w:rPr>
      </w:pPr>
    </w:p>
    <w:p>
      <w:pPr>
        <w:jc w:val="both"/>
        <w:ind w:right="52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34"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enforcement by both the federal government and the states in which we conduct our business.</w:t>
      </w:r>
    </w:p>
    <w:p>
      <w:pPr>
        <w:spacing w:after="0" w:line="151" w:lineRule="exact"/>
        <w:rPr>
          <w:sz w:val="20"/>
          <w:szCs w:val="20"/>
          <w:color w:val="auto"/>
        </w:rPr>
      </w:pPr>
    </w:p>
    <w:p>
      <w:pPr>
        <w:ind w:firstLine="492"/>
        <w:spacing w:after="0" w:line="261" w:lineRule="auto"/>
        <w:rPr>
          <w:sz w:val="20"/>
          <w:szCs w:val="20"/>
          <w:color w:val="auto"/>
        </w:rPr>
      </w:pPr>
      <w:r>
        <w:rPr>
          <w:rFonts w:ascii="Times New Roman" w:cs="Times New Roman" w:eastAsia="Times New Roman" w:hAnsi="Times New Roman"/>
          <w:sz w:val="18"/>
          <w:szCs w:val="18"/>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492"/>
        <w:spacing w:after="0" w:line="254"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51" w:lineRule="exact"/>
        <w:rPr>
          <w:sz w:val="20"/>
          <w:szCs w:val="20"/>
          <w:color w:val="auto"/>
        </w:rPr>
      </w:pPr>
    </w:p>
    <w:p>
      <w:pPr>
        <w:ind w:right="60" w:firstLine="492"/>
        <w:spacing w:after="0" w:line="253" w:lineRule="auto"/>
        <w:rPr>
          <w:sz w:val="20"/>
          <w:szCs w:val="20"/>
          <w:color w:val="auto"/>
        </w:rPr>
      </w:pPr>
      <w:r>
        <w:rPr>
          <w:rFonts w:ascii="Times New Roman" w:cs="Times New Roman" w:eastAsia="Times New Roman" w:hAnsi="Times New Roman"/>
          <w:sz w:val="18"/>
          <w:szCs w:val="18"/>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65"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47"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47"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492"/>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35" w:lineRule="exact"/>
        <w:rPr>
          <w:sz w:val="20"/>
          <w:szCs w:val="20"/>
          <w:color w:val="auto"/>
        </w:rPr>
      </w:pPr>
    </w:p>
    <w:p>
      <w:pPr>
        <w:ind w:right="38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32" w:lineRule="exact"/>
        <w:rPr>
          <w:sz w:val="20"/>
          <w:szCs w:val="20"/>
          <w:color w:val="auto"/>
        </w:rPr>
      </w:pPr>
    </w:p>
    <w:p>
      <w:pPr>
        <w:ind w:right="40" w:firstLine="492"/>
        <w:spacing w:after="0" w:line="261" w:lineRule="auto"/>
        <w:rPr>
          <w:sz w:val="20"/>
          <w:szCs w:val="20"/>
          <w:color w:val="auto"/>
        </w:rPr>
      </w:pPr>
      <w:r>
        <w:rPr>
          <w:rFonts w:ascii="Times New Roman" w:cs="Times New Roman" w:eastAsia="Times New Roman" w:hAnsi="Times New Roman"/>
          <w:sz w:val="18"/>
          <w:szCs w:val="18"/>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39" w:lineRule="exact"/>
        <w:rPr>
          <w:sz w:val="20"/>
          <w:szCs w:val="20"/>
          <w:color w:val="auto"/>
        </w:rPr>
      </w:pPr>
    </w:p>
    <w:p>
      <w:pPr>
        <w:ind w:right="20" w:firstLine="492"/>
        <w:spacing w:after="0" w:line="266"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35"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61" w:lineRule="exact"/>
        <w:rPr>
          <w:sz w:val="20"/>
          <w:szCs w:val="20"/>
          <w:color w:val="auto"/>
        </w:rPr>
      </w:pPr>
    </w:p>
    <w:p>
      <w:pPr>
        <w:ind w:left="820" w:hanging="320"/>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7"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66"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51" w:lineRule="exact"/>
        <w:rPr>
          <w:sz w:val="20"/>
          <w:szCs w:val="20"/>
          <w:color w:val="auto"/>
        </w:rPr>
      </w:pPr>
    </w:p>
    <w:p>
      <w:pPr>
        <w:ind w:right="140" w:firstLine="492"/>
        <w:spacing w:after="0" w:line="261"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53"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492"/>
        <w:spacing w:after="0" w:line="253"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47" w:lineRule="exact"/>
        <w:rPr>
          <w:sz w:val="20"/>
          <w:szCs w:val="20"/>
          <w:color w:val="auto"/>
        </w:rPr>
      </w:pPr>
    </w:p>
    <w:p>
      <w:pPr>
        <w:ind w:right="100" w:firstLine="492"/>
        <w:spacing w:after="0" w:line="254"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65"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48" w:lineRule="exact"/>
        <w:rPr>
          <w:sz w:val="20"/>
          <w:szCs w:val="20"/>
          <w:color w:val="auto"/>
        </w:rPr>
      </w:pPr>
    </w:p>
    <w:p>
      <w:pPr>
        <w:ind w:right="120" w:firstLine="492"/>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39" w:lineRule="exact"/>
        <w:rPr>
          <w:sz w:val="20"/>
          <w:szCs w:val="20"/>
          <w:color w:val="auto"/>
        </w:rPr>
      </w:pPr>
    </w:p>
    <w:p>
      <w:pPr>
        <w:ind w:left="820" w:hanging="320"/>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27"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80"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1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60"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Since enactment of the Patient Protection and Affordable Care Act, as amended (the “ACA”) in 2010, in both the U.S.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In June 2021, the Supreme Court issued its opinion in California v. Texas, upholding the constitutionality of the ACA.</w:t>
      </w:r>
    </w:p>
    <w:p>
      <w:pPr>
        <w:spacing w:after="0" w:line="15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4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56" w:lineRule="exact"/>
        <w:rPr>
          <w:sz w:val="20"/>
          <w:szCs w:val="20"/>
          <w:color w:val="auto"/>
        </w:rPr>
      </w:pPr>
    </w:p>
    <w:p>
      <w:pPr>
        <w:ind w:right="40" w:firstLine="486"/>
        <w:spacing w:after="0" w:line="272" w:lineRule="auto"/>
        <w:rPr>
          <w:sz w:val="20"/>
          <w:szCs w:val="20"/>
          <w:color w:val="auto"/>
        </w:rPr>
      </w:pPr>
      <w:r>
        <w:rPr>
          <w:rFonts w:ascii="Times New Roman" w:cs="Times New Roman" w:eastAsia="Times New Roman" w:hAnsi="Times New Roman"/>
          <w:sz w:val="17"/>
          <w:szCs w:val="17"/>
          <w:color w:val="auto"/>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 Under the Biden Administration’s Build Back Better Agenda, for example, Medicare negotiation of prescription drug costs with biopharmaceutical companies is proposed to lower prescription drug costs We continue to monitor the potential impact of these and other proposals to lower prescription drug costs at the federal and state level.</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492"/>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189"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and the United Kingdom,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44" w:lineRule="exact"/>
        <w:rPr>
          <w:sz w:val="20"/>
          <w:szCs w:val="20"/>
          <w:color w:val="auto"/>
        </w:rPr>
      </w:pPr>
    </w:p>
    <w:p>
      <w:pPr>
        <w:ind w:right="2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32"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5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ind w:right="5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3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w:t>
      </w:r>
    </w:p>
    <w:p>
      <w:pPr>
        <w:spacing w:after="0" w:line="180"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3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20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(e.g., opposition proceedings). For example, on November 24, 2021 an opposition proceeding was initiated in the European Patent Office against our European Patent No. 3601533 B1. This opposition proceeding, or any similar proceedings that may arise in the U.S. or foreign jurisdictions,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or third party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189" w:lineRule="exact"/>
        <w:rPr>
          <w:sz w:val="20"/>
          <w:szCs w:val="20"/>
          <w:color w:val="auto"/>
        </w:rPr>
      </w:pPr>
    </w:p>
    <w:p>
      <w:pPr>
        <w:ind w:right="20" w:firstLine="486"/>
        <w:spacing w:after="0" w:line="273" w:lineRule="auto"/>
        <w:rPr>
          <w:sz w:val="20"/>
          <w:szCs w:val="20"/>
          <w:color w:val="auto"/>
        </w:rPr>
      </w:pPr>
      <w:r>
        <w:rPr>
          <w:rFonts w:ascii="Times New Roman" w:cs="Times New Roman" w:eastAsia="Times New Roman" w:hAnsi="Times New Roman"/>
          <w:sz w:val="17"/>
          <w:szCs w:val="17"/>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4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4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47" w:lineRule="exact"/>
        <w:rPr>
          <w:sz w:val="20"/>
          <w:szCs w:val="20"/>
          <w:color w:val="auto"/>
        </w:rPr>
      </w:pPr>
    </w:p>
    <w:p>
      <w:pPr>
        <w:ind w:right="4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3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4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use of our technologies could potentially conflict with the rights of others.</w:t>
      </w:r>
    </w:p>
    <w:p>
      <w:pPr>
        <w:spacing w:after="0" w:line="189"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6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43" w:lineRule="exact"/>
        <w:rPr>
          <w:sz w:val="20"/>
          <w:szCs w:val="20"/>
          <w:color w:val="auto"/>
        </w:rPr>
      </w:pPr>
    </w:p>
    <w:p>
      <w:pPr>
        <w:ind w:right="7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1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As is the case with other cell 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61"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18"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148"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18"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85" w:lineRule="exact"/>
        <w:rPr>
          <w:sz w:val="20"/>
          <w:szCs w:val="20"/>
          <w:color w:val="auto"/>
        </w:rPr>
      </w:pPr>
    </w:p>
    <w:p>
      <w:pPr>
        <w:ind w:right="84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18" w:lineRule="exact"/>
        <w:rPr>
          <w:sz w:val="20"/>
          <w:szCs w:val="20"/>
          <w:color w:val="auto"/>
        </w:rPr>
      </w:pPr>
    </w:p>
    <w:p>
      <w:pPr>
        <w:ind w:right="40" w:firstLine="492"/>
        <w:spacing w:after="0" w:line="255" w:lineRule="auto"/>
        <w:rPr>
          <w:sz w:val="20"/>
          <w:szCs w:val="20"/>
          <w:color w:val="auto"/>
        </w:rPr>
      </w:pPr>
      <w:r>
        <w:rPr>
          <w:rFonts w:ascii="Times New Roman" w:cs="Times New Roman" w:eastAsia="Times New Roman" w:hAnsi="Times New Roman"/>
          <w:sz w:val="18"/>
          <w:szCs w:val="18"/>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our stockholders’ investment in our stock could decline in value.</w:t>
      </w:r>
    </w:p>
    <w:p>
      <w:pPr>
        <w:spacing w:after="0" w:line="229" w:lineRule="exact"/>
        <w:rPr>
          <w:sz w:val="20"/>
          <w:szCs w:val="20"/>
          <w:color w:val="auto"/>
        </w:rPr>
      </w:pPr>
    </w:p>
    <w:p>
      <w:pPr>
        <w:ind w:right="260" w:firstLine="492"/>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volatile and could fluctuate widely in response to many factors, including but not limited to:</w:t>
      </w:r>
    </w:p>
    <w:p>
      <w:pPr>
        <w:spacing w:after="0" w:line="162" w:lineRule="exact"/>
        <w:rPr>
          <w:sz w:val="20"/>
          <w:szCs w:val="20"/>
          <w:color w:val="auto"/>
        </w:rPr>
      </w:pPr>
    </w:p>
    <w:p>
      <w:pPr>
        <w:ind w:left="840" w:hanging="319"/>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instability in the capital markets due to the COVID-19 pandemic;</w:t>
      </w:r>
    </w:p>
    <w:p>
      <w:pPr>
        <w:spacing w:after="0" w:line="27" w:lineRule="exact"/>
        <w:rPr>
          <w:rFonts w:ascii="Times New Roman" w:cs="Times New Roman" w:eastAsia="Times New Roman" w:hAnsi="Times New Roman"/>
          <w:sz w:val="18"/>
          <w:szCs w:val="18"/>
          <w:color w:val="auto"/>
        </w:rPr>
      </w:pPr>
    </w:p>
    <w:p>
      <w:pPr>
        <w:ind w:left="840" w:right="340" w:hanging="319"/>
        <w:spacing w:after="0" w:line="250"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results of clinical trials by us, our collaborators, or our competitors, or negative developments with respect to similar products, including those being developed by our collaborators;</w:t>
      </w:r>
    </w:p>
    <w:p>
      <w:pPr>
        <w:ind w:left="840" w:hanging="319"/>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proprietary rights;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new contracts by us or our competitors;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equities research analysts and whether our earnings meet or exceed such estimates;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or lack of receipt, of funding in support of conducing our business;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within, and outside of, the U.S.;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in the financial markets;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other factors; and</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risks described in this Quarterly Report on Form 10-Q</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or other equity issuances.</w:t>
      </w:r>
    </w:p>
    <w:p>
      <w:pPr>
        <w:spacing w:after="0" w:line="229"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stock price to fall.*</w:t>
      </w:r>
    </w:p>
    <w:p>
      <w:pPr>
        <w:spacing w:after="0" w:line="229" w:lineRule="exact"/>
        <w:rPr>
          <w:sz w:val="20"/>
          <w:szCs w:val="20"/>
          <w:color w:val="auto"/>
        </w:rPr>
      </w:pPr>
    </w:p>
    <w:p>
      <w:pPr>
        <w:ind w:right="360" w:firstLine="492"/>
        <w:spacing w:after="0" w:line="266" w:lineRule="auto"/>
        <w:rPr>
          <w:sz w:val="20"/>
          <w:szCs w:val="20"/>
          <w:color w:val="auto"/>
        </w:rPr>
      </w:pPr>
      <w:r>
        <w:rPr>
          <w:rFonts w:ascii="Times New Roman" w:cs="Times New Roman" w:eastAsia="Times New Roman" w:hAnsi="Times New Roman"/>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35" w:lineRule="exact"/>
        <w:rPr>
          <w:sz w:val="20"/>
          <w:szCs w:val="20"/>
          <w:color w:val="auto"/>
        </w:rPr>
      </w:pPr>
    </w:p>
    <w:p>
      <w:pPr>
        <w:ind w:right="80" w:firstLine="492"/>
        <w:spacing w:after="0" w:line="255" w:lineRule="auto"/>
        <w:rPr>
          <w:sz w:val="20"/>
          <w:szCs w:val="20"/>
          <w:color w:val="auto"/>
        </w:rPr>
      </w:pPr>
      <w:r>
        <w:rPr>
          <w:rFonts w:ascii="Times New Roman" w:cs="Times New Roman" w:eastAsia="Times New Roman" w:hAnsi="Times New Roman"/>
          <w:sz w:val="18"/>
          <w:szCs w:val="18"/>
          <w:color w:val="auto"/>
        </w:rPr>
        <w:t>As of September 30, 2022, we had 157,840,581 shares of common stock outstanding. In addition, we had 20,436,601 shares of common stock equivalents that would increase the number of common stock outstanding if these instruments were exercised or 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on that date.</w:t>
      </w:r>
    </w:p>
    <w:p>
      <w:pPr>
        <w:spacing w:after="0" w:line="162" w:lineRule="exact"/>
        <w:rPr>
          <w:sz w:val="20"/>
          <w:szCs w:val="20"/>
          <w:color w:val="auto"/>
        </w:rPr>
      </w:pPr>
    </w:p>
    <w:p>
      <w:pPr>
        <w:ind w:right="120" w:firstLine="492"/>
        <w:spacing w:after="0" w:line="258"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For example, in June 2020, we issued 19,475,806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spacing w:after="0" w:line="179" w:lineRule="exact"/>
        <w:rPr>
          <w:sz w:val="20"/>
          <w:szCs w:val="20"/>
          <w:color w:val="auto"/>
        </w:rPr>
      </w:pPr>
    </w:p>
    <w:p>
      <w:pPr>
        <w:ind w:right="3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59" w:lineRule="exact"/>
        <w:rPr>
          <w:sz w:val="20"/>
          <w:szCs w:val="20"/>
          <w:color w:val="auto"/>
        </w:rPr>
      </w:pPr>
    </w:p>
    <w:p>
      <w:pPr>
        <w:ind w:right="80" w:firstLine="492"/>
        <w:spacing w:after="0" w:line="256" w:lineRule="auto"/>
        <w:rPr>
          <w:sz w:val="20"/>
          <w:szCs w:val="20"/>
          <w:color w:val="auto"/>
        </w:rPr>
      </w:pPr>
      <w:r>
        <w:rPr>
          <w:rFonts w:ascii="Times New Roman" w:cs="Times New Roman" w:eastAsia="Times New Roman" w:hAnsi="Times New Roman"/>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43" w:lineRule="exact"/>
        <w:rPr>
          <w:sz w:val="20"/>
          <w:szCs w:val="20"/>
          <w:color w:val="auto"/>
        </w:rPr>
      </w:pPr>
    </w:p>
    <w:p>
      <w:pPr>
        <w:ind w:right="10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34"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61"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in the future may be, subject to federal or state securities or related legal actions that could adversely affect our results of operations and our business. *</w:t>
      </w:r>
    </w:p>
    <w:p>
      <w:pPr>
        <w:spacing w:after="0" w:line="118" w:lineRule="exact"/>
        <w:rPr>
          <w:sz w:val="20"/>
          <w:szCs w:val="20"/>
          <w:color w:val="auto"/>
        </w:rPr>
      </w:pPr>
    </w:p>
    <w:p>
      <w:pPr>
        <w:ind w:right="100" w:firstLine="492"/>
        <w:spacing w:after="0" w:line="266" w:lineRule="auto"/>
        <w:rPr>
          <w:sz w:val="20"/>
          <w:szCs w:val="20"/>
          <w:color w:val="auto"/>
        </w:rPr>
      </w:pPr>
      <w:r>
        <w:rPr>
          <w:rFonts w:ascii="Times New Roman" w:cs="Times New Roman" w:eastAsia="Times New Roman" w:hAnsi="Times New Roman"/>
          <w:sz w:val="18"/>
          <w:szCs w:val="18"/>
          <w:color w:val="auto"/>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spacing w:after="0" w:line="135" w:lineRule="exact"/>
        <w:rPr>
          <w:sz w:val="20"/>
          <w:szCs w:val="20"/>
          <w:color w:val="auto"/>
        </w:rPr>
      </w:pPr>
    </w:p>
    <w:p>
      <w:pPr>
        <w:ind w:right="160" w:firstLine="492"/>
        <w:spacing w:after="0" w:line="258" w:lineRule="auto"/>
        <w:rPr>
          <w:sz w:val="20"/>
          <w:szCs w:val="20"/>
          <w:color w:val="auto"/>
        </w:rPr>
      </w:pPr>
      <w:r>
        <w:rPr>
          <w:rFonts w:ascii="Times New Roman" w:cs="Times New Roman" w:eastAsia="Times New Roman" w:hAnsi="Times New Roman"/>
          <w:sz w:val="18"/>
          <w:szCs w:val="18"/>
          <w:color w:val="auto"/>
        </w:rPr>
        <w:t>For example, on December 11, 2020, a purported stockholder derivative complaint was filed by plaintiff Leo Shumacher against us, as nominal defendant, and our current directors, as defendants, in the Court of Chancery in the State of Delaware (the “Court”). The complaint alleges breach of fiduciary duty and a claim for unjust enrichment in connection with alleged excessive compensation of certain of our non-executive directors and seeks unspecified damages on behalf of our company. The parties have agreed to a proposed settlement, which was submitted to the Court on June 15, 2022. A hearing has been set for November 17, 2022</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determine whether final approval will be given to settlement. Although the matter was settled for a minimal dollar amount, we cannot assure you that any future litigation involving the Company will result in a similar outcome.</w:t>
      </w:r>
    </w:p>
    <w:p>
      <w:pPr>
        <w:spacing w:after="0" w:line="158" w:lineRule="exact"/>
        <w:rPr>
          <w:sz w:val="20"/>
          <w:szCs w:val="20"/>
          <w:color w:val="auto"/>
        </w:rPr>
      </w:pPr>
    </w:p>
    <w:p>
      <w:pPr>
        <w:ind w:right="4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18" w:lineRule="exact"/>
        <w:rPr>
          <w:sz w:val="20"/>
          <w:szCs w:val="20"/>
          <w:color w:val="auto"/>
        </w:rPr>
      </w:pPr>
    </w:p>
    <w:p>
      <w:pPr>
        <w:ind w:right="140" w:firstLine="492"/>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61" w:lineRule="exact"/>
        <w:rPr>
          <w:sz w:val="20"/>
          <w:szCs w:val="20"/>
          <w:color w:val="auto"/>
        </w:rPr>
      </w:pPr>
    </w:p>
    <w:p>
      <w:pPr>
        <w:ind w:right="1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18" w:lineRule="exact"/>
        <w:rPr>
          <w:sz w:val="20"/>
          <w:szCs w:val="20"/>
          <w:color w:val="auto"/>
        </w:rPr>
      </w:pPr>
    </w:p>
    <w:p>
      <w:pPr>
        <w:ind w:right="80" w:firstLine="492"/>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31" w:lineRule="exact"/>
        <w:rPr>
          <w:sz w:val="20"/>
          <w:szCs w:val="20"/>
          <w:color w:val="auto"/>
        </w:rPr>
      </w:pPr>
    </w:p>
    <w:p>
      <w:pPr>
        <w:jc w:val="both"/>
        <w:ind w:right="8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48"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8"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43" w:lineRule="exact"/>
        <w:rPr>
          <w:sz w:val="20"/>
          <w:szCs w:val="20"/>
          <w:color w:val="auto"/>
        </w:rPr>
      </w:pPr>
    </w:p>
    <w:p>
      <w:pPr>
        <w:ind w:right="56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48"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35"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60" w:lineRule="exact"/>
        <w:rPr>
          <w:sz w:val="20"/>
          <w:szCs w:val="20"/>
          <w:color w:val="auto"/>
        </w:rPr>
      </w:pPr>
    </w:p>
    <w:p>
      <w:pPr>
        <w:jc w:val="both"/>
        <w:ind w:right="60" w:firstLine="492"/>
        <w:spacing w:after="0" w:line="281" w:lineRule="auto"/>
        <w:rPr>
          <w:sz w:val="20"/>
          <w:szCs w:val="20"/>
          <w:color w:val="auto"/>
        </w:rPr>
      </w:pPr>
      <w:r>
        <w:rPr>
          <w:rFonts w:ascii="Times New Roman" w:cs="Times New Roman" w:eastAsia="Times New Roman" w:hAnsi="Times New Roman"/>
          <w:sz w:val="17"/>
          <w:szCs w:val="17"/>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20" w:lineRule="exact"/>
        <w:rPr>
          <w:sz w:val="20"/>
          <w:szCs w:val="20"/>
          <w:color w:val="auto"/>
        </w:rPr>
      </w:pPr>
    </w:p>
    <w:p>
      <w:pPr>
        <w:ind w:right="2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18"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165" w:lineRule="exact"/>
        <w:rPr>
          <w:sz w:val="20"/>
          <w:szCs w:val="20"/>
          <w:color w:val="auto"/>
        </w:rPr>
      </w:pPr>
    </w:p>
    <w:p>
      <w:pPr>
        <w:ind w:right="60" w:firstLine="492"/>
        <w:spacing w:after="0" w:line="261" w:lineRule="auto"/>
        <w:rPr>
          <w:sz w:val="20"/>
          <w:szCs w:val="20"/>
          <w:color w:val="auto"/>
        </w:rPr>
      </w:pPr>
      <w:r>
        <w:rPr>
          <w:rFonts w:ascii="Times New Roman" w:cs="Times New Roman" w:eastAsia="Times New Roman" w:hAnsi="Times New Roman"/>
          <w:sz w:val="18"/>
          <w:szCs w:val="18"/>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Securities and Use of Proceeds.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5"/>
          </w:tcPr>
          <w:p>
            <w:pPr>
              <w:ind w:left="3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6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5"/>
          </w:tcPr>
          <w:p>
            <w:pPr>
              <w:ind w:left="398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20" w:type="dxa"/>
            <w:vAlign w:val="bottom"/>
          </w:tcPr>
          <w:p>
            <w:pPr>
              <w:spacing w:after="0"/>
              <w:rPr>
                <w:sz w:val="14"/>
                <w:szCs w:val="14"/>
                <w:color w:val="auto"/>
              </w:rPr>
            </w:pPr>
          </w:p>
        </w:tc>
        <w:tc>
          <w:tcPr>
            <w:tcW w:w="8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20" w:type="dxa"/>
            <w:vAlign w:val="bottom"/>
            <w:tcBorders>
              <w:top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Rule 13a-14(a)/15d-14(a) Certification of Chief Executive Officer.</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13a-14(a)/15d-14(a) Certification of Chief Financial Officer.</w:t>
            </w:r>
          </w:p>
        </w:tc>
        <w:tc>
          <w:tcPr>
            <w:tcW w:w="40" w:type="dxa"/>
            <w:vAlign w:val="bottom"/>
            <w:tcBorders>
              <w:top w:val="single" w:sz="8" w:color="0000EE"/>
            </w:tcBorders>
          </w:tcPr>
          <w:p>
            <w:pPr>
              <w:spacing w:after="0"/>
              <w:rPr>
                <w:sz w:val="17"/>
                <w:szCs w:val="17"/>
                <w:color w:val="auto"/>
              </w:rPr>
            </w:pPr>
          </w:p>
        </w:tc>
        <w:tc>
          <w:tcPr>
            <w:tcW w:w="4040" w:type="dxa"/>
            <w:vAlign w:val="bottom"/>
            <w:gridSpan w:val="3"/>
          </w:tcPr>
          <w:p>
            <w:pPr>
              <w:spacing w:after="0"/>
              <w:rPr>
                <w:sz w:val="17"/>
                <w:szCs w:val="17"/>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7"/>
                <w:szCs w:val="17"/>
                <w:color w:val="auto"/>
              </w:rPr>
            </w:pPr>
          </w:p>
        </w:tc>
        <w:tc>
          <w:tcPr>
            <w:tcW w:w="54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Certification of Chief Executive Officer (furnished herewith).</w:t>
            </w:r>
          </w:p>
        </w:tc>
        <w:tc>
          <w:tcPr>
            <w:tcW w:w="3400" w:type="dxa"/>
            <w:vAlign w:val="bottom"/>
          </w:tcPr>
          <w:p>
            <w:pPr>
              <w:spacing w:after="0"/>
              <w:rPr>
                <w:sz w:val="17"/>
                <w:szCs w:val="17"/>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7"/>
                <w:szCs w:val="17"/>
                <w:color w:val="auto"/>
              </w:rPr>
            </w:pPr>
          </w:p>
        </w:tc>
        <w:tc>
          <w:tcPr>
            <w:tcW w:w="8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Section 1350 Certification of Chief Financial Officer (furnished herewith).</w:t>
            </w:r>
          </w:p>
        </w:tc>
      </w:tr>
      <w:tr>
        <w:trPr>
          <w:trHeight w:val="20"/>
        </w:trPr>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80" w:type="dxa"/>
            <w:vAlign w:val="bottom"/>
            <w:gridSpan w:val="4"/>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2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18"/>
                <w:szCs w:val="18"/>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18"/>
                <w:szCs w:val="18"/>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18"/>
                <w:szCs w:val="18"/>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18"/>
                <w:szCs w:val="18"/>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18"/>
                <w:szCs w:val="18"/>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r>
      <w:tr>
        <w:trPr>
          <w:trHeight w:val="2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20"/>
                <w:szCs w:val="20"/>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bl>
    <w:p>
      <w:pPr>
        <w:ind w:left="1080" w:right="120" w:hanging="1071"/>
        <w:spacing w:after="0" w:line="260" w:lineRule="auto"/>
        <w:tabs>
          <w:tab w:leader="none" w:pos="1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interactive date file does not appear in the Interactive Date File because its XBRL tags are embedded within the Inline XBRL document).</w:t>
      </w:r>
    </w:p>
    <w:p>
      <w:pPr>
        <w:spacing w:after="0" w:line="194"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(unless otherwise noted as being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tc>
      </w:tr>
      <w:tr>
        <w:trPr>
          <w:trHeight w:val="20"/>
        </w:trPr>
        <w:tc>
          <w:tcPr>
            <w:tcW w:w="3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5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November 3, 2022</w:t>
            </w:r>
          </w:p>
        </w:tc>
        <w:tc>
          <w:tcPr>
            <w:tcW w:w="184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Frederick G. Vogt, Ph.D., J.D.</w:t>
            </w:r>
          </w:p>
        </w:tc>
      </w:tr>
      <w:tr>
        <w:trPr>
          <w:trHeight w:val="191"/>
        </w:trPr>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Frederick G. Vogt, Ph.D., J.D.</w:t>
            </w:r>
          </w:p>
        </w:tc>
      </w:tr>
      <w:tr>
        <w:trPr>
          <w:trHeight w:val="216"/>
        </w:trPr>
        <w:tc>
          <w:tcPr>
            <w:tcW w:w="3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 and General</w:t>
            </w:r>
          </w:p>
        </w:tc>
      </w:tr>
      <w:tr>
        <w:trPr>
          <w:trHeight w:val="234"/>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Counsel (Principal Executive Officer)</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November 3, 2022</w:t>
            </w:r>
          </w:p>
        </w:tc>
        <w:tc>
          <w:tcPr>
            <w:tcW w:w="184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Jean-Marc Bellemin</w:t>
            </w:r>
          </w:p>
        </w:tc>
      </w:tr>
      <w:tr>
        <w:trPr>
          <w:trHeight w:val="191"/>
        </w:trPr>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Jean-Marc Bellemin</w:t>
            </w:r>
          </w:p>
        </w:tc>
      </w:tr>
      <w:tr>
        <w:trPr>
          <w:trHeight w:val="216"/>
        </w:trPr>
        <w:tc>
          <w:tcPr>
            <w:tcW w:w="3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 (Principal Financial and</w:t>
            </w:r>
          </w:p>
        </w:tc>
      </w:tr>
      <w:tr>
        <w:trPr>
          <w:trHeight w:val="234"/>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878"/>
        </w:trPr>
        <w:tc>
          <w:tcPr>
            <w:tcW w:w="3120" w:type="dxa"/>
            <w:vAlign w:val="bottom"/>
          </w:tcPr>
          <w:p>
            <w:pPr>
              <w:spacing w:after="0"/>
              <w:rPr>
                <w:sz w:val="24"/>
                <w:szCs w:val="24"/>
                <w:color w:val="auto"/>
              </w:rPr>
            </w:pPr>
          </w:p>
        </w:tc>
        <w:tc>
          <w:tcPr>
            <w:tcW w:w="2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88</w:t>
            </w:r>
          </w:p>
        </w:tc>
        <w:tc>
          <w:tcPr>
            <w:tcW w:w="19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60"/>
        </w:trPr>
        <w:tc>
          <w:tcPr>
            <w:tcW w:w="3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 Frederick G. Vogt, PhD., J.D, Interim Chief Executive Officer and President, and General Counsel of Iovance Biotherapeutics, Inc., certify that:</w:t>
      </w:r>
    </w:p>
    <w:p>
      <w:pPr>
        <w:spacing w:after="0" w:line="162" w:lineRule="exact"/>
        <w:rPr>
          <w:sz w:val="20"/>
          <w:szCs w:val="20"/>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Iovance Biotherapeutics,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60" w:hanging="652"/>
        <w:spacing w:after="0" w:line="266" w:lineRule="auto"/>
        <w:tabs>
          <w:tab w:leader="none" w:pos="6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0" w:hanging="652"/>
        <w:spacing w:after="0" w:line="266" w:lineRule="auto"/>
        <w:tabs>
          <w:tab w:leader="none" w:pos="6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28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8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2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8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3, 2022</w:t>
            </w:r>
          </w:p>
        </w:tc>
        <w:tc>
          <w:tcPr>
            <w:tcW w:w="64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Frederick G. Vogt, PhD., J.D.</w:t>
            </w:r>
          </w:p>
        </w:tc>
      </w:tr>
      <w:tr>
        <w:trPr>
          <w:trHeight w:val="191"/>
        </w:trPr>
        <w:tc>
          <w:tcPr>
            <w:tcW w:w="34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Frederick G. Vogt, PhD., J.D.</w:t>
            </w:r>
          </w:p>
        </w:tc>
      </w:tr>
      <w:tr>
        <w:trPr>
          <w:trHeight w:val="216"/>
        </w:trPr>
        <w:tc>
          <w:tcPr>
            <w:tcW w:w="3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 and General</w:t>
            </w:r>
          </w:p>
        </w:tc>
      </w:tr>
      <w:tr>
        <w:trPr>
          <w:trHeight w:val="234"/>
        </w:trPr>
        <w:tc>
          <w:tcPr>
            <w:tcW w:w="3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Counsel (Principal Executive Officer)</w:t>
            </w:r>
          </w:p>
        </w:tc>
      </w:tr>
      <w:tr>
        <w:trPr>
          <w:trHeight w:val="776"/>
        </w:trPr>
        <w:tc>
          <w:tcPr>
            <w:tcW w:w="34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Jean-Marc Bellemin, Chief Financial Officer of Iovance Biotherapeutics, Inc., certify that:</w:t>
      </w:r>
    </w:p>
    <w:p>
      <w:pPr>
        <w:spacing w:after="0" w:line="225" w:lineRule="exact"/>
        <w:rPr>
          <w:sz w:val="20"/>
          <w:szCs w:val="20"/>
          <w:color w:val="auto"/>
        </w:rPr>
      </w:pPr>
    </w:p>
    <w:p>
      <w:pPr>
        <w:ind w:left="680" w:hanging="672"/>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Iovance Biotherapeutics,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8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60" w:hanging="652"/>
        <w:spacing w:after="0" w:line="266" w:lineRule="auto"/>
        <w:tabs>
          <w:tab w:leader="none" w:pos="68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0" w:hanging="652"/>
        <w:spacing w:after="0" w:line="266" w:lineRule="auto"/>
        <w:tabs>
          <w:tab w:leader="none" w:pos="68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28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8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8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2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8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3, 2022</w:t>
            </w:r>
          </w:p>
        </w:tc>
        <w:tc>
          <w:tcPr>
            <w:tcW w:w="65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 /s/ Jean-Marc Bellemin</w:t>
            </w:r>
          </w:p>
        </w:tc>
      </w:tr>
      <w:tr>
        <w:trPr>
          <w:trHeight w:val="191"/>
        </w:trPr>
        <w:tc>
          <w:tcPr>
            <w:tcW w:w="3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Jean-Marc Bellemin</w:t>
            </w:r>
          </w:p>
        </w:tc>
      </w:tr>
      <w:tr>
        <w:trPr>
          <w:trHeight w:val="216"/>
        </w:trPr>
        <w:tc>
          <w:tcPr>
            <w:tcW w:w="3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&amp; Principal Accounting Officer)</w:t>
            </w:r>
          </w:p>
        </w:tc>
      </w:tr>
      <w:tr>
        <w:trPr>
          <w:trHeight w:val="776"/>
        </w:trPr>
        <w:tc>
          <w:tcPr>
            <w:tcW w:w="3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Iovance Biotherapeutics, Inc. (the “Company”) for the quarter ended September 30, 2022, as filed with the Securities and Exchange Commission on the date hereof (the “Report”), Frederick G. Vogt, PhD., J.D., Interim Chief Executive Officer and President, and General Counsel, hereby certifies, pursuant to 18 U.S.C. §1350, as adopted pursuant to §906 of the Sarbanes-Oxley Act of 2002, that:</w:t>
      </w:r>
    </w:p>
    <w:p>
      <w:pPr>
        <w:spacing w:after="0" w:line="180"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3, 2022</w:t>
            </w:r>
          </w:p>
        </w:tc>
        <w:tc>
          <w:tcPr>
            <w:tcW w:w="65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Frederick G. Vogt, PhD., J.D.</w:t>
            </w:r>
          </w:p>
        </w:tc>
      </w:tr>
      <w:tr>
        <w:trPr>
          <w:trHeight w:val="191"/>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Frederick G. Vogt, PhD., J.D.</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 and General</w:t>
            </w:r>
          </w:p>
        </w:tc>
      </w:tr>
      <w:tr>
        <w:trPr>
          <w:trHeight w:val="234"/>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Counsel (Principal Executive Officer)</w:t>
            </w:r>
          </w:p>
        </w:tc>
      </w:tr>
    </w:tbl>
    <w:p>
      <w:pPr>
        <w:spacing w:after="0" w:line="19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20"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Iovance Biotherapeutics, Inc. (the “Company”) for the quarter ended September 30, 2022, as filed with the Securities and Exchange Commission on the date hereof (the “Report”), Jean-Marc Bellemin, Chief Financial Officer, hereby certifies, pursuant to 18 U.S.C. §1350, as adopted pursuant to §906 of the Sarbanes-Oxley Act of 2002, that:</w:t>
      </w:r>
    </w:p>
    <w:p>
      <w:pPr>
        <w:spacing w:after="0" w:line="180" w:lineRule="exact"/>
        <w:rPr>
          <w:sz w:val="20"/>
          <w:szCs w:val="20"/>
          <w:color w:val="auto"/>
        </w:rPr>
      </w:pPr>
    </w:p>
    <w:p>
      <w:pPr>
        <w:ind w:left="280" w:hanging="252"/>
        <w:spacing w:after="0"/>
        <w:tabs>
          <w:tab w:leader="none" w:pos="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0" w:firstLine="8"/>
        <w:spacing w:after="0" w:line="282" w:lineRule="auto"/>
        <w:tabs>
          <w:tab w:leader="none" w:pos="2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4880" w:val="left"/>
          <w:tab w:leader="none" w:pos="5280" w:val="left"/>
        </w:tabs>
        <w:rPr>
          <w:sz w:val="20"/>
          <w:szCs w:val="20"/>
          <w:color w:val="auto"/>
        </w:rPr>
      </w:pPr>
      <w:r>
        <w:rPr>
          <w:rFonts w:ascii="Times New Roman" w:cs="Times New Roman" w:eastAsia="Times New Roman" w:hAnsi="Times New Roman"/>
          <w:sz w:val="18"/>
          <w:szCs w:val="18"/>
          <w:color w:val="auto"/>
        </w:rPr>
        <w:t>Dated: 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Jean-Marc Bellemin</w:t>
      </w:r>
    </w:p>
    <w:p>
      <w:pPr>
        <w:spacing w:after="0" w:line="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-127635</wp:posOffset>
            </wp:positionV>
            <wp:extent cx="29578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23"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320040</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40"/>
      </w:cols>
      <w:pgMar w:left="96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amp;"/>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lvl w:ilvl="1">
      <w:lvlJc w:val="left"/>
      <w:lvlText w:val="●"/>
      <w:numFmt w:val="bullet"/>
      <w:start w:val="1"/>
    </w:lvl>
  </w:abstractNum>
  <w:abstractNum w:abstractNumId="12">
    <w:nsid w:val="8EDBDAB"/>
    <w:multiLevelType w:val="hybridMultilevel"/>
    <w:lvl w:ilvl="0">
      <w:lvlJc w:val="left"/>
      <w:lvlText w:val="●"/>
      <w:numFmt w:val="bullet"/>
      <w:start w:val="1"/>
    </w:lvl>
    <w:lvl w:ilvl="1">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lvl w:ilvl="1">
      <w:lvlJc w:val="left"/>
      <w:lvlText w:val="%2"/>
      <w:numFmt w:val="decimal"/>
      <w:start w:val="10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2022-11-03T17:55:48Z</dcterms:created>
  <dcterms:modified xsi:type="dcterms:W3CDTF">2022-11-03T17:55:48Z</dcterms:modified>
</cp:coreProperties>
</file>