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3100"/>
        <w:spacing w:after="0"/>
        <w:rPr>
          <w:rFonts w:ascii="MS PGothic" w:cs="MS PGothic" w:eastAsia="MS PGothic" w:hAnsi="MS PGothic"/>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2021</w:t>
      </w:r>
    </w:p>
    <w:p>
      <w:pPr>
        <w:spacing w:after="0" w:line="11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sz w:val="24"/>
          <w:szCs w:val="24"/>
          <w:color w:val="auto"/>
        </w:rPr>
      </w:pPr>
    </w:p>
    <w:p>
      <w:pPr>
        <w:ind w:left="3600"/>
        <w:spacing w:after="0"/>
        <w:tabs>
          <w:tab w:leader="none" w:pos="5940" w:val="left"/>
          <w:tab w:leader="none" w:pos="6260" w:val="left"/>
        </w:tabs>
        <w:rPr>
          <w:sz w:val="20"/>
          <w:szCs w:val="20"/>
          <w:color w:val="auto"/>
        </w:rPr>
      </w:pPr>
      <w:r>
        <w:rPr>
          <w:rFonts w:ascii="Arial" w:cs="Arial" w:eastAsia="Arial" w:hAnsi="Arial"/>
          <w:sz w:val="18"/>
          <w:szCs w:val="18"/>
          <w:color w:val="auto"/>
        </w:rPr>
        <w:t>For the transition period from</w:t>
        <w:tab/>
        <w:t>to</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-20320</wp:posOffset>
            </wp:positionV>
            <wp:extent cx="85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-20320</wp:posOffset>
            </wp:positionV>
            <wp:extent cx="85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Commission File Number 001-36860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128"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3700" w:type="dxa"/>
            <w:vAlign w:val="bottom"/>
          </w:tcPr>
          <w:p>
            <w:pPr>
              <w:jc w:val="center"/>
              <w:ind w:right="1430"/>
              <w:spacing w:after="0"/>
              <w:rPr>
                <w:sz w:val="20"/>
                <w:szCs w:val="20"/>
                <w:color w:val="auto"/>
              </w:rPr>
            </w:pPr>
            <w:r>
              <w:rPr>
                <w:rFonts w:ascii="Arial" w:cs="Arial" w:eastAsia="Arial" w:hAnsi="Arial"/>
                <w:sz w:val="18"/>
                <w:szCs w:val="18"/>
                <w:color w:val="auto"/>
                <w:w w:val="92"/>
              </w:rPr>
              <w:t>Delaware</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89"/>
              </w:rPr>
              <w:t>75-3254381</w:t>
            </w:r>
          </w:p>
        </w:tc>
      </w:tr>
      <w:tr>
        <w:trPr>
          <w:trHeight w:val="216"/>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number)</w:t>
            </w:r>
          </w:p>
        </w:tc>
      </w:tr>
    </w:tbl>
    <w:p>
      <w:pPr>
        <w:spacing w:after="0" w:line="107" w:lineRule="exact"/>
        <w:rPr>
          <w:sz w:val="24"/>
          <w:szCs w:val="24"/>
          <w:color w:val="auto"/>
        </w:rPr>
      </w:pPr>
    </w:p>
    <w:p>
      <w:pPr>
        <w:ind w:left="306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(Address of principal executive offices and zip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right="1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9"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1780" w:space="40"/>
            <w:col w:w="2420" w:space="720"/>
            <w:col w:w="49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344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Common stock, par value $0.000041666 per value</w:t>
            </w:r>
          </w:p>
        </w:tc>
        <w:tc>
          <w:tcPr>
            <w:tcW w:w="140" w:type="dxa"/>
            <w:vAlign w:val="bottom"/>
          </w:tcPr>
          <w:p>
            <w:pPr>
              <w:spacing w:after="0"/>
              <w:rPr>
                <w:sz w:val="19"/>
                <w:szCs w:val="19"/>
                <w:color w:val="auto"/>
              </w:rPr>
            </w:pPr>
          </w:p>
        </w:tc>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Stock Market, LLC</w:t>
            </w:r>
          </w:p>
        </w:tc>
      </w:tr>
    </w:tbl>
    <w:p>
      <w:pPr>
        <w:spacing w:after="0" w:line="9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At October 26, 2021, the issuer had 156,899,118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1075055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106680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149225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60" w:type="dxa"/>
            <w:vAlign w:val="bottom"/>
            <w:tcBorders>
              <w:top w:val="single" w:sz="8" w:color="CCEEFF"/>
            </w:tcBorders>
            <w:gridSpan w:val="18"/>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4.</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PART II OTHER INFORMATION</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Item 1.</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1A.</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3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Unregistered Sales of Securities and Use of Proceeds</w:t>
              </w:r>
            </w:hyperlink>
          </w:p>
        </w:tc>
        <w:tc>
          <w:tcPr>
            <w:tcW w:w="4640" w:type="dxa"/>
            <w:vAlign w:val="bottom"/>
            <w:tcBorders>
              <w:bottom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Defaults Upon Senior Securities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Item 4.</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Mine Safety Disclosure</w:t>
              </w:r>
            </w:hyperlink>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5.</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Item 6.</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Exhibits</w:t>
              </w:r>
            </w:hyperlink>
          </w:p>
        </w:tc>
        <w:tc>
          <w:tcPr>
            <w:tcW w:w="786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7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2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58,590</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583,026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72,423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investments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assets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828,825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768,458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12,181</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current</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64,766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Long-term note payable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65,729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57,089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111,960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w w:val="96"/>
              </w:rPr>
              <w:t>Series A Convertible Preferred stock, $0.001 par value; 17,000 shares designated, 194 shares issued and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rPr>
              <w:t>outstanding as of September 30, 2021 and December 31, 2020</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Series B Convertible Preferred stock, $0.001 par value; 11,500,000 shares designated, 2,842,158 and</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3,581,119 shares issued and outstanding as of September 30, 2021 and December 31, 2020, respectively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w w:val="97"/>
              </w:rPr>
              <w:t>Common stock, $0.000041666 par value; 300,000,000 shares authorized, 156,702,653 and 146,874,917</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rPr>
              <w:t>shares issued and outstanding as of September 30, 2021 and December 31, 2020, respectively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1,771,440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1,486,662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(1,073,115)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698,330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656,498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828,825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9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65,355</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43,050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183,423</w:t>
            </w:r>
          </w:p>
        </w:tc>
        <w:tc>
          <w:tcPr>
            <w:tcW w:w="100" w:type="dxa"/>
            <w:vAlign w:val="bottom"/>
          </w:tcPr>
          <w:p>
            <w:pPr>
              <w:spacing w:after="0"/>
              <w:rPr>
                <w:sz w:val="18"/>
                <w:szCs w:val="18"/>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(86,242)</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(58,966)</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(243,238)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(193,403)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(86,122)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(242,922)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(191,184)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(0.55)</w:t>
            </w:r>
          </w:p>
        </w:tc>
        <w:tc>
          <w:tcPr>
            <w:tcW w:w="22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22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w:t>
            </w:r>
          </w:p>
        </w:tc>
        <w:tc>
          <w:tcPr>
            <w:tcW w:w="1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w w:val="96"/>
              </w:rPr>
              <w:t>Weighted Average Shares of Common Stock Outstanding, Basic and</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155,508</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146,492</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152,221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135,457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(86,122)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(58,571)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(242,922)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short-term investments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6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(58,733)</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(242,946)</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(191,249)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For the Three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0"/>
              </w:rPr>
              <w:t>Series A</w:t>
            </w:r>
          </w:p>
        </w:tc>
        <w:tc>
          <w:tcPr>
            <w:tcW w:w="1520" w:type="dxa"/>
            <w:vAlign w:val="bottom"/>
            <w:gridSpan w:val="6"/>
          </w:tcPr>
          <w:p>
            <w:pPr>
              <w:ind w:left="120"/>
              <w:spacing w:after="0"/>
              <w:rPr>
                <w:sz w:val="20"/>
                <w:szCs w:val="20"/>
                <w:color w:val="auto"/>
              </w:rPr>
            </w:pPr>
            <w:r>
              <w:rPr>
                <w:rFonts w:ascii="Arial" w:cs="Arial" w:eastAsia="Arial" w:hAnsi="Arial"/>
                <w:sz w:val="13"/>
                <w:szCs w:val="13"/>
                <w:b w:val="1"/>
                <w:bCs w:val="1"/>
                <w:color w:val="auto"/>
              </w:rPr>
              <w:t>Series B Convertible</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2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40" w:type="dxa"/>
            <w:vAlign w:val="bottom"/>
            <w:tcBorders>
              <w:top w:val="single" w:sz="8" w:color="auto"/>
              <w:bottom w:val="single" w:sz="8" w:color="auto"/>
            </w:tcBorders>
            <w:gridSpan w:val="5"/>
          </w:tcPr>
          <w:p>
            <w:pPr>
              <w:jc w:val="center"/>
              <w:spacing w:after="0" w:line="129" w:lineRule="exact"/>
              <w:rPr>
                <w:sz w:val="20"/>
                <w:szCs w:val="20"/>
                <w:color w:val="auto"/>
              </w:rPr>
            </w:pPr>
            <w:r>
              <w:rPr>
                <w:rFonts w:ascii="Arial" w:cs="Arial" w:eastAsia="Arial" w:hAnsi="Arial"/>
                <w:sz w:val="13"/>
                <w:szCs w:val="13"/>
                <w:b w:val="1"/>
                <w:bCs w:val="1"/>
                <w:color w:val="auto"/>
                <w:w w:val="86"/>
              </w:rPr>
              <w:t>Preferred Stock</w:t>
            </w:r>
          </w:p>
        </w:tc>
        <w:tc>
          <w:tcPr>
            <w:tcW w:w="160" w:type="dxa"/>
            <w:vAlign w:val="bottom"/>
          </w:tcPr>
          <w:p>
            <w:pPr>
              <w:spacing w:after="0"/>
              <w:rPr>
                <w:sz w:val="11"/>
                <w:szCs w:val="11"/>
                <w:color w:val="auto"/>
              </w:rPr>
            </w:pPr>
          </w:p>
        </w:tc>
        <w:tc>
          <w:tcPr>
            <w:tcW w:w="1360" w:type="dxa"/>
            <w:vAlign w:val="bottom"/>
            <w:tcBorders>
              <w:top w:val="single" w:sz="8" w:color="auto"/>
              <w:bottom w:val="single" w:sz="8" w:color="auto"/>
            </w:tcBorders>
            <w:gridSpan w:val="5"/>
          </w:tcPr>
          <w:p>
            <w:pPr>
              <w:jc w:val="right"/>
              <w:ind w:right="188"/>
              <w:spacing w:after="0" w:line="129" w:lineRule="exact"/>
              <w:rPr>
                <w:sz w:val="20"/>
                <w:szCs w:val="20"/>
                <w:color w:val="auto"/>
              </w:rPr>
            </w:pPr>
            <w:r>
              <w:rPr>
                <w:rFonts w:ascii="Arial" w:cs="Arial" w:eastAsia="Arial" w:hAnsi="Arial"/>
                <w:sz w:val="13"/>
                <w:szCs w:val="13"/>
                <w:b w:val="1"/>
                <w:bCs w:val="1"/>
                <w:color w:val="auto"/>
              </w:rPr>
              <w:t>Preferred Stock</w:t>
            </w:r>
          </w:p>
        </w:tc>
        <w:tc>
          <w:tcPr>
            <w:tcW w:w="160" w:type="dxa"/>
            <w:vAlign w:val="bottom"/>
          </w:tcPr>
          <w:p>
            <w:pPr>
              <w:spacing w:after="0"/>
              <w:rPr>
                <w:sz w:val="11"/>
                <w:szCs w:val="11"/>
                <w:color w:val="auto"/>
              </w:rPr>
            </w:pPr>
          </w:p>
        </w:tc>
        <w:tc>
          <w:tcPr>
            <w:tcW w:w="1140" w:type="dxa"/>
            <w:vAlign w:val="bottom"/>
            <w:tcBorders>
              <w:bottom w:val="single" w:sz="8" w:color="auto"/>
            </w:tcBorders>
            <w:gridSpan w:val="4"/>
          </w:tcPr>
          <w:p>
            <w:pPr>
              <w:ind w:left="280"/>
              <w:spacing w:after="0" w:line="129" w:lineRule="exact"/>
              <w:rPr>
                <w:sz w:val="20"/>
                <w:szCs w:val="20"/>
                <w:color w:val="auto"/>
              </w:rPr>
            </w:pPr>
            <w:r>
              <w:rPr>
                <w:rFonts w:ascii="Arial" w:cs="Arial" w:eastAsia="Arial" w:hAnsi="Arial"/>
                <w:sz w:val="13"/>
                <w:szCs w:val="13"/>
                <w:b w:val="1"/>
                <w:bCs w:val="1"/>
                <w:color w:val="auto"/>
                <w:w w:val="88"/>
              </w:rPr>
              <w:t>Common Stock</w:t>
            </w:r>
          </w:p>
        </w:tc>
        <w:tc>
          <w:tcPr>
            <w:tcW w:w="2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91"/>
              <w:spacing w:after="0" w:line="12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jc w:val="center"/>
              <w:ind w:left="70"/>
              <w:spacing w:after="0" w:line="129" w:lineRule="exact"/>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5"/>
              </w:rPr>
              <w:t>Stockholder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1"/>
                <w:szCs w:val="11"/>
                <w:color w:val="auto"/>
              </w:rPr>
            </w:pPr>
          </w:p>
        </w:tc>
        <w:tc>
          <w:tcPr>
            <w:tcW w:w="780" w:type="dxa"/>
            <w:vAlign w:val="bottom"/>
          </w:tcPr>
          <w:p>
            <w:pPr>
              <w:jc w:val="right"/>
              <w:ind w:right="149"/>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4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91"/>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29"/>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June 30, 2021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2,842,158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154,799,721</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$ 1,731,363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(986,993)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w w:val="97"/>
              </w:rPr>
              <w:t>Stock-based compensation expense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19,306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19,306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1,902,932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20,771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(86,122)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tcBorders>
              <w:bottom w:val="single" w:sz="8" w:color="CCEEFF"/>
            </w:tcBorders>
          </w:tcPr>
          <w:p>
            <w:pPr>
              <w:ind w:left="80"/>
              <w:spacing w:after="0" w:line="142" w:lineRule="exact"/>
              <w:rPr>
                <w:sz w:val="20"/>
                <w:szCs w:val="20"/>
                <w:color w:val="auto"/>
              </w:rPr>
            </w:pPr>
            <w:r>
              <w:rPr>
                <w:rFonts w:ascii="Arial" w:cs="Arial" w:eastAsia="Arial" w:hAnsi="Arial"/>
                <w:sz w:val="14"/>
                <w:szCs w:val="14"/>
                <w:b w:val="1"/>
                <w:bCs w:val="1"/>
                <w:color w:val="auto"/>
              </w:rPr>
              <w:t>Balance - September 30, 2021</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6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156,702,653</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w:t>
            </w:r>
          </w:p>
        </w:tc>
        <w:tc>
          <w:tcPr>
            <w:tcW w:w="16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$ 1,771,440</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(1,073,115)</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698,330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Balance - June 30, 2020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3,581,119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89"/>
              </w:rPr>
              <w:t>146,434,810</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$ 1,461,207</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(703,225)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758,309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Stock-based compensation expense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10,706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146,814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1,516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rPr>
              <w:t>Common stock sold in public</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spacing w:after="0"/>
              <w:rPr>
                <w:sz w:val="20"/>
                <w:szCs w:val="20"/>
                <w:color w:val="auto"/>
              </w:rPr>
            </w:pPr>
            <w:r>
              <w:rPr>
                <w:rFonts w:ascii="Arial" w:cs="Arial" w:eastAsia="Arial" w:hAnsi="Arial"/>
                <w:sz w:val="14"/>
                <w:szCs w:val="14"/>
                <w:color w:val="auto"/>
              </w:rPr>
              <w:t>offering, net of offering costs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Balance - September 30, 2020</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0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3,581,119</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146,581,624</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1,473,472</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155</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(761,796)</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711,841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89"/>
              </w:rPr>
              <w:t>Series A</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ind w:left="60"/>
              <w:spacing w:after="0"/>
              <w:rPr>
                <w:sz w:val="20"/>
                <w:szCs w:val="20"/>
                <w:color w:val="auto"/>
              </w:rPr>
            </w:pPr>
            <w:r>
              <w:rPr>
                <w:rFonts w:ascii="Arial" w:cs="Arial" w:eastAsia="Arial" w:hAnsi="Arial"/>
                <w:sz w:val="14"/>
                <w:szCs w:val="14"/>
                <w:b w:val="1"/>
                <w:bCs w:val="1"/>
                <w:color w:val="auto"/>
              </w:rPr>
              <w:t>Series B Convertible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2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Preferred Stock</w:t>
            </w:r>
          </w:p>
        </w:tc>
        <w:tc>
          <w:tcPr>
            <w:tcW w:w="140" w:type="dxa"/>
            <w:vAlign w:val="bottom"/>
          </w:tcPr>
          <w:p>
            <w:pPr>
              <w:spacing w:after="0"/>
              <w:rPr>
                <w:sz w:val="12"/>
                <w:szCs w:val="12"/>
                <w:color w:val="auto"/>
              </w:rPr>
            </w:pPr>
          </w:p>
        </w:tc>
        <w:tc>
          <w:tcPr>
            <w:tcW w:w="1360" w:type="dxa"/>
            <w:vAlign w:val="bottom"/>
            <w:tcBorders>
              <w:top w:val="single" w:sz="8" w:color="auto"/>
              <w:bottom w:val="single" w:sz="8" w:color="auto"/>
            </w:tcBorders>
            <w:gridSpan w:val="4"/>
          </w:tcPr>
          <w:p>
            <w:pPr>
              <w:jc w:val="right"/>
              <w:ind w:right="128"/>
              <w:spacing w:after="0" w:line="142"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1200" w:type="dxa"/>
            <w:vAlign w:val="bottom"/>
            <w:tcBorders>
              <w:bottom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w w:val="95"/>
              </w:rPr>
              <w:t>Comprehensive</w:t>
            </w:r>
          </w:p>
        </w:tc>
        <w:tc>
          <w:tcPr>
            <w:tcW w:w="9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Accumulated</w:t>
            </w:r>
          </w:p>
        </w:tc>
        <w:tc>
          <w:tcPr>
            <w:tcW w:w="8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88"/>
              </w:rPr>
              <w:t>Stockholder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5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7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Income (Loss)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2020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3,581,119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146,874,917</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1,486,662</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(830,193)</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656,498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50,661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50,661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employee stock</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55,315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2,559,361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29,992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offering, net of offering costs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6,474,099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Common stock issued from</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preferred stock conversion</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(738,961)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738,961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(242,922)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(242,922)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99"/>
              </w:rPr>
              <w:t>Balance - September 30, 2021</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156,702,653</w:t>
            </w:r>
          </w:p>
        </w:tc>
        <w:tc>
          <w:tcPr>
            <w:tcW w:w="240" w:type="dxa"/>
            <w:vAlign w:val="bottom"/>
            <w:tcBorders>
              <w:top w:val="single" w:sz="8" w:color="CCEEFF"/>
            </w:tcBorders>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1,771,440</w:t>
            </w:r>
          </w:p>
        </w:tc>
        <w:tc>
          <w:tcPr>
            <w:tcW w:w="28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(1,073,115)</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698,330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2019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3,581,119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126,411,808</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869,354</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(570,612)</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298,971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Tax payments related to shares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withheld for vested restricted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stock units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680,561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offering, net of offering costs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19,475,806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567,042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(191,184)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(191,184)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99"/>
              </w:rPr>
              <w:t>Balance - September 30, 2020</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3,581,119</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146,581,624</w:t>
            </w:r>
          </w:p>
        </w:tc>
        <w:tc>
          <w:tcPr>
            <w:tcW w:w="240" w:type="dxa"/>
            <w:vAlign w:val="bottom"/>
            <w:tcBorders>
              <w:top w:val="single" w:sz="8" w:color="CCEEFF"/>
            </w:tcBorders>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1,473,472</w:t>
            </w:r>
          </w:p>
        </w:tc>
        <w:tc>
          <w:tcPr>
            <w:tcW w:w="28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(761,796)</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711,841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(242,922)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50,661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lease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Accretion (amortization) of discounts and premiums on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11,993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(25,297)</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19,686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(2,046)</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(174,092)</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Maturities of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544,454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(583,654)</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(30,006)</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(69,206)</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(376,606)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Proceeds from the issuance of common stock upon exercise of options and employee stock</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plan</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30,962</w:t>
            </w: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203,156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debt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in financing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235,118</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72,854</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64,674</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operating, investing and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Net unrealized loss on short-term investments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Acquisitions of property and equipment included in accounts payable and accrued expense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(635)</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arising from obtaining right-of-use asset from new leases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Lease liabilities arising from obtaining right-of-use asset from lease modifications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7,800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02"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Iovance Biotherapeutics, Inc. (the “Company”, “we”, “us” or “our”) is a clinical-stage biopharmaceutical company focused on the development and commercialization of cell therapies as novel cancer immunotherapy products designed to harness the power of a patient’s own immune system to eradicate cancer cells. Tumor infiltrating lymphocyte (“TIL”) therapy is an autologous cell therapy platform technology that was originally developed by the National Cancer Institute (“NCI”), which conducted initial clinical trials in diseases such as metastatic melanoma and cervical cancer. The Company has developed a new, shorter manufacturing process for TIL therapy known as Generation 2 (“Gen 2”), which yields a cryopreserved TIL product. This proprietary and scalable manufacturing method is being further investigated in multiple indications. The Company’s lead product candidates include lifileucel for metastatic melanoma and metastatic cervical cancer. Lifileucel for metastatic cervical cancer was formerly known as LN-145. In addition to metastatic melanoma and metastatic cervical cancer, the Company is investigating the effectiveness and safety of TIL therapy and peripheral blood lymphocyte therapy for the treatment of squamous cell carcinoma of the head and neck, non-small cell lung cancer, and chronic lymphocytic leukemia through its sponsored trials, as well as in other oncology indications through collaborations. On June 1, 2017, the Company reincorporated from a Nevada corporation to a Delaware 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85"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the Company for the three and nine months ended September 30, 2021 and 2020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to be obtained for a full fiscal year. The balance sheet information as of December 31, 2020, was derived from the audited consolidated financial statements included in the Company's Annual Report on Form 10-K filed with the Securities and Exchange Commission (the “SEC”) on February 25, 2021. These interim financial statements should be read in conjunction with that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The Company is currently engaged in the development of therapeutics to fight cancer, specifically solid tumors. The Company currently does not have any commercial products and has not yet generated any revenues and does not anticipate that it will generate any significant revenues from the sale or licensing of any of its product candidates during the 12 months from the date these financial statements are issued. The Company has incurred a net loss of $242.9 million for the nine months ended September 30, 2021 and used $174.1 million of cash in its operating activities during the nine months ended September 30, 2021. For the nine months ended September 30, 2021, the Company received net proceeds of approximately $203.2 million from the “at the market” offering program the Company has in place with Jefferies LLC, acting as sales agent. As of September 30, 2021, the Company had $660.8 million in cash, cash equivalents, investments, and restricted cash ($58.6 million of cash and cash equivalents, $517.9 million in short-term investments, $78.2 million in long-term investments, and $6.1 million in restricted cash).</w:t>
      </w:r>
    </w:p>
    <w:p>
      <w:pPr>
        <w:spacing w:after="0" w:line="181"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The Company expects to continue its research and development activities, increase pre-commercial activities, and complete the construction of the tenant improvements for its Iovance Cell Therapy Center (the “</w:t>
      </w:r>
      <w:r>
        <w:rPr>
          <w:rFonts w:ascii="Arial" w:cs="Arial" w:eastAsia="Arial" w:hAnsi="Arial"/>
          <w:sz w:val="17"/>
          <w:szCs w:val="17"/>
          <w:i w:val="1"/>
          <w:iCs w:val="1"/>
          <w:color w:val="auto"/>
        </w:rPr>
        <w:t>i</w:t>
      </w:r>
      <w:r>
        <w:rPr>
          <w:rFonts w:ascii="Arial" w:cs="Arial" w:eastAsia="Arial" w:hAnsi="Arial"/>
          <w:sz w:val="17"/>
          <w:szCs w:val="17"/>
          <w:color w:val="auto"/>
        </w:rPr>
        <w:t>CTC”) as well as the new headquarters’ office in San Carlos, California, all of which will increase the amount of cash used during the remainder of 2021 and beyond. Specifically, the Company expects continued spending on its current and planned clinical trials, continued expansion of manufacturing activities, higher payroll expenses as the Company increases its professional and scientific staff and continuation of pre-commercial activities. Based on the funds the Company has available as of the date these financial statements are issued, the Company believes that it has sufficient capital to fund its anticipated operating expenses and capital expenditures as planned for at least the next twelve months from the date these financial statements are issued.</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85"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pandemic (the “COVID-19 Pandemic”). The Secretary of Health and Human Services declared a public health emergency on January 31, 2020, under section 319 of the Public Health Service Act (42 U.S.C. 247d), in response to the COVID-19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in U.S. government securities, the Company does not believe the COVID-19 Pandemic has had or will have a material impact on the Company's current investment liquidity.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ind w:right="340" w:firstLine="492"/>
        <w:spacing w:after="0" w:line="255" w:lineRule="auto"/>
        <w:rPr>
          <w:sz w:val="20"/>
          <w:szCs w:val="20"/>
          <w:color w:val="auto"/>
        </w:rPr>
      </w:pPr>
      <w:r>
        <w:rPr>
          <w:rFonts w:ascii="Arial" w:cs="Arial" w:eastAsia="Arial" w:hAnsi="Arial"/>
          <w:sz w:val="18"/>
          <w:szCs w:val="18"/>
          <w:color w:val="auto"/>
        </w:rPr>
        <w:t>The Company is subject to credit risk from its portfolio of cash equivalents and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liquidity of investments sufficient to meet cash flow requirements of its business, and maximization of total return while maintaining safety and liquidity.</w:t>
      </w:r>
    </w:p>
    <w:p>
      <w:pPr>
        <w:spacing w:after="0" w:line="188" w:lineRule="exact"/>
        <w:rPr>
          <w:sz w:val="20"/>
          <w:szCs w:val="20"/>
          <w:color w:val="auto"/>
        </w:rPr>
      </w:pPr>
    </w:p>
    <w:p>
      <w:pPr>
        <w:ind w:right="4460"/>
        <w:spacing w:after="0" w:line="464"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POLICIES </w:t>
      </w:r>
      <w:r>
        <w:rPr>
          <w:rFonts w:ascii="Arial" w:cs="Arial" w:eastAsia="Arial" w:hAnsi="Arial"/>
          <w:sz w:val="18"/>
          <w:szCs w:val="18"/>
          <w:b w:val="1"/>
          <w:bCs w:val="1"/>
          <w:i w:val="1"/>
          <w:iCs w:val="1"/>
          <w:color w:val="auto"/>
        </w:rPr>
        <w:t>Cash, Cash Equivalents, and Investments</w:t>
      </w:r>
    </w:p>
    <w:p>
      <w:pPr>
        <w:ind w:right="20" w:firstLine="492"/>
        <w:spacing w:after="0" w:line="268" w:lineRule="auto"/>
        <w:rPr>
          <w:sz w:val="20"/>
          <w:szCs w:val="20"/>
          <w:color w:val="auto"/>
        </w:rPr>
      </w:pPr>
      <w:r>
        <w:rPr>
          <w:rFonts w:ascii="Arial" w:cs="Arial" w:eastAsia="Arial" w:hAnsi="Arial"/>
          <w:sz w:val="17"/>
          <w:szCs w:val="17"/>
          <w:color w:val="auto"/>
        </w:rPr>
        <w:t>The Company’s cash and cash equivalents include short-term investments with original maturities of three months or less when purchased. The Company's investments are classified as “available-for-sale” and are presented at fair value as either a current or non-current asset based on the length of maturity from the reporting date. Unrealized gains and losses on available-for-sale securities are included in accumulated other comprehensive income. Impairment losses related to credit losses (if any) are included in an allowance for credit losses with an offsetting entry to net loss. No impairment losses related to credit losses were recognized for the three and nine months ended September 30, 2021 and 2020. The cost of debt securities is adjusted for the amortization of premiums and accretion of discounts to maturity. Such amortization and accretion are included in Interest income, net in the Condensed Consolidated Statements of Operations. Gains and losses on securities sold are recorded based on the specific identification method and are included in Interest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papers, and places restrictions on maturities and concentration by type and issuer, except for securities issued by the U.S. government.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The Company maintains a required minimum balance, currently $6.1 million in a segregated bank account in connection with three letters of credit, one for $5.45 million for the benefit of the landlord for its commercial manufacturing facility used as a security deposit for the lease (See Note 10 - Leases), the second one for $74,685 for the benefit of a utilities service provider, and the third one for $559,082 for the benefit of the landlord for the Company’s new headquarters lease. The total amount is classified as Restricted Cash on the Condensed Consolidated Balance Sheet. The first letter of credit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$1.45 million maintained through the end of the lease term. The second letter of credit of $74,685 expired on March 9, 2021, however, it automatically extends, without written agreement, to the expiration date of December 1, 2022. The third letter of credit of $559,082 expires on February 1, 2032, however, it will be automatically extended, without written agreement, for one-year periods to February in each succeeding calendar year. As of September 30, 2021, and December 31, 2020, restricted cash consisted of $6.1 million and $5.5 million, respectively. This amount has been classified as a non-current asset on the Company’s Condensed Consolidated Balance Sheets.</w:t>
      </w:r>
    </w:p>
    <w:p>
      <w:pPr>
        <w:sectPr>
          <w:pgSz w:w="11900" w:h="16838" w:orient="portrait"/>
          <w:cols w:equalWidth="0" w:num="1">
            <w:col w:w="9900"/>
          </w:cols>
          <w:pgMar w:left="980" w:top="665" w:right="101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40" w:type="dxa"/>
            <w:vAlign w:val="bottom"/>
            <w:gridSpan w:val="3"/>
          </w:tcPr>
          <w:p>
            <w:pPr>
              <w:ind w:left="12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cash, cash equivalents and restricted cash</w:t>
            </w:r>
          </w:p>
        </w:tc>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ind w:right="66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shares of common stock outstanding during the period.</w:t>
      </w:r>
    </w:p>
    <w:p>
      <w:pPr>
        <w:spacing w:after="0" w:line="143"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shares of common stock issuable upon (i) the exercise of outstanding stock options and warrants, (ii) purchases though the 2020 Employee Stock Purchase Plan (the “2020 ESPP”), (iii) vesting of restricted stock units, and (iv) conversion of preferred stock, are only included in the calculation of diluted net loss per share when their effect is dilutive.</w:t>
      </w:r>
    </w:p>
    <w:p>
      <w:pPr>
        <w:spacing w:after="0" w:line="121" w:lineRule="exact"/>
        <w:rPr>
          <w:sz w:val="20"/>
          <w:szCs w:val="20"/>
          <w:color w:val="auto"/>
        </w:rPr>
      </w:pPr>
    </w:p>
    <w:p>
      <w:pPr>
        <w:ind w:right="760" w:firstLine="492"/>
        <w:spacing w:after="0" w:line="277" w:lineRule="auto"/>
        <w:rPr>
          <w:sz w:val="20"/>
          <w:szCs w:val="20"/>
          <w:color w:val="auto"/>
        </w:rPr>
      </w:pPr>
      <w:r>
        <w:rPr>
          <w:rFonts w:ascii="Arial" w:cs="Arial" w:eastAsia="Arial" w:hAnsi="Arial"/>
          <w:sz w:val="18"/>
          <w:szCs w:val="18"/>
          <w:color w:val="auto"/>
        </w:rPr>
        <w:t>As of September 30, 2021 and 2020,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6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12,537,858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12,768,881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97,000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2,842,158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3,581,119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2020 ESPP</w:t>
            </w:r>
          </w:p>
        </w:tc>
        <w:tc>
          <w:tcPr>
            <w:tcW w:w="940" w:type="dxa"/>
            <w:vAlign w:val="bottom"/>
          </w:tcPr>
          <w:p>
            <w:pPr>
              <w:jc w:val="right"/>
              <w:spacing w:after="0"/>
              <w:rPr>
                <w:sz w:val="20"/>
                <w:szCs w:val="20"/>
                <w:color w:val="auto"/>
              </w:rPr>
            </w:pPr>
            <w:r>
              <w:rPr>
                <w:rFonts w:ascii="Arial" w:cs="Arial" w:eastAsia="Arial" w:hAnsi="Arial"/>
                <w:sz w:val="18"/>
                <w:szCs w:val="18"/>
                <w:color w:val="auto"/>
              </w:rPr>
              <w:t>36,263</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1,160,300</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16,673,579</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16,447,000</w:t>
            </w: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on an as-converted basis</w:t>
      </w:r>
    </w:p>
    <w:p>
      <w:pPr>
        <w:spacing w:after="0" w:line="185"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The effect of potentially dilutive securities would be reflected in diluted earnings per share of common stock by application of the treasury stock method. Under the treasury stock method, an increase in the fair market value of the Company's common stock could result in a greater dilutive effect from potentially dilutive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220" w:firstLine="492"/>
        <w:spacing w:after="0" w:line="257" w:lineRule="auto"/>
        <w:rPr>
          <w:sz w:val="20"/>
          <w:szCs w:val="20"/>
          <w:color w:val="auto"/>
        </w:rPr>
      </w:pPr>
      <w:r>
        <w:rPr>
          <w:rFonts w:ascii="Arial" w:cs="Arial" w:eastAsia="Arial" w:hAnsi="Arial"/>
          <w:sz w:val="18"/>
          <w:szCs w:val="18"/>
          <w:color w:val="auto"/>
        </w:rPr>
        <w:t xml:space="preserve">Under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47" w:lineRule="exact"/>
        <w:rPr>
          <w:sz w:val="20"/>
          <w:szCs w:val="20"/>
          <w:color w:val="auto"/>
        </w:rPr>
      </w:pPr>
    </w:p>
    <w:p>
      <w:pPr>
        <w:ind w:right="300" w:firstLine="492"/>
        <w:spacing w:after="0" w:line="263"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57"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pacing w:after="0" w:line="130"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43" w:lineRule="exact"/>
        <w:rPr>
          <w:sz w:val="20"/>
          <w:szCs w:val="20"/>
          <w:color w:val="auto"/>
        </w:rPr>
      </w:pPr>
    </w:p>
    <w:p>
      <w:pPr>
        <w:ind w:right="400" w:firstLine="492"/>
        <w:spacing w:after="0" w:line="308" w:lineRule="auto"/>
        <w:rPr>
          <w:sz w:val="20"/>
          <w:szCs w:val="20"/>
          <w:color w:val="auto"/>
        </w:rPr>
      </w:pPr>
      <w:r>
        <w:rPr>
          <w:rFonts w:ascii="Arial" w:cs="Arial" w:eastAsia="Arial" w:hAnsi="Arial"/>
          <w:sz w:val="17"/>
          <w:szCs w:val="17"/>
          <w:color w:val="auto"/>
        </w:rPr>
        <w:t>The Company’s financial instruments consist of cash, cash equivalents, short and long-term investments, and long-term notes payable, all of which are reported at their respective fair value on its Condensed Consolidated Balance Sheets.</w:t>
      </w:r>
    </w:p>
    <w:p>
      <w:pPr>
        <w:spacing w:after="0" w:line="106"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financial instruments consist of Level 1 and Level 2 assets. Where quoted prices are available in an active market, securities are classified as Level 1.</w:t>
      </w:r>
    </w:p>
    <w:p>
      <w:pPr>
        <w:spacing w:after="0" w:line="143"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When quoted market prices are not available for a specific security, the Company estimates the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interest rate curves, reported trades, broker/dealer quotes, and market reference data. Level 2 assets consist of commercial paper and government agency securities. Level 2 inputs for the valuations are limited to quoted prices for similar assets or liabilities in active markets and inputs other than quoted prices that are observable for the asset.</w:t>
      </w:r>
    </w:p>
    <w:p>
      <w:pPr>
        <w:spacing w:after="0" w:line="151" w:lineRule="exact"/>
        <w:rPr>
          <w:sz w:val="20"/>
          <w:szCs w:val="20"/>
          <w:color w:val="auto"/>
        </w:rPr>
      </w:pPr>
    </w:p>
    <w:p>
      <w:pPr>
        <w:ind w:right="260" w:firstLine="492"/>
        <w:spacing w:after="0" w:line="311" w:lineRule="auto"/>
        <w:rPr>
          <w:sz w:val="20"/>
          <w:szCs w:val="20"/>
          <w:color w:val="auto"/>
        </w:rPr>
      </w:pPr>
      <w:r>
        <w:rPr>
          <w:rFonts w:ascii="Arial" w:cs="Arial" w:eastAsia="Arial" w:hAnsi="Arial"/>
          <w:sz w:val="16"/>
          <w:szCs w:val="16"/>
          <w:color w:val="auto"/>
        </w:rPr>
        <w:t>As of September 30, 2021 and December 31, 2020, the fair value of the Company’s financial assets, which consist of cash equivalents and short and long-term investments classified as available-for-sale securities, that were measured on a recurring basis are categorized in the table below based upon the lowest level of significant input to the valuations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0"/>
              </w:rPr>
              <w:t>Assets at Fair Value as of September 30, 2021</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238,238</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238,238</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12,233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43,308</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312,325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312,325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32,577</w:t>
            </w:r>
          </w:p>
        </w:tc>
      </w:tr>
      <w:tr>
        <w:trPr>
          <w:trHeight w:val="210"/>
        </w:trPr>
        <w:tc>
          <w:tcPr>
            <w:tcW w:w="52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270,815</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367,866</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638,681</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1"/>
              </w:rPr>
              <w:t>Assets at Fair Value as of December 31, 2020</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91,999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91,999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r>
      <w:tr>
        <w:trPr>
          <w:trHeight w:val="210"/>
        </w:trPr>
        <w:tc>
          <w:tcPr>
            <w:tcW w:w="52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611,828</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611,828</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available-for-sale securities in the Company’s Condensed Consolidated Balance Sheets are as follows (in thousands):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Pr>
          <w:p>
            <w:pPr>
              <w:spacing w:after="0"/>
              <w:rPr>
                <w:sz w:val="16"/>
                <w:szCs w:val="16"/>
                <w:color w:val="auto"/>
              </w:rPr>
            </w:pPr>
          </w:p>
        </w:tc>
        <w:tc>
          <w:tcPr>
            <w:tcW w:w="104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0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42,575</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Short-term investments</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517,859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8"/>
                <w:szCs w:val="18"/>
                <w:color w:val="auto"/>
              </w:rPr>
              <w:t>Cash equivalents and investments total</w:t>
            </w:r>
          </w:p>
        </w:tc>
        <w:tc>
          <w:tcPr>
            <w:tcW w:w="37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638,681</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780" w:type="dxa"/>
            <w:vAlign w:val="bottom"/>
            <w:vMerge w:val="restart"/>
          </w:tcPr>
          <w:p>
            <w:pPr>
              <w:jc w:val="right"/>
              <w:ind w:right="247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200" w:firstLine="492"/>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the assumptions made in valuing stock instruments issued for services and used in measuring operating right-of-use assets and operating lease liabilities, accounting for potential liabilities, capitalization of internal-use software development costs, and the valuation allowance associated with the Company’s deferred tax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Iovance Biotherapeutics, Inc. and its wholly-owned subsidiaries, Iovance Biotherapeutics Manufacturing LLC, Iovance Biotherapeutics GmbH, and Iovance Biotherapeutics B.V. All intercompany accounts and transactions have been eliminated. The U.S. dollar is the functional currency for all the Company's consolidated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The tax relief measures for business entities include a five-year net operating loss carrybacks, suspension of annual deduction limitation of 80% taxable income from net operating losses generated in a tax year beginning after December 31, 2017, changes in the deductibility of interest, acceleration of alternative minimum tax credit refunds, payroll tax relief, and technical correction to allow accelerated deductions for qualified improvement property. The Company evaluated the impact of the CARES Act and determined the impact is immaterial for the three and nine months ended September 30,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Company determines if an arrangement includes a lease at inception. Operating leases are included in its Condensed Consolidated Balance Sheet as Operating lease right-of-use assets and Operating lease liabilities as of September 30, 2021 and December 31, 2020.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 Update (“ASU”) No. 2016-02 and ASU No. 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52"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 xml:space="preserve">The Company periodically grants stock options to employees as compensation for services rendered. The Company accounts for all stock-based payment awards made to employees, including the employee stock purchase plans in accordance with the authoritative guidance provided by the Financial Accounting Standards Board (“FASB”) where the value of the award is measured on the date of grant and recognized over the vesting period. In accordance with ASU No. 2018-07,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147" w:lineRule="exact"/>
        <w:rPr>
          <w:sz w:val="20"/>
          <w:szCs w:val="20"/>
          <w:color w:val="auto"/>
        </w:rPr>
      </w:pPr>
    </w:p>
    <w:p>
      <w:pPr>
        <w:ind w:right="160" w:firstLine="492"/>
        <w:spacing w:after="0" w:line="275" w:lineRule="auto"/>
        <w:rPr>
          <w:sz w:val="20"/>
          <w:szCs w:val="20"/>
          <w:color w:val="auto"/>
        </w:rPr>
      </w:pPr>
      <w:r>
        <w:rPr>
          <w:rFonts w:ascii="Arial" w:cs="Arial" w:eastAsia="Arial" w:hAnsi="Arial"/>
          <w:sz w:val="17"/>
          <w:szCs w:val="17"/>
          <w:color w:val="auto"/>
        </w:rPr>
        <w:t>The Company issues restricted stock units (“RSUs”) and restricted stock awards (“RSAs”) from time to time as part of its share-based compensation programs. The Company measures the compensation cost with respect to RSUs and RSAs issued to employees based upon the estimated fair value of the equity instruments at the date of the grant, which is recognized as an expense over the period during which an employee is required to provide services in exchange for the awards. The fair value of RSUs and RSAs is based on the closing price of the Company’s common stock on the grant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85"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Research and development costs are expensed as incurred. Clinical development costs compose a significant component of research and development costs. The Company has a history of contracting with third parties that perform various clinical trial activities on its behalf. Service agreements with contract research organizations (“CROs”) and contract manufacturing organizations (“CMOs”) are recognized as the services are incurred. The Company accrues for expenses resulting from obligations under agreements with its third parties for which the timing of payments does not match the periods over which the materials or services are provided to the Company. Accruals are recorded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judgements and estimates in determining the accrual balance in each reporting period.</w:t>
      </w:r>
    </w:p>
    <w:p>
      <w:pPr>
        <w:spacing w:after="0" w:line="126"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In the event advance payments are made to a CRO, CMO or other outside service provider, the payments are recorded within prepaid expenses and other current assets and subsequently recognized as research and development expense when the associated services have been performed. As actual costs become known, the Company adjusts its liabilities and assets. Inputs, such as the extent of services received and the duration of services to be performed, may vary from the Company’s estimates, which will result in adjustments to research and development expense in future periods. Changes in these estimates that result in material changes to the Company’s accruals could materially affect the Company’s results of operations. The Company’s historical estimates have not been materially different from actual amounts recorded.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The Company applies the accounting standards for distinguishing liabilities from equity when determining the classification and measurement of its preferred stock. Preferred stock subject to mandatory redemption are classified as liability instruments and are measured at fair value. Conditionally redeemable preferred stock (including preferred stock that feature redemption rights that are either within the control of the holder or subject to redemption upon the occurrence of uncertain events not solely within the Company’s control) are classified as temporary equity. At all other times, preferred stock is classified as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 Adopted</w:t>
      </w:r>
    </w:p>
    <w:p>
      <w:pPr>
        <w:spacing w:after="0" w:line="198"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simplifies accounting for income taxes by eliminating certain exceptions to the guidance in Topic 740 related to the approach for allocating income tax expense or benefit for the year to continuing operations, discontinued operations, other comprehensive income, and other charges or credits recorded directly to stockholders’ equity; the methodology for calculating income tax expense or benefit in an interim period; and recognition of deferred tax liabilities outside basis difference. This ASU became effective for the Company on January 1, 2021; however, the adoption of this new standard did not have a material impact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AND INVESTMENTS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equivalents consist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60" w:type="dxa"/>
            <w:vAlign w:val="bottom"/>
            <w:gridSpan w:val="4"/>
          </w:tcPr>
          <w:p>
            <w:pPr>
              <w:ind w:left="22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0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Cash equivalents total</w:t>
            </w:r>
          </w:p>
        </w:tc>
        <w:tc>
          <w:tcPr>
            <w:tcW w:w="2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42,575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Cash equivalents in the tables above exclude cash demand deposits of $16.0 million and $17.6 million as of September 30, 2021 and December 31, 2020,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Company’s investments that are classified as available-for-sale debt securities (in thousands):</w:t>
      </w: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60" w:type="dxa"/>
            <w:vAlign w:val="bottom"/>
            <w:gridSpan w:val="3"/>
          </w:tcPr>
          <w:p>
            <w:pPr>
              <w:ind w:left="2140"/>
              <w:spacing w:after="0"/>
              <w:rPr>
                <w:sz w:val="20"/>
                <w:szCs w:val="20"/>
                <w:color w:val="auto"/>
              </w:rPr>
            </w:pPr>
            <w:r>
              <w:rPr>
                <w:rFonts w:ascii="Arial" w:cs="Arial" w:eastAsia="Arial" w:hAnsi="Arial"/>
                <w:sz w:val="14"/>
                <w:szCs w:val="14"/>
                <w:b w:val="1"/>
                <w:bCs w:val="1"/>
                <w:color w:val="auto"/>
                <w:w w:val="93"/>
              </w:rPr>
              <w:t>September 30,</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32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517,859</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investments</w:t>
            </w:r>
          </w:p>
        </w:tc>
        <w:tc>
          <w:tcPr>
            <w:tcW w:w="2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78,247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investments</w:t>
            </w:r>
          </w:p>
        </w:tc>
        <w:tc>
          <w:tcPr>
            <w:tcW w:w="2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596,106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80" w:firstLine="492"/>
        <w:spacing w:after="0" w:line="258" w:lineRule="auto"/>
        <w:rPr>
          <w:sz w:val="20"/>
          <w:szCs w:val="20"/>
          <w:color w:val="auto"/>
        </w:rPr>
      </w:pPr>
      <w:r>
        <w:rPr>
          <w:rFonts w:ascii="Arial" w:cs="Arial" w:eastAsia="Arial" w:hAnsi="Arial"/>
          <w:sz w:val="18"/>
          <w:szCs w:val="18"/>
          <w:color w:val="auto"/>
        </w:rPr>
        <w:t>The following table summarizes the classification of the Company’s available-for-sale debt securities in its Condensed Consolidated Balance Sheets (in thousands):</w:t>
      </w:r>
    </w:p>
    <w:tbl>
      <w:tblPr>
        <w:tblLayout w:type="fixed"/>
        <w:tblInd w:w="980" w:type="dxa"/>
        <w:tblCellMar>
          <w:top w:w="0" w:type="dxa"/>
          <w:left w:w="0" w:type="dxa"/>
          <w:bottom w:w="0" w:type="dxa"/>
          <w:right w:w="0" w:type="dxa"/>
        </w:tblCellMar>
      </w:tblPr>
      <w:tr>
        <w:trPr>
          <w:trHeight w:val="141"/>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040" w:type="dxa"/>
            <w:vAlign w:val="bottom"/>
            <w:gridSpan w:val="3"/>
          </w:tcPr>
          <w:p>
            <w:pPr>
              <w:ind w:left="120"/>
              <w:spacing w:after="0" w:line="141"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2"/>
                <w:szCs w:val="12"/>
                <w:color w:val="auto"/>
              </w:rPr>
            </w:pPr>
          </w:p>
        </w:tc>
        <w:tc>
          <w:tcPr>
            <w:tcW w:w="90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238,238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302,327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596,106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cost and fair value of investments as of September 30, 2021 and December 31, 2020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As of September 30, 2021</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238,238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12,233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Commercial papers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302,303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302,327</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investments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596,106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1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91,999</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investments</w:t>
            </w:r>
          </w:p>
        </w:tc>
        <w:tc>
          <w:tcPr>
            <w:tcW w:w="156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562,089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Company’s available-for-sale debt securities by contractual maturity (in thousands):</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Amortized 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One year to two years</w:t>
            </w:r>
          </w:p>
        </w:tc>
        <w:tc>
          <w:tcPr>
            <w:tcW w:w="2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78,278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investments</w:t>
            </w:r>
          </w:p>
        </w:tc>
        <w:tc>
          <w:tcPr>
            <w:tcW w:w="2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596,113</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All available-for-sale securities held as of September 30, 2021 and December 31, 2020 had contractual maturities of less than two years. No significant available-for-sale securities held as of the periods presented have been in a continuous unrealized loss position for more than 12 months. As of September 30, 2021, unrealized losses on available-for-sale investments are not attributed to credit risk. The Company determined that it has the ability and intent to hold all marketable securities that have been in a continuous loss position until maturity or recovery. To date, the Company has not recorded any impairment charges on its marketable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PROPERTY AND EQUIPMENT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60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2,573</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Computer software</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56,758</w:t>
            </w: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 cost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95,378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64,737</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59,159</w:t>
            </w:r>
          </w:p>
        </w:tc>
      </w:tr>
      <w:tr>
        <w:trPr>
          <w:trHeight w:val="20"/>
        </w:trPr>
        <w:tc>
          <w:tcPr>
            <w:tcW w:w="5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92"/>
        <w:spacing w:after="0" w:line="257" w:lineRule="auto"/>
        <w:rPr>
          <w:sz w:val="20"/>
          <w:szCs w:val="20"/>
          <w:color w:val="auto"/>
        </w:rPr>
      </w:pPr>
      <w:r>
        <w:rPr>
          <w:rFonts w:ascii="Arial" w:cs="Arial" w:eastAsia="Arial" w:hAnsi="Arial"/>
          <w:sz w:val="18"/>
          <w:szCs w:val="18"/>
          <w:color w:val="auto"/>
        </w:rPr>
        <w:t xml:space="preserve">Depreciation expense for the three months ended September 30, 2021 and 2020, was $1.0 million and $0.3 million, respectively. Depreciation expense for the nine months ended September 30, 2021 and 2020 was $1.8 million and $0.8 million, respectively. During the three months ended September 30, 2021, the Company placed $62.3 million of assets related to the </w:t>
      </w:r>
      <w:r>
        <w:rPr>
          <w:rFonts w:ascii="Arial" w:cs="Arial" w:eastAsia="Arial" w:hAnsi="Arial"/>
          <w:sz w:val="18"/>
          <w:szCs w:val="18"/>
          <w:i w:val="1"/>
          <w:iCs w:val="1"/>
          <w:color w:val="auto"/>
        </w:rPr>
        <w:t>i</w:t>
      </w:r>
      <w:r>
        <w:rPr>
          <w:rFonts w:ascii="Arial" w:cs="Arial" w:eastAsia="Arial" w:hAnsi="Arial"/>
          <w:sz w:val="18"/>
          <w:szCs w:val="18"/>
          <w:color w:val="auto"/>
        </w:rPr>
        <w:t>CTC in service and initiated depreciation of these assets. The depreciation expense related to these assets for the three and nine months ended September 30, 2021 was $0.7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EXPENSES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vMerge w:val="restart"/>
          </w:tcPr>
          <w:p>
            <w:pPr>
              <w:spacing w:after="0"/>
              <w:rPr>
                <w:sz w:val="12"/>
                <w:szCs w:val="12"/>
                <w:color w:val="auto"/>
              </w:rPr>
            </w:pPr>
          </w:p>
        </w:tc>
        <w:tc>
          <w:tcPr>
            <w:tcW w:w="3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25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Accrued payroll and employee related expenses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9,032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R&amp;D manufacturing related</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Facilities related</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2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expenses</w:t>
            </w:r>
          </w:p>
        </w:tc>
        <w:tc>
          <w:tcPr>
            <w:tcW w:w="2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20" w:type="dxa"/>
            <w:vAlign w:val="bottom"/>
            <w:vMerge w:val="restart"/>
          </w:tcPr>
          <w:p>
            <w:pPr>
              <w:jc w:val="right"/>
              <w:ind w:right="1836"/>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jc w:val="both"/>
        <w:ind w:right="260" w:firstLine="492"/>
        <w:spacing w:after="0" w:line="263" w:lineRule="auto"/>
        <w:rPr>
          <w:sz w:val="20"/>
          <w:szCs w:val="20"/>
          <w:color w:val="auto"/>
        </w:rPr>
      </w:pPr>
      <w:r>
        <w:rPr>
          <w:rFonts w:ascii="Arial" w:cs="Arial" w:eastAsia="Arial" w:hAnsi="Arial"/>
          <w:sz w:val="18"/>
          <w:szCs w:val="18"/>
          <w:color w:val="auto"/>
        </w:rPr>
        <w:t>The Company’s certificate of incorporation, as amended, authorizes the issuance of up to 300,000,000 shares of the Company’s common stock, par value $0.000041666. As of September 30, 2021, 156,702,653 shares of the Company’s common stock were issued and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85"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In June 2020, the Company closed an underwritten public offering of 16,935,484 shares of the Company’s common stock at a public offering price of $31.00 per share, before underwriting discounts, which included 2,540,322 shares issued upon the exercise in full by the underwriter of its option to purchase additional shares at the public offering price less the underwriting discount (the "June 2020 Public Offering"). The gross proceeds from the offering, before deducting the underwriting discounts and commissions and other offering expenses payable by the Company, were $603.7 million, with net proceeds to the Company of $567.0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200" w:firstLine="492"/>
        <w:spacing w:after="0" w:line="311" w:lineRule="auto"/>
        <w:rPr>
          <w:sz w:val="20"/>
          <w:szCs w:val="20"/>
          <w:color w:val="auto"/>
        </w:rPr>
      </w:pPr>
      <w:r>
        <w:rPr>
          <w:rFonts w:ascii="Arial" w:cs="Arial" w:eastAsia="Arial" w:hAnsi="Arial"/>
          <w:sz w:val="16"/>
          <w:szCs w:val="16"/>
          <w:color w:val="auto"/>
        </w:rPr>
        <w:t>The Company’s certificate of incorporation authorizes the issuance of up to 50,000,000 shares of “blank check” preferred stock. As of September 30, 2021, 17,000 shares were designated as Series A Convertible Preferred Stock (“Series A Convertible Preferred Stock”) and 11,500,000 shares were designated as Series B Convertible Preferred Stock (“Series B Convertible Preferred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9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1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37"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during the nine months ended September 30, 2021 or 2020. As of September 30, 2021, and December 31, 2020, 194 shares of Series A Convertible Preferred Stock (that are convertible into 97,000 shares of common stock) remained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17"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During the nine months ended September 30, 2021, a total of 738,961 of Series B Convertible Preferred Stock were converted into 738,961 shares of common stock. No shares of Series B Convertible Preferred Stock were converted during the nine months ended September 30, 2020. As of September 30, 2021, and December 31, 2020, 2,842,158 and 3,581,119 shares of Series B Preferred Stock (that are convertible into 2,842,158 and 3,581,119 shares of common stock) remained outstanding,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 Program</w:t>
      </w:r>
    </w:p>
    <w:p>
      <w:pPr>
        <w:spacing w:after="0" w:line="198" w:lineRule="exact"/>
        <w:rPr>
          <w:sz w:val="20"/>
          <w:szCs w:val="20"/>
          <w:color w:val="auto"/>
        </w:rPr>
      </w:pPr>
    </w:p>
    <w:p>
      <w:pPr>
        <w:ind w:right="20" w:firstLine="492"/>
        <w:spacing w:after="0" w:line="273" w:lineRule="auto"/>
        <w:rPr>
          <w:sz w:val="20"/>
          <w:szCs w:val="20"/>
          <w:color w:val="auto"/>
        </w:rPr>
      </w:pPr>
      <w:r>
        <w:rPr>
          <w:rFonts w:ascii="Arial" w:cs="Arial" w:eastAsia="Arial" w:hAnsi="Arial"/>
          <w:sz w:val="17"/>
          <w:szCs w:val="17"/>
          <w:color w:val="auto"/>
        </w:rPr>
        <w:t>On February 8, 2021, the Company entered into an Open Market Sale Agreement (the “Sales Agreement”) with Jefferies LLC (“Jefferies”) with respect to an “at the market” offering program, under which the Company may, from time to time, in its sole discretion, issue and sell through Jefferies, acting as sales agent, up to $350.0 million of shares of the Company’s common stock (the “Common Shares”). The issuance and sale, if any, of the Common Shares by the Company under the Sales Agreement will be made pursuant to a prospectus supplement, dated February 8, 2021, to the Company’s Registration Statement on Form S-3ASR, which became effective immediately upon filing with the Securities and Exchange Commission on May 27, 2020.</w:t>
      </w:r>
    </w:p>
    <w:p>
      <w:pPr>
        <w:spacing w:after="0" w:line="137"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Pursuant to the Sales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w:t>
      </w:r>
    </w:p>
    <w:p>
      <w:pPr>
        <w:spacing w:after="0" w:line="117"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The Company will pay Jefferies a commission of up to 3.0% of the gross sales proceeds of any Common Shares sold through Jefferies under the Sales Agreement.</w:t>
      </w:r>
    </w:p>
    <w:p>
      <w:pPr>
        <w:spacing w:after="0" w:line="143" w:lineRule="exact"/>
        <w:rPr>
          <w:sz w:val="20"/>
          <w:szCs w:val="20"/>
          <w:color w:val="auto"/>
        </w:rPr>
      </w:pPr>
    </w:p>
    <w:p>
      <w:pPr>
        <w:ind w:right="480" w:firstLine="492"/>
        <w:spacing w:after="0" w:line="311" w:lineRule="auto"/>
        <w:rPr>
          <w:sz w:val="20"/>
          <w:szCs w:val="20"/>
          <w:color w:val="auto"/>
        </w:rPr>
      </w:pPr>
      <w:r>
        <w:rPr>
          <w:rFonts w:ascii="Arial" w:cs="Arial" w:eastAsia="Arial" w:hAnsi="Arial"/>
          <w:sz w:val="16"/>
          <w:szCs w:val="16"/>
          <w:color w:val="auto"/>
        </w:rPr>
        <w:t>The Company is not obligated to make any sales of Common Shares under the Sales Agreement. The offering of Common Shares pursuant to the Sales Agreement will terminate upon the earlier to occur of (i) the issuance and sale, through Jefferies, of all Common Shares subject to the Sales Agreement and (ii) termination of the Sales Agreement in accordance with its terms.</w:t>
      </w:r>
    </w:p>
    <w:p>
      <w:pPr>
        <w:spacing w:after="0" w:line="108" w:lineRule="exact"/>
        <w:rPr>
          <w:sz w:val="20"/>
          <w:szCs w:val="20"/>
          <w:color w:val="auto"/>
        </w:rPr>
      </w:pPr>
    </w:p>
    <w:p>
      <w:pPr>
        <w:ind w:right="160" w:firstLine="492"/>
        <w:spacing w:after="0" w:line="311" w:lineRule="auto"/>
        <w:rPr>
          <w:sz w:val="20"/>
          <w:szCs w:val="20"/>
          <w:color w:val="auto"/>
        </w:rPr>
      </w:pPr>
      <w:r>
        <w:rPr>
          <w:rFonts w:ascii="Arial" w:cs="Arial" w:eastAsia="Arial" w:hAnsi="Arial"/>
          <w:sz w:val="16"/>
          <w:szCs w:val="16"/>
          <w:color w:val="auto"/>
        </w:rPr>
        <w:t>For the nine months ended September 30, 2021, the Company received approximately $203.2 million in net proceeds, net of offering costs, through the sale of 6,474,099 shares of its common stock through the Sales Agreement at a weighted average price per share of $32.12, respectively. No sales were made pursuant to the Sales Agreement during the three months ended September 30,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STOCK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On October 14, 2011, the Company’s Board of Directors (the “Board”)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Board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Board amended the 2011 Plan to increase the number of shares available for issuance upon the exercise of stock options under the 2011 Plan from 1,700,000 to 1,900,000 shares, effective immediately. As of September 30, 2021, 11,240 shares were available for future grant under the 2011 Plan. Per the terms of the 2011 Plan, no equity awards may be granted under the 2011 Plan after the ten-year anniversary of the plan’s adoption by the Board.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September 19, 2014, the Board adopted the Iovance Biotherapeutics, Inc. 2014 Equity Incentive Plan (the “2014 Plan”).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Plan was approved by the Company’s stockholders at the Company’s 2014 Annual Meeting of Stockholders held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November 2014. The 2014 Plan, as approved by the stockholders, authorized the issuance up to an aggregate of 2,350,000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On April 10, 2015, the Board amended the 2014 Plan to increase the total number of shares that can be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2014 Plan to 4,000,000 shares of the Company’s common stock. The increase in shares available for issuance under the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was approved by the Company’s stockholders at the Company’s 2015 Annual Meeting of Stockholders in June 2015.</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8"/>
          <w:szCs w:val="18"/>
          <w:color w:val="auto"/>
        </w:rPr>
        <w:t>On August 16, 2016, the Company’s stockholders approved an increase in the total number of shares that can be issued under the 2014 Plan to 9,000,000 shares of the Company’s common stock. As of September 30, 2021, 80,551 shares were available for grant under the 2014 Plan.</w:t>
      </w:r>
    </w:p>
    <w:p>
      <w:pPr>
        <w:spacing w:after="0" w:line="14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April 22, 2018, the Board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As of September 30, 2021, 3,792,680 shares of common stock were available for grant under the 2018 Plan.</w:t>
      </w:r>
    </w:p>
    <w:p>
      <w:pPr>
        <w:spacing w:after="0" w:line="151"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Nasdaq listing rules.</w:t>
      </w:r>
    </w:p>
    <w:p>
      <w:pPr>
        <w:spacing w:after="0" w:line="12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The Board has reserved 1,000,000 shares of the Company’s common stock for issuance pursuant to equity awards granted under the 2021 Inducement Plan, and the 2021 Inducement Plan will be administered by the Compensation Committee. 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September 30, 2021, 1,000,000 shares of common stock were available for grant under the Inducement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stock option activity during the nine months ended September 30, 2021, is presented in the following table:</w:t>
      </w:r>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1"/>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Exercise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12,615,638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5,023,599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(2,542,018)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Outstanding and vested as of September 30, 2021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12,537,858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September 30,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6,233,363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(calculated as the difference between the Company’s closing stock price on the last trading day of the quarter ended September 30, 2021 and the exercise price of the options, multiplied by the number of in-the-money stock options) that would have been received by the option holders had all option holders exercised their options on September 30, 2021. The intrinsic value of the Company’s stock options changes based on the closing price of the Company’s common stock.</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right="140" w:firstLine="492"/>
        <w:spacing w:after="0" w:line="342" w:lineRule="auto"/>
        <w:rPr>
          <w:sz w:val="20"/>
          <w:szCs w:val="20"/>
          <w:color w:val="auto"/>
        </w:rPr>
      </w:pPr>
      <w:r>
        <w:rPr>
          <w:rFonts w:ascii="Arial" w:cs="Arial" w:eastAsia="Arial" w:hAnsi="Arial"/>
          <w:sz w:val="16"/>
          <w:szCs w:val="16"/>
          <w:color w:val="auto"/>
        </w:rPr>
        <w:t>In June 2020, the Company adopted the 2020 ESPP upon its approval by the Company’s shareholders at its Annual Stockholders Meeting on June 8, 2020. The Company reserved 500,000 shares of its common stock for issuance under the 2020 ESPP.</w:t>
      </w:r>
    </w:p>
    <w:p>
      <w:pPr>
        <w:spacing w:after="0" w:line="97"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 month look-back feature. The 2020 ESPP purchases are settled with common stock from the 2020 ESPP’s previously authorized and available pool of shares.</w:t>
      </w:r>
    </w:p>
    <w:p>
      <w:pPr>
        <w:spacing w:after="0" w:line="131" w:lineRule="exact"/>
        <w:rPr>
          <w:sz w:val="20"/>
          <w:szCs w:val="20"/>
          <w:color w:val="auto"/>
        </w:rPr>
      </w:pPr>
    </w:p>
    <w:p>
      <w:pPr>
        <w:ind w:right="80" w:firstLine="492"/>
        <w:spacing w:after="0" w:line="279" w:lineRule="auto"/>
        <w:rPr>
          <w:sz w:val="20"/>
          <w:szCs w:val="20"/>
          <w:color w:val="auto"/>
        </w:rPr>
      </w:pPr>
      <w:r>
        <w:rPr>
          <w:rFonts w:ascii="Arial" w:cs="Arial" w:eastAsia="Arial" w:hAnsi="Arial"/>
          <w:sz w:val="17"/>
          <w:szCs w:val="17"/>
          <w:color w:val="auto"/>
        </w:rPr>
        <w:t>The compensation expenses related to the 2020 ESPP for the three and nine months ended September 30, 2021 were $0.2 million and $1.0 million, respectively. No compensation expenses related to the 2020 ESPP were recognized for the same periods in 2020. As of September 30, 2021, 55,315 shares were issued under the 2020 ESPP and there was $0.1 million of unrecognized compensation cost associated with the 2020 ESPP, which will be recognized over the remaining 2.3 months.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On June 1, 2016, the Company entered into an RSU agreement with the Company’s former Chief Executive Officer, Maria Fardis, Ph.D., M.B.A., pursuant to which the Company granted Dr. Fardis 550,000 non-transferrable RSUs at a fair market value price of $5.87 per share as an inducement to her employment pursuant to the exception to The Nasdaq Global Market rules that generally require stockholder approval of equity incentive plans. The 550,000 RSUs vested in installments as follows: (i) 137,500 restricted stock units vested upon the first anniversary of the effective date of Dr. Fardis’ employment agreement; (ii) 275,000 restricted stock units vested upon the satisfaction of certain clinical trial milestones; and (iii) 137,500 restricted stock units vested in equal monthly installments over the 36-month period following the first anniversary of the effective date of Dr. Fardis’ employment. These RSUs were fully vested as of June 1, 2020 and no RSUs associated with this agreement were outstanding as of September 30, 2021 or December 31, 2020.</w:t>
      </w:r>
    </w:p>
    <w:p>
      <w:pPr>
        <w:spacing w:after="0" w:line="125"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In June 2021, under the terms of the 2018 Plan, the Company granted 1,253,540 RSUs to its executives and employees. The awards are time-based, and each award has one of two vesting conditions. For some RSU awards, 100% of the RSUs will vest on the first anniversary of the grant date, and for others, 50% of the RSUs will vest on the first anniversary of the grant date with the remaining 50% vesting on December 31, 2022, assuming all time-based conditions are achieved.</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RSU activity during the nine months ended September 30, 2021 is presented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as of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1,253,540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Canceled/Forfeited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(93,240)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as of September 30,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1,160,300</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492"/>
        <w:spacing w:after="0" w:line="263" w:lineRule="auto"/>
        <w:rPr>
          <w:sz w:val="20"/>
          <w:szCs w:val="20"/>
          <w:color w:val="auto"/>
        </w:rPr>
      </w:pPr>
      <w:r>
        <w:rPr>
          <w:rFonts w:ascii="Arial" w:cs="Arial" w:eastAsia="Arial" w:hAnsi="Arial"/>
          <w:sz w:val="18"/>
          <w:szCs w:val="18"/>
          <w:color w:val="auto"/>
        </w:rPr>
        <w:t>As of September 30, 2021, there was $20.8 million of related unrecognized compensation cost associated with RSUs, which the Company expects to recognize over a remaining weighted-average period of 0.88 years. The aggregate intrinsic value of the nonvested RSUs outstanding as of September 30, 2021 was $28.6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stock-based compensation expenses related to all of the Company’s stock-based awards were recorded on the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CCEEFF"/>
            </w:tcBorders>
            <w:shd w:val="clear" w:color="auto" w:fill="CCEEFF"/>
          </w:tcPr>
          <w:p>
            <w:pPr>
              <w:spacing w:after="0"/>
              <w:rPr>
                <w:sz w:val="12"/>
                <w:szCs w:val="12"/>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11,504</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5,282</w:t>
            </w:r>
          </w:p>
        </w:tc>
        <w:tc>
          <w:tcPr>
            <w:tcW w:w="4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29,291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15,065</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15,590</w:t>
            </w:r>
          </w:p>
        </w:tc>
        <w:tc>
          <w:tcPr>
            <w:tcW w:w="20" w:type="dxa"/>
            <w:vAlign w:val="bottom"/>
            <w:shd w:val="clear" w:color="auto" w:fill="CCEEFF"/>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Total stock-based compensation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10,706</w:t>
            </w: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2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expense by type of award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142"/>
        </w:trPr>
        <w:tc>
          <w:tcPr>
            <w:tcW w:w="54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5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7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shd w:val="clear" w:color="auto" w:fill="CCEEFF"/>
          </w:tcPr>
          <w:p>
            <w:pPr>
              <w:spacing w:after="0"/>
              <w:rPr>
                <w:sz w:val="12"/>
                <w:szCs w:val="12"/>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Stock option expenses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13,339</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10,706</w:t>
            </w:r>
          </w:p>
        </w:tc>
        <w:tc>
          <w:tcPr>
            <w:tcW w:w="1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42,782</w:t>
            </w:r>
          </w:p>
        </w:tc>
        <w:tc>
          <w:tcPr>
            <w:tcW w:w="20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30,543</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2020 ESPP expenses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492"/>
        <w:spacing w:after="0" w:line="277" w:lineRule="auto"/>
        <w:rPr>
          <w:sz w:val="20"/>
          <w:szCs w:val="20"/>
          <w:color w:val="auto"/>
        </w:rPr>
      </w:pPr>
      <w:r>
        <w:rPr>
          <w:rFonts w:ascii="Arial" w:cs="Arial" w:eastAsia="Arial" w:hAnsi="Arial"/>
          <w:sz w:val="18"/>
          <w:szCs w:val="18"/>
          <w:color w:val="auto"/>
        </w:rPr>
        <w:t>As of September 30, 2021, there was $105.1 million of total unrecognized compensation expense related to the options to be recognized over a weighted average period of 1.93 years.</w:t>
      </w:r>
    </w:p>
    <w:p>
      <w:pPr>
        <w:spacing w:after="0" w:line="143"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nine months ended September 30, 2021 and 2020 was $23.29 and $16.37 per option,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LICENSES AND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(the “NIH”) and the National Cancer Institute (the “NCI”)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(the “CRADA”)</w:t>
      </w:r>
    </w:p>
    <w:p>
      <w:pPr>
        <w:spacing w:after="0" w:line="185" w:lineRule="exact"/>
        <w:rPr>
          <w:sz w:val="20"/>
          <w:szCs w:val="20"/>
          <w:color w:val="auto"/>
        </w:rPr>
      </w:pPr>
    </w:p>
    <w:p>
      <w:pPr>
        <w:ind w:right="560" w:firstLine="492"/>
        <w:spacing w:after="0" w:line="277" w:lineRule="auto"/>
        <w:rPr>
          <w:sz w:val="20"/>
          <w:szCs w:val="20"/>
          <w:color w:val="auto"/>
        </w:rPr>
      </w:pPr>
      <w:r>
        <w:rPr>
          <w:rFonts w:ascii="Arial" w:cs="Arial" w:eastAsia="Arial" w:hAnsi="Arial"/>
          <w:sz w:val="18"/>
          <w:szCs w:val="18"/>
          <w:color w:val="auto"/>
        </w:rPr>
        <w:t>In August 2011, the Company signed the CRADA for a five-year term with the NCI to work with Dr. Steven Rosenberg on developing TIL therapies that are designed to destroy metastatic melanoma cells.</w:t>
      </w:r>
    </w:p>
    <w:p>
      <w:pPr>
        <w:spacing w:after="0" w:line="130"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cancers associated with Human Papilloma Virus (“HPV”).</w:t>
      </w:r>
    </w:p>
    <w:p>
      <w:pPr>
        <w:spacing w:after="0" w:line="15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August 2016, the NCI and the Company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products licensed by the U.S. Food and Drug Administration (the “FDA”) and commercially available reagents routinely used for adoptive cell therapy. The parties have continued the development of improved methods for the generation and selection of TIL with anti-tumor reactivity in metastatic melanoma, bladder, lung, breast, and HPV-associated cancers.</w:t>
      </w:r>
    </w:p>
    <w:p>
      <w:pPr>
        <w:spacing w:after="0" w:line="152"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In August 2021, the NCI and the Company entered into a third amendment to the CRADA. The third amendment, among other things, extended the term of the CRADA by three years to August 2024.</w:t>
      </w:r>
    </w:p>
    <w:p>
      <w:pPr>
        <w:spacing w:after="0" w:line="130" w:lineRule="exact"/>
        <w:rPr>
          <w:sz w:val="20"/>
          <w:szCs w:val="20"/>
          <w:color w:val="auto"/>
        </w:rPr>
      </w:pPr>
    </w:p>
    <w:p>
      <w:pPr>
        <w:ind w:right="220" w:firstLine="537"/>
        <w:spacing w:after="0" w:line="296" w:lineRule="auto"/>
        <w:rPr>
          <w:sz w:val="20"/>
          <w:szCs w:val="20"/>
          <w:color w:val="auto"/>
        </w:rPr>
      </w:pPr>
      <w:r>
        <w:rPr>
          <w:rFonts w:ascii="Arial" w:cs="Arial" w:eastAsia="Arial" w:hAnsi="Arial"/>
          <w:sz w:val="16"/>
          <w:szCs w:val="16"/>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and suitable for use in clinical trials, where the Company holds the investigational new drug application for such clinical trial. The</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September 30, 2021 and 2020, and $1.5 million for the nine months ended September 30, 2021 and 2020 respectively, as 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98" w:lineRule="exact"/>
        <w:rPr>
          <w:sz w:val="20"/>
          <w:szCs w:val="20"/>
          <w:color w:val="auto"/>
        </w:rPr>
      </w:pPr>
    </w:p>
    <w:p>
      <w:pPr>
        <w:ind w:right="60" w:firstLine="492"/>
        <w:spacing w:after="0" w:line="270" w:lineRule="auto"/>
        <w:rPr>
          <w:sz w:val="20"/>
          <w:szCs w:val="20"/>
          <w:color w:val="auto"/>
        </w:rPr>
      </w:pPr>
      <w:r>
        <w:rPr>
          <w:rFonts w:ascii="Arial" w:cs="Arial" w:eastAsia="Arial" w:hAnsi="Arial"/>
          <w:sz w:val="17"/>
          <w:szCs w:val="17"/>
          <w:color w:val="auto"/>
        </w:rPr>
        <w:t>Effective October 5, 2011, the Company entered into an Exclusive Patent License Agreement (the “Patent License Agreement”) with the NIH, an agency of the U.S. Public Health Service within the Department of Health and Human Services, which was subsequently amended on February 9, 2015 and October 2, 2015. Pursuant to the Patent License Agreement, as amended, the NIH granted the Company licenses, including exclusive, co-exclusive, and non-exclusive licenses, to certain technologies relating to autologous TIL adoptive cell therapy products for the treatment of metastatic melanoma, lung, breast, bladder, and HPV-positive cancers (the “Indications”). The Patent License Agreement required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Indications and other direct costs incurred by the NIH pursuant to the agreement.</w:t>
      </w:r>
    </w:p>
    <w:p>
      <w:pPr>
        <w:spacing w:after="0" w:line="140"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Effective May 6, 2021, the Company entered into an Amended and Restated Patent License Agreement with NIH (the “Amended and Restated Patent License Agreement”), which includes the grant of additional exclusive, worldwide patent rights in the Indications to cytokine-tethered TIL technology, and expands the non-exclusive, worldwide field of use to all cancers. The Amended and Restated Patent License Agreement requires the Company to pay royalties based on a percentage of net sales in jurisdictions where patent rights exist, which percentage can fall into a tier that may be less than one percent to mid-single digits depending upon certain events, including the exclusivity of the rights, and a percentage of revenues from sublicensing arrangements,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Amended and Restated Patent License Agreement. The Company anticipates making a milestone payment in the low single-digit millions of dollars in conjunction with the approval of a Biologics License Application for any of its product candidates covered by the Amended and Restated Patent License Agreement. The term of the Amended and Restated Patent License Agreement continues until the expiry of the last-to-expire patent rights licensed thereunder, and the agreement contains standard termination provisions.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98"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U.S., and the first commercial sale of a licensed product or process in any foreign country.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In December 2016, the Company entered into a three-year Sponsored Research Agreement with H. Lee Moffitt Cancer Center (“Moffitt”) which expired in December 2019. In June 2020, the Company entered into a new Sponsored Research Agreement with Moffitt, with a term that ends either upon completion of the research thereunder or on July 1, 2022, whichever is sooner, and under which immaterial payments will be made to Moffitt in connection with the research services thereunder.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inventions made in the performance of the agreement. Under both clinical grant agreements with Moffit, the Company has non-exclusive rights to clinical data arising from the respective clinical trials. The Company recorded a de minimis amount and $0.1 million of research and development costs of for the three months ended September 30, 2021 and 2020 respectively, and $0.3 million for the nine months ended September 30, 2021 and $0.5 million for the nine months ended September 30, 2020, respectively, in connection with the research collaboration and clinical grant agreements with Moffitt.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98"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17" w:lineRule="exact"/>
        <w:rPr>
          <w:sz w:val="20"/>
          <w:szCs w:val="20"/>
          <w:color w:val="auto"/>
        </w:rPr>
      </w:pPr>
    </w:p>
    <w:p>
      <w:pPr>
        <w:ind w:right="100" w:firstLine="492"/>
        <w:spacing w:after="0" w:line="269" w:lineRule="auto"/>
        <w:rPr>
          <w:sz w:val="20"/>
          <w:szCs w:val="20"/>
          <w:color w:val="auto"/>
        </w:rPr>
      </w:pPr>
      <w:r>
        <w:rPr>
          <w:rFonts w:ascii="Arial" w:cs="Arial" w:eastAsia="Arial" w:hAnsi="Arial"/>
          <w:sz w:val="17"/>
          <w:szCs w:val="17"/>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three and nine months ended September 30, 2021 and 2020.</w:t>
      </w:r>
    </w:p>
    <w:p>
      <w:pPr>
        <w:spacing w:after="0" w:line="145"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The Company entered into a license agreement with Moffitt effective as of May 7, 2018 (the “Second Moffitt License”), under which the Company received an exclusive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In addition, the Company agreed to pay an annual commercial use payment for each indication for which a first sale has occurred. The Company subsequently exercised its option to exclusively license Moffitt’s rights to patent pending technologies related to the use of tumor digests in conjunction with TIL manufacturing processes and therapies, and the Company and Moffitt amended and restated the Second Moffitt License in October 2021 (the “Amended &amp; Restated Second Moffitt License”) to include these rights. Pursuant to the Amended &amp; Restated Second Moffitt License, the Company is obligated to pay an upfront licensing fee in the amount of $0.2 million in 2021. In addition, the Company agreed to pay an annual commercial use payment for each indication for which a first sale has occurred for products relating to the use of 4-1BB agonists and for products relating to the use of tumor digests. The Company recorded a de minimis amount for the three months ended September 30, 2021 and 2020, respectively, and a de minimis amount for the nine months ended September 30, 2021 and 2020, respectively, as research and development expenses in connection with the Second Moffit License.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100" w:firstLine="492"/>
        <w:spacing w:after="0" w:line="269" w:lineRule="auto"/>
        <w:rPr>
          <w:sz w:val="20"/>
          <w:szCs w:val="20"/>
          <w:color w:val="auto"/>
        </w:rPr>
      </w:pPr>
      <w:r>
        <w:rPr>
          <w:rFonts w:ascii="Arial" w:cs="Arial" w:eastAsia="Arial" w:hAnsi="Arial"/>
          <w:sz w:val="17"/>
          <w:szCs w:val="17"/>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The Company recorded $0.1 million and $0.3 million expenses associated with the MDACC SAA for the three months ended September 30, 2021 and 2020, respectively, and $0.2 million and $0.5 million for the nine months ended September 30, 2021 and 2020, respectively, as research and development expenses.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 Inc.</w:t>
      </w:r>
    </w:p>
    <w:p>
      <w:pPr>
        <w:spacing w:after="0" w:line="18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November 2016, the Company entered into a three-year manufacturing and services agreement (“MSA”) with WuXi AppTec, Inc. (“WuXi”) pursuant to which WuXi agreed to provide manufacturing and other services, which has since been amended and assigned to its subsidiary Iovance Biotherapeutics Manufacturing LLC. Under the agreement, the Company entered into two statements of work for two cGMP manufacturing suites to be established and operated by WuXi for the Company, both suites are expected to be capable of being used for the commercial manufacture of its products. The statements of work for the first suite were amended in 2019, September 2020 and February 2021, and the statement of work for the second suite was amended in 2019. The statements of work for the facility include a fixed component to reserve a dedicated suite and a trained work force, and a variable component, mainly materials and testing used during the manufacturing processes. Both statements of work provide for adjustments to the targeted production capacity levels and the corresponding fixed fees upon written notice from the Company of 30 days and 90 days for the first and second suites, respectively. The terms of the related statements of work for the first suite currently extends to February 2022 and the terms of the second manufacturing suite were extended to December 2022.</w:t>
      </w:r>
    </w:p>
    <w:p>
      <w:pPr>
        <w:spacing w:after="0" w:line="155"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The Company recorded costs associated with agreements with WuXi of $4.5 million and $2.8 million for the three months ended September 30, 2021 and 2020, respectively, and $12.7 million and $16.2 million for the nine months ended September 30, 2021 and 2020, respectively, as research and development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S.A.</w:t>
      </w:r>
    </w:p>
    <w:p>
      <w:pPr>
        <w:spacing w:after="0" w:line="189"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On January 12, 2020, the Company entered into a research collaboration and exclusive worldwide license agreement whereby the Company will license gene-editing technology from Cellectis S.A. ("Cellectis"), a clinical-stage biopharmaceutical company, to develop TIL therapies that have been genetically edited. Financial terms of the license include development, regulatory and sales milestone payments from the Company to Cellectis, as well as royalty payments based on net sales of TALEN-modified TIL products. The Company recorded costs associated with agreements with Cellectis of $0.1 million for the three months ended September 30, 2021 and 2020 and $0.3 million for the nine months ended September 30, 2021 and 2020, respectively, as research and development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w:t>
      </w:r>
    </w:p>
    <w:p>
      <w:pPr>
        <w:spacing w:after="0" w:line="189"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On January 12,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No expenses were recorded for the three and nine months ended September 30, 2021. The Company recorded costs associated with the license agreement from Novartis of $10.0 million as research and development expenses for the nine months ended September 30,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LEGAL PROCEEDINGS</w:t>
      </w:r>
    </w:p>
    <w:p>
      <w:pPr>
        <w:spacing w:after="0" w:line="189"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u w:val="single" w:color="auto"/>
          <w:color w:val="auto"/>
        </w:rPr>
        <w:t>Derivative Lawsuit.</w:t>
      </w:r>
      <w:r>
        <w:rPr>
          <w:rFonts w:ascii="Arial" w:cs="Arial" w:eastAsia="Arial" w:hAnsi="Arial"/>
          <w:sz w:val="17"/>
          <w:szCs w:val="17"/>
          <w:color w:val="auto"/>
        </w:rPr>
        <w:t xml:space="preserve"> On December 11, 2020, a purported stockholder derivative complaint was filed by plaintiff Leo Shumacher against the Company, as nominal defendant, and its current directors, as defendants, in the Court of Chancery in the State of Delaware. The complaint alleges breach of fiduciary duty and a claim for unjust enrichment in connection with alleged excessive compensation of certain non-executive directors of the Company and seeks unspecified damages on behalf of the Company. The defendants intend to vigorously defend against the foregoing complaints. Based on the early stage of the litigation, it is not possible to estimate the amount or range of possible loss that might result from these matters.</w:t>
      </w:r>
    </w:p>
    <w:p>
      <w:pPr>
        <w:spacing w:after="0" w:line="151"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(“Solomon Plaintiffs”) against the Company in the Supreme Court of the State of New York, County of New York (index no. 651881/2016). The Solomon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w:t>
      </w:r>
    </w:p>
    <w:p>
      <w:pPr>
        <w:spacing w:after="0" w:line="141"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 xml:space="preserve">On September 27, 2019, the Solomon Plaintiffs filed a new lawsuit (through new legal counsel) (“the Second Solomon Suit”) titled </w:t>
      </w:r>
      <w:r>
        <w:rPr>
          <w:rFonts w:ascii="Arial" w:cs="Arial" w:eastAsia="Arial" w:hAnsi="Arial"/>
          <w:sz w:val="16"/>
          <w:szCs w:val="16"/>
          <w:i w:val="1"/>
          <w:iCs w:val="1"/>
          <w:color w:val="auto"/>
        </w:rPr>
        <w:t>Solomon Capital, LLC, Solomon Capital 401(K) Trust, Solomon Sharbat and Shelhav Raff v. Iovance Biotherapeutics, Inc., f/k/a/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f/k/a/ Genesis Biopharma Inc., and Manish Singh </w:t>
      </w:r>
      <w:r>
        <w:rPr>
          <w:rFonts w:ascii="Arial" w:cs="Arial" w:eastAsia="Arial" w:hAnsi="Arial"/>
          <w:sz w:val="16"/>
          <w:szCs w:val="16"/>
          <w:color w:val="auto"/>
        </w:rPr>
        <w:t>in the Supreme Court of the State of New York, County of</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March 26, 2021, the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June 25, 2021, the Solomon Plaintiffs filed an opposition brief against the motions for judgment on the pleadings. On July 16, 2021, the Company and Singh filed reply briefs in support of the motions for judgement on the pleadings.</w:t>
      </w:r>
    </w:p>
    <w:p>
      <w:pPr>
        <w:spacing w:after="0" w:line="142"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3"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02"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Headquarters Lease</w:t>
      </w:r>
    </w:p>
    <w:p>
      <w:pPr>
        <w:spacing w:after="0" w:line="198"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On February 8, 2021, the Company entered into a lease agreement with ARE-San Francisco No. 63, LLC (the “New Headquarters Lease”) for laboratories and offices to be constructed in Suite 400 of an existing building located at 825 Industrial Road, San Carlos, California (the “Building”), commonly known as The District. Under the New Headquarters Lease, the Company will lease approximately 49,918 rentable square feet of space in the Building (the “Headquarters Premises”). The New Headquarters Lease is for a term of 120 months, commencing upon the first day of the first full month (the “Rent Commencement Date”) after the earlier to occur of</w:t>
      </w:r>
    </w:p>
    <w:p>
      <w:pPr>
        <w:spacing w:after="0" w:line="2" w:lineRule="exact"/>
        <w:rPr>
          <w:sz w:val="20"/>
          <w:szCs w:val="20"/>
          <w:color w:val="auto"/>
        </w:rPr>
      </w:pPr>
    </w:p>
    <w:p>
      <w:pPr>
        <w:ind w:right="20" w:firstLine="8"/>
        <w:spacing w:after="0" w:line="268"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date that is 12 months and one day after the execution date of the New Headquarters Lease (the “Commencement Date”), which is February 9, 2022, or (ii) the date that the Tenant Improvements (as defined therein) are substantially completed, which is currently expected to be at the end of 2021; provided, however, that the Rent Commencement Date shall be delayed 1 day for each day after the Commencement Date that (a) to the extent that, after the Commencement Date, any governmental authority having jurisdiction, as a result of the COVID-19 outbreak in the United States, declares or implements any order or mandate that restricts construction activities in San Mateo County, California (any such order or mandate, a “Government Mandate”), to the extent that such Government Mandate precludes the construction of tenant improvements, or (b) a landlord delay occurs. The New Headquarters Lease includes an option to extend the term of the lease for 60 months, exercisable under certain conditions and at a market rate as described in the New Headquarters Lease.</w:t>
      </w:r>
    </w:p>
    <w:p>
      <w:pPr>
        <w:spacing w:after="0" w:line="141"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Commencing 210 days after the Rent Commencement Date as the result of a rent abatement, the Company’s monthly base rent under the New Headquarters Lease will be approximately $280,000, subject to an annual increase of 3%. Beginning in 2022, the Company will also be responsible for paying operating expenses.</w:t>
      </w:r>
    </w:p>
    <w:p>
      <w:pPr>
        <w:spacing w:after="0" w:line="143"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The 120-month term of the New Headquarters Lease is expected to commence in late 2021. Minimum rental payments under the New Headquarters Lease total $36.5 million, which does not include rental payments related to the Company’s one-time option to extend for an additional five years. In addition, the lessor provides for a tenant improvement allowance of up to $8.2 million, which is expected to be fully utilized. The tenant improvement allowance of $8.2 million was recorded as a reduction of Operating lease liabilities - noncurrent in the Condensed Consolidated Balance Sheets as of September 30, 2021. As of September 30, 2021, the Company recognized a $17.0 million right-of-use asset and a $16.7 million lease liability on its Consolidated Balance Sheets as of September 30, 2021 for the New Headquarters Lease, as the Company has obtained control over the use of the Headquarters Premises.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Existing Headquarters Leases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August 4, 2016, the Company entered into an agreement with Hudson Skyway Landing, LLC (the “Suite 150 Lease”) to lease</w:t>
      </w:r>
    </w:p>
    <w:p>
      <w:pPr>
        <w:spacing w:after="0" w:line="4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8,733 square feet of space for its corporate headquarters on the first floor of the building located at 999 Skyway Road, San Carlos, California commonly known as Skyway Landing II. The term of the Lease was 54 months beginning on the commencement date and expired in April 2021. Monthly lease payments were approximately $38,000.</w:t>
      </w:r>
    </w:p>
    <w:p>
      <w:pPr>
        <w:spacing w:after="0" w:line="149" w:lineRule="exact"/>
        <w:rPr>
          <w:sz w:val="20"/>
          <w:szCs w:val="20"/>
          <w:color w:val="auto"/>
        </w:rPr>
      </w:pPr>
    </w:p>
    <w:p>
      <w:pPr>
        <w:ind w:right="280" w:firstLine="492"/>
        <w:spacing w:after="0" w:line="263" w:lineRule="auto"/>
        <w:rPr>
          <w:sz w:val="20"/>
          <w:szCs w:val="20"/>
          <w:color w:val="auto"/>
        </w:rPr>
      </w:pPr>
      <w:r>
        <w:rPr>
          <w:rFonts w:ascii="Arial" w:cs="Arial" w:eastAsia="Arial" w:hAnsi="Arial"/>
          <w:sz w:val="18"/>
          <w:szCs w:val="18"/>
          <w:color w:val="auto"/>
        </w:rPr>
        <w:t>On October 19, 2018, the Company entered into an agreement (the “Lease”) to lease 12,322 square feet of office space located adjacent to the Company’s headquarters in San Carlos, California. The term of the lease expired on April 30, 2021. Monthly lease payments were approximately $59,000, subject to an annual increase of 3%.</w:t>
      </w:r>
    </w:p>
    <w:p>
      <w:pPr>
        <w:spacing w:after="0" w:line="157" w:lineRule="exact"/>
        <w:rPr>
          <w:sz w:val="20"/>
          <w:szCs w:val="20"/>
          <w:color w:val="auto"/>
        </w:rPr>
      </w:pPr>
    </w:p>
    <w:p>
      <w:pPr>
        <w:ind w:right="200" w:firstLine="492"/>
        <w:spacing w:after="0" w:line="257" w:lineRule="auto"/>
        <w:rPr>
          <w:sz w:val="20"/>
          <w:szCs w:val="20"/>
          <w:color w:val="auto"/>
        </w:rPr>
      </w:pPr>
      <w:r>
        <w:rPr>
          <w:rFonts w:ascii="Arial" w:cs="Arial" w:eastAsia="Arial" w:hAnsi="Arial"/>
          <w:sz w:val="18"/>
          <w:szCs w:val="18"/>
          <w:color w:val="auto"/>
        </w:rPr>
        <w:t>On June 19, 2019, the Company entered into a first amendment (the “Amended Lease”) to the Lease for additional space at its corporate headquarters in San Carlos, California. Under the Amended Lease, the Company leased an additional 8,110 square feet (the “Expansion Space”), for a total of approximately 20,432 square feet of space on the first floor of Skyway Landing II. The term of the Amended Lease expired on April 30, 2021. Monthly lease payments were approximately $39,000 for the first year and $40,000 for the second year.</w:t>
      </w:r>
    </w:p>
    <w:p>
      <w:pPr>
        <w:spacing w:after="0" w:line="147"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On February 8, 2021, the Company entered into two amendments (the “Suite 100 and 125 Second Amendment” and the “Suite 150 First Amendment”) to the Amended Lease and the Suite 150 Lease, respectively.</w:t>
      </w:r>
    </w:p>
    <w:p>
      <w:pPr>
        <w:spacing w:after="0" w:line="130" w:lineRule="exact"/>
        <w:rPr>
          <w:sz w:val="20"/>
          <w:szCs w:val="20"/>
          <w:color w:val="auto"/>
        </w:rPr>
      </w:pPr>
    </w:p>
    <w:p>
      <w:pPr>
        <w:ind w:right="200" w:firstLine="492"/>
        <w:spacing w:after="0" w:line="311" w:lineRule="auto"/>
        <w:rPr>
          <w:sz w:val="20"/>
          <w:szCs w:val="20"/>
          <w:color w:val="auto"/>
        </w:rPr>
      </w:pPr>
      <w:r>
        <w:rPr>
          <w:rFonts w:ascii="Arial" w:cs="Arial" w:eastAsia="Arial" w:hAnsi="Arial"/>
          <w:sz w:val="16"/>
          <w:szCs w:val="16"/>
          <w:color w:val="auto"/>
        </w:rPr>
        <w:t>Under the Suite 100 and Suite 125 Second Amendment, the Company extended the Amended Lease which expired on April 30, 2021, to December 31, 2021. The Company’s monthly base rent under the Suite 100 and Suite 125 Second Amendment will be approximately $103,000. The Company is also responsible for paying its portion of operating expenses and real estate taxes. The</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Company has an option to extend the expiration of the Suite 100 and Suite 125 Second Amendment for one month or nine months, at its discretion, by providing notice as specified in the Suite 100 and Suite 125 Second Amendment. On September 1, 2021, the Company entered into an agreement to extend the lease term to January 31, 2022 for approximately $106,300 a month.</w:t>
      </w:r>
    </w:p>
    <w:p>
      <w:pPr>
        <w:spacing w:after="0" w:line="125"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Under the Suite 150 First Amendment, the Company extended the Suite 150 Lease, which also expired on April 30, 2021, to December 31, 2021. The Company’s monthly base rent under the Suite 150 First Amendment is approximately $44,000. The Company is also responsible for paying its portion of operating expenses and real estate taxes. The Company has an option to extend the expiration of the Suite 150 First Amendment for one month or nine months, at its discretion, by providing notice as specified in the Suite 150 First Amendment. On September 1, 2021, the Company entered into an agreement to extend the lease term to January 31, 2022 for approximately $46,000 a month.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185"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had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47"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In December 2019, the Company entered into an agreement to extend the lease term to December 18, 2024 for approximately $20,500 a month.</w:t>
      </w:r>
    </w:p>
    <w:p>
      <w:pPr>
        <w:spacing w:after="0" w:line="16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In June 2020, the Company amended the lease agreement to further increase the rentable space to 13,139 square feet and extend the lease term to September 30, 2025 for approximately $34,500 a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Company leased office space in New York for a monthly rental of approximately $18,000 a month from January 2017 through July 2017. On June 5, 2017, the Company entered into an agreement to lease office space from August 1, 2017 to July 31, 2018, for approximately $9,000 a month. On April 20, 2018, the Company entered into an agreement to extend the lease term to January 31, 2019 for approximately $7,000 a month. On November 2, 2018, the Company entered into an agreement to extend the lease term to July 31, 2019 for approximately $4,000 a month. On May 1, 2019, the Company entered into an agreement to extend the lease term to January 31, 2020 for approximately $4,000 a month. On October 24, 2019, the Company entered into an agreement to extend the lease term to April 30, 2020 for approximately $4,000 a month. On January 23, 2020, the Company entered into an agreement to extend the lease term to July 31, 2020 for approximately $4,000 a month. On May 24, 2020, the Company entered into an agreement to extend the lease term to October 31, 2020 for approximately $4,000 a month. On September 1, 2020, the Company entered into an agreement to extend the lease term to January 31, 2021, for approximately $4,000 a month. On January 31, 2021, the lease terminated, and the Company closed its New York office.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185" w:lineRule="exact"/>
        <w:rPr>
          <w:sz w:val="20"/>
          <w:szCs w:val="20"/>
          <w:color w:val="auto"/>
        </w:rPr>
      </w:pPr>
    </w:p>
    <w:p>
      <w:pPr>
        <w:jc w:val="both"/>
        <w:ind w:right="40" w:firstLine="492"/>
        <w:spacing w:after="0" w:line="286" w:lineRule="auto"/>
        <w:rPr>
          <w:sz w:val="20"/>
          <w:szCs w:val="20"/>
          <w:color w:val="auto"/>
        </w:rPr>
      </w:pPr>
      <w:r>
        <w:rPr>
          <w:rFonts w:ascii="Arial" w:cs="Arial" w:eastAsia="Arial" w:hAnsi="Arial"/>
          <w:sz w:val="17"/>
          <w:szCs w:val="17"/>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25" w:lineRule="exact"/>
        <w:rPr>
          <w:sz w:val="20"/>
          <w:szCs w:val="20"/>
          <w:color w:val="auto"/>
        </w:rPr>
      </w:pPr>
    </w:p>
    <w:p>
      <w:pPr>
        <w:jc w:val="both"/>
        <w:ind w:right="40" w:firstLine="492"/>
        <w:spacing w:after="0" w:line="277" w:lineRule="auto"/>
        <w:rPr>
          <w:sz w:val="20"/>
          <w:szCs w:val="20"/>
          <w:color w:val="auto"/>
        </w:rPr>
      </w:pPr>
      <w:r>
        <w:rPr>
          <w:rFonts w:ascii="Arial" w:cs="Arial" w:eastAsia="Arial" w:hAnsi="Arial"/>
          <w:sz w:val="18"/>
          <w:szCs w:val="18"/>
          <w:color w:val="auto"/>
        </w:rPr>
        <w:t>On September 1, 2021, the Company entered into an agreement to extend the lease term for additional three years to July 31, 2025 for approximately $11,900 a month, effective as of June 1, 2022, subject to annual increases of 2.5%.</w:t>
      </w:r>
    </w:p>
    <w:p>
      <w:pPr>
        <w:spacing w:after="0" w:line="143"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On August 1, 2020, the Company entered into an agreement to lease approximately 2,965 square feet of a training facility space in Philadelphia, Pennsylvania for a twelve-month term at a rate of approximately $6,500 per month. On August 9, 2021, the lease terminated.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8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 xml:space="preserve">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leases approximately 136,000 rentable square feet of space in a building located at 300 Rouse Boulevard, Philadelphia, Pennsylvania known as its Iovance Cell Therapy Center or </w:t>
      </w:r>
      <w:r>
        <w:rPr>
          <w:rFonts w:ascii="Arial" w:cs="Arial" w:eastAsia="Arial" w:hAnsi="Arial"/>
          <w:sz w:val="18"/>
          <w:szCs w:val="18"/>
          <w:i w:val="1"/>
          <w:iCs w:val="1"/>
          <w:color w:val="auto"/>
        </w:rPr>
        <w:t>i</w:t>
      </w:r>
      <w:r>
        <w:rPr>
          <w:rFonts w:ascii="Arial" w:cs="Arial" w:eastAsia="Arial" w:hAnsi="Arial"/>
          <w:sz w:val="18"/>
          <w:szCs w:val="18"/>
          <w:color w:val="auto"/>
        </w:rPr>
        <w:t xml:space="preserve">CTC. The construction of the </w:t>
      </w:r>
      <w:r>
        <w:rPr>
          <w:rFonts w:ascii="Arial" w:cs="Arial" w:eastAsia="Arial" w:hAnsi="Arial"/>
          <w:sz w:val="18"/>
          <w:szCs w:val="18"/>
          <w:i w:val="1"/>
          <w:iCs w:val="1"/>
          <w:color w:val="auto"/>
        </w:rPr>
        <w:t>i</w:t>
      </w:r>
      <w:r>
        <w:rPr>
          <w:rFonts w:ascii="Arial" w:cs="Arial" w:eastAsia="Arial" w:hAnsi="Arial"/>
          <w:sz w:val="18"/>
          <w:szCs w:val="18"/>
          <w:color w:val="auto"/>
        </w:rPr>
        <w:t>CTC began in July 2019 and has been substantially completed. The construction of tenant improvements in the commercial manufacturing facility was completed in the third quarter of 2021, and therefore approximately $62.3 million of assets were placed in service.</w:t>
      </w:r>
    </w:p>
    <w:p>
      <w:pPr>
        <w:spacing w:after="0" w:line="168"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 xml:space="preserve">The Company determined the commencement date of the Commercial Manufacturing Lease to be October 7, 2020 in accordance with Topic 842 when its landlord made the Premise available for the Company’s use and the Company obtained control over the use of the </w:t>
      </w:r>
      <w:r>
        <w:rPr>
          <w:rFonts w:ascii="Arial" w:cs="Arial" w:eastAsia="Arial" w:hAnsi="Arial"/>
          <w:sz w:val="17"/>
          <w:szCs w:val="17"/>
          <w:i w:val="1"/>
          <w:iCs w:val="1"/>
          <w:color w:val="auto"/>
        </w:rPr>
        <w:t>i</w:t>
      </w:r>
      <w:r>
        <w:rPr>
          <w:rFonts w:ascii="Arial" w:cs="Arial" w:eastAsia="Arial" w:hAnsi="Arial"/>
          <w:sz w:val="17"/>
          <w:szCs w:val="17"/>
          <w:color w:val="auto"/>
        </w:rPr>
        <w:t>CTC. The Commercial Manufacturing Facility Lease includes an option to extend the term of the lease by giving the landlord prior written notice thereof at least 18 months in advance of the expiration date, exercisable under certain conditions as described in the Commercial Manufacturing Facility Lease, such that the overall term, when added to the initial term, shall be 359 months. In determining the lease term, the Company did not include the periods covered by the option to extend the lease as it determined that it is not reasonably certain that the Company will exercise such option. Upon the commencement date, the Company recognized operating lease liabilities and right-of-use assets of $41.3 million and $45.7 million, respectively.</w:t>
      </w:r>
    </w:p>
    <w:p>
      <w:pPr>
        <w:spacing w:after="0" w:line="138" w:lineRule="exact"/>
        <w:rPr>
          <w:sz w:val="20"/>
          <w:szCs w:val="20"/>
          <w:color w:val="auto"/>
        </w:rPr>
      </w:pPr>
    </w:p>
    <w:p>
      <w:pPr>
        <w:jc w:val="both"/>
        <w:ind w:right="220" w:firstLine="492"/>
        <w:spacing w:after="0" w:line="311" w:lineRule="auto"/>
        <w:rPr>
          <w:sz w:val="20"/>
          <w:szCs w:val="20"/>
          <w:color w:val="auto"/>
        </w:rPr>
      </w:pPr>
      <w:r>
        <w:rPr>
          <w:rFonts w:ascii="Arial" w:cs="Arial" w:eastAsia="Arial" w:hAnsi="Arial"/>
          <w:sz w:val="16"/>
          <w:szCs w:val="16"/>
          <w:color w:val="auto"/>
        </w:rPr>
        <w:t>The Company’s monthly base rent under the Lease will be approximately $320,000, subject to an annual increase of 2% for the first ten years, and an annual increase of the greater of 2% or 75% of the average ten-year consumer price index. The Company is also responsible for paying operating expenses, which are expected to be approximately $72,000 per month in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202"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its material contracts it has, to determine whether they contain a lease under Topic 840. An arrangement is considered a lease or contains a lease if an underlying asset is explicitly or implicitly identified and use of the asset is controlled by the customer. Based on this evaluation, the Company concluded that all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2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26"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 sheet classification of the Company’s right-of-use asset and lease liabilities was as follows (in thousands):</w:t>
      </w: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included in current liabilities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Long-term portion included in non-current liabilities</w:t>
            </w:r>
          </w:p>
        </w:tc>
        <w:tc>
          <w:tcPr>
            <w:tcW w:w="7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45,375</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7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costs and expenses in the Company’s Condensed Consolidated Statement of Operations, and other information related to its operating leases as follows (in thousands except weighted-average remaining lease terms and discount rates):</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9"/>
        </w:trPr>
        <w:tc>
          <w:tcPr>
            <w:tcW w:w="4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w:t>
            </w:r>
          </w:p>
        </w:tc>
      </w:tr>
      <w:tr>
        <w:trPr>
          <w:trHeight w:val="197"/>
        </w:trPr>
        <w:tc>
          <w:tcPr>
            <w:tcW w:w="4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w w:val="92"/>
              </w:rPr>
              <w:t>Cash paid for amounts included in the measurement of lease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liabilities included in operating cashflows</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3,605</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1,893</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8,439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5,995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from entering new leases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Increase in right-of-use assets from lease modifications</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5,853</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7,796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terms (years)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187"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the maturities of the Company’s operating lease liabilities were as follows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Facility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rPr>
              <w:t>CMO</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embedded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79"/>
              </w:rPr>
              <w:t>leases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99,931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99,931</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131,193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137,434</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adjustment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(66,089)</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or the date of lease modifications.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LONG-TERM NOTE PAYABLE</w:t>
      </w:r>
    </w:p>
    <w:p>
      <w:pPr>
        <w:spacing w:after="0" w:line="189"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On January 26, 2021, the Company entered into a Loan Note and accompanying Economic Stimulus Program Loan Agreement with PIDC – Local Development Corporation, a Pennsylvania nonprofit corporation (the “Lender”), pursuant to which the Lender agreed to make a loan (the “Job Creation Loan”) to the Company in a principal amount of $1.0 million. The Job Creation Loan will be for a term of five years starting on February 18, 2021, the date of the issuance of a final certificate of occupancy for the Company’s leased premises in Philadelphia, Pennsylvania. The Job Creation Loan is unsecured, bears no interest, and will be forgiven by the Lender in the amount of $2,000 per full-time or “full time equivalent” (defined as two or more part time employees whose working hours total at least 35 hours a week) employee with an average salary of at least $80,000 (“FT Employees”), up to a maximum amount equal to the amount of the Job Creation Loan, as calculated based on the average number of FT Employees employed at the Company’s premises during the period of the 5-year term beginning on the date that is nine months prior to the maturity date and ending on the maturity date. If the Job Creation Loan is not forgiven in full by the maturity date, the remaining balance of the loan not forgiven will become payable on the maturity date. The Loan Note includes customary events of default. Upon the occurrence of an event of default, the Lender will have the right to exercise remedies against the Company, including the right to require immediate payment of all amounts due under the Loan Note.</w:t>
      </w:r>
    </w:p>
    <w:p>
      <w:pPr>
        <w:spacing w:after="0" w:line="141"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 xml:space="preserve">The Company concluded that it is not reasonably assured that all or a portion of the loan will be forgiven as of September 30, 2021, and therefore accounted for the Job Creation Loan as debt in accordance with ASC Topic 470, </w:t>
      </w:r>
      <w:r>
        <w:rPr>
          <w:rFonts w:ascii="Arial" w:cs="Arial" w:eastAsia="Arial" w:hAnsi="Arial"/>
          <w:sz w:val="16"/>
          <w:szCs w:val="16"/>
          <w:i w:val="1"/>
          <w:iCs w:val="1"/>
          <w:color w:val="auto"/>
        </w:rPr>
        <w:t>Debt</w:t>
      </w:r>
      <w:r>
        <w:rPr>
          <w:rFonts w:ascii="Arial" w:cs="Arial" w:eastAsia="Arial" w:hAnsi="Arial"/>
          <w:sz w:val="16"/>
          <w:szCs w:val="16"/>
          <w:color w:val="auto"/>
        </w:rPr>
        <w:t>, as opposed to an in-substance government grant, and classified as a long-term debt in its Condensed Consolidated Balance Sheets as of September 30,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RELATED PARTY TRANSACTIONS</w:t>
      </w:r>
    </w:p>
    <w:p>
      <w:pPr>
        <w:spacing w:after="0" w:line="189" w:lineRule="exact"/>
        <w:rPr>
          <w:sz w:val="20"/>
          <w:szCs w:val="20"/>
          <w:color w:val="auto"/>
        </w:rPr>
      </w:pPr>
    </w:p>
    <w:p>
      <w:pPr>
        <w:ind w:right="80" w:firstLine="492"/>
        <w:spacing w:after="0" w:line="287" w:lineRule="auto"/>
        <w:rPr>
          <w:sz w:val="20"/>
          <w:szCs w:val="20"/>
          <w:color w:val="auto"/>
        </w:rPr>
      </w:pPr>
      <w:r>
        <w:rPr>
          <w:rFonts w:ascii="Arial" w:cs="Arial" w:eastAsia="Arial" w:hAnsi="Arial"/>
          <w:sz w:val="16"/>
          <w:szCs w:val="16"/>
          <w:color w:val="auto"/>
        </w:rPr>
        <w:t>On September 14, 2017, the Company entered into a three-year consulting agreement with Iain Dukes, D. Phil, the Chairman of the Board.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This stock option was fully vested in September 2020. No expense was recognized for the three and nine months ended September 30, 2021 related to this consulting agreement. The Company recognized zero and $0.2 million in stock-based compensation expense related to this consulting agreement for the three and nine months ended September 30,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INCOME TAXES</w:t>
      </w:r>
    </w:p>
    <w:p>
      <w:pPr>
        <w:spacing w:after="0" w:line="202" w:lineRule="exact"/>
        <w:rPr>
          <w:sz w:val="20"/>
          <w:szCs w:val="20"/>
          <w:color w:val="auto"/>
        </w:rPr>
      </w:pPr>
    </w:p>
    <w:p>
      <w:pPr>
        <w:ind w:right="20" w:firstLine="492"/>
        <w:spacing w:after="0" w:line="273" w:lineRule="auto"/>
        <w:rPr>
          <w:sz w:val="20"/>
          <w:szCs w:val="20"/>
          <w:color w:val="auto"/>
        </w:rPr>
      </w:pPr>
      <w:r>
        <w:rPr>
          <w:rFonts w:ascii="Arial" w:cs="Arial" w:eastAsia="Arial" w:hAnsi="Arial"/>
          <w:sz w:val="17"/>
          <w:szCs w:val="17"/>
          <w:color w:val="auto"/>
        </w:rPr>
        <w:t>The Company did not record income tax expenses for the three and nine months ended September 30, 2021 and 2020, respectively as the Company expected to be in a taxable loss position in 2021 and 2020, and the net deferred tax assets are fully offset by a valuation allowance as it is not more likely than not that the benefit will be realized. Therefore, the Company’s effective tax rate was 0.0%, for the three and nine months ended September 30, 2021 and 2020, respectively. As of September 30, 2021, the Company remains in a cumulative book loss position and does not have sufficient positive evidence to realize its net deferred tax assets. As such, the Company continues to maintain a full valuation allowance against its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i w:val="1"/>
          <w:iCs w:val="1"/>
          <w:color w:val="auto"/>
        </w:rPr>
        <w:t>The management’s discussion and analysis of our financial condition as of September 30, 2021 and results of operations for the three and nine months ended September 30, 2021, should be read in conjunction with management’s discussion and analysis of financial condition and results of operations included in our Annual Report on Form 10-K for the year ended December 31, 2020 which was filed with the Securities and Exchange Commission, or SEC, on February 25, 2021.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report and other reports we file with the SEC.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492"/>
        <w:spacing w:after="0" w:line="269"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cell therapies as novel cancer immunotherapy products designed to harness the power of a patient’s own immune system to eradicate cancer cells. Tumor-infiltrating lymphocyte, or TIL, therapy is an autologous, polyclonal cell therapy platform technology that was originally developed by the National Cancer Institute, or NCI, which conducted initial clinical trials of this therapy in diseases such as metastatic melanoma and cervical cancer. We have developed a new, shorter TIL manufacturing process known as Gen 2, which yields a cryopreserved TIL product. This centralized, proprietary, and scalable manufacturing method is being investigated in multiple indications. Our lead product candidates include lifileucel for metastatic melanoma and metastatic cervical cancer. In addition to metastatic melanoma and metastatic cervical cancer, we are investigating the effectiveness and safety of TIL therapy for the treatment of head and neck squamous cell carcinoma, or HNSCC, non-small cell lung cancer, or NSCLC. We are investigating peripheral blood lymphocyte, or PBL, therapy for patients with relapsed or refractory chronic lymphocytic leukemia, or CLL, and small lymphocytic lymphoma, or SLL, through our sponsored trials. We are also investigating the potential for TIL therapy in other oncology indications through academic collaborations with leading cancer research centers.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product candidate pipeline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5846445" cy="2931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6445" cy="293179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as Monotherapy in Metastatic Solid Tumor Cancers</w:t>
      </w:r>
    </w:p>
    <w:p>
      <w:pPr>
        <w:spacing w:after="0" w:line="225"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We have investigated TIL as a monotherapy in metastatic melanoma, cervical cancer, HNSCC and NSCLC. We are conducting a Phase 2 clinical trial, C-144-01, of our lead TIL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intended to support a Biologics License Application, or BLA, submission for lifileucel. Cohorts 2 and 4 of the C-144-01 trial use our Gen 2 manufacturing process. We completed and closed enrollment of patients into Cohort 2 of the C-144-01 trial in 2018. Results from Cohort 2 of the C-144-01 clinical trial were initially reported at the American Society of Clinical Oncology, or ASCO, annual meeting on June 1, 2019 and subsequently updated at the ASCO annual meeting on June 6, 2021. As of the data extract in April 2021, in 66 patients with metastatic melanoma in Cohort 2, treatment with lifileucel resulted in an objective response rate, or ORR, of 36%, as assessed by investigator, with 3 complete responses and 21 partial responses. The disease control rate, or DCR, was 80.3%. Median duration of response, or DOR, in Cohort 2 had not been reached after 33.1 months of median study follow up. Results from Cohort 2 presented at ASCO in June 2021 also suggest that early intervention with lifileucel at the time of initial progression on anti-PD-1 therapy may maximize benefit. Patients in Cohort 2 were heavily pretreated and had a mean of 3.3 prior therapies. We have previously reported durable responses across a wide age range of metastatic melanoma patients, among those who have received prior anti-CTLA-4 and BRAF targeted treatments, regardless of BRAF mutation status, and in patients with PD-L1 high and low status. The adverse event profile was generally consistent with the underlying advanced disease and the profile of the lymphodepletion and IL-2 regimens. In addition, detailed Cohort 2 data was published in the Journal of Clinical Oncology on May 12, 2021.</w:t>
      </w:r>
    </w:p>
    <w:p>
      <w:pPr>
        <w:spacing w:after="0" w:line="174"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Pivotal Cohort 4 of the C-144-01 trial was enrolled to evaluate ORR as read out by an Independent Review Committee, or IRC, as the primary endpoint based on our interpretation of discussions with the U.S. Food and Drug Administration, or the FDA, as part of an End of Phase 2, or EOP2, meeting held with the FDA in the third quarter of 2018. In October 2018, based on the data provided to the FDA during the EOP2 meeting, we announced that lifileucel had received a Regenerative Medicines Advanced Therapy, or RMAT, designation from the FDA. Enrollment in Cohort 4 of the C-144-01 trial commenced in March 2019 and patient dosing was completed in January 2020. A total of 87 patients were dosed with Gen 2 product released for Cohort 4. In May 2020, we disclosed initial results from Cohort 4 for 68 patients with two radiological assessments, as determined by investigator.</w:t>
      </w:r>
    </w:p>
    <w:p>
      <w:pPr>
        <w:spacing w:after="0" w:line="177"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Previously,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have continued our ongoing work developing and validating our potency assays and have engaged in discussions with the FDA during the second half of 2021. Our BLA submission for lifileucel in metastatic melanoma is expected to occur during the first half of 2022. In connection with this BLA submission, the IRC is expected to independently assess responses for Cohort 4 patients through the data cut date, which must be completed prior to BLA submission or disclosure of IRC-read data.</w:t>
      </w:r>
    </w:p>
    <w:p>
      <w:pPr>
        <w:spacing w:after="0" w:line="192"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We are also conducting a Phase 2 clinical trial, C-145-04, which is a multicenter pivotal trial that will assess the safety and efficacy of our lead product candidate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Breakthrough Therapy Designation, or BTD, from the FDA for development in the treatment of cervical cancer. Updated results from the C-145-04 clinical trial were reported at the ASCO annual meeting on June 1, 2019. In 27 patients with metastatic cervical cancer, treatment with lifileucel resulted in an ORR of 44%. At the time of the study data cut, there were 3 complete responses and 9 partial responses. The DCR was 85%. Patients were heavily pretreated and had a mean of 2.4 prior therapies. The median DOR had not been reached. The adverse event profile was generally consistent with the underlying advanced disease and the profile of the lymphodepletion and IL-2 regimens. In November 2019, we amended the C-145-04 trial to collect additional data on early-line patients as well as late-line patients by adding additional cohorts, in anticipation of a changing landscape in this indication, including Cohort 2 for patients that had previously received anti-PD-1 therapy. These additional cohorts may also allow access to TIL therapy after completion of the enrollment in the registrational cohorts. In January 2021, we announced that Cohort 2 of the C-145-04 trial had completed enrollment and that data from this cohort may be supportive of registration because of the expected changing landscape of care for cervical cancer patients. For example, the potential shift from chemotherapy in front-line followed by pembrolizumab in second-line cervical cancer to the use of pembrolizumab in</w:t>
      </w:r>
    </w:p>
    <w:p>
      <w:pPr>
        <w:sectPr>
          <w:pgSz w:w="11900" w:h="16838" w:orient="portrait"/>
          <w:cols w:equalWidth="0" w:num="1">
            <w:col w:w="9900"/>
          </w:cols>
          <w:pgMar w:left="980" w:top="665"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combination with chemotherapy in first-line cervical cancer, as well as the approval of TIVDAK™ in the U.S. for the treatment of adult patients with recurrent or metastatic cervical cancer with disease progression on or after chemotherapy. We intend to initiate a dialog with the FDA to discuss these cohorts and potential BLA submission plans for lifileucel in cervical cancer after resolution of regulatory discussions regarding our potency assays.</w:t>
      </w:r>
    </w:p>
    <w:p>
      <w:pPr>
        <w:spacing w:after="0" w:line="187"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In November 2020, we announced that we had finalized the protocol for our potential registrational clinical trial in NSCLC, IOV-LUN-202, to investigate LN-145 in patients with metastatic NSCLC, without driver mutations, who previously received a single line of approved systemic therapy of combined checkpoint inhibitor and chemotherapy. The IOV-LUN-202 clinical trial includes three cohorts. Cohorts 1 and 3 of the IOV-LUN-202 clinical trial are enrolling patients with a PD-L1 TPS of less than one percent, and Cohort 2 will enroll patients with a PD-L1 TPS of greater than or equal to one percent. Cohort 3 will also explore manufacturing TIL extracted from core biopsies using our third-generation, or Gen 3, manufacturing process. In June 2021, we reported that the first patient was dosed in the IOV-LUN-202 clinical trial. We intend to continue to enroll patients in the IOV-LUN-202 clinical trial throughout 2021 and 2022. We also intend to engage in regulatory discussions with the FDA on LUN-202 and potential registrational trials in NSCLC.</w:t>
      </w:r>
    </w:p>
    <w:p>
      <w:pPr>
        <w:spacing w:after="0" w:line="16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June 2021, we reported initial data for LN-145 in Cohort 3B of the IOV-COM-202 clinical trial in metastatic NSCLC. IOV-COM-202 is a Phase 2, multicenter trial that is composed of seven cohorts that can enroll up to a total of 135 patients. Cohort 3B of IOV-COM-202 enrolled patients with metastatic NSCLC that had progressed on prior immune checkpoint inhibitor therapy, including patients with oncogene-driven tumors who received prior tyrosine kinase inhibitor therapy. Patients were treated with LN-145 monotherapy. We reported results from Cohort 3B of the IOV-COM-202 trial, as follows. The ORR was 21.4% for the 28 patients that participated in the trial, including one complete response and five partial responses, and the DCR was 64.3%, including two responders with PD-L1 negative tumors. Median DOR was not reached at a median study follow up of 8.2 months. The treatment-emergent adverse event profile was consistent with the underlying disease and known adverse event profiles of non-myeloablative lymphodepletion and IL-2. All patients treated in Cohort 3B of the IOV-COM-202 trial received prior anti-PD-1/L1 therapy and all six responding patients also received prior chemotherapy. Historically, ORRs of approximately 20% were reported with ICIs as second-line therapy in ICI-naïve patients who progressed on front-line chemotherapy. We intend to provide an update on Cohort 3B at the Society for Immunotherapy in Cancer, or SITC, meeting in November 2021.</w:t>
      </w:r>
    </w:p>
    <w:p>
      <w:pPr>
        <w:spacing w:after="0" w:line="179"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C-145-03 is our Phase 2, multicenter trial to assess the safety and efficacy of our product candidate LN-145 for the treatment of patients with metastatic HNSCC. In October 2018, we reported that, to date, preliminary data for 13 patients in the C-145-03 clinical trial yielded an ORR of 31% with a DOR ranging from 2.8 to 7.6 months. The adverse event profile remained consistent with previous reports. We redesigned our C-145-03 trial to include multiple cohorts, in order to allow for dosing of TIL therapies produced by multiple manufacturing methods, including our Gen 2 manufacturing process, our Gen 3 manufacturing process, and our PD-1 selected TIL manufacturing process. Our PD-1 selected TIL manufacturing process results in a product that we refer to as LN-145-S1. In January 2021, we announced that we are closing the C-145-03 clinical trial after the trial reached its pre-specified enrollment target.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Combinations in Earlier Treatment Settings for Solid Tumors</w:t>
      </w:r>
    </w:p>
    <w:p>
      <w:pPr>
        <w:spacing w:after="0" w:line="225"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We are also investigating the potential of our TIL therapies in earlier lines of treatment in combination with pembrolizumab or other agents in cancer patients who are naïve to anti-PD-1 therapy, including in four cohorts in our IOV-COM-202 study in solid tumors as well as in one cohort in our C-145-04 clinical study in cervical cancer.</w:t>
      </w:r>
    </w:p>
    <w:p>
      <w:pPr>
        <w:spacing w:after="0" w:line="184" w:lineRule="exact"/>
        <w:rPr>
          <w:sz w:val="20"/>
          <w:szCs w:val="20"/>
          <w:color w:val="auto"/>
        </w:rPr>
      </w:pPr>
    </w:p>
    <w:p>
      <w:pPr>
        <w:ind w:right="80" w:firstLine="492"/>
        <w:spacing w:after="0" w:line="311" w:lineRule="auto"/>
        <w:rPr>
          <w:sz w:val="20"/>
          <w:szCs w:val="20"/>
          <w:color w:val="auto"/>
        </w:rPr>
      </w:pPr>
      <w:r>
        <w:rPr>
          <w:rFonts w:ascii="Arial" w:cs="Arial" w:eastAsia="Arial" w:hAnsi="Arial"/>
          <w:sz w:val="16"/>
          <w:szCs w:val="16"/>
          <w:color w:val="auto"/>
        </w:rPr>
        <w:t xml:space="preserve">In May 2019, we reported that the first patient was dosed in the IOV-COM-202 trial. In addition to its ongoing enrollment in the U.S., the IOV-COM-202 trial has also received regulatory approval in Canada and in certain European countries. In September 2021, we announced that our the </w:t>
      </w:r>
      <w:r>
        <w:rPr>
          <w:rFonts w:ascii="Arial" w:cs="Arial" w:eastAsia="Arial" w:hAnsi="Arial"/>
          <w:sz w:val="16"/>
          <w:szCs w:val="16"/>
          <w:i w:val="1"/>
          <w:iCs w:val="1"/>
          <w:color w:val="auto"/>
        </w:rPr>
        <w:t>i</w:t>
      </w:r>
      <w:r>
        <w:rPr>
          <w:rFonts w:ascii="Arial" w:cs="Arial" w:eastAsia="Arial" w:hAnsi="Arial"/>
          <w:sz w:val="16"/>
          <w:szCs w:val="16"/>
          <w:color w:val="auto"/>
        </w:rPr>
        <w:t>CTC had successfully manufactured and delivered the first clinical batch of LN-145 for the IOV-COM-202 trial.</w:t>
      </w:r>
    </w:p>
    <w:p>
      <w:pPr>
        <w:spacing w:after="0" w:line="149" w:lineRule="exact"/>
        <w:rPr>
          <w:sz w:val="20"/>
          <w:szCs w:val="20"/>
          <w:color w:val="auto"/>
        </w:rPr>
      </w:pPr>
    </w:p>
    <w:p>
      <w:pPr>
        <w:ind w:right="80" w:firstLine="492"/>
        <w:spacing w:after="0" w:line="291" w:lineRule="auto"/>
        <w:rPr>
          <w:sz w:val="20"/>
          <w:szCs w:val="20"/>
          <w:color w:val="auto"/>
        </w:rPr>
      </w:pPr>
      <w:r>
        <w:rPr>
          <w:rFonts w:ascii="Arial" w:cs="Arial" w:eastAsia="Arial" w:hAnsi="Arial"/>
          <w:sz w:val="16"/>
          <w:szCs w:val="16"/>
          <w:color w:val="auto"/>
        </w:rPr>
        <w:t>There are four TIL combination cohorts in the IOV-COM-202 study. In Cohort 1A, we are enrolling advanced unresectable or metastatic melanoma patients who are naïve to anti-PD-1 therapy. We reported results from ongoing Cohort 1A of the IOV-COM-202 trial at the ASCO meeting in June 2021, as follows. Seven patients received lifileucel in combination with pembrolizumab. Six of the seven patients had a confirmed objective response, with an ORR of 86%, including two complete responses, one unconfirmed complete response who had not yet reached the confirmatory complete response assessment, and three partial responses, with one best response of stable disease. The complete response rate, including the unconfirmed complete response, was 43%. The median follow up was 8.2 months. The Cohort 1A results also demonstrated that lifileucel can be safely combined with pembrolizumab.</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In Cohort 2A of the IOV-COM-202 trial, we are enrolling advanced, recurrent, or metastatic HNSCC patients who are naïve to prior immunotherapy including anti-PD-1/anti-PD-L1 therapy. The patients receive LN-145 in combination with pembrolizumab. We reported results from ongoing Cohort 2A of the IOV-COM-202 trial at the SITC meeting in November 2020, as follows. As of October 16, 2020, nine HNSCC patients have received LN-145 plus pembrolizumab with a median duration of follow up of 8.6 months. Nine and eight patients were evaluable for safety and efficacy, respectively. Four patients had a confirmed, objective response with an ORR of</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44% including one complete response and three partial responses. Median DOR was not reached. The DCR at data cutoff was 89% in nine patients, and seven of the eight evaluable patients, or 87.5%, had a reduction in target lesions. The median number of prior therapies was 1.0 with 89% of the patients having received prior chemotherapy. Four patients were positive for Human Papilloma Virus, or HPV, three patients were HPV negative, and two patients had unknown HPV status.</w:t>
      </w:r>
    </w:p>
    <w:p>
      <w:pPr>
        <w:spacing w:after="0" w:line="193" w:lineRule="exact"/>
        <w:rPr>
          <w:sz w:val="20"/>
          <w:szCs w:val="20"/>
          <w:color w:val="auto"/>
        </w:rPr>
      </w:pPr>
    </w:p>
    <w:p>
      <w:pPr>
        <w:jc w:val="both"/>
        <w:ind w:right="620" w:firstLine="492"/>
        <w:spacing w:after="0" w:line="311" w:lineRule="auto"/>
        <w:rPr>
          <w:sz w:val="20"/>
          <w:szCs w:val="20"/>
          <w:color w:val="auto"/>
        </w:rPr>
      </w:pPr>
      <w:r>
        <w:rPr>
          <w:rFonts w:ascii="Arial" w:cs="Arial" w:eastAsia="Arial" w:hAnsi="Arial"/>
          <w:sz w:val="16"/>
          <w:szCs w:val="16"/>
          <w:color w:val="auto"/>
        </w:rPr>
        <w:t>The Cohort 1A and Cohort 2A results from the IOV-COM-202 study demonstrated that lifileucel or LN-145 can be safely combined with pembrolizumab. The treatment emergent adverse event, or TEAE, profile in both Cohorts was consistent with the underlying advanced disease and the known adverse event profiles of pembrolizumab, lymphodepletion, and IL-2 regimens.</w:t>
      </w:r>
    </w:p>
    <w:p>
      <w:pPr>
        <w:spacing w:after="0" w:line="149"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Cohort 3A and 3C in the IOV-COM-202 study include LN-145 combinations in NSCLC. Cohort 3A is evaluating LN-145 in combination with pembrolizumab in patients with recurrent or metastatic NSCLC who have not received prior immunotherapy, including checkpoint inhibitors. Cohort 3C is investigating LN-145 therapy in combination with ipilimumab and nivolumab in patients with recurrent or metastatic NSCLC who have previously received one line of approved checkpoint inhibitor monotherapy as the only prior line of systemic therapy.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Product Candidates</w:t>
      </w:r>
    </w:p>
    <w:p>
      <w:pPr>
        <w:spacing w:after="0" w:line="225" w:lineRule="exact"/>
        <w:rPr>
          <w:sz w:val="20"/>
          <w:szCs w:val="20"/>
          <w:color w:val="auto"/>
        </w:rPr>
      </w:pPr>
    </w:p>
    <w:p>
      <w:pPr>
        <w:ind w:right="20" w:firstLine="492"/>
        <w:spacing w:after="0" w:line="286" w:lineRule="auto"/>
        <w:rPr>
          <w:sz w:val="20"/>
          <w:szCs w:val="20"/>
          <w:color w:val="auto"/>
        </w:rPr>
      </w:pPr>
      <w:r>
        <w:rPr>
          <w:rFonts w:ascii="Arial" w:cs="Arial" w:eastAsia="Arial" w:hAnsi="Arial"/>
          <w:sz w:val="17"/>
          <w:szCs w:val="17"/>
          <w:color w:val="auto"/>
        </w:rPr>
        <w:t>Our clinical pipeline also includes next generation TIL product candidates and manufacturing processes. Our TIL candidate LN-145-S1, in which specific TIL are selected for PD-1 expression, is being investigated in post-anti-PD-1 melanoma Cohort 1B in the IOV-COM-202 basket study as well Cohort 4 in post-anti-PD-1 HNSCC in the C-145-03 trial in HNSCC.</w:t>
      </w:r>
    </w:p>
    <w:p>
      <w:pPr>
        <w:spacing w:after="0" w:line="165"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We are using our Gen 3 manufacturing process in Cohort 1C of the IOV-COM-202 clinical trial in melanoma and in Cohort 3 of the IOV-LUN-202 clinical trial in NSCLC and have previously used it in the C-145-03 clinical trial in HNSCC.</w:t>
      </w:r>
    </w:p>
    <w:p>
      <w:pPr>
        <w:spacing w:after="0" w:line="170"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November 2019, we announced that our Investigational New Drug, or IND, application for our PBL therapy, IOV-2001, was authorized by the FDA and our sponsored clinical trial using this therapy, IOV-CLL-01, was cleared to proceed. IOV-2001 is a non-genetically modified, polyclonal T cell product that is manufactured using a nine-day process from 50 mL of patient's blood. IOV-CLL-01 is a Phase 1/2 clinical trial evaluating the safety and efficacy of IOV-2001 in patients with relapsed or refractory CLL or SLL. The IOV-CLL-01 trial is expected to enroll up to approximately 70 patients.</w:t>
      </w:r>
    </w:p>
    <w:p>
      <w:pPr>
        <w:spacing w:after="0" w:line="188" w:lineRule="exact"/>
        <w:rPr>
          <w:sz w:val="20"/>
          <w:szCs w:val="20"/>
          <w:color w:val="auto"/>
        </w:rPr>
      </w:pPr>
    </w:p>
    <w:p>
      <w:pPr>
        <w:ind w:right="300" w:firstLine="492"/>
        <w:spacing w:after="0" w:line="308" w:lineRule="auto"/>
        <w:rPr>
          <w:sz w:val="20"/>
          <w:szCs w:val="20"/>
          <w:color w:val="auto"/>
        </w:rPr>
      </w:pPr>
      <w:r>
        <w:rPr>
          <w:rFonts w:ascii="Arial" w:cs="Arial" w:eastAsia="Arial" w:hAnsi="Arial"/>
          <w:sz w:val="17"/>
          <w:szCs w:val="17"/>
          <w:color w:val="auto"/>
        </w:rPr>
        <w:t>In addition, we are nearing completion of IND-enabling studies for our lead genetically modified TIL product candidate, IOV-4001, in which the gene coding for the PD-1 protein is inactivated, as well as our novel IL-2 analog, IOV-3001.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Investigator-Sponsored Trials</w:t>
      </w:r>
    </w:p>
    <w:p>
      <w:pPr>
        <w:spacing w:after="0" w:line="225"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Through our academic collaborators, we are also exploring the potential for TIL therapies in additional indications. As part of our collaboration program with M.D. Anderson Cancer Center, or MDACC, two Phase 2 trials were initiated in 2018. Both trials are sponsored by MDACC. The first trial, NCT03449108, is intended to allow for investigation of LN-145 manufactured by us, using our manufacturing processes, to treat patients with soft tissue sarcoma, osteosarcoma, platinum resistant ovarian cancer, and thyroid cancer. A second trial under the collaboration with MDACC, NCT03610490, was previously active. This trial treated patients with platinum resistant ovarian cancer, pancreatic and colorectal cancer with TIL manufactured by MDACC. The data obtained using this manufacturing process may not be representative of our data using our Gen 2 manufacturing process.</w:t>
      </w:r>
    </w:p>
    <w:p>
      <w:pPr>
        <w:spacing w:after="0" w:line="177" w:lineRule="exact"/>
        <w:rPr>
          <w:sz w:val="20"/>
          <w:szCs w:val="20"/>
          <w:color w:val="auto"/>
        </w:rPr>
      </w:pPr>
    </w:p>
    <w:p>
      <w:pPr>
        <w:ind w:right="260" w:firstLine="492"/>
        <w:spacing w:after="0" w:line="259" w:lineRule="auto"/>
        <w:rPr>
          <w:sz w:val="20"/>
          <w:szCs w:val="20"/>
          <w:color w:val="auto"/>
        </w:rPr>
      </w:pPr>
      <w:r>
        <w:rPr>
          <w:rFonts w:ascii="Arial" w:cs="Arial" w:eastAsia="Arial" w:hAnsi="Arial"/>
          <w:sz w:val="18"/>
          <w:szCs w:val="18"/>
          <w:color w:val="auto"/>
        </w:rPr>
        <w:t>We are also collaborating with Centre hospitalier de l’Université de Montreal, or CHUM, Yale University, and Moffitt on investigator-sponsored clinical trials of TIL therapies in other indications. The clinical trials sponsored by CHUM and Moffitt use, or will use, TIL manufactured by different manufacturing processes, which may not be representative of our data using our Gen 2 manufacturing process.</w:t>
      </w:r>
    </w:p>
    <w:p>
      <w:pPr>
        <w:spacing w:after="0" w:line="187" w:lineRule="exact"/>
        <w:rPr>
          <w:sz w:val="20"/>
          <w:szCs w:val="20"/>
          <w:color w:val="auto"/>
        </w:rPr>
      </w:pPr>
    </w:p>
    <w:p>
      <w:pPr>
        <w:ind w:right="300" w:firstLine="492"/>
        <w:spacing w:after="0" w:line="342" w:lineRule="auto"/>
        <w:rPr>
          <w:sz w:val="20"/>
          <w:szCs w:val="20"/>
          <w:color w:val="auto"/>
        </w:rPr>
      </w:pPr>
      <w:r>
        <w:rPr>
          <w:rFonts w:ascii="Arial" w:cs="Arial" w:eastAsia="Arial" w:hAnsi="Arial"/>
          <w:sz w:val="16"/>
          <w:szCs w:val="16"/>
          <w:color w:val="auto"/>
        </w:rPr>
        <w:t>We currently own more than 30 U.S. patents related to TIL therapy, including patents directed to compositions and methods of treatment in a broad range of cancers, such as U.S. Patent Nos. 10,130,659; 10,166,257; 10,272,113; 10,363,273; 10,398,734;</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10,420,799; 10,463,697; 10,517,894; 10,537,595; 10,639,330; 10,646,517; 10,653,723; 10,695,372; 10,894,063; 10,905,718; 10,918,666; 10,925,900; 10,933,094; 10,946,044; 10,946,045; 10,953,046; 10,953,047; 11,007,225; 11,007,226; 11,013,770; 11,026,974; 11,040,070; 11,052,115; 11,052,116; 11,058,728; 11,083,752; 11,123,371; and 11,141,438. More than 25 of these patents are related to our Gen 2 manufacturing processes and have terms that we anticipate will extend to January 2038, not including any patent term extensions or adjustments that may be available. Our owned and licensed intellectual property portfolio also includes patent applications and patents relating to TIL, marrow infiltrating lymphocyte, or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immune checkpoint inhibitors in combination with TIL therapies; TIL selection technologies; and methods of treating patient subpopulations.</w:t>
      </w:r>
    </w:p>
    <w:p>
      <w:pPr>
        <w:spacing w:after="0" w:line="185" w:lineRule="exact"/>
        <w:rPr>
          <w:sz w:val="20"/>
          <w:szCs w:val="20"/>
          <w:color w:val="auto"/>
        </w:rPr>
      </w:pPr>
    </w:p>
    <w:p>
      <w:pPr>
        <w:ind w:right="200" w:firstLine="492"/>
        <w:spacing w:after="0" w:line="269" w:lineRule="auto"/>
        <w:rPr>
          <w:sz w:val="20"/>
          <w:szCs w:val="20"/>
          <w:color w:val="auto"/>
        </w:rPr>
      </w:pPr>
      <w:r>
        <w:rPr>
          <w:rFonts w:ascii="Arial" w:cs="Arial" w:eastAsia="Arial" w:hAnsi="Arial"/>
          <w:sz w:val="17"/>
          <w:szCs w:val="17"/>
          <w:color w:val="auto"/>
        </w:rPr>
        <w:t>In January 2020, we obtained a license from Novartis to develop and commercialize an antibody cytokine 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Novartis is also entitled to low-to-mid single digit percentage royalties from commercial sales of IOV-3001. In addition, in January 2020, we announced a research collaboration and exclusive worldwide licensing agreement with Cellectis S.A., or Cellectis, a clinical-stage biopharmaceutical company focused on developing immunotherapies based on gene-edited allogeneic chimeric antigen receptor modified T cells, whereby we licensed certain TALEN technology from Cellectis to develop TIL that have been genetically edited to create potentially more potent cancer therapeutics. The worldwide exclusive license enables us to use TALEN technology addressing multiple gene targets to modify TIL for therapeutic use in several cancer indications. Financial terms of the license include development, regulatory and sales milestone payments from us to Cellectis, as well as royalty payments based on net sales of TALEN-modified TIL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ind w:right="240" w:firstLine="492"/>
        <w:spacing w:after="0" w:line="259" w:lineRule="auto"/>
        <w:rPr>
          <w:sz w:val="20"/>
          <w:szCs w:val="20"/>
          <w:color w:val="auto"/>
        </w:rPr>
      </w:pPr>
      <w:r>
        <w:rPr>
          <w:rFonts w:ascii="Arial" w:cs="Arial" w:eastAsia="Arial" w:hAnsi="Arial"/>
          <w:sz w:val="18"/>
          <w:szCs w:val="18"/>
          <w:color w:val="auto"/>
        </w:rPr>
        <w:t>We have not yet generated any revenues since our formation, and we currently do not anticipate that we will generate any significant revenues from the sale or licensing of our product candidates during the 12 months from the date these financial statements are issued. Our ability to generate revenues in the future will depend on our ability to complete the development of our product candidates and to obtain regulatory approval for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61" w:lineRule="exact"/>
        <w:rPr>
          <w:sz w:val="20"/>
          <w:szCs w:val="20"/>
          <w:color w:val="auto"/>
        </w:rPr>
      </w:pPr>
    </w:p>
    <w:p>
      <w:pPr>
        <w:ind w:right="100" w:firstLine="492"/>
        <w:spacing w:after="0" w:line="291" w:lineRule="auto"/>
        <w:rPr>
          <w:sz w:val="20"/>
          <w:szCs w:val="20"/>
          <w:color w:val="auto"/>
        </w:rPr>
      </w:pPr>
      <w:r>
        <w:rPr>
          <w:rFonts w:ascii="Arial" w:cs="Arial" w:eastAsia="Arial" w:hAnsi="Arial"/>
          <w:sz w:val="16"/>
          <w:szCs w:val="16"/>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We determine our estimates through discussions with internal clinical personnel and outside service providers as to the progress or stage of completion of trials or services and the agreed upon fee to be paid for such services.</w:t>
      </w:r>
    </w:p>
    <w:p>
      <w:pPr>
        <w:spacing w:after="0" w:line="126"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We expect our research and development expenses to continue to increase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8" w:lineRule="exact"/>
        <w:rPr>
          <w:sz w:val="20"/>
          <w:szCs w:val="20"/>
          <w:color w:val="auto"/>
        </w:rPr>
      </w:pPr>
    </w:p>
    <w:p>
      <w:pPr>
        <w:ind w:right="80" w:firstLine="492"/>
        <w:spacing w:after="0" w:line="342"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legal, investor relations, facilities, business development, marketing, commercial,</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52"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as we continue to prepare for commercialization and support an expected growth of the internal general and administrative team.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net results from our interest-bearing cash and investment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did not generate any revenues during the three and nine months ended September 30, 2021 or September 30,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gridSpan w:val="3"/>
          </w:tcPr>
          <w:p>
            <w:pPr>
              <w:jc w:val="center"/>
              <w:ind w:left="201"/>
              <w:spacing w:after="0"/>
              <w:rPr>
                <w:sz w:val="20"/>
                <w:szCs w:val="20"/>
                <w:color w:val="auto"/>
              </w:rPr>
            </w:pPr>
            <w:r>
              <w:rPr>
                <w:rFonts w:ascii="Arial" w:cs="Arial" w:eastAsia="Arial" w:hAnsi="Arial"/>
                <w:sz w:val="14"/>
                <w:szCs w:val="14"/>
                <w:b w:val="1"/>
                <w:bCs w:val="1"/>
                <w:color w:val="auto"/>
                <w:w w:val="89"/>
              </w:rPr>
              <w:t>Increase /</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92"/>
              </w:rPr>
              <w:t>Increase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gridSpan w:val="3"/>
          </w:tcPr>
          <w:p>
            <w:pPr>
              <w:jc w:val="center"/>
              <w:ind w:left="201"/>
              <w:spacing w:after="0"/>
              <w:rPr>
                <w:sz w:val="20"/>
                <w:szCs w:val="20"/>
                <w:color w:val="auto"/>
              </w:rPr>
            </w:pPr>
            <w:r>
              <w:rPr>
                <w:rFonts w:ascii="Arial" w:cs="Arial" w:eastAsia="Arial" w:hAnsi="Arial"/>
                <w:sz w:val="14"/>
                <w:szCs w:val="14"/>
                <w:b w:val="1"/>
                <w:bCs w:val="1"/>
                <w:color w:val="auto"/>
                <w:w w:val="92"/>
              </w:rPr>
              <w:t>(Decrease)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89"/>
              </w:rPr>
              <w:t>(Decrease)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80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65,355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$ 43,050</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$ 183,423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$ 149,276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included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 research and development expense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5,282</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6,222</w:t>
            </w:r>
          </w:p>
        </w:tc>
        <w:tc>
          <w:tcPr>
            <w:tcW w:w="1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118 %</w:t>
            </w:r>
          </w:p>
        </w:tc>
        <w:tc>
          <w:tcPr>
            <w:tcW w:w="800" w:type="dxa"/>
            <w:vAlign w:val="bottom"/>
          </w:tcPr>
          <w:p>
            <w:pPr>
              <w:jc w:val="right"/>
              <w:spacing w:after="0"/>
              <w:rPr>
                <w:sz w:val="20"/>
                <w:szCs w:val="20"/>
                <w:color w:val="auto"/>
              </w:rPr>
            </w:pPr>
            <w:r>
              <w:rPr>
                <w:rFonts w:ascii="Arial" w:cs="Arial" w:eastAsia="Arial" w:hAnsi="Arial"/>
                <w:sz w:val="18"/>
                <w:szCs w:val="18"/>
                <w:color w:val="auto"/>
              </w:rPr>
              <w:t>29,291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15,065</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14,226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7"/>
              </w:rPr>
              <w:t>94 %</w:t>
            </w:r>
          </w:p>
        </w:tc>
      </w:tr>
    </w:tbl>
    <w:p>
      <w:pPr>
        <w:spacing w:after="0" w:line="202"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 xml:space="preserve">Research and development expense for the three months ended September 30, 2021 increased by $22.3 million, or 52%, compared to the same period in 2020. The increase was primarily attributable to (i) $6.2 million of stock-based compensation expenses and a $5.4 million increase in payroll and related expenses, both driven by increased hiring of research and development employees to support our on-going and planned clinical development activities, (ii) a $5.0 million increase in clinical trial costs due to continued enrollment in our IOV-COM-202 clinical trial and initiation of IOV-LUN-202 clinical trial, (iii) a $4.6 million increase in costs associated with the </w:t>
      </w:r>
      <w:r>
        <w:rPr>
          <w:rFonts w:ascii="Arial" w:cs="Arial" w:eastAsia="Arial" w:hAnsi="Arial"/>
          <w:sz w:val="18"/>
          <w:szCs w:val="18"/>
          <w:i w:val="1"/>
          <w:iCs w:val="1"/>
          <w:color w:val="auto"/>
        </w:rPr>
        <w:t>i</w:t>
      </w:r>
      <w:r>
        <w:rPr>
          <w:rFonts w:ascii="Arial" w:cs="Arial" w:eastAsia="Arial" w:hAnsi="Arial"/>
          <w:sz w:val="18"/>
          <w:szCs w:val="18"/>
          <w:color w:val="auto"/>
        </w:rPr>
        <w:t>CTC such as rent, depreciation and lab maintenance related expenses, and (iv) a $1.1 million increase in other costs, including manufacturing, insurance, and travel expenses.</w:t>
      </w:r>
    </w:p>
    <w:p>
      <w:pPr>
        <w:spacing w:after="0" w:line="154" w:lineRule="exact"/>
        <w:rPr>
          <w:sz w:val="20"/>
          <w:szCs w:val="20"/>
          <w:color w:val="auto"/>
        </w:rPr>
      </w:pPr>
    </w:p>
    <w:p>
      <w:pPr>
        <w:ind w:right="40" w:firstLine="492"/>
        <w:spacing w:after="0" w:line="253" w:lineRule="auto"/>
        <w:rPr>
          <w:sz w:val="20"/>
          <w:szCs w:val="20"/>
          <w:color w:val="auto"/>
        </w:rPr>
      </w:pPr>
      <w:r>
        <w:rPr>
          <w:rFonts w:ascii="Arial" w:cs="Arial" w:eastAsia="Arial" w:hAnsi="Arial"/>
          <w:sz w:val="18"/>
          <w:szCs w:val="18"/>
          <w:color w:val="auto"/>
        </w:rPr>
        <w:t xml:space="preserve">Research and development expense for the nine months ended September 30, 2021 increased by $34.1 million, or 23%, compared to the same period in 2020. The increase was primarily attributable to (i) a $19.5 million increase in payroll and related expenses and, a $14.2 million increase in stock-based compensation expenses, both driven by increased hiring of research and development employees to support our on-going and planned clinical development activities, (ii) a $8.8 million increase in costs associated with the </w:t>
      </w:r>
      <w:r>
        <w:rPr>
          <w:rFonts w:ascii="Arial" w:cs="Arial" w:eastAsia="Arial" w:hAnsi="Arial"/>
          <w:sz w:val="18"/>
          <w:szCs w:val="18"/>
          <w:i w:val="1"/>
          <w:iCs w:val="1"/>
          <w:color w:val="auto"/>
        </w:rPr>
        <w:t>i</w:t>
      </w:r>
      <w:r>
        <w:rPr>
          <w:rFonts w:ascii="Arial" w:cs="Arial" w:eastAsia="Arial" w:hAnsi="Arial"/>
          <w:sz w:val="18"/>
          <w:szCs w:val="18"/>
          <w:color w:val="auto"/>
        </w:rPr>
        <w:t>CTC, (iii) a $1.6 million increase in clinical trial costs, and (iv) a $2.4 million increase in consumables and other costs, including allocated costs associated with the build-out of our IT infrastructure to further support the growth in the organization and infrastructure associated with our clinical trials. These increases were partially offset by a $10.9 million decrease in research alliance costs primarily due to a license fee from Novartis to further develop IOV-3001 which was recognized in full in January 2020, and a $1.5 million decrease in manufacturing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w w:val="89"/>
              </w:rPr>
              <w:t>Increase /</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980" w:type="dxa"/>
            <w:vAlign w:val="bottom"/>
            <w:gridSpan w:val="3"/>
          </w:tcPr>
          <w:p>
            <w:pPr>
              <w:ind w:left="340"/>
              <w:spacing w:after="0"/>
              <w:rPr>
                <w:sz w:val="20"/>
                <w:szCs w:val="20"/>
                <w:color w:val="auto"/>
              </w:rPr>
            </w:pPr>
            <w:r>
              <w:rPr>
                <w:rFonts w:ascii="Arial" w:cs="Arial" w:eastAsia="Arial" w:hAnsi="Arial"/>
                <w:sz w:val="14"/>
                <w:szCs w:val="14"/>
                <w:b w:val="1"/>
                <w:bCs w:val="1"/>
                <w:color w:val="auto"/>
                <w:w w:val="95"/>
              </w:rPr>
              <w:t>Increase /</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w w:val="92"/>
              </w:rPr>
              <w:t>(Decrease)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gridSpan w:val="3"/>
          </w:tcPr>
          <w:p>
            <w:pPr>
              <w:ind w:left="320"/>
              <w:spacing w:after="0"/>
              <w:rPr>
                <w:sz w:val="20"/>
                <w:szCs w:val="20"/>
                <w:color w:val="auto"/>
              </w:rPr>
            </w:pPr>
            <w:r>
              <w:rPr>
                <w:rFonts w:ascii="Arial" w:cs="Arial" w:eastAsia="Arial" w:hAnsi="Arial"/>
                <w:sz w:val="14"/>
                <w:szCs w:val="14"/>
                <w:b w:val="1"/>
                <w:bCs w:val="1"/>
                <w:color w:val="auto"/>
                <w:w w:val="89"/>
              </w:rPr>
              <w:t>(Decrease)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$ 20,887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$ 15,916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$ 59,815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$ 44,127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1"/>
              </w:rPr>
              <w:t>Stock-based compensation expense included in</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7,802</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5,424</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700" w:type="dxa"/>
            <w:vAlign w:val="bottom"/>
          </w:tcPr>
          <w:p>
            <w:pPr>
              <w:jc w:val="right"/>
              <w:spacing w:after="0"/>
              <w:rPr>
                <w:sz w:val="20"/>
                <w:szCs w:val="20"/>
                <w:color w:val="auto"/>
              </w:rPr>
            </w:pPr>
            <w:r>
              <w:rPr>
                <w:rFonts w:ascii="Arial" w:cs="Arial" w:eastAsia="Arial" w:hAnsi="Arial"/>
                <w:sz w:val="18"/>
                <w:szCs w:val="18"/>
                <w:color w:val="auto"/>
              </w:rPr>
              <w:t>21,370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15,590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37 %</w:t>
            </w: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General and administrative expenses for the three months ended September 30, 2021 increased by $5.0 million, or 31%, compared to the same period in 2020. The increase was primarily attributable to (i) a $2.3 million increase in payroll and related expenses and a $2.4 million increase in stock-based compensation expenses, both resulting from increases in headcount to support the growth in the overall business and related corporate infrastructure, and (ii) a $1.3 million increase in other costs, including insurance and costs associated with the build-out of our IT infrastructure. These costs were partially offset by a $1.0 million decrease in commercial and marketing costs due to reprioritization of corporate initiatives.</w:t>
      </w:r>
    </w:p>
    <w:p>
      <w:pPr>
        <w:spacing w:after="0" w:line="152"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General and administrative expenses for the nine months ended September 30, 2021 increased by $15.7 million, or 36%, compared to the same period in 2020. The increase was primarily attributable to (i) a $7.0 million increase in payroll and related expenses and a $5.8 million increase in stock-based compensation expenses, both resulting from increases in headcount to support the growth in the overall business and related corporate infrastructure, and (ii) a $3.0 million increase in insurance and intellectual property filing related costs, and iv) a $1.4 million increase in other costs, including professional fees and costs associated with the build-out of our IT infrastructure to support the continued growth in the overall company. These costs were partially offset by a $1.5 million decrease in commercial and marketing costs due to reprioritization of corporate initiatives.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net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89"/>
              </w:rPr>
              <w:t>Increase /</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08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2"/>
              </w:rPr>
              <w:t>Increase /</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48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3"/>
          </w:tcPr>
          <w:p>
            <w:pPr>
              <w:jc w:val="center"/>
              <w:ind w:left="264"/>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64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$ 2,219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net for the three and nine months ended September 30, 2021 and 2020 decreased by $0.3 million, or 70%,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 million, or 86%, respectively, due primarily to declining interest rates and lower interest received on our cash, cash equivalents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Increase /</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940" w:type="dxa"/>
            <w:vAlign w:val="bottom"/>
            <w:gridSpan w:val="3"/>
          </w:tcPr>
          <w:p>
            <w:pPr>
              <w:ind w:left="320"/>
              <w:spacing w:after="0"/>
              <w:rPr>
                <w:sz w:val="20"/>
                <w:szCs w:val="20"/>
                <w:color w:val="auto"/>
              </w:rPr>
            </w:pPr>
            <w:r>
              <w:rPr>
                <w:rFonts w:ascii="Arial" w:cs="Arial" w:eastAsia="Arial" w:hAnsi="Arial"/>
                <w:sz w:val="14"/>
                <w:szCs w:val="14"/>
                <w:b w:val="1"/>
                <w:bCs w:val="1"/>
                <w:color w:val="auto"/>
                <w:w w:val="92"/>
              </w:rPr>
              <w:t>Increase /</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96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3"/>
          </w:tcPr>
          <w:p>
            <w:pPr>
              <w:ind w:left="280"/>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9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209"/>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(86,122)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(58,571)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(242,922)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(191,184)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(51,738)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Net loss for the three and nine months ended September 30, 2021 increased by $27.6 million or 47% and $51.7 million or 27%, respectively, compared to the same periods in 2020. The increase in our net loss was due to the continued expansion of our research and development activities and the overall growth of our corporate infrastructure. We anticipate that we will continue to incur net losses in the future as we further invest in our research and development activities and commercial preparation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We have incurred net losses and generated negative cash flows from operations since inception. We expect to continue to incur significant losses in 2021 and may incur significant losses and negative cash flows from operations for the foreseeable future.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Capitalization</w:t>
      </w:r>
    </w:p>
    <w:p>
      <w:pPr>
        <w:spacing w:after="0" w:line="185"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As of September 30, 2021, we had outstanding 156,702,653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65" w:lineRule="exact"/>
        <w:rPr>
          <w:sz w:val="20"/>
          <w:szCs w:val="20"/>
          <w:color w:val="auto"/>
        </w:rPr>
      </w:pPr>
    </w:p>
    <w:p>
      <w:pPr>
        <w:jc w:val="both"/>
        <w:ind w:right="260" w:firstLine="486"/>
        <w:spacing w:after="0" w:line="311" w:lineRule="auto"/>
        <w:rPr>
          <w:sz w:val="20"/>
          <w:szCs w:val="20"/>
          <w:color w:val="auto"/>
        </w:rPr>
      </w:pPr>
      <w:r>
        <w:rPr>
          <w:rFonts w:ascii="Arial" w:cs="Arial" w:eastAsia="Arial" w:hAnsi="Arial"/>
          <w:sz w:val="16"/>
          <w:szCs w:val="16"/>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87"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 The 2018 Shelf Registration Statement is no longer available for future offerings.</w:t>
      </w:r>
    </w:p>
    <w:p>
      <w:pPr>
        <w:spacing w:after="0" w:line="178"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On September 17, 2019, we filed a shelf registration statement with the SEC for the issuance up to an aggregate amount of $400 million, which we refer to as the 2019 Shelf Registration Statement. The 2019 Shelf Registration Statement was declared effective on September 24, 2019. The 2019 Shelf Registration Statement was terminated upon effectiveness of the 2020 Automatic Shelf Registration Statement (as discussed below). No shares were sold under the 2019 Shelf Registration Statement prior to its termination.</w:t>
      </w:r>
    </w:p>
    <w:p>
      <w:pPr>
        <w:spacing w:after="0" w:line="15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On May 27, 2020, we filed an automatic shelf registration statement with the SEC for the issuance of an indeterminate amount of Shelf Securities, which we refer to as the 2020 Automatic Shelf Registration Statement. The 2020 Automatic Shelf Registration Statement was immediately effective upon filing with the SEC, and the 2019 Shelf Registration Statement was simultaneously terminated.</w:t>
      </w:r>
    </w:p>
    <w:p>
      <w:pPr>
        <w:spacing w:after="0" w:line="187"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On June 2, 2020, we sold 19,475,806 shares of our common stock at a public offering price of $31.00 per share pursuant to the 2020 Automatic Shelf Registration Statement. We received gross proceeds of $603.7 million and net proceeds of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71" w:lineRule="exact"/>
        <w:rPr>
          <w:sz w:val="20"/>
          <w:szCs w:val="20"/>
          <w:color w:val="auto"/>
        </w:rPr>
      </w:pPr>
    </w:p>
    <w:p>
      <w:pPr>
        <w:ind w:right="160" w:firstLine="492"/>
        <w:spacing w:after="0" w:line="272" w:lineRule="auto"/>
        <w:rPr>
          <w:sz w:val="20"/>
          <w:szCs w:val="20"/>
          <w:color w:val="auto"/>
        </w:rPr>
      </w:pPr>
      <w:r>
        <w:rPr>
          <w:rFonts w:ascii="Arial" w:cs="Arial" w:eastAsia="Arial" w:hAnsi="Arial"/>
          <w:sz w:val="17"/>
          <w:szCs w:val="17"/>
          <w:color w:val="auto"/>
        </w:rPr>
        <w:t>On February 8, 2021, we entered into an Open Market Sale Agreement, or the Sales Agreement, with Jefferies LLC, or Jefferies, with respect to an “at the market” offering program, under which we may, from time to time, in our sole discretion, issue and sell through Jefferies, acting as sales agent, up to $350.0 million of shares of our common stock. The issuance and sale, if any, of shares of our common stock under the Sales Agreement will be made pursuant to a prospectus supplement, dated February 8, 2021, to the 2020 Automatic Shelf Registration Statement. For the nine months ended September 30, 2021, we received approximately $203.2 million in net proceeds through the sale of 6,474,099 shares of our common stock. There were no sales of our common stock through the Sales Agreement for the three months ended September 30, 2021.</w:t>
      </w:r>
    </w:p>
    <w:p>
      <w:pPr>
        <w:spacing w:after="0" w:line="13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the future, we may periodically offer one or more of these securities in amounts, prices, and terms to be announced when and if the securities are offered. If any of the securities covered by the 2020 Automatic Shelf Registration Statement are offered for sale, a prospectus supplement will be prepared and filed with the SEC containing specific information about the terms of such offering at that time.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currently engaged in the development of therapeutics to fight cancer. We do not have any commercial products and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yet generated any revenues from our biopharmaceutical business. We currently do not anticipate that we will generate any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from the sale or licensing of any products during the 12 months from the date these financial statements are issued.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a net loss of $242.9 million for the nine months ended September 30, 2021 and used $174.1 million of cash in our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for the same period ended September 30, 2021. As of September 30, 2021, we had $58.6 million of cash,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$596.1 million of investments ($517.9 million of short-term investments and $78.2 million of long-term investments), $698.3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and had working capital of $518.3 million.</w:t>
      </w:r>
    </w:p>
    <w:p>
      <w:pPr>
        <w:spacing w:after="0" w:line="211" w:lineRule="exact"/>
        <w:rPr>
          <w:sz w:val="20"/>
          <w:szCs w:val="20"/>
          <w:color w:val="auto"/>
        </w:rPr>
      </w:pPr>
    </w:p>
    <w:p>
      <w:pPr>
        <w:ind w:right="240" w:firstLine="492"/>
        <w:spacing w:after="0" w:line="259" w:lineRule="auto"/>
        <w:rPr>
          <w:sz w:val="20"/>
          <w:szCs w:val="20"/>
          <w:color w:val="auto"/>
        </w:rPr>
      </w:pPr>
      <w:r>
        <w:rPr>
          <w:rFonts w:ascii="Arial" w:cs="Arial" w:eastAsia="Arial" w:hAnsi="Arial"/>
          <w:sz w:val="18"/>
          <w:szCs w:val="18"/>
          <w:color w:val="auto"/>
        </w:rPr>
        <w:t>We expect to increase our research and development activities and pre-commercial activities, which will increase the amount of cash we will use during the remainder of 2021 and beyond. Based on the funds we have available as of the date of the filing of this Quarterly Report on Form 10-Q, we believe that we have sufficient capital to fund our anticipated operating expenses and capital expenditure for at least 12 months from the date of filing this report.</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summarizes our cash flows for the periods presented from Operating, Investing and Financing Activities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34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7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(174,092)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(142,442)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(69,206)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(376,606)</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235,118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573,464</w:t>
            </w: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54,416</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Net cash used in operating activities for the nine months ended September 30, 2021 was $174.1 million compared to $142.4 million for the same period in 2020. The increase of $31.7 million was primarily due to an increase in net loss driven by increased costs in research and development and pre-commercial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Net cash used by investing activities for periods presented primarily relate to the purchase and maturity of investments used to fund the day-to-day needs of our business. Net cash used by investing activities for the nine months ended September 30, 2021 was $69.2 million compared to net cash used of $376.6 million for the same period in 2020. The decrease in cash provided by investing activities of $307.4 million was primarily due to the timing of maturities and purchases of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ind w:right="140" w:firstLine="492"/>
        <w:spacing w:after="0" w:line="273" w:lineRule="auto"/>
        <w:rPr>
          <w:sz w:val="20"/>
          <w:szCs w:val="20"/>
          <w:color w:val="auto"/>
        </w:rPr>
      </w:pPr>
      <w:r>
        <w:rPr>
          <w:rFonts w:ascii="Arial" w:cs="Arial" w:eastAsia="Arial" w:hAnsi="Arial"/>
          <w:sz w:val="17"/>
          <w:szCs w:val="17"/>
          <w:color w:val="auto"/>
        </w:rPr>
        <w:t>Net cash provided by financing activities for the nine months ended September 30, 2021 was $235.1 million compared to $573.5 million for the same period in 2020. The decrease of $338.3 million was primarily due to net proceeds of $567.0 million received from our June 2020 public offering as compared to net proceeds of $203.2 million received from sales of common shares through the “at the market” offering program during the nine months ended September 30, 2021. The decrease in net proceeds from sales of our common stock in the nine months ended September 30, 2021 as compared to September 30, 2021 was offset by an increase of $24.3 million in proceeds from exercises of stock options during the nine months ended September 30,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19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year ended December 31, 2020.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85"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the three and nine months ended September 30, 2021.</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we had no obligations that would require disclosure as off-balance sheet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198"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See Note 2 of the financial statements for a discussion of our significant accounting policies, including the discussion of recently issued and adopted accounting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over our two most recent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firstLine="492"/>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September 30, 2021, we had $596.1 million invested in marketable securities with a maturity date of less than two years. As such we believe that we are not exposed to any material market risk. If interest rates had varied by 1% in the year ended September 30, 2021, the fair value of our investment portfolio would increase or decrease by approximately $3.1 million.</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The information in Note 9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9 to our Condensed Consolidated Financial Statements for the quarter ended September 30, 2021 contained in this Quarterly Report on Form 10-Q.</w:t>
      </w:r>
    </w:p>
    <w:p>
      <w:pPr>
        <w:spacing w:after="0" w:line="3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ind w:firstLine="492"/>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w:t>
      </w:r>
      <w:hyperlink r:id="rId52">
        <w:r>
          <w:rPr>
            <w:rFonts w:ascii="Arial" w:cs="Arial" w:eastAsia="Arial" w:hAnsi="Arial"/>
            <w:sz w:val="18"/>
            <w:szCs w:val="18"/>
            <w:i w:val="1"/>
            <w:iCs w:val="1"/>
            <w:u w:val="single" w:color="auto"/>
            <w:color w:val="0000EE"/>
          </w:rPr>
          <w:t>Annual Report on Form 10-K for the year ended December 31, 2020 filed on February 25, 2021</w:t>
        </w:r>
      </w:hyperlink>
      <w:r>
        <w:rPr>
          <w:rFonts w:ascii="Arial" w:cs="Arial" w:eastAsia="Arial" w:hAnsi="Arial"/>
          <w:sz w:val="18"/>
          <w:szCs w:val="18"/>
          <w:i w:val="1"/>
          <w:iCs w:val="1"/>
          <w:color w:val="auto"/>
        </w:rPr>
        <w:t>, including our financial statements and related notes, and our other filings from time to time with the Securities and Exchange Commission or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25, 2021.</w:t>
      </w:r>
    </w:p>
    <w:p>
      <w:pPr>
        <w:spacing w:after="0" w:line="13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87" w:lineRule="exact"/>
        <w:rPr>
          <w:sz w:val="20"/>
          <w:szCs w:val="20"/>
          <w:color w:val="auto"/>
        </w:rPr>
      </w:pPr>
    </w:p>
    <w:p>
      <w:pPr>
        <w:ind w:left="680" w:right="240" w:hanging="321"/>
        <w:spacing w:after="0" w:line="274"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ind w:left="680" w:right="24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It may take longer and cost more to complete our clinical trials than we project, or we may not be able to complete them at all;</w:t>
      </w:r>
    </w:p>
    <w:p>
      <w:pPr>
        <w:spacing w:after="0" w:line="32" w:lineRule="exact"/>
        <w:rPr>
          <w:rFonts w:ascii="Arial" w:cs="Arial" w:eastAsia="Arial" w:hAnsi="Arial"/>
          <w:sz w:val="16"/>
          <w:szCs w:val="16"/>
          <w:color w:val="auto"/>
        </w:rPr>
      </w:pPr>
    </w:p>
    <w:p>
      <w:pPr>
        <w:ind w:left="680" w:right="2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clinical trials may fail to demonstrate adequately the safety and efficacy of our product candidates, which would prevent or delay regulatory approval and commercialization;</w:t>
      </w:r>
    </w:p>
    <w:p>
      <w:pPr>
        <w:ind w:left="680" w:right="2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 w:lineRule="exact"/>
        <w:rPr>
          <w:rFonts w:ascii="Arial" w:cs="Arial" w:eastAsia="Arial" w:hAnsi="Arial"/>
          <w:sz w:val="18"/>
          <w:szCs w:val="18"/>
          <w:color w:val="auto"/>
        </w:rPr>
      </w:pPr>
    </w:p>
    <w:p>
      <w:pPr>
        <w:ind w:left="680" w:right="18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 w:lineRule="exact"/>
        <w:rPr>
          <w:rFonts w:ascii="Arial" w:cs="Arial" w:eastAsia="Arial" w:hAnsi="Arial"/>
          <w:sz w:val="18"/>
          <w:szCs w:val="18"/>
          <w:color w:val="auto"/>
        </w:rPr>
      </w:pPr>
    </w:p>
    <w:p>
      <w:pPr>
        <w:ind w:left="680" w:right="6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 w:lineRule="exact"/>
        <w:rPr>
          <w:rFonts w:ascii="Arial" w:cs="Arial" w:eastAsia="Arial" w:hAnsi="Arial"/>
          <w:sz w:val="18"/>
          <w:szCs w:val="18"/>
          <w:color w:val="auto"/>
        </w:rPr>
      </w:pPr>
    </w:p>
    <w:p>
      <w:pPr>
        <w:ind w:left="680" w:right="140" w:hanging="321"/>
        <w:spacing w:after="0" w:line="265"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ind w:left="680" w:right="120" w:hanging="321"/>
        <w:spacing w:after="0" w:line="290"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80" w:hanging="321"/>
        <w:spacing w:after="0" w:line="258"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 w:lineRule="exact"/>
        <w:rPr>
          <w:rFonts w:ascii="Arial" w:cs="Arial" w:eastAsia="Arial" w:hAnsi="Arial"/>
          <w:sz w:val="18"/>
          <w:szCs w:val="18"/>
          <w:color w:val="auto"/>
        </w:rPr>
      </w:pPr>
    </w:p>
    <w:p>
      <w:pPr>
        <w:ind w:left="680" w:right="42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 w:lineRule="exact"/>
        <w:rPr>
          <w:rFonts w:ascii="Arial" w:cs="Arial" w:eastAsia="Arial" w:hAnsi="Arial"/>
          <w:sz w:val="18"/>
          <w:szCs w:val="18"/>
          <w:color w:val="auto"/>
        </w:rPr>
      </w:pPr>
    </w:p>
    <w:p>
      <w:pPr>
        <w:ind w:left="680" w:right="18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assurance can be given that the Gen 2 manufacturing process we have selected will be FDA-compliant, more efficient and lower the cost to manufacture TIL products;</w:t>
      </w:r>
    </w:p>
    <w:p>
      <w:pPr>
        <w:ind w:left="680" w:hanging="321"/>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We face significant competition from other biotechnology and pharmaceutical companies and from non-profit institutions;</w:t>
      </w:r>
    </w:p>
    <w:p>
      <w:pPr>
        <w:spacing w:after="0" w:line="20" w:lineRule="exact"/>
        <w:rPr>
          <w:rFonts w:ascii="Arial" w:cs="Arial" w:eastAsia="Arial" w:hAnsi="Arial"/>
          <w:sz w:val="17"/>
          <w:szCs w:val="17"/>
          <w:color w:val="auto"/>
        </w:rPr>
      </w:pPr>
    </w:p>
    <w:p>
      <w:pPr>
        <w:ind w:left="680" w:right="28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Development of a product candidate intended for use in combination with an already approved product may present more or different challenges than development of a product candidate for use as a single agent;</w:t>
      </w:r>
    </w:p>
    <w:p>
      <w:pPr>
        <w:ind w:left="680" w:right="10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 w:lineRule="exact"/>
        <w:rPr>
          <w:rFonts w:ascii="Arial" w:cs="Arial" w:eastAsia="Arial" w:hAnsi="Arial"/>
          <w:sz w:val="18"/>
          <w:szCs w:val="18"/>
          <w:color w:val="auto"/>
        </w:rPr>
      </w:pPr>
    </w:p>
    <w:p>
      <w:pPr>
        <w:jc w:val="both"/>
        <w:ind w:left="680" w:right="100" w:hanging="321"/>
        <w:spacing w:after="0" w:line="265"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ind w:left="680" w:right="32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 w:lineRule="exact"/>
        <w:rPr>
          <w:rFonts w:ascii="Arial" w:cs="Arial" w:eastAsia="Arial" w:hAnsi="Arial"/>
          <w:sz w:val="18"/>
          <w:szCs w:val="18"/>
          <w:color w:val="auto"/>
        </w:rPr>
      </w:pPr>
    </w:p>
    <w:p>
      <w:pPr>
        <w:ind w:left="680" w:right="200" w:hanging="321"/>
        <w:spacing w:after="0" w:line="281"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1" w:lineRule="exact"/>
        <w:rPr>
          <w:rFonts w:ascii="Arial" w:cs="Arial" w:eastAsia="Arial" w:hAnsi="Arial"/>
          <w:sz w:val="16"/>
          <w:szCs w:val="16"/>
          <w:color w:val="auto"/>
        </w:rPr>
      </w:pPr>
    </w:p>
    <w:p>
      <w:pPr>
        <w:ind w:left="680" w:right="52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If our product candidates do not achieve broad market acceptance, the revenues that we generate from their sales will be limited;</w:t>
      </w:r>
    </w:p>
    <w:p>
      <w:pPr>
        <w:ind w:left="680" w:right="160" w:hanging="321"/>
        <w:spacing w:after="0" w:line="281"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3" w:lineRule="exact"/>
        <w:rPr>
          <w:rFonts w:ascii="Arial" w:cs="Arial" w:eastAsia="Arial" w:hAnsi="Arial"/>
          <w:sz w:val="16"/>
          <w:szCs w:val="16"/>
          <w:color w:val="auto"/>
        </w:rPr>
      </w:pPr>
    </w:p>
    <w:p>
      <w:pPr>
        <w:ind w:left="680" w:hanging="321"/>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We will need to grow the size and capabilities of our organization, and we may experience difficulties in managing this growth;</w:t>
      </w:r>
    </w:p>
    <w:p>
      <w:pPr>
        <w:spacing w:after="0" w:line="32" w:lineRule="exact"/>
        <w:rPr>
          <w:rFonts w:ascii="Arial" w:cs="Arial" w:eastAsia="Arial" w:hAnsi="Arial"/>
          <w:sz w:val="16"/>
          <w:szCs w:val="16"/>
          <w:color w:val="auto"/>
        </w:rPr>
      </w:pPr>
    </w:p>
    <w:p>
      <w:pPr>
        <w:ind w:left="680" w:right="16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 w:lineRule="exact"/>
        <w:rPr>
          <w:rFonts w:ascii="Arial" w:cs="Arial" w:eastAsia="Arial" w:hAnsi="Arial"/>
          <w:sz w:val="18"/>
          <w:szCs w:val="18"/>
          <w:color w:val="auto"/>
        </w:rPr>
      </w:pPr>
    </w:p>
    <w:p>
      <w:pPr>
        <w:ind w:left="680" w:right="14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FDA regulatory approval process is lengthy and time-consuming, and we may experience significant delays in the clinical development and regulatory approval of our product candidates;</w:t>
      </w:r>
    </w:p>
    <w:p>
      <w:pPr>
        <w:ind w:left="680" w:right="34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Obtaining and maintaining regulatory approval of our product candidates in one jurisdiction does not mean that we will be successful in obtaining regulatory approval of our product candidates in other jurisdictions;</w:t>
      </w:r>
    </w:p>
    <w:p>
      <w:pPr>
        <w:ind w:left="680" w:right="42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Coverage and reimbursement may be limited or unavailable in certain market segments for our product candidates, which could make it difficult for us to sell our product candidates profitably; and</w:t>
      </w: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Governments outside the U.S. tend to impose strict price controls, which may adversely affect our revenues,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198"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September 30, 2021, we had an accumulated deficit of $1.1 billion. In addition, during the nine months ended September 30, 2021, we incurred a net loss of $242.9 million. Since our inception we have not generated any revenues from operations. We are preparing for the commercial launch of our products, if approved, in 2022. We do not expect to generate any meaningful product sales or royalty revenues until we have a product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approved. We expect to incur significant additional operating losses in the future as we expand our development and clinical trial activities in support of demonstrating the effectiveness of our products.</w:t>
      </w:r>
    </w:p>
    <w:p>
      <w:pPr>
        <w:spacing w:after="0" w:line="130"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57"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30" w:lineRule="exact"/>
        <w:rPr>
          <w:sz w:val="20"/>
          <w:szCs w:val="20"/>
          <w:color w:val="auto"/>
        </w:rPr>
      </w:pPr>
    </w:p>
    <w:p>
      <w:pPr>
        <w:ind w:right="20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36"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51"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83"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including lifileucel, LN-145,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37"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130"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24"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the FDA to base its determination with respect to product approval on such comparisons, the FDA may factor these comparisons into its decision whether to approve our TIL therapies, including lifileucel for metastatic melanoma and metastatic cervical cancer. The FDA may also consider its approvals of competing products, which may alter the treatment landscape concurrently with their review of our BLA filings, and which may lead to changes in the FDA’s review</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06"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57"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30" w:lineRule="exact"/>
        <w:rPr>
          <w:sz w:val="20"/>
          <w:szCs w:val="20"/>
          <w:color w:val="auto"/>
        </w:rPr>
      </w:pPr>
    </w:p>
    <w:p>
      <w:pPr>
        <w:ind w:left="820" w:right="540" w:hanging="320"/>
        <w:spacing w:after="0" w:line="258"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As a result, clinical trials may be delayed or otherwise may be more difficult to execute in the future.</w:t>
      </w:r>
    </w:p>
    <w:p>
      <w:pPr>
        <w:spacing w:after="0" w:line="158"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51"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3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oversight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44"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2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61" w:lineRule="exact"/>
        <w:rPr>
          <w:sz w:val="20"/>
          <w:szCs w:val="20"/>
          <w:color w:val="auto"/>
        </w:rPr>
      </w:pPr>
    </w:p>
    <w:p>
      <w:pPr>
        <w:ind w:right="60" w:firstLine="492"/>
        <w:spacing w:after="0" w:line="287" w:lineRule="auto"/>
        <w:rPr>
          <w:sz w:val="20"/>
          <w:szCs w:val="20"/>
          <w:color w:val="auto"/>
        </w:rPr>
      </w:pPr>
      <w:r>
        <w:rPr>
          <w:rFonts w:ascii="Arial" w:cs="Arial" w:eastAsia="Arial" w:hAnsi="Arial"/>
          <w:sz w:val="16"/>
          <w:szCs w:val="16"/>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generate revenues could be delayed. To the extent we are unable to successfully identify and manage the performance of third party service providers in the future, our business may be materially and adversely affected.</w:t>
      </w:r>
    </w:p>
    <w:p>
      <w:pPr>
        <w:spacing w:after="0" w:line="130"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3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46" w:lineRule="exact"/>
        <w:rPr>
          <w:sz w:val="20"/>
          <w:szCs w:val="20"/>
          <w:color w:val="auto"/>
        </w:rPr>
      </w:pPr>
    </w:p>
    <w:p>
      <w:pPr>
        <w:jc w:val="both"/>
        <w:ind w:right="22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firstLine="8"/>
        <w:spacing w:after="0" w:line="268" w:lineRule="auto"/>
        <w:tabs>
          <w:tab w:leader="none" w:pos="27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May 2020, we disclosed interim results for Cohort 4 of the C-144-01 clinical trial. The interim results speak only to data available as of March 16, 2020, and although such data have been reviewed by the investigators, they have not been reviewed by IRC. In addition, differences in patient population may affect the clinical results of Cohort 4 as compared to Cohort 2.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54" w:lineRule="exact"/>
        <w:rPr>
          <w:rFonts w:ascii="Arial" w:cs="Arial" w:eastAsia="Arial" w:hAnsi="Arial"/>
          <w:sz w:val="17"/>
          <w:szCs w:val="17"/>
          <w:color w:val="auto"/>
        </w:rPr>
      </w:pPr>
    </w:p>
    <w:p>
      <w:pPr>
        <w:ind w:left="820" w:right="260" w:hanging="320"/>
        <w:spacing w:after="0" w:line="255" w:lineRule="auto"/>
        <w:tabs>
          <w:tab w:leader="none" w:pos="814" w:val="left"/>
        </w:tabs>
        <w:numPr>
          <w:ilvl w:val="1"/>
          <w:numId w:val="7"/>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40" w:hanging="320"/>
        <w:spacing w:after="0" w:line="250" w:lineRule="auto"/>
        <w:tabs>
          <w:tab w:leader="none" w:pos="81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60" w:hanging="320"/>
        <w:spacing w:after="0" w:line="250" w:lineRule="auto"/>
        <w:tabs>
          <w:tab w:leader="none" w:pos="81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300" w:hanging="320"/>
        <w:spacing w:after="0" w:line="281" w:lineRule="auto"/>
        <w:tabs>
          <w:tab w:leader="none" w:pos="814" w:val="left"/>
        </w:tabs>
        <w:numPr>
          <w:ilvl w:val="1"/>
          <w:numId w:val="7"/>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 w:hanging="320"/>
        <w:spacing w:after="0" w:line="281" w:lineRule="auto"/>
        <w:tabs>
          <w:tab w:leader="none" w:pos="814" w:val="left"/>
        </w:tabs>
        <w:numPr>
          <w:ilvl w:val="1"/>
          <w:numId w:val="7"/>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120" w:hanging="320"/>
        <w:spacing w:after="0" w:line="253"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3" w:lineRule="exact"/>
        <w:rPr>
          <w:rFonts w:ascii="Arial" w:cs="Arial" w:eastAsia="Arial" w:hAnsi="Arial"/>
          <w:sz w:val="18"/>
          <w:szCs w:val="18"/>
          <w:color w:val="auto"/>
        </w:rPr>
      </w:pPr>
    </w:p>
    <w:p>
      <w:pPr>
        <w:ind w:left="82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4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Arial" w:cs="Arial" w:eastAsia="Arial" w:hAnsi="Arial"/>
          <w:sz w:val="18"/>
          <w:szCs w:val="18"/>
          <w:color w:val="auto"/>
        </w:rPr>
      </w:pPr>
    </w:p>
    <w:p>
      <w:pPr>
        <w:ind w:left="820" w:right="80" w:hanging="320"/>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delays in patient enrollment due to the ongoing COVID-19 pandemic;</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require additional testing and clinical trials will require additional FDA regulatory approval and will increase our future cost of expenses.</w:t>
      </w:r>
    </w:p>
    <w:p>
      <w:pPr>
        <w:spacing w:after="0" w:line="208" w:lineRule="exact"/>
        <w:rPr>
          <w:sz w:val="20"/>
          <w:szCs w:val="20"/>
          <w:color w:val="auto"/>
        </w:rPr>
      </w:pPr>
    </w:p>
    <w:p>
      <w:pPr>
        <w:ind w:right="80" w:firstLine="492"/>
        <w:spacing w:after="0" w:line="289"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or preclinical studies. For example, while we currently intend to file our first BLA using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and preclinical studies, or results in a refusal to file or non-approval of a BLA.</w:t>
      </w:r>
    </w:p>
    <w:p>
      <w:pPr>
        <w:spacing w:after="0" w:line="139"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43"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33"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difficulties in identifying and enrolling patients who meet trial eligibility criteria, and the ongoing COVID-19 pandemic, may cause significant delays. We may not commence or complete clinical trials involving any of our products as projected or may not conduct them successfully.</w:t>
      </w:r>
    </w:p>
    <w:p>
      <w:pPr>
        <w:spacing w:after="0" w:line="147"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We are currently enrolling our company-sponsored, Phase 2 clinical trials to assess its overall safety and efficacy in patients with melanoma,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our TIL therapy lifileucel in patients with metastatic cervical cancer and metastatic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lifileucel in patients with metastatic cervical cancer and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w:t>
      </w:r>
    </w:p>
    <w:p>
      <w:pPr>
        <w:sectPr>
          <w:pgSz w:w="11900" w:h="16838" w:orient="portrait"/>
          <w:cols w:equalWidth="0" w:num="1">
            <w:col w:w="9900"/>
          </w:cols>
          <w:pgMar w:left="980" w:top="665" w:right="1019"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25"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9"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46"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46"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43"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38"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0" w:lineRule="exact"/>
        <w:rPr>
          <w:sz w:val="20"/>
          <w:szCs w:val="20"/>
          <w:color w:val="auto"/>
        </w:rPr>
      </w:pPr>
    </w:p>
    <w:p>
      <w:pPr>
        <w:ind w:right="40" w:firstLine="492"/>
        <w:spacing w:after="0" w:line="286"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w:t>
      </w:r>
    </w:p>
    <w:p>
      <w:pPr>
        <w:sectPr>
          <w:pgSz w:w="11900" w:h="16838" w:orient="portrait"/>
          <w:cols w:equalWidth="0" w:num="1">
            <w:col w:w="9920"/>
          </w:cols>
          <w:pgMar w:left="980" w:top="665"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3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5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37" w:lineRule="exact"/>
        <w:rPr>
          <w:sz w:val="20"/>
          <w:szCs w:val="20"/>
          <w:color w:val="auto"/>
        </w:rPr>
      </w:pPr>
    </w:p>
    <w:p>
      <w:pPr>
        <w:jc w:val="both"/>
        <w:ind w:right="20" w:firstLine="492"/>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47"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51"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25" w:lineRule="exact"/>
        <w:rPr>
          <w:sz w:val="20"/>
          <w:szCs w:val="20"/>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820" w:right="200" w:hanging="320"/>
        <w:spacing w:after="0" w:line="255"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2"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ind w:left="840" w:right="100" w:hanging="319"/>
        <w:spacing w:after="0" w:line="250"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right="20" w:hanging="320"/>
        <w:spacing w:after="0" w:line="253"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52"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55" w:lineRule="exact"/>
        <w:rPr>
          <w:sz w:val="20"/>
          <w:szCs w:val="20"/>
          <w:color w:val="auto"/>
        </w:rPr>
      </w:pPr>
    </w:p>
    <w:p>
      <w:pPr>
        <w:jc w:val="both"/>
        <w:ind w:right="16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43"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spacing w:after="0" w:line="13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38"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w:t>
      </w:r>
    </w:p>
    <w:p>
      <w:pPr>
        <w:sectPr>
          <w:pgSz w:w="11900" w:h="16838" w:orient="portrait"/>
          <w:cols w:equalWidth="0" w:num="1">
            <w:col w:w="9920"/>
          </w:cols>
          <w:pgMar w:left="980" w:top="665"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36"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13"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3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40"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FDA not agreeing with all of the details of our validation data or our potency assay or assays for Cohort 4 of our C-144-01 clinical trial. For example, on October 5, 2020, we announced that we and the FDA have not been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have continued ongoing work developing and validating our potency assays and have engaged in discussions with the FDA during the second half of 2021. Our BLA submission for lifileucel is now expected to occur during the first half of 2022.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Netherlands,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45"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43" w:lineRule="exact"/>
        <w:rPr>
          <w:sz w:val="20"/>
          <w:szCs w:val="20"/>
          <w:color w:val="auto"/>
        </w:rPr>
      </w:pPr>
    </w:p>
    <w:p>
      <w:pPr>
        <w:ind w:left="820" w:hanging="320"/>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66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820" w:hanging="320"/>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20" w:lineRule="exact"/>
        <w:rPr>
          <w:rFonts w:ascii="Arial" w:cs="Arial" w:eastAsia="Arial" w:hAnsi="Arial"/>
          <w:sz w:val="17"/>
          <w:szCs w:val="17"/>
          <w:color w:val="auto"/>
        </w:rPr>
      </w:pPr>
    </w:p>
    <w:p>
      <w:pPr>
        <w:ind w:left="820" w:right="420" w:hanging="320"/>
        <w:spacing w:after="0" w:line="281" w:lineRule="auto"/>
        <w:tabs>
          <w:tab w:leader="none" w:pos="81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 w:lineRule="exact"/>
        <w:rPr>
          <w:rFonts w:ascii="Arial" w:cs="Arial" w:eastAsia="Arial" w:hAnsi="Arial"/>
          <w:sz w:val="16"/>
          <w:szCs w:val="16"/>
          <w:color w:val="auto"/>
        </w:rPr>
      </w:pPr>
    </w:p>
    <w:p>
      <w:pPr>
        <w:ind w:left="820" w:right="180" w:hanging="320"/>
        <w:spacing w:after="0" w:line="26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45"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May 2019 we entered into a lease agreement to build a commercial-scale manufacturing facility in Philadelphia, Pennsylvania for commercial and clinical production of autologous TIL products, including our product candidate lifileucel. We expect that development of our own manufacturing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4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61" w:lineRule="exact"/>
        <w:rPr>
          <w:sz w:val="20"/>
          <w:szCs w:val="20"/>
          <w:color w:val="auto"/>
        </w:rPr>
      </w:pPr>
    </w:p>
    <w:p>
      <w:pPr>
        <w:ind w:right="300" w:firstLine="486"/>
        <w:spacing w:after="0" w:line="293"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24"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w:t>
      </w:r>
    </w:p>
    <w:p>
      <w:pPr>
        <w:sectPr>
          <w:pgSz w:w="11900" w:h="16838" w:orient="portrait"/>
          <w:cols w:equalWidth="0" w:num="1">
            <w:col w:w="9880"/>
          </w:cols>
          <w:pgMar w:left="980" w:top="665" w:right="1039" w:bottom="1440" w:gutter="0" w:footer="0" w:header="0"/>
        </w:sect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timely basis. There is no guarantee that we or our CMOs will be able to successfully pass all aspects of a pre-approval inspection by the FDA or other foreign regulatory authorities.</w:t>
      </w:r>
    </w:p>
    <w:p>
      <w:pPr>
        <w:spacing w:after="0" w:line="130"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52"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3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25" w:lineRule="exact"/>
        <w:rPr>
          <w:sz w:val="20"/>
          <w:szCs w:val="20"/>
          <w:color w:val="auto"/>
        </w:rPr>
      </w:pPr>
    </w:p>
    <w:p>
      <w:pPr>
        <w:ind w:right="100" w:firstLine="486"/>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0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38"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37"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98"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With the exception of lifileucel for metastatic melanoma and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46" w:lineRule="exact"/>
        <w:rPr>
          <w:sz w:val="20"/>
          <w:szCs w:val="20"/>
          <w:color w:val="auto"/>
        </w:rPr>
      </w:pPr>
    </w:p>
    <w:p>
      <w:pPr>
        <w:ind w:left="820" w:right="20" w:hanging="320"/>
        <w:spacing w:after="0" w:line="258"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4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8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70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2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19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8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38" w:lineRule="exact"/>
        <w:rPr>
          <w:sz w:val="20"/>
          <w:szCs w:val="20"/>
          <w:color w:val="auto"/>
        </w:rPr>
      </w:pPr>
    </w:p>
    <w:p>
      <w:pPr>
        <w:ind w:right="160" w:firstLine="486"/>
        <w:spacing w:after="0" w:line="286"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Ohio State University, and CHUM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MDACC and CHUM to perform clinical trials using TIL products that differ from our products, but the results of these clinical trials, if negative, may adversely impact our stock price and our development plans for our products.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Additionally, we may use third party data to analyze, reach conclusions or make predictions or decisions with respect to our product candidates that may be incomplete, inaccurate or otherwise unreliable.</w:t>
      </w:r>
    </w:p>
    <w:p>
      <w:pPr>
        <w:spacing w:after="0" w:line="130"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30"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Our operations have consumed substantial amounts of cash since inception. From our inception to September 30, 2021, we have an accumulated deficit of $1.1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February 2021 we entered into an open market sale agreement, or the Sales Agreement, with Jefferies LLC, which provides for the sale of up to $350.0 million of our common stock from time to time. For the nine months ended September 30, 2021, we received approximately $203.2 million in net proceeds through the sale of 6,474,099 shares of our common stock. As of September 30, 2021, we had approximately $654.7 million in cash, cash equivalents and investments ($58.6 million of cash and cash equivalents, $517.9 million in short-term investments, and $78.2 million of long-term investments).</w:t>
      </w:r>
    </w:p>
    <w:p>
      <w:pPr>
        <w:spacing w:after="0" w:line="14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Accordingly, we believe that our existing cash, cash equivalents and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25"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97" w:lineRule="exact"/>
        <w:rPr>
          <w:sz w:val="20"/>
          <w:szCs w:val="20"/>
          <w:color w:val="auto"/>
        </w:rPr>
      </w:pPr>
    </w:p>
    <w:p>
      <w:pPr>
        <w:ind w:left="820" w:right="100" w:hanging="320"/>
        <w:spacing w:after="0" w:line="258"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00" w:hanging="320"/>
        <w:spacing w:after="0" w:line="281" w:lineRule="auto"/>
        <w:tabs>
          <w:tab w:leader="none" w:pos="81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0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U.S.;</w:t>
      </w:r>
    </w:p>
    <w:p>
      <w:pPr>
        <w:spacing w:after="0" w:line="9" w:lineRule="exact"/>
        <w:rPr>
          <w:rFonts w:ascii="Arial" w:cs="Arial" w:eastAsia="Arial" w:hAnsi="Arial"/>
          <w:sz w:val="18"/>
          <w:szCs w:val="18"/>
          <w:color w:val="auto"/>
        </w:rPr>
      </w:pPr>
    </w:p>
    <w:p>
      <w:pPr>
        <w:ind w:left="820" w:right="6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60" w:hanging="320"/>
        <w:spacing w:after="0" w:line="26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3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spacing w:after="0" w:line="10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June 2020, October 2018, and January 2018 public offerings, and the proceeds from sales pursuant to the Sales Agreement with Jefferies LLC, which provides for the sale of up to $350.0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9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2020, we had U.S. federal net operating loss carryforwards of approximately $662.4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3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Prior to December 31, 2020, we may have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30"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53"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In recent years, various tax legislations were signed into law. 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There are also potential state tax law provisions that may have an effect on our business. For example, on June 15, 2020, Assembly Bill 85 was passed in California which suspended the use of net operating losses and limited the use of credits for certain corporations. These changes to existing federal and state tax laws and newly enacted tax reform legislation in the U.S. could adversely impact our business, results of operations and financial position as the overall impact of such changes and reform is uncertain.</w:t>
      </w:r>
    </w:p>
    <w:p>
      <w:pPr>
        <w:spacing w:after="0" w:line="128"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In addition, U.S. federal, state and local tax laws are extremely complex and subject to various interpretations. Although we believe that our tax estimates and positions are reasonable, including our decision to build our commercial manufacturing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3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9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3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potential products until we obtain FDA approval, and so any delay in obtaining, or inability to obtain, FDA approval would harm our business.</w:t>
      </w:r>
    </w:p>
    <w:p>
      <w:pPr>
        <w:spacing w:after="0" w:line="13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8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3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4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51"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68"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43"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3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4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3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 party medical insurers.</w:t>
      </w:r>
    </w:p>
    <w:p>
      <w:pPr>
        <w:spacing w:after="0" w:line="14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43"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ectPr>
          <w:pgSz w:w="11900" w:h="16838" w:orient="portrait"/>
          <w:cols w:equalWidth="0" w:num="1">
            <w:col w:w="9900"/>
          </w:cols>
          <w:pgMar w:left="980" w:top="665"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30"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54" w:lineRule="exact"/>
        <w:rPr>
          <w:sz w:val="20"/>
          <w:szCs w:val="20"/>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6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0" w:lineRule="exact"/>
        <w:rPr>
          <w:sz w:val="20"/>
          <w:szCs w:val="20"/>
          <w:color w:val="auto"/>
        </w:rPr>
      </w:pPr>
    </w:p>
    <w:p>
      <w:pPr>
        <w:ind w:right="10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21" w:lineRule="exact"/>
        <w:rPr>
          <w:sz w:val="20"/>
          <w:szCs w:val="20"/>
          <w:color w:val="auto"/>
        </w:rPr>
      </w:pPr>
    </w:p>
    <w:p>
      <w:pPr>
        <w:ind w:right="6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21" w:lineRule="exact"/>
        <w:rPr>
          <w:sz w:val="20"/>
          <w:szCs w:val="20"/>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7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Agenus, BeyondSpring, Bristol-Myers Squibb, Merck, Nektar Therapeutics, Idera Pharmaceuticals, Checkmate Pharmaceuticals, Daiichi Sankyo, Eisai, Exelixis, Mirati Therapeutics, Oncosec Medical, Replimune, Regeneron Pharmaceuticals, Instil Bio, Achilles Therapeutics, KSQ Therapeutics, Obsidian Therapeutics , Immatics, TILT Biotherapeutics, WindMIL Therapeutics, Seagen, Genmab,</w:t>
      </w:r>
    </w:p>
    <w:p>
      <w:pPr>
        <w:sectPr>
          <w:pgSz w:w="11900" w:h="16838" w:orient="portrait"/>
          <w:cols w:equalWidth="0" w:num="1">
            <w:col w:w="9880"/>
          </w:cols>
          <w:pgMar w:left="980" w:top="665" w:right="1039" w:bottom="1440" w:gutter="0" w:footer="0" w:header="0"/>
        </w:sect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others. We also may compete with therapies based on genetically engineered T cell receptors rendered reactive against tumor-associated antigens prior to their administration to patients, as well as TIL therapies that are designed to be specific to neoantigens, including products developed by Adaptimmune Therapeutics, Ziopharm Oncology, Marker Therapeutics,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and Roche. We may also face competition from novel interleukin-2 (IL-2) treatments in development by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65"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38"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6" w:lineRule="exact"/>
        <w:rPr>
          <w:sz w:val="20"/>
          <w:szCs w:val="20"/>
          <w:color w:val="auto"/>
        </w:rPr>
      </w:pPr>
    </w:p>
    <w:p>
      <w:pPr>
        <w:ind w:right="50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97" w:lineRule="exact"/>
        <w:rPr>
          <w:sz w:val="20"/>
          <w:szCs w:val="20"/>
          <w:color w:val="auto"/>
        </w:rPr>
      </w:pPr>
    </w:p>
    <w:p>
      <w:pPr>
        <w:jc w:val="both"/>
        <w:ind w:right="8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Novartis, and CHUM.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w:t>
      </w:r>
    </w:p>
    <w:p>
      <w:pPr>
        <w:sectPr>
          <w:pgSz w:w="11900" w:h="16838" w:orient="portrait"/>
          <w:cols w:equalWidth="0" w:num="1">
            <w:col w:w="9900"/>
          </w:cols>
          <w:pgMar w:left="980" w:top="665" w:right="101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17"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60"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12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65"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46"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30"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45" w:lineRule="exact"/>
        <w:rPr>
          <w:sz w:val="20"/>
          <w:szCs w:val="20"/>
          <w:color w:val="auto"/>
        </w:rPr>
      </w:pPr>
    </w:p>
    <w:p>
      <w:pPr>
        <w:ind w:right="42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43"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We were granted Fast Track designation by the FDA for lifileucel in metastatic melanoma and metastatic cervical cancer.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38"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b w:val="1"/>
          <w:bCs w:val="1"/>
          <w:i w:val="1"/>
          <w:iCs w:val="1"/>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38"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46" w:lineRule="exact"/>
        <w:rPr>
          <w:sz w:val="20"/>
          <w:szCs w:val="20"/>
          <w:color w:val="auto"/>
        </w:rPr>
      </w:pPr>
    </w:p>
    <w:p>
      <w:pPr>
        <w:jc w:val="both"/>
        <w:ind w:right="220" w:firstLine="492"/>
        <w:spacing w:after="0" w:line="286" w:lineRule="auto"/>
        <w:rPr>
          <w:sz w:val="20"/>
          <w:szCs w:val="20"/>
          <w:color w:val="auto"/>
        </w:rPr>
      </w:pPr>
      <w:r>
        <w:rPr>
          <w:rFonts w:ascii="Arial" w:cs="Arial" w:eastAsia="Arial" w:hAnsi="Arial"/>
          <w:sz w:val="17"/>
          <w:szCs w:val="17"/>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138"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47"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43"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55"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83"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38"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38" w:lineRule="exact"/>
        <w:rPr>
          <w:sz w:val="20"/>
          <w:szCs w:val="20"/>
          <w:color w:val="auto"/>
        </w:rPr>
      </w:pPr>
    </w:p>
    <w:p>
      <w:pPr>
        <w:ind w:left="820" w:right="340" w:hanging="320"/>
        <w:spacing w:after="0" w:line="291" w:lineRule="auto"/>
        <w:tabs>
          <w:tab w:leader="none" w:pos="8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20" w:hanging="320"/>
        <w:spacing w:after="0" w:line="26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23"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40" w:hanging="320"/>
        <w:spacing w:after="0" w:line="26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45"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43"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37"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64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98"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54"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2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4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3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59"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124"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the COVID-19 Pandemic has spread to multiple countries, including the U.S. and several European countries. Our headquarters is located in the San Francisco Bay Area. The President of the U.S. declared the COVID-19 pandemic a national emergency. Similarly, the State of California declared a state of emergency related to the spread of the COVID-19 pandemic. In March 2020, the health officers of six San Francisco Bay Area counties, including San Mateo County where our headquarters in San Carlos are located, issued shelter-in-place orders. The shelter-in-place orders took effect on March 17, 2020 and will continue through the end of May 2020, unless further extended.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U.S.</w:t>
      </w:r>
    </w:p>
    <w:p>
      <w:pPr>
        <w:spacing w:after="0" w:line="133"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59" w:lineRule="exact"/>
        <w:rPr>
          <w:sz w:val="20"/>
          <w:szCs w:val="20"/>
          <w:color w:val="auto"/>
        </w:rPr>
      </w:pPr>
    </w:p>
    <w:p>
      <w:pPr>
        <w:ind w:right="180" w:firstLine="492"/>
        <w:spacing w:after="0" w:line="296" w:lineRule="auto"/>
        <w:rPr>
          <w:sz w:val="20"/>
          <w:szCs w:val="20"/>
          <w:color w:val="auto"/>
        </w:rPr>
      </w:pPr>
      <w:r>
        <w:rPr>
          <w:rFonts w:ascii="Arial" w:cs="Arial" w:eastAsia="Arial" w:hAnsi="Arial"/>
          <w:sz w:val="16"/>
          <w:szCs w:val="16"/>
          <w:color w:val="auto"/>
        </w:rPr>
        <w:t>We continue to monitor the impact, if any, of the COVID-19 pandemic on our current and future operations, including our regulatory filing timelines and strategy as well as our preparation for commercial launch. As the COVID-19 pandemic continues for an extended period of time, and with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 and</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conduct the pre-approval inspections necessary for ultimate approval of BLA. We cannot predict at this time whether and how FDA operations may be impacted at relevant times for our planned regulatory submissions.</w:t>
      </w:r>
    </w:p>
    <w:p>
      <w:pPr>
        <w:spacing w:after="0" w:line="13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43" w:lineRule="exact"/>
        <w:rPr>
          <w:sz w:val="20"/>
          <w:szCs w:val="20"/>
          <w:color w:val="auto"/>
        </w:rPr>
      </w:pPr>
    </w:p>
    <w:p>
      <w:pPr>
        <w:ind w:right="40" w:firstLine="492"/>
        <w:spacing w:after="0" w:line="267" w:lineRule="auto"/>
        <w:rPr>
          <w:sz w:val="20"/>
          <w:szCs w:val="20"/>
          <w:color w:val="auto"/>
        </w:rPr>
      </w:pPr>
      <w:r>
        <w:rPr>
          <w:rFonts w:ascii="Arial" w:cs="Arial" w:eastAsia="Arial" w:hAnsi="Arial"/>
          <w:sz w:val="17"/>
          <w:szCs w:val="17"/>
          <w:color w:val="auto"/>
        </w:rPr>
        <w:t>European Union, or EU, member states and other foreign jurisdictions, including Switzerland and the United Kingdom,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51"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CRPA, passed on November 3, 2020.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6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19" w:lineRule="exact"/>
        <w:rPr>
          <w:sz w:val="20"/>
          <w:szCs w:val="20"/>
          <w:color w:val="auto"/>
        </w:rPr>
      </w:pPr>
    </w:p>
    <w:p>
      <w:pPr>
        <w:ind w:right="80" w:firstLine="492"/>
        <w:spacing w:after="0" w:line="270" w:lineRule="auto"/>
        <w:rPr>
          <w:sz w:val="20"/>
          <w:szCs w:val="20"/>
          <w:color w:val="auto"/>
        </w:rPr>
      </w:pPr>
      <w:r>
        <w:rPr>
          <w:rFonts w:ascii="Arial" w:cs="Arial" w:eastAsia="Arial" w:hAnsi="Arial"/>
          <w:sz w:val="17"/>
          <w:szCs w:val="17"/>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For example, we continue to recruit for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54" w:lineRule="exact"/>
        <w:rPr>
          <w:sz w:val="20"/>
          <w:szCs w:val="20"/>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660" w:hanging="320"/>
        <w:spacing w:after="0" w:line="274" w:lineRule="auto"/>
        <w:tabs>
          <w:tab w:leader="none" w:pos="8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70"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8"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51"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08" w:lineRule="exact"/>
        <w:rPr>
          <w:sz w:val="20"/>
          <w:szCs w:val="20"/>
          <w:color w:val="auto"/>
        </w:rPr>
      </w:pPr>
    </w:p>
    <w:p>
      <w:pPr>
        <w:ind w:right="92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19"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3"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8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4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6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40" w:hanging="320"/>
        <w:spacing w:after="0" w:line="26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9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5"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3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30"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lifileucel to at least 75 patients of the appropriate population to address the expected sample size in anticipation of a BLA submission in 2021. Additionally, the patient population is defined per the discussion with FDA as patients who have progressed following initial systemic therapy for recurrent or metastatic disease which include many of the more advanced patients enrolled to date.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changes in the competitive environment,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33"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announced that we and the FDA have not been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able to agree on the required potency assays to fully define our TIL therapy, which is required as part of a BLA submission, and that as a result of these developments, our BLA submission was not expected by the end of 2020 and was anticipated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have continued ongoing work developing and validating our potency assays and have engaged in discussions with the FDA during the second half of 2021. Our BLA submission for lifileucel is now expected to occur during the first half of 2022. Accordingly, the regulatory approval pathway for our product candidates may be uncertain, complex, expensive and lengthy, and approval may not be obtained.</w:t>
      </w:r>
    </w:p>
    <w:p>
      <w:pPr>
        <w:spacing w:after="0" w:line="126"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43"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subject-by-subject basis for use in clinical trials; or</w:t>
      </w:r>
    </w:p>
    <w:p>
      <w:pPr>
        <w:ind w:left="820" w:right="120" w:hanging="320"/>
        <w:spacing w:after="0" w:line="26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4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38" w:lineRule="exact"/>
        <w:rPr>
          <w:sz w:val="20"/>
          <w:szCs w:val="20"/>
          <w:color w:val="auto"/>
        </w:rPr>
      </w:pPr>
    </w:p>
    <w:p>
      <w:pPr>
        <w:ind w:right="28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7" w:lineRule="exact"/>
        <w:rPr>
          <w:sz w:val="20"/>
          <w:szCs w:val="20"/>
          <w:color w:val="auto"/>
        </w:rPr>
      </w:pPr>
    </w:p>
    <w:p>
      <w:pPr>
        <w:ind w:right="2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2"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0" w:lineRule="exact"/>
        <w:rPr>
          <w:sz w:val="20"/>
          <w:szCs w:val="20"/>
          <w:color w:val="auto"/>
        </w:rPr>
      </w:pPr>
    </w:p>
    <w:p>
      <w:pPr>
        <w:ind w:right="20" w:firstLine="492"/>
        <w:spacing w:after="0" w:line="253" w:lineRule="auto"/>
        <w:rPr>
          <w:sz w:val="20"/>
          <w:szCs w:val="20"/>
          <w:color w:val="auto"/>
        </w:rPr>
      </w:pPr>
      <w:r>
        <w:rPr>
          <w:rFonts w:ascii="Arial" w:cs="Arial" w:eastAsia="Arial" w:hAnsi="Arial"/>
          <w:sz w:val="18"/>
          <w:szCs w:val="18"/>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56" w:lineRule="exact"/>
        <w:rPr>
          <w:sz w:val="20"/>
          <w:szCs w:val="20"/>
          <w:color w:val="auto"/>
        </w:rPr>
      </w:pPr>
    </w:p>
    <w:p>
      <w:pPr>
        <w:ind w:right="6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38" w:lineRule="exact"/>
        <w:rPr>
          <w:sz w:val="20"/>
          <w:szCs w:val="20"/>
          <w:color w:val="auto"/>
        </w:rPr>
      </w:pPr>
    </w:p>
    <w:p>
      <w:pPr>
        <w:ind w:left="820" w:right="240" w:hanging="320"/>
        <w:spacing w:after="0" w:line="258"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48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83" w:lineRule="exact"/>
        <w:rPr>
          <w:sz w:val="20"/>
          <w:szCs w:val="20"/>
          <w:color w:val="auto"/>
        </w:rPr>
      </w:pPr>
    </w:p>
    <w:p>
      <w:pPr>
        <w:ind w:right="340" w:firstLine="492"/>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51" w:lineRule="exact"/>
        <w:rPr>
          <w:sz w:val="20"/>
          <w:szCs w:val="20"/>
          <w:color w:val="auto"/>
        </w:rPr>
      </w:pPr>
    </w:p>
    <w:p>
      <w:pPr>
        <w:jc w:val="both"/>
        <w:ind w:right="52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125"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44" w:lineRule="exact"/>
        <w:rPr>
          <w:sz w:val="20"/>
          <w:szCs w:val="20"/>
          <w:color w:val="auto"/>
        </w:rPr>
      </w:pPr>
    </w:p>
    <w:p>
      <w:pPr>
        <w:ind w:right="160" w:firstLine="492"/>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3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41"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24"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44"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1" w:lineRule="exact"/>
        <w:rPr>
          <w:sz w:val="20"/>
          <w:szCs w:val="20"/>
          <w:color w:val="auto"/>
        </w:rPr>
      </w:pPr>
    </w:p>
    <w:p>
      <w:pPr>
        <w:ind w:right="36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30"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30"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43"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40" w:lineRule="exact"/>
        <w:rPr>
          <w:sz w:val="20"/>
          <w:szCs w:val="20"/>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65"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31"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52" w:lineRule="exact"/>
        <w:rPr>
          <w:sz w:val="20"/>
          <w:szCs w:val="20"/>
          <w:color w:val="auto"/>
        </w:rPr>
      </w:pPr>
    </w:p>
    <w:p>
      <w:pPr>
        <w:ind w:right="100" w:firstLine="492"/>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59" w:lineRule="exact"/>
        <w:rPr>
          <w:sz w:val="20"/>
          <w:szCs w:val="20"/>
          <w:color w:val="auto"/>
        </w:rPr>
      </w:pPr>
    </w:p>
    <w:p>
      <w:pPr>
        <w:ind w:right="12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25"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which we obtain marketing approval could have a material adverse effect on our operating results, our ability to raise capital needed to commercialize products, and our overall financial condition.</w:t>
      </w:r>
    </w:p>
    <w:p>
      <w:pPr>
        <w:spacing w:after="0" w:line="130"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44" w:lineRule="exact"/>
        <w:rPr>
          <w:sz w:val="20"/>
          <w:szCs w:val="20"/>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7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38"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9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52"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Since enactment of the Patient Protection and Affordable Care Act, as amended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w:t>
      </w:r>
    </w:p>
    <w:p>
      <w:pPr>
        <w:spacing w:after="0" w:line="148"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3"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3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Biden Administration’s Build Back Better Agenda, for example, Medicare negotiation of prescription drug costs with biopharmaceutical companies is proposed to lower prescription drug costs We continue to monitor the potential impact of these and other proposals to lower prescription drug costs at the federal and state level.</w:t>
      </w:r>
    </w:p>
    <w:p>
      <w:pPr>
        <w:spacing w:after="0" w:line="1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Governments outside the U.S. tend to impose strict price controls, which may adversely affect our revenues, if any.</w:t>
      </w:r>
    </w:p>
    <w:p>
      <w:pPr>
        <w:spacing w:after="0" w:line="196"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26"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3"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06"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4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70"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38"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9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3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5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85"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5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3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5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2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0"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20" w:hanging="319"/>
        <w:spacing w:after="0" w:line="260"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23"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right="80" w:hanging="319"/>
        <w:spacing w:after="0" w:line="260"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 or our Annual Report on Form 10-K filed with the SEC on February 25, 2021.</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57" w:lineRule="exact"/>
        <w:rPr>
          <w:sz w:val="20"/>
          <w:szCs w:val="20"/>
          <w:color w:val="auto"/>
        </w:rPr>
      </w:pPr>
    </w:p>
    <w:p>
      <w:pPr>
        <w:ind w:right="80" w:firstLine="492"/>
        <w:spacing w:after="0" w:line="272" w:lineRule="auto"/>
        <w:rPr>
          <w:sz w:val="20"/>
          <w:szCs w:val="20"/>
          <w:color w:val="auto"/>
        </w:rPr>
      </w:pPr>
      <w:r>
        <w:rPr>
          <w:rFonts w:ascii="Arial" w:cs="Arial" w:eastAsia="Arial" w:hAnsi="Arial"/>
          <w:sz w:val="17"/>
          <w:szCs w:val="17"/>
          <w:color w:val="auto"/>
        </w:rPr>
        <w:t>As of September 30, 2021, we had 156,702,653 shares of common stock outstanding. In addition, we had 16,673,579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spacing w:after="0" w:line="137" w:lineRule="exact"/>
        <w:rPr>
          <w:sz w:val="20"/>
          <w:szCs w:val="20"/>
          <w:color w:val="auto"/>
        </w:rPr>
      </w:pPr>
    </w:p>
    <w:p>
      <w:pPr>
        <w:ind w:right="140" w:firstLine="492"/>
        <w:spacing w:after="0" w:line="293" w:lineRule="auto"/>
        <w:rPr>
          <w:sz w:val="20"/>
          <w:szCs w:val="20"/>
          <w:color w:val="auto"/>
        </w:rPr>
      </w:pPr>
      <w:r>
        <w:rPr>
          <w:rFonts w:ascii="Arial" w:cs="Arial" w:eastAsia="Arial" w:hAnsi="Arial"/>
          <w:sz w:val="16"/>
          <w:szCs w:val="16"/>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Further,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64"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SEC has issued an administrative order against us that may make it more difficult for us to raise capital in the future.</w:t>
      </w:r>
    </w:p>
    <w:p>
      <w:pPr>
        <w:spacing w:after="0" w:line="20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Some of the limitations placed on us as a result of the SEC administrative order relating to ineligibility for statutory safe harbors, including under the Private Securities Litigation Reform Act, and limitations on our communications and status as an ineligible issuer under Rule 405 of the Securities Act, have ended as of April 2020. The foregoing order may negatively impact our reputation with current and future investors, and will disqualify us from effecting private placement transactions in reliance upon any of the exemptions from Securities Act registration afforded by Regulation D. As a result, the SEC’s order may it more difficult for us to raise capital in future private offerings.</w:t>
      </w:r>
    </w:p>
    <w:p>
      <w:pPr>
        <w:spacing w:after="0" w:line="13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43"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08" w:lineRule="exact"/>
        <w:rPr>
          <w:sz w:val="20"/>
          <w:szCs w:val="20"/>
          <w:color w:val="auto"/>
        </w:rPr>
      </w:pPr>
    </w:p>
    <w:p>
      <w:pPr>
        <w:ind w:right="180" w:firstLine="492"/>
        <w:spacing w:after="0" w:line="296" w:lineRule="auto"/>
        <w:rPr>
          <w:sz w:val="20"/>
          <w:szCs w:val="20"/>
          <w:color w:val="auto"/>
        </w:rPr>
      </w:pPr>
      <w:r>
        <w:rPr>
          <w:rFonts w:ascii="Arial" w:cs="Arial" w:eastAsia="Arial" w:hAnsi="Arial"/>
          <w:sz w:val="16"/>
          <w:szCs w:val="16"/>
          <w:color w:val="auto"/>
        </w:rPr>
        <w:t>For example, on December 11, 2020, a purported stockholder derivative complaint was filed by plaintiff Leo Shumacher against us, as nominal defendant, and our current directors, as defendants, in the Court of Chancery in the State of Delaware. The complaint alleges breach of fiduciary duty and a claim for unjust enrichment in connection with alleged excessive compensation of certain of our non-executive directors and seeks unspecified damages on behalf of our company. While we intend to vigorously defend against the foregoing complaint, it is not possible to estimate the amount or range of possible loss that might result from these matters.</w:t>
      </w:r>
    </w:p>
    <w:p>
      <w:pPr>
        <w:spacing w:after="0" w:line="161"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30"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57"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3"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5"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28" w:lineRule="exact"/>
        <w:rPr>
          <w:sz w:val="20"/>
          <w:szCs w:val="20"/>
          <w:color w:val="auto"/>
        </w:rPr>
      </w:pPr>
    </w:p>
    <w:p>
      <w:pPr>
        <w:jc w:val="both"/>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38" w:lineRule="exact"/>
        <w:rPr>
          <w:sz w:val="20"/>
          <w:szCs w:val="20"/>
          <w:color w:val="auto"/>
        </w:rPr>
      </w:pPr>
    </w:p>
    <w:p>
      <w:pPr>
        <w:ind w:right="60" w:firstLine="492"/>
        <w:spacing w:after="0" w:line="301"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00" w:type="dxa"/>
            <w:vAlign w:val="bottom"/>
            <w:gridSpan w:val="12"/>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580" w:type="dxa"/>
            <w:vAlign w:val="bottom"/>
            <w:gridSpan w:val="11"/>
          </w:tcPr>
          <w:p>
            <w:pPr>
              <w:ind w:left="19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580" w:type="dxa"/>
            <w:vAlign w:val="bottom"/>
            <w:gridSpan w:val="11"/>
          </w:tcPr>
          <w:p>
            <w:pPr>
              <w:ind w:left="260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 #</w:t>
            </w:r>
          </w:p>
        </w:tc>
        <w:tc>
          <w:tcPr>
            <w:tcW w:w="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780" w:type="dxa"/>
            <w:vAlign w:val="bottom"/>
            <w:tcBorders>
              <w:top w:val="single" w:sz="8" w:color="auto"/>
              <w:bottom w:val="single" w:sz="8" w:color="0000EE"/>
            </w:tcBorders>
            <w:gridSpan w:val="10"/>
          </w:tcPr>
          <w:p>
            <w:pPr>
              <w:spacing w:after="0" w:line="169"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Iovance Biotherapeutics, Inc. 2021 Inducement Plan (incorporated by reference to Exhibit 10.1 to the Registrant’s Current</w:t>
              </w:r>
            </w:hyperlink>
          </w:p>
        </w:tc>
        <w:tc>
          <w:tcPr>
            <w:tcW w:w="320" w:type="dxa"/>
            <w:vAlign w:val="bottom"/>
            <w:tcBorders>
              <w:top w:val="single" w:sz="8" w:color="auto"/>
            </w:tcBorders>
            <w:gridSpan w:val="2"/>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Report on Form 8-K filed with the Commission on September 23, 2021).</w:t>
              </w:r>
            </w:hyperlink>
          </w:p>
        </w:tc>
        <w:tc>
          <w:tcPr>
            <w:tcW w:w="3860" w:type="dxa"/>
            <w:vAlign w:val="bottom"/>
            <w:gridSpan w:val="8"/>
          </w:tcPr>
          <w:p>
            <w:pPr>
              <w:spacing w:after="0"/>
              <w:rPr>
                <w:sz w:val="17"/>
                <w:szCs w:val="17"/>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10.2 #</w:t>
            </w:r>
          </w:p>
        </w:tc>
        <w:tc>
          <w:tcPr>
            <w:tcW w:w="40" w:type="dxa"/>
            <w:vAlign w:val="bottom"/>
          </w:tcPr>
          <w:p>
            <w:pPr>
              <w:spacing w:after="0"/>
              <w:rPr>
                <w:sz w:val="17"/>
                <w:szCs w:val="17"/>
                <w:color w:val="auto"/>
              </w:rPr>
            </w:pPr>
          </w:p>
        </w:tc>
        <w:tc>
          <w:tcPr>
            <w:tcW w:w="9120" w:type="dxa"/>
            <w:vAlign w:val="bottom"/>
            <w:gridSpan w:val="13"/>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Form of Stock Option Grant Notice and Stock Option Agreement under the 2021 Inducement Plan (incorporated by reference</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40" w:type="dxa"/>
            <w:vAlign w:val="bottom"/>
            <w:tcBorders>
              <w:top w:val="single" w:sz="8" w:color="0000EE"/>
            </w:tcBorders>
            <w:gridSpan w:val="12"/>
          </w:tcPr>
          <w:p>
            <w:pPr>
              <w:spacing w:after="0" w:line="196"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to Exhibit 10.2 to the Registrant’s Current Report on Form 8-K filed with the Commission on September 23, 2021).</w:t>
              </w:r>
            </w:hyperlink>
          </w:p>
        </w:tc>
        <w:tc>
          <w:tcPr>
            <w:tcW w:w="80" w:type="dxa"/>
            <w:vAlign w:val="bottom"/>
          </w:tcPr>
          <w:p>
            <w:pPr>
              <w:spacing w:after="0"/>
              <w:rPr>
                <w:sz w:val="17"/>
                <w:szCs w:val="17"/>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10.3 #</w:t>
            </w:r>
          </w:p>
        </w:tc>
        <w:tc>
          <w:tcPr>
            <w:tcW w:w="40" w:type="dxa"/>
            <w:vAlign w:val="bottom"/>
          </w:tcPr>
          <w:p>
            <w:pPr>
              <w:spacing w:after="0"/>
              <w:rPr>
                <w:sz w:val="17"/>
                <w:szCs w:val="17"/>
                <w:color w:val="auto"/>
              </w:rPr>
            </w:pPr>
          </w:p>
        </w:tc>
        <w:tc>
          <w:tcPr>
            <w:tcW w:w="832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Form of Restricted Stock Unit Grant Notice and Restricted Stock Unit Agreement under the 2021 Inducement Plan</w:t>
              </w:r>
            </w:hyperlink>
          </w:p>
        </w:tc>
        <w:tc>
          <w:tcPr>
            <w:tcW w:w="800" w:type="dxa"/>
            <w:vAlign w:val="bottom"/>
            <w:gridSpan w:val="4"/>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(incorporated by reference to Exhibit 10.3 to the Registrant’s Current Report on Form 8-K filed with the Commission on</w:t>
              </w:r>
            </w:hyperlink>
          </w:p>
        </w:tc>
        <w:tc>
          <w:tcPr>
            <w:tcW w:w="44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20" w:type="dxa"/>
            <w:vAlign w:val="bottom"/>
            <w:gridSpan w:val="13"/>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September 23, 2021).</w:t>
              </w:r>
            </w:hyperlink>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31.1++</w:t>
            </w:r>
          </w:p>
        </w:tc>
        <w:tc>
          <w:tcPr>
            <w:tcW w:w="40" w:type="dxa"/>
            <w:vAlign w:val="bottom"/>
          </w:tcPr>
          <w:p>
            <w:pPr>
              <w:spacing w:after="0"/>
              <w:rPr>
                <w:sz w:val="17"/>
                <w:szCs w:val="17"/>
                <w:color w:val="auto"/>
              </w:rPr>
            </w:pPr>
          </w:p>
        </w:tc>
        <w:tc>
          <w:tcPr>
            <w:tcW w:w="48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Rule 13a-14(a)/15d-14(a) Certification of Chief Executive Officer.</w:t>
              </w:r>
            </w:hyperlink>
          </w:p>
        </w:tc>
        <w:tc>
          <w:tcPr>
            <w:tcW w:w="4320" w:type="dxa"/>
            <w:vAlign w:val="bottom"/>
            <w:gridSpan w:val="9"/>
          </w:tcPr>
          <w:p>
            <w:pPr>
              <w:spacing w:after="0"/>
              <w:rPr>
                <w:sz w:val="17"/>
                <w:szCs w:val="17"/>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7"/>
                <w:szCs w:val="17"/>
                <w:color w:val="auto"/>
              </w:rPr>
            </w:pPr>
          </w:p>
        </w:tc>
        <w:tc>
          <w:tcPr>
            <w:tcW w:w="9120" w:type="dxa"/>
            <w:vAlign w:val="bottom"/>
            <w:gridSpan w:val="13"/>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Rule 13a-14(a)/15d-14(a) Certification of Chief Financial Officer.</w:t>
              </w:r>
            </w:hyperlink>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32.1++</w:t>
            </w:r>
          </w:p>
        </w:tc>
        <w:tc>
          <w:tcPr>
            <w:tcW w:w="40" w:type="dxa"/>
            <w:vAlign w:val="bottom"/>
          </w:tcPr>
          <w:p>
            <w:pPr>
              <w:spacing w:after="0"/>
              <w:rPr>
                <w:sz w:val="17"/>
                <w:szCs w:val="17"/>
                <w:color w:val="auto"/>
              </w:rPr>
            </w:pPr>
          </w:p>
        </w:tc>
        <w:tc>
          <w:tcPr>
            <w:tcW w:w="9120" w:type="dxa"/>
            <w:vAlign w:val="bottom"/>
            <w:gridSpan w:val="1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Section 1350 Certification of Chief Executive Officer (furnished herewith).</w:t>
              </w:r>
            </w:hyperlink>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32.2++</w:t>
            </w:r>
          </w:p>
        </w:tc>
        <w:tc>
          <w:tcPr>
            <w:tcW w:w="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Section 1350 Certification of Chief Financial Officer (furnished herewith).</w:t>
              </w:r>
            </w:hyperlink>
          </w:p>
        </w:tc>
        <w:tc>
          <w:tcPr>
            <w:tcW w:w="40" w:type="dxa"/>
            <w:vAlign w:val="bottom"/>
            <w:tcBorders>
              <w:top w:val="single" w:sz="8" w:color="0000EE"/>
            </w:tcBorders>
          </w:tcPr>
          <w:p>
            <w:pPr>
              <w:spacing w:after="0"/>
              <w:rPr>
                <w:sz w:val="17"/>
                <w:szCs w:val="17"/>
                <w:color w:val="auto"/>
              </w:rPr>
            </w:pPr>
          </w:p>
        </w:tc>
        <w:tc>
          <w:tcPr>
            <w:tcW w:w="3700" w:type="dxa"/>
            <w:vAlign w:val="bottom"/>
            <w:gridSpan w:val="6"/>
          </w:tcPr>
          <w:p>
            <w:pPr>
              <w:spacing w:after="0"/>
              <w:rPr>
                <w:sz w:val="17"/>
                <w:szCs w:val="17"/>
                <w:color w:val="auto"/>
              </w:rPr>
            </w:pPr>
          </w:p>
        </w:tc>
      </w:tr>
    </w:tbl>
    <w:p>
      <w:pPr>
        <w:spacing w:after="0" w:line="13" w:lineRule="exact"/>
        <w:rPr>
          <w:sz w:val="20"/>
          <w:szCs w:val="20"/>
          <w:color w:val="auto"/>
        </w:rPr>
      </w:pPr>
    </w:p>
    <w:p>
      <w:pPr>
        <w:ind w:left="800" w:right="100" w:hanging="784"/>
        <w:spacing w:after="0" w:line="285"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Iovance Biotherapeutics, Inc. for the quarter ended September 30, 2021, formatted in iXBRL (Inline eXtensible Business Reporting Language): (1) Condensed Consolidated Balance Sheets as of September 30, 2021 and December 31, 2020; (2) Condensed Consolidated Statements of Operations for the three and nine months ended September 30, 2021 and 2020; (3) Condensed Consolidated Statements of Comprehensive Loss for the three and nine months ended September 30, 2021 and 2020; (4) Condensed Consolidated</w:t>
      </w:r>
    </w:p>
    <w:p>
      <w:pPr>
        <w:spacing w:after="0" w:line="2" w:lineRule="exact"/>
        <w:rPr>
          <w:sz w:val="20"/>
          <w:szCs w:val="20"/>
          <w:color w:val="auto"/>
        </w:rPr>
      </w:pPr>
    </w:p>
    <w:p>
      <w:pPr>
        <w:ind w:left="800" w:right="320"/>
        <w:spacing w:after="0" w:line="250" w:lineRule="auto"/>
        <w:rPr>
          <w:sz w:val="20"/>
          <w:szCs w:val="20"/>
          <w:color w:val="auto"/>
        </w:rPr>
      </w:pPr>
      <w:r>
        <w:rPr>
          <w:rFonts w:ascii="Arial" w:cs="Arial" w:eastAsia="Arial" w:hAnsi="Arial"/>
          <w:sz w:val="18"/>
          <w:szCs w:val="18"/>
          <w:color w:val="auto"/>
        </w:rPr>
        <w:t>Statements of Stockholders’ Equity as of September 30, 2021 and December 31, 2020; (5) Condensed Consolidated Statements of Cash Flows for the three and nine months ended September 30, 2021 and 2020; and (6) Notes to Condensed Consolidated Financial Statements.</w:t>
      </w:r>
    </w:p>
    <w:p>
      <w:pPr>
        <w:spacing w:after="0" w:line="1" w:lineRule="exact"/>
        <w:rPr>
          <w:sz w:val="20"/>
          <w:szCs w:val="20"/>
          <w:color w:val="auto"/>
        </w:rPr>
      </w:pPr>
    </w:p>
    <w:p>
      <w:pPr>
        <w:ind w:left="800" w:right="120" w:hanging="784"/>
        <w:spacing w:after="0" w:line="260" w:lineRule="auto"/>
        <w:tabs>
          <w:tab w:leader="none" w:pos="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date file does not appear in the Interactive Date File because its XBRL tags are embedded within the Inline XBRL document.</w:t>
      </w:r>
    </w:p>
    <w:p>
      <w:pPr>
        <w:spacing w:after="0" w:line="212" w:lineRule="exact"/>
        <w:rPr>
          <w:rFonts w:ascii="Arial" w:cs="Arial" w:eastAsia="Arial" w:hAnsi="Arial"/>
          <w:sz w:val="18"/>
          <w:szCs w:val="18"/>
          <w:color w:val="auto"/>
        </w:rPr>
      </w:pPr>
    </w:p>
    <w:p>
      <w:pPr>
        <w:ind w:left="840" w:hanging="83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840" w:hanging="8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 (unless otherwise noted as being furnished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20"/>
        </w:trPr>
        <w:tc>
          <w:tcPr>
            <w:tcW w:w="3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3120" w:type="dxa"/>
            <w:vAlign w:val="bottom"/>
          </w:tcPr>
          <w:p>
            <w:pPr>
              <w:spacing w:after="0"/>
              <w:rPr>
                <w:sz w:val="20"/>
                <w:szCs w:val="20"/>
                <w:color w:val="auto"/>
              </w:rPr>
            </w:pPr>
            <w:r>
              <w:rPr>
                <w:rFonts w:ascii="Arial" w:cs="Arial" w:eastAsia="Arial" w:hAnsi="Arial"/>
                <w:sz w:val="18"/>
                <w:szCs w:val="18"/>
                <w:color w:val="auto"/>
              </w:rPr>
              <w:t>November 4, 2021</w:t>
            </w:r>
          </w:p>
        </w:tc>
        <w:tc>
          <w:tcPr>
            <w:tcW w:w="18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Frederick G. Vogt, Ph.D., Esq.</w:t>
            </w:r>
          </w:p>
        </w:tc>
      </w:tr>
      <w:tr>
        <w:trPr>
          <w:trHeight w:val="195"/>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Frederick G. Vogt, Ph.D., Esq.</w:t>
            </w:r>
          </w:p>
        </w:tc>
      </w:tr>
      <w:tr>
        <w:trPr>
          <w:trHeight w:val="216"/>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Interim Chief Executive Officer and President, and General</w:t>
            </w:r>
          </w:p>
        </w:tc>
      </w:tr>
      <w:tr>
        <w:trPr>
          <w:trHeight w:val="230"/>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Counsel (Principal Executive Officer)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November 4, 2021</w:t>
            </w:r>
          </w:p>
        </w:tc>
        <w:tc>
          <w:tcPr>
            <w:tcW w:w="18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Jean-Marc Bellemin</w:t>
            </w:r>
          </w:p>
        </w:tc>
      </w:tr>
      <w:tr>
        <w:trPr>
          <w:trHeight w:val="195"/>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5"/>
              </w:rPr>
              <w:t>Chief Financial Officer and Treasurer (Principal Financial and</w:t>
            </w:r>
          </w:p>
        </w:tc>
      </w:tr>
      <w:tr>
        <w:trPr>
          <w:trHeight w:val="230"/>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r>
        <w:trPr>
          <w:trHeight w:val="878"/>
        </w:trPr>
        <w:tc>
          <w:tcPr>
            <w:tcW w:w="3120" w:type="dxa"/>
            <w:vAlign w:val="bottom"/>
          </w:tcPr>
          <w:p>
            <w:pPr>
              <w:spacing w:after="0"/>
              <w:rPr>
                <w:sz w:val="24"/>
                <w:szCs w:val="24"/>
                <w:color w:val="auto"/>
              </w:rPr>
            </w:pPr>
          </w:p>
        </w:tc>
        <w:tc>
          <w:tcPr>
            <w:tcW w:w="2140" w:type="dxa"/>
            <w:vAlign w:val="bottom"/>
            <w:gridSpan w:val="2"/>
          </w:tcPr>
          <w:p>
            <w:pPr>
              <w:jc w:val="right"/>
              <w:ind w:right="110"/>
              <w:spacing w:after="0"/>
              <w:rPr>
                <w:sz w:val="20"/>
                <w:szCs w:val="20"/>
                <w:color w:val="auto"/>
              </w:rPr>
            </w:pPr>
            <w:r>
              <w:rPr>
                <w:rFonts w:ascii="Arial" w:cs="Arial" w:eastAsia="Arial" w:hAnsi="Arial"/>
                <w:sz w:val="18"/>
                <w:szCs w:val="18"/>
                <w:color w:val="auto"/>
              </w:rPr>
              <w:t>87</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 Frederick G. Vogt, PhD., Esq., Interim Chief Executive Officer and President, and General Counsel of Iovance Biotherapeutics, Inc., certify that:</w:t>
      </w:r>
    </w:p>
    <w:p>
      <w:pPr>
        <w:spacing w:after="0" w:line="170"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Dated: November 4, 2021</w:t>
            </w:r>
          </w:p>
        </w:tc>
        <w:tc>
          <w:tcPr>
            <w:tcW w:w="6480" w:type="dxa"/>
            <w:vAlign w:val="bottom"/>
            <w:gridSpan w:val="2"/>
          </w:tcPr>
          <w:p>
            <w:pPr>
              <w:ind w:left="1540"/>
              <w:spacing w:after="0"/>
              <w:rPr>
                <w:sz w:val="20"/>
                <w:szCs w:val="20"/>
                <w:color w:val="auto"/>
              </w:rPr>
            </w:pPr>
            <w:r>
              <w:rPr>
                <w:rFonts w:ascii="Arial" w:cs="Arial" w:eastAsia="Arial" w:hAnsi="Arial"/>
                <w:sz w:val="18"/>
                <w:szCs w:val="18"/>
                <w:color w:val="auto"/>
              </w:rPr>
              <w:t>By: /s/ Frederick G. Vogt, PhD., Esq</w:t>
            </w:r>
          </w:p>
        </w:tc>
      </w:tr>
      <w:tr>
        <w:trPr>
          <w:trHeight w:val="195"/>
        </w:trPr>
        <w:tc>
          <w:tcPr>
            <w:tcW w:w="3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Esq</w:t>
            </w:r>
          </w:p>
        </w:tc>
      </w:tr>
      <w:tr>
        <w:trPr>
          <w:trHeight w:val="216"/>
        </w:trPr>
        <w:tc>
          <w:tcPr>
            <w:tcW w:w="3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r>
        <w:trPr>
          <w:trHeight w:val="776"/>
        </w:trPr>
        <w:tc>
          <w:tcPr>
            <w:tcW w:w="3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Jean-Marc Bellemin, Chief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Dated: November 4, 2021</w:t>
            </w:r>
          </w:p>
        </w:tc>
        <w:tc>
          <w:tcPr>
            <w:tcW w:w="6500" w:type="dxa"/>
            <w:vAlign w:val="bottom"/>
            <w:gridSpan w:val="2"/>
          </w:tcPr>
          <w:p>
            <w:pPr>
              <w:ind w:left="1560"/>
              <w:spacing w:after="0"/>
              <w:rPr>
                <w:sz w:val="20"/>
                <w:szCs w:val="20"/>
                <w:color w:val="auto"/>
              </w:rPr>
            </w:pPr>
            <w:r>
              <w:rPr>
                <w:rFonts w:ascii="Arial" w:cs="Arial" w:eastAsia="Arial" w:hAnsi="Arial"/>
                <w:sz w:val="18"/>
                <w:szCs w:val="18"/>
                <w:color w:val="auto"/>
              </w:rPr>
              <w:t>By: /s/ Jean-Marc Bellemin</w:t>
            </w:r>
          </w:p>
        </w:tc>
      </w:tr>
      <w:tr>
        <w:trPr>
          <w:trHeight w:val="195"/>
        </w:trPr>
        <w:tc>
          <w:tcPr>
            <w:tcW w:w="3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Financial Officer &amp; Principal Accounting Officer)</w:t>
            </w:r>
          </w:p>
        </w:tc>
      </w:tr>
      <w:tr>
        <w:trPr>
          <w:trHeight w:val="776"/>
        </w:trPr>
        <w:tc>
          <w:tcPr>
            <w:tcW w:w="3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September 30, 2021, as filed with the Securities and Exchange Commission on the date hereof (the “Report”), Frederick G. Vogt, PhD., Esq, Interim Chief Executive Officer and President, and General Counsel,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Dated: November 4, 2021</w:t>
            </w:r>
          </w:p>
        </w:tc>
        <w:tc>
          <w:tcPr>
            <w:tcW w:w="6500" w:type="dxa"/>
            <w:vAlign w:val="bottom"/>
            <w:gridSpan w:val="2"/>
          </w:tcPr>
          <w:p>
            <w:pPr>
              <w:ind w:left="1540"/>
              <w:spacing w:after="0"/>
              <w:rPr>
                <w:sz w:val="20"/>
                <w:szCs w:val="20"/>
                <w:color w:val="auto"/>
              </w:rPr>
            </w:pPr>
            <w:r>
              <w:rPr>
                <w:rFonts w:ascii="Arial" w:cs="Arial" w:eastAsia="Arial" w:hAnsi="Arial"/>
                <w:sz w:val="18"/>
                <w:szCs w:val="18"/>
                <w:color w:val="auto"/>
              </w:rPr>
              <w:t>By: /s/ Frederick G. Vogt, PhD., Esq</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Esq</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100" w:right="40" w:firstLine="648"/>
        <w:spacing w:after="0" w:line="311" w:lineRule="auto"/>
        <w:rPr>
          <w:sz w:val="20"/>
          <w:szCs w:val="20"/>
          <w:color w:val="auto"/>
        </w:rPr>
      </w:pPr>
      <w:r>
        <w:rPr>
          <w:rFonts w:ascii="Arial" w:cs="Arial" w:eastAsia="Arial" w:hAnsi="Arial"/>
          <w:sz w:val="16"/>
          <w:szCs w:val="16"/>
          <w:color w:val="auto"/>
        </w:rPr>
        <w:t>In connection with the Quarterly Report on Form 10-Q of Iovance Biotherapeutics, Inc. (the “Company”) for the quarter ended September 30, 2021 as filed with the Securities and Exchange Commission on the date hereof (the “Report”), Jean-Marc Bellemin, Chief Financial Officer, hereby certifies, pursuant to 18 U.S.C. §1350, as adopted pursuant to §906 of the Sarbanes-Oxley Act of 2002, that:</w:t>
      </w:r>
    </w:p>
    <w:p>
      <w:pPr>
        <w:spacing w:after="0" w:line="149" w:lineRule="exact"/>
        <w:rPr>
          <w:sz w:val="20"/>
          <w:szCs w:val="20"/>
          <w:color w:val="auto"/>
        </w:rPr>
      </w:pPr>
    </w:p>
    <w:p>
      <w:pPr>
        <w:ind w:left="360" w:hanging="2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 w:firstLine="8"/>
        <w:spacing w:after="0" w:line="277" w:lineRule="auto"/>
        <w:tabs>
          <w:tab w:leader="none" w:pos="3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5060" w:val="left"/>
          <w:tab w:leader="none" w:pos="5460" w:val="left"/>
        </w:tabs>
        <w:rPr>
          <w:sz w:val="20"/>
          <w:szCs w:val="20"/>
          <w:color w:val="auto"/>
        </w:rPr>
      </w:pPr>
      <w:r>
        <w:rPr>
          <w:rFonts w:ascii="Arial" w:cs="Arial" w:eastAsia="Arial" w:hAnsi="Arial"/>
          <w:sz w:val="18"/>
          <w:szCs w:val="18"/>
          <w:color w:val="auto"/>
        </w:rPr>
        <w:t>Dated: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Jean-Marc Bellemin</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-130175</wp:posOffset>
            </wp:positionV>
            <wp:extent cx="29489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38"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323215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10020"/>
      </w:cols>
      <w:pgMar w:left="8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Roman"/>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lvl w:ilvl="1">
      <w:lvlJc w:val="left"/>
      <w:lvlText w:val="●"/>
      <w:numFmt w:val="bullet"/>
      <w:start w:val="1"/>
    </w:lvl>
  </w:abstractNum>
  <w:abstractNum w:abstractNumId="7">
    <w:nsid w:val="721DA317"/>
    <w:multiLevelType w:val="hybridMultilevel"/>
    <w:lvl w:ilvl="0">
      <w:lvlJc w:val="left"/>
      <w:lvlText w:val="●"/>
      <w:numFmt w:val="bullet"/>
      <w:start w:val="1"/>
    </w:lvl>
    <w:lvl w:ilvl="1">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lvl w:ilvl="1">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01"/>
    </w:lvl>
  </w:abstractNum>
  <w:abstractNum w:abstractNumId="30">
    <w:nsid w:val="3006C83E"/>
    <w:multiLevelType w:val="hybridMultilevel"/>
    <w:lvl w:ilvl="0">
      <w:lvlJc w:val="left"/>
      <w:lvlText w:val="#"/>
      <w:numFmt w:val="bullet"/>
      <w:start w:val="1"/>
    </w:lvl>
    <w:lvl w:ilvl="1">
      <w:lvlJc w:val="left"/>
      <w:lvlText w:val="%2"/>
      <w:numFmt w:val="decimal"/>
      <w:start w:val="104"/>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52" Type="http://schemas.openxmlformats.org/officeDocument/2006/relationships/hyperlink" Target="https://www.sec.gov/ix?doc=/Archives/edgar/data/1425205/000155837021001858/iova-20201231x10k.htm" TargetMode="External"/><Relationship Id="rId99" Type="http://schemas.openxmlformats.org/officeDocument/2006/relationships/hyperlink" Target="https://www.sec.gov/Archives/edgar/data/1425205/000155837021012704/iova-20210922xex10d1.htm" TargetMode="External"/><Relationship Id="rId100" Type="http://schemas.openxmlformats.org/officeDocument/2006/relationships/hyperlink" Target="https://www.sec.gov/Archives/edgar/data/1425205/000155837021012704/iova-20210922xex10d2.htm" TargetMode="External"/><Relationship Id="rId101" Type="http://schemas.openxmlformats.org/officeDocument/2006/relationships/hyperlink" Target="https://www.sec.gov/Archives/edgar/data/1425205/000155837021012704/iova-20210922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2021-11-04T16:35:22Z</dcterms:created>
  <dcterms:modified xsi:type="dcterms:W3CDTF">2021-11-04T16:35:22Z</dcterms:modified>
</cp:coreProperties>
</file>