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6990" cy="330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414020</wp:posOffset>
            </wp:positionV>
            <wp:extent cx="6396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6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U. S. SECURITIES AND EXCHANGE COMMISSION</w:t>
      </w:r>
    </w:p>
    <w:p>
      <w:pPr>
        <w:spacing w:after="0" w:line="3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30" w:lineRule="exact"/>
        <w:rPr>
          <w:sz w:val="24"/>
          <w:szCs w:val="24"/>
          <w:color w:val="auto"/>
        </w:rPr>
      </w:pPr>
    </w:p>
    <w:p>
      <w:pPr>
        <w:ind w:left="3245" w:right="1140" w:hanging="3245"/>
        <w:spacing w:after="0" w:line="291" w:lineRule="auto"/>
        <w:tabs>
          <w:tab w:leader="none" w:pos="61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b w:val="1"/>
          <w:bCs w:val="1"/>
          <w:color w:val="auto"/>
        </w:rPr>
        <w:t>September 30, 2019</w:t>
      </w:r>
    </w:p>
    <w:p>
      <w:pPr>
        <w:spacing w:after="0" w:line="57" w:lineRule="exact"/>
        <w:rPr>
          <w:sz w:val="24"/>
          <w:szCs w:val="24"/>
          <w:color w:val="auto"/>
        </w:rPr>
      </w:pPr>
    </w:p>
    <w:p>
      <w:pPr>
        <w:ind w:left="3865" w:right="1120" w:hanging="3865"/>
        <w:spacing w:after="0" w:line="291" w:lineRule="auto"/>
        <w:tabs>
          <w:tab w:leader="none" w:pos="62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to .</w:t>
      </w:r>
    </w:p>
    <w:p>
      <w:pPr>
        <w:spacing w:after="0" w:line="5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7"/>
          <w:szCs w:val="17"/>
          <w:color w:val="auto"/>
        </w:rPr>
        <w:t>Commission File Number 001-36860</w:t>
      </w:r>
    </w:p>
    <w:p>
      <w:pPr>
        <w:spacing w:after="0" w:line="11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4"/>
          <w:szCs w:val="24"/>
          <w:b w:val="1"/>
          <w:bCs w:val="1"/>
          <w:color w:val="auto"/>
        </w:rPr>
        <w:t>IOVANCE BIOTHERAPEUTICS, INC.</w:t>
      </w:r>
    </w:p>
    <w:p>
      <w:pPr>
        <w:spacing w:after="0" w:line="3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7"/>
          <w:szCs w:val="17"/>
          <w:color w:val="auto"/>
        </w:rPr>
        <w:t>(Exact name of issuer as specified in its charter)</w:t>
      </w:r>
    </w:p>
    <w:p>
      <w:pPr>
        <w:spacing w:after="0" w:line="212" w:lineRule="exact"/>
        <w:rPr>
          <w:sz w:val="24"/>
          <w:szCs w:val="24"/>
          <w:color w:val="auto"/>
        </w:rPr>
      </w:pPr>
    </w:p>
    <w:tbl>
      <w:tblPr>
        <w:tblLayout w:type="fixed"/>
        <w:tblInd w:w="1485" w:type="dxa"/>
        <w:tblCellMar>
          <w:top w:w="0" w:type="dxa"/>
          <w:left w:w="0" w:type="dxa"/>
          <w:bottom w:w="0" w:type="dxa"/>
          <w:right w:w="0" w:type="dxa"/>
        </w:tblCellMar>
      </w:tblPr>
      <w:tr>
        <w:trPr>
          <w:trHeight w:val="207"/>
        </w:trPr>
        <w:tc>
          <w:tcPr>
            <w:tcW w:w="3680" w:type="dxa"/>
            <w:vAlign w:val="bottom"/>
          </w:tcPr>
          <w:p>
            <w:pPr>
              <w:jc w:val="center"/>
              <w:ind w:right="1534"/>
              <w:spacing w:after="0"/>
              <w:rPr>
                <w:sz w:val="20"/>
                <w:szCs w:val="20"/>
                <w:color w:val="auto"/>
              </w:rPr>
            </w:pPr>
            <w:r>
              <w:rPr>
                <w:rFonts w:ascii="Times New Roman" w:cs="Times New Roman" w:eastAsia="Times New Roman" w:hAnsi="Times New Roman"/>
                <w:sz w:val="17"/>
                <w:szCs w:val="17"/>
                <w:color w:val="auto"/>
              </w:rPr>
              <w:t>Delaware</w:t>
            </w:r>
          </w:p>
        </w:tc>
        <w:tc>
          <w:tcPr>
            <w:tcW w:w="316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75-3254381</w:t>
            </w:r>
          </w:p>
        </w:tc>
      </w:tr>
      <w:tr>
        <w:trPr>
          <w:trHeight w:val="207"/>
        </w:trPr>
        <w:tc>
          <w:tcPr>
            <w:tcW w:w="3680" w:type="dxa"/>
            <w:vAlign w:val="bottom"/>
          </w:tcPr>
          <w:p>
            <w:pPr>
              <w:jc w:val="center"/>
              <w:ind w:right="1514"/>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160" w:type="dxa"/>
            <w:vAlign w:val="bottom"/>
          </w:tcPr>
          <w:p>
            <w:pPr>
              <w:jc w:val="center"/>
              <w:ind w:left="1514"/>
              <w:spacing w:after="0"/>
              <w:rPr>
                <w:sz w:val="20"/>
                <w:szCs w:val="20"/>
                <w:color w:val="auto"/>
              </w:rPr>
            </w:pPr>
            <w:r>
              <w:rPr>
                <w:rFonts w:ascii="Times New Roman" w:cs="Times New Roman" w:eastAsia="Times New Roman" w:hAnsi="Times New Roman"/>
                <w:sz w:val="17"/>
                <w:szCs w:val="17"/>
                <w:color w:val="auto"/>
              </w:rPr>
              <w:t>(I.R.S. employer</w:t>
            </w:r>
          </w:p>
        </w:tc>
      </w:tr>
      <w:tr>
        <w:trPr>
          <w:trHeight w:val="226"/>
        </w:trPr>
        <w:tc>
          <w:tcPr>
            <w:tcW w:w="3680" w:type="dxa"/>
            <w:vAlign w:val="bottom"/>
          </w:tcPr>
          <w:p>
            <w:pPr>
              <w:jc w:val="center"/>
              <w:ind w:right="1514"/>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160" w:type="dxa"/>
            <w:vAlign w:val="bottom"/>
          </w:tcPr>
          <w:p>
            <w:pPr>
              <w:jc w:val="center"/>
              <w:ind w:left="1534"/>
              <w:spacing w:after="0"/>
              <w:rPr>
                <w:sz w:val="20"/>
                <w:szCs w:val="20"/>
                <w:color w:val="auto"/>
              </w:rPr>
            </w:pPr>
            <w:r>
              <w:rPr>
                <w:rFonts w:ascii="Times New Roman" w:cs="Times New Roman" w:eastAsia="Times New Roman" w:hAnsi="Times New Roman"/>
                <w:sz w:val="17"/>
                <w:szCs w:val="17"/>
                <w:color w:val="auto"/>
              </w:rPr>
              <w:t>identification number)</w:t>
            </w:r>
          </w:p>
        </w:tc>
      </w:tr>
    </w:tbl>
    <w:p>
      <w:pPr>
        <w:spacing w:after="0" w:line="214" w:lineRule="exact"/>
        <w:rPr>
          <w:sz w:val="24"/>
          <w:szCs w:val="24"/>
          <w:color w:val="auto"/>
        </w:rPr>
      </w:pPr>
    </w:p>
    <w:p>
      <w:pPr>
        <w:ind w:left="3225"/>
        <w:spacing w:after="0"/>
        <w:rPr>
          <w:sz w:val="20"/>
          <w:szCs w:val="20"/>
          <w:color w:val="auto"/>
        </w:rPr>
      </w:pPr>
      <w:r>
        <w:rPr>
          <w:rFonts w:ascii="Times New Roman" w:cs="Times New Roman" w:eastAsia="Times New Roman" w:hAnsi="Times New Roman"/>
          <w:sz w:val="17"/>
          <w:szCs w:val="17"/>
          <w:u w:val="single" w:color="auto"/>
          <w:color w:val="auto"/>
        </w:rPr>
        <w:t>999 Skyway Road, Suite 150, San Carlos, CA 94070</w:t>
      </w:r>
    </w:p>
    <w:p>
      <w:pPr>
        <w:spacing w:after="0" w:line="30" w:lineRule="exact"/>
        <w:rPr>
          <w:sz w:val="24"/>
          <w:szCs w:val="24"/>
          <w:color w:val="auto"/>
        </w:rPr>
      </w:pPr>
    </w:p>
    <w:p>
      <w:pPr>
        <w:ind w:left="3205"/>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11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7"/>
          <w:szCs w:val="17"/>
          <w:u w:val="single" w:color="auto"/>
          <w:color w:val="auto"/>
        </w:rPr>
        <w:t>(650) 260-7120</w:t>
      </w:r>
    </w:p>
    <w:p>
      <w:pPr>
        <w:spacing w:after="0" w:line="3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0" w:lineRule="exact"/>
        <w:rPr>
          <w:sz w:val="24"/>
          <w:szCs w:val="24"/>
          <w:color w:val="auto"/>
        </w:rPr>
      </w:pPr>
    </w:p>
    <w:p>
      <w:pPr>
        <w:ind w:left="5" w:right="20" w:firstLine="621"/>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1" w:lineRule="exact"/>
        <w:rPr>
          <w:sz w:val="24"/>
          <w:szCs w:val="24"/>
          <w:color w:val="auto"/>
        </w:rPr>
      </w:pPr>
    </w:p>
    <w:p>
      <w:pPr>
        <w:jc w:val="both"/>
        <w:ind w:left="5" w:right="400" w:firstLine="621"/>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1" w:lineRule="exact"/>
        <w:rPr>
          <w:sz w:val="24"/>
          <w:szCs w:val="24"/>
          <w:color w:val="auto"/>
        </w:rPr>
      </w:pPr>
    </w:p>
    <w:p>
      <w:pPr>
        <w:jc w:val="both"/>
        <w:ind w:left="5" w:right="100" w:firstLine="62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85"/>
          </w:cols>
          <w:pgMar w:left="915" w:top="639" w:right="899" w:bottom="1440" w:gutter="0" w:footer="0" w:header="0"/>
        </w:sectPr>
      </w:pPr>
    </w:p>
    <w:p>
      <w:pPr>
        <w:spacing w:after="0" w:line="73" w:lineRule="exact"/>
        <w:rPr>
          <w:sz w:val="24"/>
          <w:szCs w:val="24"/>
          <w:color w:val="auto"/>
        </w:rPr>
      </w:pPr>
    </w:p>
    <w:p>
      <w:pPr>
        <w:ind w:left="165"/>
        <w:spacing w:after="0" w:line="291"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87"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3">
            <w:col w:w="1705" w:space="40"/>
            <w:col w:w="2580" w:space="720"/>
            <w:col w:w="5040"/>
          </w:cols>
          <w:pgMar w:left="915" w:top="639" w:right="899" w:bottom="1440" w:gutter="0" w:footer="0" w:header="0"/>
          <w:type w:val="continuous"/>
        </w:sectPr>
      </w:pPr>
    </w:p>
    <w:p>
      <w:pPr>
        <w:ind w:left="5" w:right="600" w:firstLine="621"/>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left="625"/>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3"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28" w:lineRule="exact"/>
        <w:rPr>
          <w:sz w:val="24"/>
          <w:szCs w:val="24"/>
          <w:color w:val="auto"/>
        </w:rPr>
      </w:pPr>
    </w:p>
    <w:tbl>
      <w:tblPr>
        <w:tblLayout w:type="fixed"/>
        <w:tblInd w:w="5" w:type="dxa"/>
        <w:tblCellMar>
          <w:top w:w="0" w:type="dxa"/>
          <w:left w:w="0" w:type="dxa"/>
          <w:bottom w:w="0" w:type="dxa"/>
          <w:right w:w="0" w:type="dxa"/>
        </w:tblCellMar>
      </w:tblP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9"/>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Common stock, par value $0.000041666 per value</w:t>
            </w:r>
          </w:p>
        </w:tc>
        <w:tc>
          <w:tcPr>
            <w:tcW w:w="160" w:type="dxa"/>
            <w:vAlign w:val="bottom"/>
          </w:tcPr>
          <w:p>
            <w:pPr>
              <w:spacing w:after="0"/>
              <w:rPr>
                <w:sz w:val="19"/>
                <w:szCs w:val="19"/>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IOVA</w:t>
            </w:r>
          </w:p>
        </w:tc>
        <w:tc>
          <w:tcPr>
            <w:tcW w:w="140" w:type="dxa"/>
            <w:vAlign w:val="bottom"/>
          </w:tcPr>
          <w:p>
            <w:pPr>
              <w:spacing w:after="0"/>
              <w:rPr>
                <w:sz w:val="19"/>
                <w:szCs w:val="19"/>
                <w:color w:val="auto"/>
              </w:rPr>
            </w:pPr>
          </w:p>
        </w:tc>
        <w:tc>
          <w:tcPr>
            <w:tcW w:w="3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80"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auto"/>
        </w:rPr>
        <w:t>At October 31, 2019, the issuer had 126,194,915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1022350</wp:posOffset>
            </wp:positionV>
            <wp:extent cx="639699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96990" cy="247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93345</wp:posOffset>
            </wp:positionV>
            <wp:extent cx="6396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969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133985</wp:posOffset>
            </wp:positionV>
            <wp:extent cx="639699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96990" cy="33020"/>
                    </a:xfrm>
                    <a:prstGeom prst="rect">
                      <a:avLst/>
                    </a:prstGeom>
                    <a:noFill/>
                  </pic:spPr>
                </pic:pic>
              </a:graphicData>
            </a:graphic>
          </wp:anchor>
        </w:drawing>
      </w:r>
    </w:p>
    <w:p>
      <w:pPr>
        <w:sectPr>
          <w:pgSz w:w="11900" w:h="16838" w:orient="portrait"/>
          <w:cols w:equalWidth="0" w:num="1">
            <w:col w:w="10085"/>
          </w:cols>
          <w:pgMar w:left="915" w:top="639" w:right="899" w:bottom="1440" w:gutter="0" w:footer="0" w:header="0"/>
          <w:type w:val="continuous"/>
        </w:sectPr>
      </w:pPr>
    </w:p>
    <w:bookmarkStart w:id="1" w:name="page2"/>
    <w:bookmarkEnd w:id="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0"/>
        </w:trPr>
        <w:tc>
          <w:tcPr>
            <w:tcW w:w="2720" w:type="dxa"/>
            <w:vAlign w:val="bottom"/>
            <w:tcBorders>
              <w:bottom w:val="single" w:sz="8" w:color="0000EE"/>
            </w:tcBorders>
            <w:gridSpan w:val="12"/>
            <w:shd w:val="clear" w:color="auto" w:fill="CCEEFF"/>
          </w:tcPr>
          <w:p>
            <w:pPr>
              <w:spacing w:after="0" w:line="162" w:lineRule="exact"/>
              <w:rPr>
                <w:rFonts w:ascii="Times New Roman" w:cs="Times New Roman" w:eastAsia="Times New Roman" w:hAnsi="Times New Roman"/>
                <w:sz w:val="17"/>
                <w:szCs w:val="17"/>
                <w:color w:val="0000EE"/>
                <w:w w:val="99"/>
              </w:rPr>
            </w:pPr>
            <w:hyperlink w:anchor="page3">
              <w:r>
                <w:rPr>
                  <w:rFonts w:ascii="Times New Roman" w:cs="Times New Roman" w:eastAsia="Times New Roman" w:hAnsi="Times New Roman"/>
                  <w:sz w:val="17"/>
                  <w:szCs w:val="17"/>
                  <w:color w:val="0000EE"/>
                  <w:w w:val="99"/>
                </w:rPr>
                <w:t>PART I FINANCIAL INFORMATION</w:t>
              </w:r>
            </w:hyperlink>
          </w:p>
        </w:tc>
        <w:tc>
          <w:tcPr>
            <w:tcW w:w="6800" w:type="dxa"/>
            <w:vAlign w:val="bottom"/>
            <w:tcBorders>
              <w:bottom w:val="single" w:sz="8" w:color="CCEEFF"/>
            </w:tcBorders>
            <w:gridSpan w:val="6"/>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68"/>
        </w:trPr>
        <w:tc>
          <w:tcPr>
            <w:tcW w:w="760" w:type="dxa"/>
            <w:vAlign w:val="bottom"/>
            <w:gridSpan w:val="3"/>
          </w:tcPr>
          <w:p>
            <w:pPr>
              <w:spacing w:after="0" w:line="168" w:lineRule="exact"/>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Item 1.</w:t>
              </w:r>
            </w:hyperlink>
          </w:p>
        </w:tc>
        <w:tc>
          <w:tcPr>
            <w:tcW w:w="8760" w:type="dxa"/>
            <w:vAlign w:val="bottom"/>
            <w:gridSpan w:val="15"/>
          </w:tcPr>
          <w:p>
            <w:pPr>
              <w:ind w:left="160"/>
              <w:spacing w:after="0" w:line="168" w:lineRule="exact"/>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Condensed Consolidated Financial Statements (Unaudited)</w:t>
              </w:r>
            </w:hyperlink>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3</w:t>
            </w:r>
          </w:p>
        </w:tc>
      </w:tr>
      <w:tr>
        <w:trPr>
          <w:trHeight w:val="29"/>
        </w:trPr>
        <w:tc>
          <w:tcPr>
            <w:tcW w:w="4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8"/>
        </w:trPr>
        <w:tc>
          <w:tcPr>
            <w:tcW w:w="76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w:anchor="page30">
              <w:r>
                <w:rPr>
                  <w:rFonts w:ascii="Times New Roman" w:cs="Times New Roman" w:eastAsia="Times New Roman" w:hAnsi="Times New Roman"/>
                  <w:sz w:val="17"/>
                  <w:szCs w:val="17"/>
                  <w:color w:val="0000EE"/>
                </w:rPr>
                <w:t>Item 2.</w:t>
              </w:r>
            </w:hyperlink>
          </w:p>
        </w:tc>
        <w:tc>
          <w:tcPr>
            <w:tcW w:w="8760" w:type="dxa"/>
            <w:vAlign w:val="bottom"/>
            <w:gridSpan w:val="15"/>
            <w:shd w:val="clear" w:color="auto" w:fill="CCEEFF"/>
          </w:tcPr>
          <w:p>
            <w:pPr>
              <w:ind w:left="160"/>
              <w:spacing w:after="0" w:line="178" w:lineRule="exact"/>
              <w:rPr>
                <w:rFonts w:ascii="Times New Roman" w:cs="Times New Roman" w:eastAsia="Times New Roman" w:hAnsi="Times New Roman"/>
                <w:sz w:val="17"/>
                <w:szCs w:val="17"/>
                <w:color w:val="0000EE"/>
              </w:rPr>
            </w:pPr>
            <w:hyperlink w:anchor="page30">
              <w:r>
                <w:rPr>
                  <w:rFonts w:ascii="Times New Roman" w:cs="Times New Roman" w:eastAsia="Times New Roman" w:hAnsi="Times New Roman"/>
                  <w:sz w:val="17"/>
                  <w:szCs w:val="17"/>
                  <w:color w:val="0000EE"/>
                </w:rPr>
                <w:t>Management’s Discussion and Analysis of Financial Condition and Results of Operations</w:t>
              </w:r>
            </w:hyperlink>
          </w:p>
        </w:tc>
        <w:tc>
          <w:tcPr>
            <w:tcW w:w="5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30</w:t>
            </w:r>
          </w:p>
        </w:tc>
      </w:tr>
      <w:tr>
        <w:trPr>
          <w:trHeight w:val="39"/>
        </w:trPr>
        <w:tc>
          <w:tcPr>
            <w:tcW w:w="4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8"/>
        </w:trPr>
        <w:tc>
          <w:tcPr>
            <w:tcW w:w="760" w:type="dxa"/>
            <w:vAlign w:val="bottom"/>
            <w:gridSpan w:val="3"/>
          </w:tcPr>
          <w:p>
            <w:pPr>
              <w:spacing w:after="0" w:line="168" w:lineRule="exact"/>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Item 3.</w:t>
              </w:r>
            </w:hyperlink>
          </w:p>
        </w:tc>
        <w:tc>
          <w:tcPr>
            <w:tcW w:w="8760" w:type="dxa"/>
            <w:vAlign w:val="bottom"/>
            <w:gridSpan w:val="15"/>
          </w:tcPr>
          <w:p>
            <w:pPr>
              <w:ind w:left="160"/>
              <w:spacing w:after="0" w:line="168" w:lineRule="exact"/>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Quantitative and Qualitative Disclosures About Market Risk</w:t>
              </w:r>
            </w:hyperlink>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35</w:t>
            </w:r>
          </w:p>
        </w:tc>
      </w:tr>
      <w:tr>
        <w:trPr>
          <w:trHeight w:val="29"/>
        </w:trPr>
        <w:tc>
          <w:tcPr>
            <w:tcW w:w="4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8"/>
        </w:trPr>
        <w:tc>
          <w:tcPr>
            <w:tcW w:w="76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Item 4.</w:t>
              </w:r>
            </w:hyperlink>
          </w:p>
        </w:tc>
        <w:tc>
          <w:tcPr>
            <w:tcW w:w="8760" w:type="dxa"/>
            <w:vAlign w:val="bottom"/>
            <w:gridSpan w:val="15"/>
            <w:shd w:val="clear" w:color="auto" w:fill="CCEEFF"/>
          </w:tcPr>
          <w:p>
            <w:pPr>
              <w:ind w:left="160"/>
              <w:spacing w:after="0" w:line="178" w:lineRule="exact"/>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Controls and Procedures</w:t>
              </w:r>
            </w:hyperlink>
          </w:p>
        </w:tc>
        <w:tc>
          <w:tcPr>
            <w:tcW w:w="5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35</w:t>
            </w:r>
          </w:p>
        </w:tc>
      </w:tr>
      <w:tr>
        <w:trPr>
          <w:trHeight w:val="39"/>
        </w:trPr>
        <w:tc>
          <w:tcPr>
            <w:tcW w:w="4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78"/>
        </w:trPr>
        <w:tc>
          <w:tcPr>
            <w:tcW w:w="9520" w:type="dxa"/>
            <w:vAlign w:val="bottom"/>
            <w:gridSpan w:val="18"/>
          </w:tcPr>
          <w:p>
            <w:pPr>
              <w:spacing w:after="0" w:line="168" w:lineRule="exact"/>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PART II OTHER INFORMATION</w:t>
              </w:r>
            </w:hyperlink>
          </w:p>
        </w:tc>
        <w:tc>
          <w:tcPr>
            <w:tcW w:w="560" w:type="dxa"/>
            <w:vAlign w:val="bottom"/>
          </w:tcPr>
          <w:p>
            <w:pPr>
              <w:spacing w:after="0"/>
              <w:rPr>
                <w:sz w:val="15"/>
                <w:szCs w:val="15"/>
                <w:color w:val="auto"/>
              </w:rPr>
            </w:pPr>
          </w:p>
        </w:tc>
      </w:tr>
      <w:tr>
        <w:trPr>
          <w:trHeight w:val="178"/>
        </w:trPr>
        <w:tc>
          <w:tcPr>
            <w:tcW w:w="760" w:type="dxa"/>
            <w:vAlign w:val="bottom"/>
            <w:tcBorders>
              <w:top w:val="single" w:sz="8" w:color="0000EE"/>
            </w:tcBorders>
            <w:gridSpan w:val="3"/>
            <w:shd w:val="clear" w:color="auto" w:fill="CCEEFF"/>
          </w:tcPr>
          <w:p>
            <w:pPr>
              <w:spacing w:after="0" w:line="178" w:lineRule="exact"/>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Item 1.</w:t>
              </w:r>
            </w:hyperlink>
          </w:p>
        </w:tc>
        <w:tc>
          <w:tcPr>
            <w:tcW w:w="1660" w:type="dxa"/>
            <w:vAlign w:val="bottom"/>
            <w:tcBorders>
              <w:top w:val="single" w:sz="8" w:color="0000EE"/>
            </w:tcBorders>
            <w:gridSpan w:val="6"/>
            <w:shd w:val="clear" w:color="auto" w:fill="CCEEFF"/>
          </w:tcPr>
          <w:p>
            <w:pPr>
              <w:ind w:left="160"/>
              <w:spacing w:after="0" w:line="178" w:lineRule="exact"/>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Legal Proceedings</w:t>
              </w:r>
            </w:hyperlink>
          </w:p>
        </w:tc>
        <w:tc>
          <w:tcPr>
            <w:tcW w:w="7100" w:type="dxa"/>
            <w:vAlign w:val="bottom"/>
            <w:gridSpan w:val="9"/>
            <w:shd w:val="clear" w:color="auto" w:fill="CCEEFF"/>
          </w:tcPr>
          <w:p>
            <w:pPr>
              <w:spacing w:after="0"/>
              <w:rPr>
                <w:sz w:val="15"/>
                <w:szCs w:val="15"/>
                <w:color w:val="auto"/>
              </w:rPr>
            </w:pPr>
          </w:p>
        </w:tc>
        <w:tc>
          <w:tcPr>
            <w:tcW w:w="5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37</w:t>
            </w:r>
          </w:p>
        </w:tc>
      </w:tr>
      <w:tr>
        <w:trPr>
          <w:trHeight w:val="39"/>
        </w:trPr>
        <w:tc>
          <w:tcPr>
            <w:tcW w:w="4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8"/>
        </w:trPr>
        <w:tc>
          <w:tcPr>
            <w:tcW w:w="620" w:type="dxa"/>
            <w:vAlign w:val="bottom"/>
            <w:gridSpan w:val="2"/>
          </w:tcPr>
          <w:p>
            <w:pPr>
              <w:spacing w:after="0" w:line="168" w:lineRule="exact"/>
              <w:rPr>
                <w:rFonts w:ascii="Times New Roman" w:cs="Times New Roman" w:eastAsia="Times New Roman" w:hAnsi="Times New Roman"/>
                <w:sz w:val="17"/>
                <w:szCs w:val="17"/>
                <w:color w:val="0000EE"/>
                <w:w w:val="99"/>
              </w:rPr>
            </w:pPr>
            <w:hyperlink w:anchor="page40">
              <w:r>
                <w:rPr>
                  <w:rFonts w:ascii="Times New Roman" w:cs="Times New Roman" w:eastAsia="Times New Roman" w:hAnsi="Times New Roman"/>
                  <w:sz w:val="17"/>
                  <w:szCs w:val="17"/>
                  <w:color w:val="0000EE"/>
                  <w:w w:val="99"/>
                </w:rPr>
                <w:t>Item 1A.</w:t>
              </w:r>
            </w:hyperlink>
          </w:p>
        </w:tc>
        <w:tc>
          <w:tcPr>
            <w:tcW w:w="140" w:type="dxa"/>
            <w:vAlign w:val="bottom"/>
          </w:tcPr>
          <w:p>
            <w:pPr>
              <w:spacing w:after="0"/>
              <w:rPr>
                <w:sz w:val="14"/>
                <w:szCs w:val="14"/>
                <w:color w:val="auto"/>
              </w:rPr>
            </w:pPr>
          </w:p>
        </w:tc>
        <w:tc>
          <w:tcPr>
            <w:tcW w:w="8760" w:type="dxa"/>
            <w:vAlign w:val="bottom"/>
            <w:gridSpan w:val="15"/>
          </w:tcPr>
          <w:p>
            <w:pPr>
              <w:ind w:left="160"/>
              <w:spacing w:after="0" w:line="168" w:lineRule="exact"/>
              <w:rPr>
                <w:rFonts w:ascii="Times New Roman" w:cs="Times New Roman" w:eastAsia="Times New Roman" w:hAnsi="Times New Roman"/>
                <w:sz w:val="17"/>
                <w:szCs w:val="17"/>
                <w:color w:val="0000EE"/>
              </w:rPr>
            </w:pPr>
            <w:hyperlink w:anchor="page40">
              <w:r>
                <w:rPr>
                  <w:rFonts w:ascii="Times New Roman" w:cs="Times New Roman" w:eastAsia="Times New Roman" w:hAnsi="Times New Roman"/>
                  <w:sz w:val="17"/>
                  <w:szCs w:val="17"/>
                  <w:color w:val="0000EE"/>
                </w:rPr>
                <w:t>Risk Factors</w:t>
              </w:r>
            </w:hyperlink>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40</w:t>
            </w:r>
          </w:p>
        </w:tc>
      </w:tr>
      <w:tr>
        <w:trPr>
          <w:trHeight w:val="29"/>
        </w:trPr>
        <w:tc>
          <w:tcPr>
            <w:tcW w:w="4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8"/>
        </w:trPr>
        <w:tc>
          <w:tcPr>
            <w:tcW w:w="620" w:type="dxa"/>
            <w:vAlign w:val="bottom"/>
            <w:gridSpan w:val="2"/>
            <w:shd w:val="clear" w:color="auto" w:fill="CCEEFF"/>
          </w:tcPr>
          <w:p>
            <w:pPr>
              <w:spacing w:after="0" w:line="17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Item 2.</w:t>
              </w:r>
            </w:hyperlink>
          </w:p>
        </w:tc>
        <w:tc>
          <w:tcPr>
            <w:tcW w:w="140" w:type="dxa"/>
            <w:vAlign w:val="bottom"/>
            <w:shd w:val="clear" w:color="auto" w:fill="CCEEFF"/>
          </w:tcPr>
          <w:p>
            <w:pPr>
              <w:spacing w:after="0"/>
              <w:rPr>
                <w:sz w:val="15"/>
                <w:szCs w:val="15"/>
                <w:color w:val="auto"/>
              </w:rPr>
            </w:pPr>
          </w:p>
        </w:tc>
        <w:tc>
          <w:tcPr>
            <w:tcW w:w="8760" w:type="dxa"/>
            <w:vAlign w:val="bottom"/>
            <w:gridSpan w:val="15"/>
            <w:shd w:val="clear" w:color="auto" w:fill="CCEEFF"/>
          </w:tcPr>
          <w:p>
            <w:pPr>
              <w:ind w:left="160"/>
              <w:spacing w:after="0" w:line="17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Unregistered Sales of Securities and Use of Proceeds</w:t>
              </w:r>
            </w:hyperlink>
          </w:p>
        </w:tc>
        <w:tc>
          <w:tcPr>
            <w:tcW w:w="5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83</w:t>
            </w:r>
          </w:p>
        </w:tc>
      </w:tr>
      <w:tr>
        <w:trPr>
          <w:trHeight w:val="39"/>
        </w:trPr>
        <w:tc>
          <w:tcPr>
            <w:tcW w:w="4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8"/>
        </w:trPr>
        <w:tc>
          <w:tcPr>
            <w:tcW w:w="760" w:type="dxa"/>
            <w:vAlign w:val="bottom"/>
            <w:gridSpan w:val="3"/>
          </w:tcPr>
          <w:p>
            <w:pPr>
              <w:spacing w:after="0" w:line="16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Item 3.</w:t>
              </w:r>
            </w:hyperlink>
          </w:p>
        </w:tc>
        <w:tc>
          <w:tcPr>
            <w:tcW w:w="8760" w:type="dxa"/>
            <w:vAlign w:val="bottom"/>
            <w:gridSpan w:val="15"/>
          </w:tcPr>
          <w:p>
            <w:pPr>
              <w:ind w:left="160"/>
              <w:spacing w:after="0" w:line="16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Defaults Upon Senior Securities</w:t>
              </w:r>
            </w:hyperlink>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83</w:t>
            </w:r>
          </w:p>
        </w:tc>
      </w:tr>
      <w:tr>
        <w:trPr>
          <w:trHeight w:val="29"/>
        </w:trPr>
        <w:tc>
          <w:tcPr>
            <w:tcW w:w="4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8"/>
        </w:trPr>
        <w:tc>
          <w:tcPr>
            <w:tcW w:w="76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Item 4.</w:t>
              </w:r>
            </w:hyperlink>
          </w:p>
        </w:tc>
        <w:tc>
          <w:tcPr>
            <w:tcW w:w="8760" w:type="dxa"/>
            <w:vAlign w:val="bottom"/>
            <w:gridSpan w:val="15"/>
            <w:shd w:val="clear" w:color="auto" w:fill="CCEEFF"/>
          </w:tcPr>
          <w:p>
            <w:pPr>
              <w:ind w:left="160"/>
              <w:spacing w:after="0" w:line="17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Mine Safety Disclosure</w:t>
              </w:r>
            </w:hyperlink>
          </w:p>
        </w:tc>
        <w:tc>
          <w:tcPr>
            <w:tcW w:w="5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83</w:t>
            </w:r>
          </w:p>
        </w:tc>
      </w:tr>
      <w:tr>
        <w:trPr>
          <w:trHeight w:val="39"/>
        </w:trPr>
        <w:tc>
          <w:tcPr>
            <w:tcW w:w="4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8"/>
        </w:trPr>
        <w:tc>
          <w:tcPr>
            <w:tcW w:w="760" w:type="dxa"/>
            <w:vAlign w:val="bottom"/>
            <w:gridSpan w:val="3"/>
          </w:tcPr>
          <w:p>
            <w:pPr>
              <w:spacing w:after="0" w:line="16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Item 5.</w:t>
              </w:r>
            </w:hyperlink>
          </w:p>
        </w:tc>
        <w:tc>
          <w:tcPr>
            <w:tcW w:w="8760" w:type="dxa"/>
            <w:vAlign w:val="bottom"/>
            <w:gridSpan w:val="15"/>
          </w:tcPr>
          <w:p>
            <w:pPr>
              <w:ind w:left="160"/>
              <w:spacing w:after="0" w:line="168"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Other Information</w:t>
              </w:r>
            </w:hyperlink>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83</w:t>
            </w:r>
          </w:p>
        </w:tc>
      </w:tr>
      <w:tr>
        <w:trPr>
          <w:trHeight w:val="29"/>
        </w:trPr>
        <w:tc>
          <w:tcPr>
            <w:tcW w:w="4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8"/>
        </w:trPr>
        <w:tc>
          <w:tcPr>
            <w:tcW w:w="760" w:type="dxa"/>
            <w:vAlign w:val="bottom"/>
            <w:gridSpan w:val="3"/>
            <w:shd w:val="clear" w:color="auto" w:fill="CCEEFF"/>
          </w:tcPr>
          <w:p>
            <w:pPr>
              <w:spacing w:after="0" w:line="178" w:lineRule="exact"/>
              <w:rPr>
                <w:rFonts w:ascii="Times New Roman" w:cs="Times New Roman" w:eastAsia="Times New Roman" w:hAnsi="Times New Roman"/>
                <w:sz w:val="17"/>
                <w:szCs w:val="17"/>
                <w:color w:val="0000EE"/>
              </w:rPr>
            </w:pPr>
            <w:hyperlink w:anchor="page84">
              <w:r>
                <w:rPr>
                  <w:rFonts w:ascii="Times New Roman" w:cs="Times New Roman" w:eastAsia="Times New Roman" w:hAnsi="Times New Roman"/>
                  <w:sz w:val="17"/>
                  <w:szCs w:val="17"/>
                  <w:color w:val="0000EE"/>
                </w:rPr>
                <w:t>Item 6.</w:t>
              </w:r>
            </w:hyperlink>
          </w:p>
        </w:tc>
        <w:tc>
          <w:tcPr>
            <w:tcW w:w="8760" w:type="dxa"/>
            <w:vAlign w:val="bottom"/>
            <w:gridSpan w:val="15"/>
            <w:shd w:val="clear" w:color="auto" w:fill="CCEEFF"/>
          </w:tcPr>
          <w:p>
            <w:pPr>
              <w:ind w:left="160"/>
              <w:spacing w:after="0" w:line="178" w:lineRule="exact"/>
              <w:rPr>
                <w:rFonts w:ascii="Times New Roman" w:cs="Times New Roman" w:eastAsia="Times New Roman" w:hAnsi="Times New Roman"/>
                <w:sz w:val="17"/>
                <w:szCs w:val="17"/>
                <w:color w:val="0000EE"/>
              </w:rPr>
            </w:pPr>
            <w:hyperlink w:anchor="page84">
              <w:r>
                <w:rPr>
                  <w:rFonts w:ascii="Times New Roman" w:cs="Times New Roman" w:eastAsia="Times New Roman" w:hAnsi="Times New Roman"/>
                  <w:sz w:val="17"/>
                  <w:szCs w:val="17"/>
                  <w:color w:val="0000EE"/>
                </w:rPr>
                <w:t>Exhibits</w:t>
              </w:r>
            </w:hyperlink>
          </w:p>
        </w:tc>
        <w:tc>
          <w:tcPr>
            <w:tcW w:w="5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84</w:t>
            </w:r>
          </w:p>
        </w:tc>
      </w:tr>
      <w:tr>
        <w:trPr>
          <w:trHeight w:val="39"/>
        </w:trPr>
        <w:tc>
          <w:tcPr>
            <w:tcW w:w="4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8"/>
        </w:trPr>
        <w:tc>
          <w:tcPr>
            <w:tcW w:w="1060" w:type="dxa"/>
            <w:vAlign w:val="bottom"/>
            <w:tcBorders>
              <w:bottom w:val="single" w:sz="8" w:color="0000EE"/>
            </w:tcBorders>
            <w:gridSpan w:val="5"/>
          </w:tcPr>
          <w:p>
            <w:pPr>
              <w:spacing w:after="0" w:line="168" w:lineRule="exact"/>
              <w:rPr>
                <w:rFonts w:ascii="Times New Roman" w:cs="Times New Roman" w:eastAsia="Times New Roman" w:hAnsi="Times New Roman"/>
                <w:sz w:val="17"/>
                <w:szCs w:val="17"/>
                <w:color w:val="0000EE"/>
                <w:w w:val="98"/>
              </w:rPr>
            </w:pPr>
            <w:hyperlink w:anchor="page85">
              <w:r>
                <w:rPr>
                  <w:rFonts w:ascii="Times New Roman" w:cs="Times New Roman" w:eastAsia="Times New Roman" w:hAnsi="Times New Roman"/>
                  <w:sz w:val="17"/>
                  <w:szCs w:val="17"/>
                  <w:color w:val="0000EE"/>
                  <w:w w:val="98"/>
                </w:rPr>
                <w:t>SIGNATURES</w:t>
              </w:r>
            </w:hyperlink>
          </w:p>
        </w:tc>
        <w:tc>
          <w:tcPr>
            <w:tcW w:w="8460" w:type="dxa"/>
            <w:vAlign w:val="bottom"/>
            <w:gridSpan w:val="13"/>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7580" w:type="dxa"/>
            <w:vAlign w:val="bottom"/>
            <w:gridSpan w:val="2"/>
          </w:tcPr>
          <w:p>
            <w:pPr>
              <w:spacing w:after="0"/>
              <w:rPr>
                <w:rFonts w:ascii="Times New Roman" w:cs="Times New Roman" w:eastAsia="Times New Roman" w:hAnsi="Times New Roman"/>
                <w:sz w:val="17"/>
                <w:szCs w:val="17"/>
                <w:color w:val="0000EE"/>
              </w:rPr>
            </w:pPr>
            <w:hyperlink w:anchor="page2">
              <w:r>
                <w:rPr>
                  <w:rFonts w:ascii="Times New Roman" w:cs="Times New Roman" w:eastAsia="Times New Roman" w:hAnsi="Times New Roman"/>
                  <w:sz w:val="17"/>
                  <w:szCs w:val="17"/>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4"/>
        </w:trPr>
        <w:tc>
          <w:tcPr>
            <w:tcW w:w="1220" w:type="dxa"/>
            <w:vAlign w:val="bottom"/>
            <w:tcBorders>
              <w:top w:val="single" w:sz="8" w:color="0000EE"/>
            </w:tcBorders>
          </w:tcPr>
          <w:p>
            <w:pPr>
              <w:spacing w:after="0"/>
              <w:rPr>
                <w:sz w:val="24"/>
                <w:szCs w:val="24"/>
                <w:color w:val="auto"/>
              </w:rPr>
            </w:pPr>
          </w:p>
        </w:tc>
        <w:tc>
          <w:tcPr>
            <w:tcW w:w="6360" w:type="dxa"/>
            <w:vAlign w:val="bottom"/>
          </w:tcPr>
          <w:p>
            <w:pPr>
              <w:jc w:val="center"/>
              <w:ind w:left="1174"/>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636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8"/>
                <w:szCs w:val="18"/>
                <w:color w:val="auto"/>
              </w:rPr>
            </w:pPr>
          </w:p>
        </w:tc>
        <w:tc>
          <w:tcPr>
            <w:tcW w:w="636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6360" w:type="dxa"/>
            <w:vAlign w:val="bottom"/>
          </w:tcPr>
          <w:p>
            <w:pPr>
              <w:jc w:val="center"/>
              <w:ind w:left="1174"/>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information)</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38,889</w:t>
            </w:r>
          </w:p>
        </w:tc>
        <w:tc>
          <w:tcPr>
            <w:tcW w:w="1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367,307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5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Long-term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395,746</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9,921</w:t>
            </w:r>
          </w:p>
        </w:tc>
        <w:tc>
          <w:tcPr>
            <w:tcW w:w="1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6,070</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(Notes 8 and 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7"/>
                <w:szCs w:val="17"/>
                <w:color w:val="auto"/>
              </w:rPr>
              <w:t>Series A Convertible Preferred Stock, $0.001 par value; 17,000 shares designated, 194 shares issued and</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outstanding as of September 30, 2019 and December 31, 2018 (aggregate liquidation value of $194)</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Series B Convertible Preferred Stock, $0.001 par value; 11,500,000 shares designated; 3,581,119 and</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5,854,845 shares issued and outstanding as of September 30, 2019 and December 31, 2018 (aggregate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liquidation value of $17,010 and $27,811 respectively)</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7"/>
                <w:szCs w:val="17"/>
                <w:color w:val="auto"/>
              </w:rPr>
              <w:t>Common stock, $0.000041666 par value; 300,000,000 and 150,000,000 shares authorized, 126,192,990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and 123,415,576 shares issued and outstanding as of September 30, 2019 and December 31, 2018,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respectively</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861,859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(507,044)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355,063</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395,746</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0"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5520" w:type="dxa"/>
            <w:vAlign w:val="bottom"/>
            <w:gridSpan w:val="2"/>
          </w:tcPr>
          <w:p>
            <w:pPr>
              <w:spacing w:after="0"/>
              <w:rPr>
                <w:rFonts w:ascii="Times New Roman" w:cs="Times New Roman" w:eastAsia="Times New Roman" w:hAnsi="Times New Roman"/>
                <w:sz w:val="17"/>
                <w:szCs w:val="17"/>
                <w:color w:val="0000EE"/>
              </w:rPr>
            </w:pPr>
            <w:hyperlink w:anchor="page2">
              <w:r>
                <w:rPr>
                  <w:rFonts w:ascii="Times New Roman" w:cs="Times New Roman" w:eastAsia="Times New Roman" w:hAnsi="Times New Roman"/>
                  <w:sz w:val="17"/>
                  <w:szCs w:val="17"/>
                  <w:color w:val="0000EE"/>
                </w:rPr>
                <w:t>Table of Contents</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4"/>
        </w:trPr>
        <w:tc>
          <w:tcPr>
            <w:tcW w:w="1220" w:type="dxa"/>
            <w:vAlign w:val="bottom"/>
            <w:tcBorders>
              <w:top w:val="single" w:sz="8" w:color="0000EE"/>
            </w:tcBorders>
          </w:tcPr>
          <w:p>
            <w:pPr>
              <w:spacing w:after="0"/>
              <w:rPr>
                <w:sz w:val="24"/>
                <w:szCs w:val="24"/>
                <w:color w:val="auto"/>
              </w:rPr>
            </w:pPr>
          </w:p>
        </w:tc>
        <w:tc>
          <w:tcPr>
            <w:tcW w:w="5880" w:type="dxa"/>
            <w:vAlign w:val="bottom"/>
            <w:gridSpan w:val="5"/>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8"/>
                <w:szCs w:val="18"/>
                <w:color w:val="auto"/>
              </w:rPr>
            </w:pPr>
          </w:p>
        </w:tc>
        <w:tc>
          <w:tcPr>
            <w:tcW w:w="5880" w:type="dxa"/>
            <w:vAlign w:val="bottom"/>
            <w:gridSpan w:val="5"/>
          </w:tcPr>
          <w:p>
            <w:pPr>
              <w:jc w:val="center"/>
              <w:ind w:left="165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5880" w:type="dxa"/>
            <w:vAlign w:val="bottom"/>
            <w:gridSpan w:val="5"/>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(unaudited; in thousands, except per share information)</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2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60" w:type="dxa"/>
            <w:vAlign w:val="bottom"/>
          </w:tcPr>
          <w:p>
            <w:pPr>
              <w:spacing w:after="0"/>
              <w:rPr>
                <w:sz w:val="24"/>
                <w:szCs w:val="24"/>
                <w:color w:val="auto"/>
              </w:rPr>
            </w:pPr>
          </w:p>
        </w:tc>
        <w:tc>
          <w:tcPr>
            <w:tcW w:w="1820" w:type="dxa"/>
            <w:vAlign w:val="bottom"/>
            <w:gridSpan w:val="6"/>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5"/>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820" w:type="dxa"/>
            <w:vAlign w:val="bottom"/>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51,611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35,060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141,762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(51,611)</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(35,060)</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(141,762)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Interest income, net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(49,487)</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(133,988)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Loss Per Common Share, Basic and Diluted</w:t>
            </w:r>
          </w:p>
        </w:tc>
        <w:tc>
          <w:tcPr>
            <w:tcW w:w="5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20" w:type="dxa"/>
            <w:vAlign w:val="bottom"/>
            <w:tcBorders>
              <w:bottom w:val="single" w:sz="8" w:color="CCEEFF"/>
            </w:tcBorders>
            <w:gridSpan w:val="2"/>
            <w:vMerge w:val="continue"/>
          </w:tcPr>
          <w:p>
            <w:pPr>
              <w:spacing w:after="0"/>
              <w:rPr>
                <w:sz w:val="19"/>
                <w:szCs w:val="19"/>
                <w:color w:val="auto"/>
              </w:rPr>
            </w:pPr>
          </w:p>
        </w:tc>
        <w:tc>
          <w:tcPr>
            <w:tcW w:w="5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(0.40)</w:t>
            </w:r>
          </w:p>
        </w:tc>
        <w:tc>
          <w:tcPr>
            <w:tcW w:w="1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(0.36)</w:t>
            </w:r>
          </w:p>
        </w:tc>
        <w:tc>
          <w:tcPr>
            <w:tcW w:w="1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(1.08)</w:t>
            </w: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 Basic and Diluted</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124,035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95,077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0"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3820" w:type="dxa"/>
            <w:vAlign w:val="bottom"/>
            <w:gridSpan w:val="2"/>
          </w:tcPr>
          <w:p>
            <w:pPr>
              <w:spacing w:after="0"/>
              <w:rPr>
                <w:rFonts w:ascii="Times New Roman" w:cs="Times New Roman" w:eastAsia="Times New Roman" w:hAnsi="Times New Roman"/>
                <w:sz w:val="17"/>
                <w:szCs w:val="17"/>
                <w:color w:val="0000EE"/>
              </w:rPr>
            </w:pPr>
            <w:hyperlink w:anchor="page2">
              <w:r>
                <w:rPr>
                  <w:rFonts w:ascii="Times New Roman" w:cs="Times New Roman" w:eastAsia="Times New Roman" w:hAnsi="Times New Roman"/>
                  <w:sz w:val="17"/>
                  <w:szCs w:val="17"/>
                  <w:color w:val="0000EE"/>
                </w:rPr>
                <w:t>Table of Contents</w:t>
              </w:r>
            </w:hyperlink>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4"/>
        </w:trPr>
        <w:tc>
          <w:tcPr>
            <w:tcW w:w="1220" w:type="dxa"/>
            <w:vAlign w:val="bottom"/>
            <w:tcBorders>
              <w:top w:val="single" w:sz="8" w:color="0000EE"/>
            </w:tcBorders>
          </w:tcPr>
          <w:p>
            <w:pPr>
              <w:spacing w:after="0"/>
              <w:rPr>
                <w:sz w:val="24"/>
                <w:szCs w:val="24"/>
                <w:color w:val="auto"/>
              </w:rPr>
            </w:pPr>
          </w:p>
        </w:tc>
        <w:tc>
          <w:tcPr>
            <w:tcW w:w="5800" w:type="dxa"/>
            <w:vAlign w:val="bottom"/>
            <w:gridSpan w:val="5"/>
          </w:tcPr>
          <w:p>
            <w:pPr>
              <w:jc w:val="center"/>
              <w:ind w:left="1754"/>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8"/>
                <w:szCs w:val="18"/>
                <w:color w:val="auto"/>
              </w:rPr>
            </w:pPr>
          </w:p>
        </w:tc>
        <w:tc>
          <w:tcPr>
            <w:tcW w:w="6080" w:type="dxa"/>
            <w:vAlign w:val="bottom"/>
            <w:gridSpan w:val="7"/>
          </w:tcPr>
          <w:p>
            <w:pPr>
              <w:jc w:val="center"/>
              <w:ind w:left="14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60" w:type="dxa"/>
            <w:vAlign w:val="bottom"/>
          </w:tcPr>
          <w:p>
            <w:pPr>
              <w:spacing w:after="0"/>
              <w:rPr>
                <w:sz w:val="24"/>
                <w:szCs w:val="24"/>
                <w:color w:val="auto"/>
              </w:rPr>
            </w:pPr>
          </w:p>
        </w:tc>
        <w:tc>
          <w:tcPr>
            <w:tcW w:w="1820" w:type="dxa"/>
            <w:vAlign w:val="bottom"/>
            <w:gridSpan w:val="6"/>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6"/>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9"/>
                <w:szCs w:val="19"/>
                <w:color w:val="auto"/>
              </w:rPr>
            </w:pPr>
          </w:p>
        </w:tc>
        <w:tc>
          <w:tcPr>
            <w:tcW w:w="1820" w:type="dxa"/>
            <w:vAlign w:val="bottom"/>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(49,487)</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(33,830)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(133,988)</w:t>
            </w: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Unrealized gain / (loss) on short-term investments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(33,947)</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(133,707)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0" w:right="89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20" w:type="dxa"/>
            <w:vAlign w:val="bottom"/>
            <w:gridSpan w:val="3"/>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gridSpan w:val="3"/>
          </w:tcPr>
          <w:p>
            <w:pPr>
              <w:jc w:val="center"/>
              <w:ind w:left="1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left="91"/>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4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vMerge w:val="continue"/>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640" w:type="dxa"/>
            <w:vAlign w:val="bottom"/>
          </w:tcPr>
          <w:p>
            <w:pPr>
              <w:jc w:val="right"/>
              <w:ind w:right="51"/>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740" w:type="dxa"/>
            <w:vAlign w:val="bottom"/>
          </w:tcPr>
          <w:p>
            <w:pPr>
              <w:jc w:val="right"/>
              <w:ind w:right="111"/>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31"/>
              <w:spacing w:after="0" w:line="13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31"/>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Balance - December 31, 2018</w:t>
            </w:r>
          </w:p>
        </w:tc>
        <w:tc>
          <w:tcPr>
            <w:tcW w:w="4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91"/>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9"/>
              </w:rPr>
              <w:t>5,854,845</w:t>
            </w: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4"/>
              </w:rPr>
              <w:t>123,415,576</w:t>
            </w: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6"/>
              </w:rPr>
              <w:t>$ 838,984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(372,760)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466,193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Adoption of ASU 2018-07</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18,870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18,870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Vesting of restricted shares issued for</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21,738</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Tax payments related to shares</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withheld for vested restricted stock</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Common stock issued upon exercise</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514,450</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Common stock issued from preferred</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(2,273,726)</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2,273,726</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conversion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Unrealized gain on short-term</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Cancellation of common shares from</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dispute</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(133,988)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(133,988)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bottom w:val="single" w:sz="8" w:color="CCEEFF"/>
            </w:tcBorders>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Balance - September 30, 2019</w:t>
            </w: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191"/>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9"/>
              </w:rPr>
              <w:t>3,581,119</w:t>
            </w: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4"/>
              </w:rPr>
              <w:t>126,192,990</w:t>
            </w:r>
          </w:p>
        </w:tc>
        <w:tc>
          <w:tcPr>
            <w:tcW w:w="1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6"/>
              </w:rPr>
              <w:t>$ 861,859</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239</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(507,044)</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355,063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Balance - December 31, 2017</w:t>
            </w:r>
          </w:p>
        </w:tc>
        <w:tc>
          <w:tcPr>
            <w:tcW w:w="4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1,694</w:t>
            </w:r>
          </w:p>
        </w:tc>
        <w:tc>
          <w:tcPr>
            <w:tcW w:w="480" w:type="dxa"/>
            <w:vAlign w:val="bottom"/>
            <w:gridSpan w:val="2"/>
            <w:shd w:val="clear" w:color="auto" w:fill="CCEEFF"/>
          </w:tcPr>
          <w:p>
            <w:pPr>
              <w:jc w:val="right"/>
              <w:ind w:right="191"/>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7,378,241</w:t>
            </w:r>
          </w:p>
        </w:tc>
        <w:tc>
          <w:tcPr>
            <w:tcW w:w="500" w:type="dxa"/>
            <w:vAlign w:val="bottom"/>
            <w:gridSpan w:val="2"/>
            <w:shd w:val="clear" w:color="auto" w:fill="CCEEFF"/>
          </w:tcPr>
          <w:p>
            <w:pPr>
              <w:jc w:val="right"/>
              <w:ind w:right="244"/>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73,164,914</w:t>
            </w:r>
          </w:p>
        </w:tc>
        <w:tc>
          <w:tcPr>
            <w:tcW w:w="460" w:type="dxa"/>
            <w:vAlign w:val="bottom"/>
            <w:gridSpan w:val="2"/>
            <w:shd w:val="clear" w:color="auto" w:fill="CCEEFF"/>
          </w:tcPr>
          <w:p>
            <w:pPr>
              <w:jc w:val="right"/>
              <w:ind w:right="204"/>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$ 394,651</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(249,180)</w:t>
            </w:r>
          </w:p>
        </w:tc>
        <w:tc>
          <w:tcPr>
            <w:tcW w:w="280" w:type="dxa"/>
            <w:vAlign w:val="bottom"/>
            <w:gridSpan w:val="2"/>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145,481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14,842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14,842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Vesting of restricted shares issued for</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22,041</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Tax payments related to shares</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withheld for vested restricted stock</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awards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Common stock issued upon exercise</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5,873,416</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warrants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Common stock issued upon exercise</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1,091,954</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8,366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8,366</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Common stock sold in public offering,</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162,093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162,093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offering costs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Conversion of convertible preferred</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(1,523,396)</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2,273,396</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into common stock</w:t>
            </w: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Unrealized loss on short-term</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(91,005)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(91,005)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bottom w:val="single" w:sz="8" w:color="CCEEFF"/>
            </w:tcBorders>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Balance - September 30, 2018</w:t>
            </w: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191"/>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9"/>
              </w:rPr>
              <w:t>5,854,845</w:t>
            </w: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97,425,721</w:t>
            </w:r>
          </w:p>
        </w:tc>
        <w:tc>
          <w:tcPr>
            <w:tcW w:w="1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6"/>
              </w:rPr>
              <w:t>$ 594,455</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(340,185)</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254,160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59447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4475" cy="24765"/>
                    </a:xfrm>
                    <a:prstGeom prst="rect">
                      <a:avLst/>
                    </a:prstGeom>
                    <a:noFill/>
                  </pic:spPr>
                </pic:pic>
              </a:graphicData>
            </a:graphic>
          </wp:anchor>
        </w:drawing>
      </w:r>
    </w:p>
    <w:p>
      <w:pPr>
        <w:sectPr>
          <w:pgSz w:w="11900" w:h="16838" w:orient="portrait"/>
          <w:cols w:equalWidth="0" w:num="1">
            <w:col w:w="10380"/>
          </w:cols>
          <w:pgMar w:left="760" w:top="639" w:right="75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p>
      <w:pPr>
        <w:spacing w:after="0" w:line="3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780" w:type="dxa"/>
            <w:vAlign w:val="bottom"/>
            <w:gridSpan w:val="3"/>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160" w:type="dxa"/>
            <w:vAlign w:val="bottom"/>
            <w:gridSpan w:val="5"/>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1040" w:type="dxa"/>
            <w:vAlign w:val="bottom"/>
            <w:gridSpan w:val="3"/>
          </w:tcPr>
          <w:p>
            <w:pPr>
              <w:jc w:val="center"/>
              <w:ind w:left="151"/>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1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4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1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54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w w:val="89"/>
              </w:rPr>
              <w:t>Amount</w:t>
            </w:r>
          </w:p>
        </w:tc>
        <w:tc>
          <w:tcPr>
            <w:tcW w:w="160" w:type="dxa"/>
            <w:vAlign w:val="bottom"/>
          </w:tcPr>
          <w:p>
            <w:pPr>
              <w:spacing w:after="0"/>
              <w:rPr>
                <w:sz w:val="11"/>
                <w:szCs w:val="11"/>
                <w:color w:val="auto"/>
              </w:rPr>
            </w:pPr>
          </w:p>
        </w:tc>
        <w:tc>
          <w:tcPr>
            <w:tcW w:w="8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1"/>
                <w:szCs w:val="11"/>
                <w:color w:val="auto"/>
              </w:rPr>
            </w:pPr>
          </w:p>
        </w:tc>
        <w:tc>
          <w:tcPr>
            <w:tcW w:w="640" w:type="dxa"/>
            <w:vAlign w:val="bottom"/>
          </w:tcPr>
          <w:p>
            <w:pPr>
              <w:jc w:val="right"/>
              <w:ind w:right="111"/>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5"/>
        </w:trPr>
        <w:tc>
          <w:tcPr>
            <w:tcW w:w="318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Balance - June 30, 2019</w:t>
            </w:r>
          </w:p>
        </w:tc>
        <w:tc>
          <w:tcPr>
            <w:tcW w:w="4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5,854,845</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7"/>
              </w:rPr>
              <w:t>123,820,508</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9"/>
              </w:rPr>
              <w:t>$ 854,596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372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(457,557)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397,422</w:t>
            </w:r>
          </w:p>
        </w:tc>
        <w:tc>
          <w:tcPr>
            <w:tcW w:w="0" w:type="dxa"/>
            <w:vAlign w:val="bottom"/>
          </w:tcPr>
          <w:p>
            <w:pPr>
              <w:spacing w:after="0"/>
              <w:rPr>
                <w:sz w:val="1"/>
                <w:szCs w:val="1"/>
                <w:color w:val="auto"/>
              </w:rPr>
            </w:pPr>
          </w:p>
        </w:tc>
      </w:tr>
      <w:tr>
        <w:trPr>
          <w:trHeight w:val="142"/>
        </w:trPr>
        <w:tc>
          <w:tcPr>
            <w:tcW w:w="31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6,598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6,598</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Vesting of restricted shares issued for services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7,206</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31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Tax payments related to shares withheld for vested</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Common stock issued upon exercise of stock options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91,550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42"/>
        </w:trPr>
        <w:tc>
          <w:tcPr>
            <w:tcW w:w="31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Common stock issued from preferred stock conversion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w w:val="94"/>
              </w:rPr>
              <w:t>(2,273,726)</w:t>
            </w:r>
          </w:p>
        </w:tc>
        <w:tc>
          <w:tcPr>
            <w:tcW w:w="260" w:type="dxa"/>
            <w:vAlign w:val="bottom"/>
          </w:tcPr>
          <w:p>
            <w:pPr>
              <w:spacing w:after="0"/>
              <w:rPr>
                <w:sz w:val="12"/>
                <w:szCs w:val="12"/>
                <w:color w:val="auto"/>
              </w:rPr>
            </w:pPr>
          </w:p>
        </w:tc>
        <w:tc>
          <w:tcPr>
            <w:tcW w:w="38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(2)</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2,273,726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(133)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42"/>
        </w:trPr>
        <w:tc>
          <w:tcPr>
            <w:tcW w:w="31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(49,487)</w:t>
            </w: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(49,487)</w:t>
            </w:r>
          </w:p>
        </w:tc>
        <w:tc>
          <w:tcPr>
            <w:tcW w:w="0" w:type="dxa"/>
            <w:vAlign w:val="bottom"/>
          </w:tcPr>
          <w:p>
            <w:pPr>
              <w:spacing w:after="0"/>
              <w:rPr>
                <w:sz w:val="1"/>
                <w:szCs w:val="1"/>
                <w:color w:val="auto"/>
              </w:rPr>
            </w:pPr>
          </w:p>
        </w:tc>
      </w:tr>
      <w:tr>
        <w:trPr>
          <w:trHeight w:val="135"/>
        </w:trPr>
        <w:tc>
          <w:tcPr>
            <w:tcW w:w="3180" w:type="dxa"/>
            <w:vAlign w:val="bottom"/>
            <w:tcBorders>
              <w:top w:val="single" w:sz="8" w:color="CCEEFF"/>
              <w:bottom w:val="single" w:sz="8" w:color="CCEEFF"/>
            </w:tcBorders>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Balance - September 30, 2019</w:t>
            </w:r>
          </w:p>
        </w:tc>
        <w:tc>
          <w:tcPr>
            <w:tcW w:w="4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3,581,119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7"/>
              </w:rPr>
              <w:t>126,192,990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w w:val="99"/>
              </w:rPr>
              <w:t>$ 861,859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239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(507,044)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355,063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Balance - June 30, 2018</w:t>
            </w:r>
          </w:p>
        </w:tc>
        <w:tc>
          <w:tcPr>
            <w:tcW w:w="4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6,127,692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92,741,672</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99"/>
              </w:rPr>
              <w:t>$ 576,917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(306,355)</w:t>
            </w:r>
          </w:p>
        </w:tc>
        <w:tc>
          <w:tcPr>
            <w:tcW w:w="1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270,569</w:t>
            </w:r>
          </w:p>
        </w:tc>
        <w:tc>
          <w:tcPr>
            <w:tcW w:w="0" w:type="dxa"/>
            <w:vAlign w:val="bottom"/>
          </w:tcPr>
          <w:p>
            <w:pPr>
              <w:spacing w:after="0"/>
              <w:rPr>
                <w:sz w:val="1"/>
                <w:szCs w:val="1"/>
                <w:color w:val="auto"/>
              </w:rPr>
            </w:pPr>
          </w:p>
        </w:tc>
      </w:tr>
      <w:tr>
        <w:trPr>
          <w:trHeight w:val="142"/>
        </w:trPr>
        <w:tc>
          <w:tcPr>
            <w:tcW w:w="31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5,516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5,516</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Vesting of restricted shares issued for services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7,495</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31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Tax payments related to shares withheld for vested</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Common stock issued upon exercise of warrants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4,216,906</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10,543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10,543</w:t>
            </w:r>
          </w:p>
        </w:tc>
        <w:tc>
          <w:tcPr>
            <w:tcW w:w="0" w:type="dxa"/>
            <w:vAlign w:val="bottom"/>
          </w:tcPr>
          <w:p>
            <w:pPr>
              <w:spacing w:after="0"/>
              <w:rPr>
                <w:sz w:val="1"/>
                <w:szCs w:val="1"/>
                <w:color w:val="auto"/>
              </w:rPr>
            </w:pPr>
          </w:p>
        </w:tc>
      </w:tr>
      <w:tr>
        <w:trPr>
          <w:trHeight w:val="142"/>
        </w:trPr>
        <w:tc>
          <w:tcPr>
            <w:tcW w:w="31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Common stock issued upon exercise of stock options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186,801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Common stock issued from preferred stock conversion</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(272,847)</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272,847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31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(33,830)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(33,830)</w:t>
            </w:r>
          </w:p>
        </w:tc>
        <w:tc>
          <w:tcPr>
            <w:tcW w:w="0" w:type="dxa"/>
            <w:vAlign w:val="bottom"/>
          </w:tcPr>
          <w:p>
            <w:pPr>
              <w:spacing w:after="0"/>
              <w:rPr>
                <w:sz w:val="1"/>
                <w:szCs w:val="1"/>
                <w:color w:val="auto"/>
              </w:rPr>
            </w:pPr>
          </w:p>
        </w:tc>
      </w:tr>
      <w:tr>
        <w:trPr>
          <w:trHeight w:val="135"/>
        </w:trPr>
        <w:tc>
          <w:tcPr>
            <w:tcW w:w="31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Balance - September 30, 2018</w:t>
            </w:r>
          </w:p>
        </w:tc>
        <w:tc>
          <w:tcPr>
            <w:tcW w:w="4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5,854,845</w:t>
            </w:r>
          </w:p>
        </w:tc>
        <w:tc>
          <w:tcPr>
            <w:tcW w:w="140" w:type="dxa"/>
            <w:vAlign w:val="bottom"/>
          </w:tcPr>
          <w:p>
            <w:pPr>
              <w:spacing w:after="0"/>
              <w:rPr>
                <w:sz w:val="11"/>
                <w:szCs w:val="11"/>
                <w:color w:val="auto"/>
              </w:rPr>
            </w:pPr>
          </w:p>
        </w:tc>
        <w:tc>
          <w:tcPr>
            <w:tcW w:w="260" w:type="dxa"/>
            <w:vAlign w:val="bottom"/>
            <w:tcBorders>
              <w:top w:val="single" w:sz="8" w:color="auto"/>
              <w:bottom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97,425,721</w:t>
            </w:r>
          </w:p>
        </w:tc>
        <w:tc>
          <w:tcPr>
            <w:tcW w:w="14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w w:val="99"/>
              </w:rPr>
              <w:t>$ 594,455</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(340,185)</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254,160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59447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4475" cy="24765"/>
                    </a:xfrm>
                    <a:prstGeom prst="rect">
                      <a:avLst/>
                    </a:prstGeom>
                    <a:noFill/>
                  </pic:spPr>
                </pic:pic>
              </a:graphicData>
            </a:graphic>
          </wp:anchor>
        </w:drawing>
      </w:r>
    </w:p>
    <w:p>
      <w:pPr>
        <w:sectPr>
          <w:pgSz w:w="11900" w:h="16838" w:orient="portrait"/>
          <w:cols w:equalWidth="0" w:num="1">
            <w:col w:w="11000"/>
          </w:cols>
          <w:pgMar w:left="760" w:top="639" w:right="1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rFonts w:ascii="Times New Roman" w:cs="Times New Roman" w:eastAsia="Times New Roman" w:hAnsi="Times New Roman"/>
                <w:sz w:val="17"/>
                <w:szCs w:val="17"/>
                <w:color w:val="0000EE"/>
              </w:rPr>
            </w:pPr>
            <w:hyperlink w:anchor="page2">
              <w:r>
                <w:rPr>
                  <w:rFonts w:ascii="Times New Roman" w:cs="Times New Roman" w:eastAsia="Times New Roman" w:hAnsi="Times New Roman"/>
                  <w:sz w:val="17"/>
                  <w:szCs w:val="17"/>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24"/>
        </w:trPr>
        <w:tc>
          <w:tcPr>
            <w:tcW w:w="1220" w:type="dxa"/>
            <w:vAlign w:val="bottom"/>
            <w:tcBorders>
              <w:top w:val="single" w:sz="8" w:color="0000EE"/>
            </w:tcBorders>
          </w:tcPr>
          <w:p>
            <w:pPr>
              <w:spacing w:after="0"/>
              <w:rPr>
                <w:sz w:val="24"/>
                <w:szCs w:val="24"/>
                <w:color w:val="auto"/>
              </w:rPr>
            </w:pPr>
          </w:p>
        </w:tc>
        <w:tc>
          <w:tcPr>
            <w:tcW w:w="6440" w:type="dxa"/>
            <w:vAlign w:val="bottom"/>
          </w:tcPr>
          <w:p>
            <w:pPr>
              <w:jc w:val="center"/>
              <w:ind w:left="1114"/>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7"/>
        </w:trPr>
        <w:tc>
          <w:tcPr>
            <w:tcW w:w="1220" w:type="dxa"/>
            <w:vAlign w:val="bottom"/>
          </w:tcPr>
          <w:p>
            <w:pPr>
              <w:spacing w:after="0"/>
              <w:rPr>
                <w:sz w:val="18"/>
                <w:szCs w:val="18"/>
                <w:color w:val="auto"/>
              </w:rPr>
            </w:pPr>
          </w:p>
        </w:tc>
        <w:tc>
          <w:tcPr>
            <w:tcW w:w="6440" w:type="dxa"/>
            <w:vAlign w:val="bottom"/>
          </w:tcPr>
          <w:p>
            <w:pPr>
              <w:jc w:val="center"/>
              <w:ind w:left="111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1220" w:type="dxa"/>
            <w:vAlign w:val="bottom"/>
          </w:tcPr>
          <w:p>
            <w:pPr>
              <w:spacing w:after="0"/>
              <w:rPr>
                <w:sz w:val="19"/>
                <w:szCs w:val="19"/>
                <w:color w:val="auto"/>
              </w:rPr>
            </w:pPr>
          </w:p>
        </w:tc>
        <w:tc>
          <w:tcPr>
            <w:tcW w:w="6440" w:type="dxa"/>
            <w:vAlign w:val="bottom"/>
          </w:tcPr>
          <w:p>
            <w:pPr>
              <w:jc w:val="center"/>
              <w:ind w:left="1094"/>
              <w:spacing w:after="0"/>
              <w:rPr>
                <w:sz w:val="20"/>
                <w:szCs w:val="20"/>
                <w:color w:val="auto"/>
              </w:rPr>
            </w:pPr>
            <w:r>
              <w:rPr>
                <w:rFonts w:ascii="Times New Roman" w:cs="Times New Roman" w:eastAsia="Times New Roman" w:hAnsi="Times New Roman"/>
                <w:sz w:val="17"/>
                <w:szCs w:val="17"/>
                <w:b w:val="1"/>
                <w:bCs w:val="1"/>
                <w:color w:val="auto"/>
              </w:rPr>
              <w:t>(unaudited; 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07"/>
        </w:trPr>
        <w:tc>
          <w:tcPr>
            <w:tcW w:w="12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8"/>
        </w:trPr>
        <w:tc>
          <w:tcPr>
            <w:tcW w:w="12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00"/>
        </w:trPr>
        <w:tc>
          <w:tcPr>
            <w:tcW w:w="1220" w:type="dxa"/>
            <w:vAlign w:val="bottom"/>
            <w:tcBorders>
              <w:bottom w:val="single" w:sz="8" w:color="CCEEFF"/>
            </w:tcBorders>
          </w:tcPr>
          <w:p>
            <w:pPr>
              <w:spacing w:after="0"/>
              <w:rPr>
                <w:sz w:val="17"/>
                <w:szCs w:val="17"/>
                <w:color w:val="auto"/>
              </w:rPr>
            </w:pPr>
          </w:p>
        </w:tc>
        <w:tc>
          <w:tcPr>
            <w:tcW w:w="6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7"/>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(133,988)</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(91,005)</w:t>
            </w:r>
          </w:p>
        </w:tc>
      </w:tr>
      <w:tr>
        <w:trPr>
          <w:trHeight w:val="207"/>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Noncash lease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Gain on settlement of dispute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Accretion of discounts on investments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(3,035)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w:t>
            </w:r>
          </w:p>
        </w:tc>
      </w:tr>
      <w:tr>
        <w:trPr>
          <w:trHeight w:val="207"/>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 other assets, and long-term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 liabilities (Right-of-use assets)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(4,314)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4,782</w:t>
            </w:r>
          </w:p>
        </w:tc>
      </w:tr>
      <w:tr>
        <w:trPr>
          <w:trHeight w:val="207"/>
        </w:trPr>
        <w:tc>
          <w:tcPr>
            <w:tcW w:w="7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00"/>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(105,067)</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(69,700)</w:t>
            </w:r>
          </w:p>
        </w:tc>
      </w:tr>
      <w:tr>
        <w:trPr>
          <w:trHeight w:val="135"/>
        </w:trPr>
        <w:tc>
          <w:tcPr>
            <w:tcW w:w="12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07"/>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Maturities of short-term investments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(353,878)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(178,994)</w:t>
            </w: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(3,491)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r>
      <w:tr>
        <w:trPr>
          <w:trHeight w:val="200"/>
        </w:trPr>
        <w:tc>
          <w:tcPr>
            <w:tcW w:w="7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63,211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(179,897)</w:t>
            </w:r>
          </w:p>
        </w:tc>
      </w:tr>
      <w:tr>
        <w:trPr>
          <w:trHeight w:val="135"/>
        </w:trPr>
        <w:tc>
          <w:tcPr>
            <w:tcW w:w="12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07"/>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Tax payments related to shares withheld for vested restricted stock awards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the issuance of common stock upon exercise of warrants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14,684</w:t>
            </w: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Proceeds from the issuance of common stock upon exercise of options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8,366</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the issuance of common stock,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162,093</w:t>
            </w:r>
          </w:p>
        </w:tc>
      </w:tr>
      <w:tr>
        <w:trPr>
          <w:trHeight w:val="200"/>
        </w:trPr>
        <w:tc>
          <w:tcPr>
            <w:tcW w:w="7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184,962</w:t>
            </w:r>
          </w:p>
        </w:tc>
      </w:tr>
      <w:tr>
        <w:trPr>
          <w:trHeight w:val="200"/>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 cash</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(64,635)</w:t>
            </w:r>
          </w:p>
        </w:tc>
      </w:tr>
      <w:tr>
        <w:trPr>
          <w:trHeight w:val="207"/>
        </w:trPr>
        <w:tc>
          <w:tcPr>
            <w:tcW w:w="7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Beginning of Period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82,152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145,373</w:t>
            </w:r>
          </w:p>
        </w:tc>
      </w:tr>
      <w:tr>
        <w:trPr>
          <w:trHeight w:val="200"/>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44,339</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80,738</w:t>
            </w:r>
          </w:p>
        </w:tc>
      </w:tr>
      <w:tr>
        <w:trPr>
          <w:trHeight w:val="135"/>
        </w:trPr>
        <w:tc>
          <w:tcPr>
            <w:tcW w:w="12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07"/>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Unrealized gain (loss) on short-term investments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7"/>
        </w:trPr>
        <w:tc>
          <w:tcPr>
            <w:tcW w:w="7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Acquisitions of property and equipment included in accounts payable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Conversion of convertible preferred stock to common stock</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17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0" w:right="899"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GENERAL ORGANIZATION AND BUSINESS</w:t>
      </w:r>
    </w:p>
    <w:p>
      <w:pPr>
        <w:spacing w:after="0" w:line="195" w:lineRule="exact"/>
        <w:rPr>
          <w:sz w:val="20"/>
          <w:szCs w:val="20"/>
          <w:color w:val="auto"/>
        </w:rPr>
      </w:pPr>
    </w:p>
    <w:p>
      <w:pPr>
        <w:ind w:firstLine="472"/>
        <w:spacing w:after="0" w:line="257" w:lineRule="auto"/>
        <w:rPr>
          <w:sz w:val="20"/>
          <w:szCs w:val="20"/>
          <w:color w:val="auto"/>
        </w:rPr>
      </w:pPr>
      <w:r>
        <w:rPr>
          <w:rFonts w:ascii="Times New Roman" w:cs="Times New Roman" w:eastAsia="Times New Roman" w:hAnsi="Times New Roman"/>
          <w:sz w:val="17"/>
          <w:szCs w:val="17"/>
          <w:color w:val="auto"/>
        </w:rPr>
        <w:t>Iovance Biotherapeutics, Inc. (the “Company”, “we”, “us” or “our”) is a clinical-stage biopharmaceutical company focused on the development and commercialization of novel cancer immunotherapy products designed to harness the power of a patient’s own immune system to eradicate cancer cells. Tumor infiltrating lymphocyte (TIL) therapy is a platform technology that has been licensed from National Cancer Institute (NCI) primarily based on data in metastatic melanoma and advanced cervical cancer. The Company has developed its own proprietary and scalable manufacturing method which is being further investigated in multiple indications. The Company’s lead product candidates include, lifileucel for metastatic melanoma, and LN-145 for advanced cervical cancer. Both product candidates are autologous adoptive cell therapy utilizing TIL, which are T cells derived from patients’ tumors. In addition to metastatic melanoma and advanced cervical cancer, the Company is investigating the effectiveness and safety of TIL therapy for the treatment of squamous cell carcinoma of the head and neck and metastatic non-small cell lung cancer through company sponsored trials, as well as other oncology indications through collaborations. The Company is currently conducting the pivotal cohort of its C-144-01 clinical trial of lifileucel in patients with metastatic melanoma. The Company is also conducting a pivotal trial of LN-145, C-145-04, in patients with advanced cervical cancer. On June 1, 2017, the Company reincorporated to become a company governed by Delaware corporation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of Unaudited Condensed Consolidated Financial Information</w:t>
      </w:r>
    </w:p>
    <w:p>
      <w:pPr>
        <w:spacing w:after="0" w:line="184" w:lineRule="exact"/>
        <w:rPr>
          <w:sz w:val="20"/>
          <w:szCs w:val="20"/>
          <w:color w:val="auto"/>
        </w:rPr>
      </w:pPr>
    </w:p>
    <w:p>
      <w:pPr>
        <w:ind w:firstLine="472"/>
        <w:spacing w:after="0" w:line="259" w:lineRule="auto"/>
        <w:rPr>
          <w:sz w:val="20"/>
          <w:szCs w:val="20"/>
          <w:color w:val="auto"/>
        </w:rPr>
      </w:pPr>
      <w:r>
        <w:rPr>
          <w:rFonts w:ascii="Times New Roman" w:cs="Times New Roman" w:eastAsia="Times New Roman" w:hAnsi="Times New Roman"/>
          <w:sz w:val="17"/>
          <w:szCs w:val="17"/>
          <w:color w:val="auto"/>
        </w:rPr>
        <w:t>The unaudited condensed consolidated financial statements of the Company for the three and nine months ended September 30, 2019 and 2018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2018 was derived from the audited financial statements included in the Company's financial statements as of and for the year ended December 31, 2018 included in the Company’s Annual Report on Form 10-K filed with the Securities and Exchange Commission (the “SEC”) on February 28, 2019. These financial statements should be read in conjunction with that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84" w:lineRule="exact"/>
        <w:rPr>
          <w:sz w:val="20"/>
          <w:szCs w:val="20"/>
          <w:color w:val="auto"/>
        </w:rPr>
      </w:pPr>
    </w:p>
    <w:p>
      <w:pPr>
        <w:ind w:firstLine="472"/>
        <w:spacing w:after="0" w:line="260" w:lineRule="auto"/>
        <w:rPr>
          <w:sz w:val="20"/>
          <w:szCs w:val="20"/>
          <w:color w:val="auto"/>
        </w:rPr>
      </w:pPr>
      <w:r>
        <w:rPr>
          <w:rFonts w:ascii="Times New Roman" w:cs="Times New Roman" w:eastAsia="Times New Roman" w:hAnsi="Times New Roman"/>
          <w:sz w:val="17"/>
          <w:szCs w:val="17"/>
          <w:color w:val="auto"/>
        </w:rPr>
        <w:t>The Company is currently engaged in the development of therapeutics to treat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$134.0 million for the nine months ended September 30, 2019 and used $105.1 million of cash in its operating activities during the nine months ended September 30, 2019. As of September 30, 2019, the Company had $361.9 million in cash, cash equivalents and short-term investments ($38.9 million of cash and cash equivalents and $323.0 million in short-term investments) and $5.5 million in restricted cash.</w:t>
      </w:r>
    </w:p>
    <w:p>
      <w:pPr>
        <w:spacing w:after="0" w:line="136" w:lineRule="exact"/>
        <w:rPr>
          <w:sz w:val="20"/>
          <w:szCs w:val="20"/>
          <w:color w:val="auto"/>
        </w:rPr>
      </w:pPr>
    </w:p>
    <w:p>
      <w:pPr>
        <w:ind w:right="40" w:firstLine="472"/>
        <w:spacing w:after="0" w:line="260" w:lineRule="auto"/>
        <w:rPr>
          <w:sz w:val="20"/>
          <w:szCs w:val="20"/>
          <w:color w:val="auto"/>
        </w:rPr>
      </w:pPr>
      <w:r>
        <w:rPr>
          <w:rFonts w:ascii="Times New Roman" w:cs="Times New Roman" w:eastAsia="Times New Roman" w:hAnsi="Times New Roman"/>
          <w:sz w:val="17"/>
          <w:szCs w:val="17"/>
          <w:color w:val="auto"/>
        </w:rPr>
        <w:t>The Company expects to further increase its research and development activities and begin to prepare for commercialization, which will increase the amount of cash used during 2019 and beyond. Specifically, the Company expects continued spending on its current and planned clinical trials, continued construction of a manufacturing facility, higher payroll expenses as the Company increases its professional, scientific and commercial and medical affairs staff, increased research and development activities, initiation of pre-commercial activities and activities in anticipation of filing Biologics License Applications. However, the extent and the timing of these expenditures are under the control of the Company. Based on the funds the Company has available as of the date these financial statements are issued, the Company believes that it has sufficient capital to fund its anticipated operating expenses for at least the next twelve months from the date these financial statements are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84" w:lineRule="exact"/>
        <w:rPr>
          <w:sz w:val="20"/>
          <w:szCs w:val="20"/>
          <w:color w:val="auto"/>
        </w:rPr>
      </w:pPr>
    </w:p>
    <w:p>
      <w:pPr>
        <w:ind w:right="140" w:firstLine="472"/>
        <w:spacing w:after="0" w:line="272" w:lineRule="auto"/>
        <w:rPr>
          <w:sz w:val="20"/>
          <w:szCs w:val="20"/>
          <w:color w:val="auto"/>
        </w:rPr>
      </w:pPr>
      <w:r>
        <w:rPr>
          <w:rFonts w:ascii="Times New Roman" w:cs="Times New Roman" w:eastAsia="Times New Roman" w:hAnsi="Times New Roman"/>
          <w:sz w:val="17"/>
          <w:szCs w:val="17"/>
          <w:color w:val="auto"/>
        </w:rPr>
        <w:t>The Company is subject to credit risk from our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9" w:name="page10"/>
    <w:bookmarkEnd w:id="9"/>
    <w:p>
      <w:pPr>
        <w:ind w:left="5"/>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5" w:right="40"/>
        <w:spacing w:after="0" w:line="291" w:lineRule="auto"/>
        <w:rPr>
          <w:sz w:val="20"/>
          <w:szCs w:val="20"/>
          <w:color w:val="auto"/>
        </w:rPr>
      </w:pPr>
      <w:r>
        <w:rPr>
          <w:rFonts w:ascii="Times New Roman" w:cs="Times New Roman" w:eastAsia="Times New Roman" w:hAnsi="Times New Roman"/>
          <w:sz w:val="17"/>
          <w:szCs w:val="17"/>
          <w:color w:val="auto"/>
        </w:rPr>
        <w:t>credit risk from these financial instruments. The goals of its investment policy, in order of priority, are as follows: safety and preservation of principal and diversification of risk; liquidity of investments sufficient to meet cash flow requirements; and a competitive after-tax rate of return.</w:t>
      </w:r>
    </w:p>
    <w:p>
      <w:pPr>
        <w:spacing w:after="0" w:line="1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Restricted Cash, and Short-term Investments</w:t>
      </w:r>
    </w:p>
    <w:p>
      <w:pPr>
        <w:spacing w:after="0" w:line="184" w:lineRule="exact"/>
        <w:rPr>
          <w:sz w:val="20"/>
          <w:szCs w:val="20"/>
          <w:color w:val="auto"/>
        </w:rPr>
      </w:pPr>
    </w:p>
    <w:p>
      <w:pPr>
        <w:ind w:left="5" w:firstLine="472"/>
        <w:spacing w:after="0" w:line="259" w:lineRule="auto"/>
        <w:rPr>
          <w:sz w:val="20"/>
          <w:szCs w:val="20"/>
          <w:color w:val="auto"/>
        </w:rPr>
      </w:pPr>
      <w:r>
        <w:rPr>
          <w:rFonts w:ascii="Times New Roman" w:cs="Times New Roman" w:eastAsia="Times New Roman" w:hAnsi="Times New Roman"/>
          <w:sz w:val="17"/>
          <w:szCs w:val="17"/>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The cost of debt securities is adjusted for the amortization of premiums and accretion of discounts to maturity. Such amortization and accretion are included in interest income, net in the consolidated statements operations. Gains and losses on securities sold are recorded based on the specific identification method and are included in net interest income in the consolidated statement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134" w:lineRule="exact"/>
        <w:rPr>
          <w:sz w:val="20"/>
          <w:szCs w:val="20"/>
          <w:color w:val="auto"/>
        </w:rPr>
      </w:pPr>
    </w:p>
    <w:p>
      <w:pPr>
        <w:ind w:left="5" w:right="60" w:firstLine="472"/>
        <w:spacing w:after="0" w:line="259" w:lineRule="auto"/>
        <w:rPr>
          <w:sz w:val="20"/>
          <w:szCs w:val="20"/>
          <w:color w:val="auto"/>
        </w:rPr>
      </w:pPr>
      <w:r>
        <w:rPr>
          <w:rFonts w:ascii="Times New Roman" w:cs="Times New Roman" w:eastAsia="Times New Roman" w:hAnsi="Times New Roman"/>
          <w:sz w:val="17"/>
          <w:szCs w:val="17"/>
          <w:color w:val="auto"/>
        </w:rPr>
        <w:t>The Company maintains a certain minimum balance, currently $5.5 million in a segregated bank account in connection with a letter of credit for the benefit of the landlord for its commercial manufacturing facility used as a security deposit for the lease (See Note 9 - Leases). This amount is classified as Restricted Cash on the Balance Sheet. The letter of credit will expire on May 28, 2020, however, it will be automatically extended, without written agreement, for one-year periods to May 28 in each succeeding calendar year, through at least 60 days after the lease expiration rate. Further, on the expiration of the seventh year of the lease, and each anniversary date thereafter, the letter of credit may be decreased by $1,000,000, with a minimum security deposit of $1,450,000 maintained through the end of the lease term. As of September 30, 2019, restricted cash consisted of $5.5 million and this amount has been classified as a non-current asset on the Company’s consolidated balance sheets.</w:t>
      </w:r>
    </w:p>
    <w:p>
      <w:pPr>
        <w:spacing w:after="0" w:line="151" w:lineRule="exact"/>
        <w:rPr>
          <w:sz w:val="20"/>
          <w:szCs w:val="20"/>
          <w:color w:val="auto"/>
        </w:rPr>
      </w:pPr>
    </w:p>
    <w:p>
      <w:pPr>
        <w:ind w:left="5" w:right="240" w:firstLine="472"/>
        <w:spacing w:after="0" w:line="291"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58" w:lineRule="exact"/>
        <w:rPr>
          <w:sz w:val="20"/>
          <w:szCs w:val="20"/>
          <w:color w:val="auto"/>
        </w:rPr>
      </w:pPr>
    </w:p>
    <w:tbl>
      <w:tblPr>
        <w:tblLayout w:type="fixed"/>
        <w:tblInd w:w="1005"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8"/>
        </w:trPr>
        <w:tc>
          <w:tcPr>
            <w:tcW w:w="5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38,889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80,738</w:t>
            </w: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Restricted cash (included in non-current assets on the consolidated balance</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sheets)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5,450</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44,339</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80,738</w:t>
            </w: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i w:val="1"/>
          <w:iCs w:val="1"/>
          <w:color w:val="auto"/>
        </w:rPr>
        <w:t>Loss per Share</w:t>
      </w:r>
    </w:p>
    <w:p>
      <w:pPr>
        <w:spacing w:after="0" w:line="184" w:lineRule="exact"/>
        <w:rPr>
          <w:sz w:val="20"/>
          <w:szCs w:val="20"/>
          <w:color w:val="auto"/>
        </w:rPr>
      </w:pPr>
    </w:p>
    <w:p>
      <w:pPr>
        <w:ind w:left="5" w:right="220" w:firstLine="472"/>
        <w:spacing w:after="0" w:line="291"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by the weighted average number of common shares outstanding during the period.</w:t>
      </w:r>
    </w:p>
    <w:p>
      <w:pPr>
        <w:spacing w:after="0" w:line="109" w:lineRule="exact"/>
        <w:rPr>
          <w:sz w:val="20"/>
          <w:szCs w:val="20"/>
          <w:color w:val="auto"/>
        </w:rPr>
      </w:pPr>
    </w:p>
    <w:p>
      <w:pPr>
        <w:ind w:left="5" w:right="40" w:firstLine="472"/>
        <w:spacing w:after="0" w:line="261" w:lineRule="auto"/>
        <w:rPr>
          <w:sz w:val="20"/>
          <w:szCs w:val="20"/>
          <w:color w:val="auto"/>
        </w:rPr>
      </w:pPr>
      <w:r>
        <w:rPr>
          <w:rFonts w:ascii="Times New Roman" w:cs="Times New Roman" w:eastAsia="Times New Roman" w:hAnsi="Times New Roman"/>
          <w:sz w:val="17"/>
          <w:szCs w:val="17"/>
          <w:color w:val="auto"/>
        </w:rPr>
        <w:t>Diluted net loss per share is computed by dividing the net loss by the sum of the weighted average number of shares of common stock outstanding and potentially dilutive common stock equivalent shares outstanding during the period. The Company’s potentially dilutive common stock equivalent shares, which include incremental common shares issuable upon (i) the exercise of outstanding stock options and warrants</w:t>
      </w:r>
    </w:p>
    <w:p>
      <w:pPr>
        <w:spacing w:after="0" w:line="2" w:lineRule="exact"/>
        <w:rPr>
          <w:sz w:val="20"/>
          <w:szCs w:val="20"/>
          <w:color w:val="auto"/>
        </w:rPr>
      </w:pPr>
    </w:p>
    <w:p>
      <w:pPr>
        <w:ind w:left="5" w:right="300" w:hanging="5"/>
        <w:spacing w:after="0" w:line="268" w:lineRule="auto"/>
        <w:tabs>
          <w:tab w:leader="none" w:pos="25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vesting of restricted stock units and restricted stock awards, and (iii) conversion of preferred stock, are only included in the calculation of diluted net loss per share when their effect is dilutive.</w:t>
      </w:r>
    </w:p>
    <w:p>
      <w:pPr>
        <w:spacing w:after="0" w:line="374"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5"/>
          </w:cols>
          <w:pgMar w:left="915" w:top="639" w:right="93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80" w:firstLine="472"/>
        <w:spacing w:after="0" w:line="291" w:lineRule="auto"/>
        <w:rPr>
          <w:sz w:val="20"/>
          <w:szCs w:val="20"/>
          <w:color w:val="auto"/>
        </w:rPr>
      </w:pPr>
      <w:r>
        <w:rPr>
          <w:rFonts w:ascii="Times New Roman" w:cs="Times New Roman" w:eastAsia="Times New Roman" w:hAnsi="Times New Roman"/>
          <w:sz w:val="17"/>
          <w:szCs w:val="17"/>
          <w:color w:val="auto"/>
        </w:rPr>
        <w:t>At September 30, 2019 and 2018, the following outstanding common stock equivalents have been excluded from the calculation of net loss per share because their impact would be anti-dilutive.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6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00"/>
        </w:trPr>
        <w:tc>
          <w:tcPr>
            <w:tcW w:w="540" w:type="dxa"/>
            <w:vAlign w:val="bottom"/>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54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9,494,722</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6,912,932</w:t>
            </w:r>
          </w:p>
        </w:tc>
      </w:tr>
      <w:tr>
        <w:trPr>
          <w:trHeight w:val="207"/>
        </w:trPr>
        <w:tc>
          <w:tcPr>
            <w:tcW w:w="5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427,800</w:t>
            </w:r>
          </w:p>
        </w:tc>
      </w:tr>
      <w:tr>
        <w:trPr>
          <w:trHeight w:val="207"/>
        </w:trPr>
        <w:tc>
          <w:tcPr>
            <w:tcW w:w="5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 Convertible Preferred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97,000</w:t>
            </w:r>
          </w:p>
        </w:tc>
      </w:tr>
      <w:tr>
        <w:trPr>
          <w:trHeight w:val="207"/>
        </w:trPr>
        <w:tc>
          <w:tcPr>
            <w:tcW w:w="5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 Convertible Preferred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3,581,119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5,854,845</w:t>
            </w:r>
          </w:p>
        </w:tc>
      </w:tr>
      <w:tr>
        <w:trPr>
          <w:trHeight w:val="207"/>
        </w:trPr>
        <w:tc>
          <w:tcPr>
            <w:tcW w:w="5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34,371</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80,200</w:t>
            </w:r>
          </w:p>
        </w:tc>
      </w:tr>
      <w:tr>
        <w:trPr>
          <w:trHeight w:val="200"/>
        </w:trPr>
        <w:tc>
          <w:tcPr>
            <w:tcW w:w="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13,207,212</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13,372,777</w:t>
            </w:r>
          </w:p>
        </w:tc>
      </w:tr>
      <w:tr>
        <w:trPr>
          <w:trHeight w:val="20"/>
        </w:trPr>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2"/>
        </w:trPr>
        <w:tc>
          <w:tcPr>
            <w:tcW w:w="54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on an as-converted basis</w:t>
      </w:r>
    </w:p>
    <w:p>
      <w:pPr>
        <w:spacing w:after="0" w:line="182" w:lineRule="exact"/>
        <w:rPr>
          <w:sz w:val="20"/>
          <w:szCs w:val="20"/>
          <w:color w:val="auto"/>
        </w:rPr>
      </w:pPr>
    </w:p>
    <w:p>
      <w:pPr>
        <w:ind w:right="40" w:firstLine="472"/>
        <w:spacing w:after="0" w:line="272" w:lineRule="auto"/>
        <w:rPr>
          <w:sz w:val="20"/>
          <w:szCs w:val="20"/>
          <w:color w:val="auto"/>
        </w:rPr>
      </w:pPr>
      <w:r>
        <w:rPr>
          <w:rFonts w:ascii="Times New Roman" w:cs="Times New Roman" w:eastAsia="Times New Roman" w:hAnsi="Times New Roman"/>
          <w:sz w:val="17"/>
          <w:szCs w:val="17"/>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84" w:lineRule="exact"/>
        <w:rPr>
          <w:sz w:val="20"/>
          <w:szCs w:val="20"/>
          <w:color w:val="auto"/>
        </w:rPr>
      </w:pPr>
    </w:p>
    <w:p>
      <w:pPr>
        <w:ind w:right="140" w:firstLine="472"/>
        <w:spacing w:after="0" w:line="263" w:lineRule="auto"/>
        <w:rPr>
          <w:sz w:val="20"/>
          <w:szCs w:val="20"/>
          <w:color w:val="auto"/>
        </w:rPr>
      </w:pPr>
      <w:r>
        <w:rPr>
          <w:rFonts w:ascii="Times New Roman" w:cs="Times New Roman" w:eastAsia="Times New Roman" w:hAnsi="Times New Roman"/>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33" w:lineRule="exact"/>
        <w:rPr>
          <w:sz w:val="20"/>
          <w:szCs w:val="20"/>
          <w:color w:val="auto"/>
        </w:rPr>
      </w:pPr>
    </w:p>
    <w:p>
      <w:pPr>
        <w:ind w:right="220" w:firstLine="472"/>
        <w:spacing w:after="0" w:line="272" w:lineRule="auto"/>
        <w:rPr>
          <w:sz w:val="20"/>
          <w:szCs w:val="20"/>
          <w:color w:val="auto"/>
        </w:rPr>
      </w:pPr>
      <w:r>
        <w:rPr>
          <w:rFonts w:ascii="Times New Roman" w:cs="Times New Roman" w:eastAsia="Times New Roman" w:hAnsi="Times New Roman"/>
          <w:sz w:val="17"/>
          <w:szCs w:val="17"/>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38" w:lineRule="exact"/>
        <w:rPr>
          <w:sz w:val="20"/>
          <w:szCs w:val="20"/>
          <w:color w:val="auto"/>
        </w:rPr>
      </w:pPr>
    </w:p>
    <w:p>
      <w:pPr>
        <w:ind w:right="500" w:firstLine="472"/>
        <w:spacing w:after="0" w:line="291" w:lineRule="auto"/>
        <w:rPr>
          <w:sz w:val="20"/>
          <w:szCs w:val="20"/>
          <w:color w:val="auto"/>
        </w:rPr>
      </w:pPr>
      <w:r>
        <w:rPr>
          <w:rFonts w:ascii="Times New Roman" w:cs="Times New Roman" w:eastAsia="Times New Roman" w:hAnsi="Times New Roman"/>
          <w:sz w:val="17"/>
          <w:szCs w:val="17"/>
          <w:color w:val="auto"/>
        </w:rPr>
        <w:t>Level 1 – These are investments where values are based on unadjusted quoted prices for identical assets in an active market that the Company has the ability to access.</w:t>
      </w:r>
    </w:p>
    <w:p>
      <w:pPr>
        <w:spacing w:after="0" w:line="109" w:lineRule="exact"/>
        <w:rPr>
          <w:sz w:val="20"/>
          <w:szCs w:val="20"/>
          <w:color w:val="auto"/>
        </w:rPr>
      </w:pPr>
    </w:p>
    <w:p>
      <w:pPr>
        <w:ind w:firstLine="472"/>
        <w:spacing w:after="0" w:line="291" w:lineRule="auto"/>
        <w:rPr>
          <w:sz w:val="20"/>
          <w:szCs w:val="20"/>
          <w:color w:val="auto"/>
        </w:rPr>
      </w:pPr>
      <w:r>
        <w:rPr>
          <w:rFonts w:ascii="Times New Roman" w:cs="Times New Roman" w:eastAsia="Times New Roman" w:hAnsi="Times New Roman"/>
          <w:sz w:val="17"/>
          <w:szCs w:val="17"/>
          <w:color w:val="auto"/>
        </w:rPr>
        <w:t>Level 2 – These are investments where values are based on quoted market prices in markets that are not active or model derived valuations in which all significant inputs are observable in active markets.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does not have fair valued assets classified under Level 2 as of September 30, 2019 and December 31, 2018.</w:t>
      </w:r>
    </w:p>
    <w:p>
      <w:pPr>
        <w:spacing w:after="0" w:line="180" w:lineRule="exact"/>
        <w:rPr>
          <w:sz w:val="20"/>
          <w:szCs w:val="20"/>
          <w:color w:val="auto"/>
        </w:rPr>
      </w:pPr>
    </w:p>
    <w:p>
      <w:pPr>
        <w:ind w:right="800" w:firstLine="472"/>
        <w:spacing w:after="0" w:line="291" w:lineRule="auto"/>
        <w:rPr>
          <w:sz w:val="20"/>
          <w:szCs w:val="20"/>
          <w:color w:val="auto"/>
        </w:rPr>
      </w:pPr>
      <w:r>
        <w:rPr>
          <w:rFonts w:ascii="Times New Roman" w:cs="Times New Roman" w:eastAsia="Times New Roman" w:hAnsi="Times New Roman"/>
          <w:sz w:val="17"/>
          <w:szCs w:val="17"/>
          <w:color w:val="auto"/>
        </w:rPr>
        <w:t>Level 3 – These are financial instruments where values are derived from techniques in which one or more significant inputs are unobservable.</w:t>
      </w:r>
    </w:p>
    <w:p>
      <w:pPr>
        <w:spacing w:after="0" w:line="122" w:lineRule="exact"/>
        <w:rPr>
          <w:sz w:val="20"/>
          <w:szCs w:val="20"/>
          <w:color w:val="auto"/>
        </w:rPr>
      </w:pPr>
    </w:p>
    <w:p>
      <w:pPr>
        <w:ind w:right="60" w:firstLine="472"/>
        <w:spacing w:after="0" w:line="291"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short-term investments, and accounts payable, all of which are reported at their respective fair value on its consolidated balance sheets.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does not have fair valued assets classified under Level 3 as of September 30, 2019 and December 31, 2018.</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firstLine="472"/>
        <w:spacing w:after="0" w:line="291" w:lineRule="auto"/>
        <w:rPr>
          <w:sz w:val="20"/>
          <w:szCs w:val="20"/>
          <w:color w:val="auto"/>
        </w:rPr>
      </w:pPr>
      <w:r>
        <w:rPr>
          <w:rFonts w:ascii="Times New Roman" w:cs="Times New Roman" w:eastAsia="Times New Roman" w:hAnsi="Times New Roman"/>
          <w:sz w:val="17"/>
          <w:szCs w:val="17"/>
          <w:color w:val="auto"/>
        </w:rPr>
        <w:t>As of September 30, 2019 and December 31, 2018, financial assets measured at fair value on a recurring basis are categorized in the table below based upon the lowest level of significant input to the valuations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10"/>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Assets at Fair Value as of September 30, 2019</w:t>
            </w:r>
          </w:p>
        </w:tc>
      </w:tr>
      <w:tr>
        <w:trPr>
          <w:trHeight w:val="200"/>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20" w:type="dxa"/>
            <w:vAlign w:val="bottom"/>
          </w:tcPr>
          <w:p>
            <w:pPr>
              <w:spacing w:after="0"/>
              <w:rPr>
                <w:sz w:val="17"/>
                <w:szCs w:val="17"/>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60" w:type="dxa"/>
            <w:vAlign w:val="bottom"/>
          </w:tcPr>
          <w:p>
            <w:pPr>
              <w:spacing w:after="0"/>
              <w:rPr>
                <w:sz w:val="17"/>
                <w:szCs w:val="17"/>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229,423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229,423</w:t>
            </w:r>
          </w:p>
        </w:tc>
      </w:tr>
      <w:tr>
        <w:trPr>
          <w:trHeight w:val="207"/>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93,562</w:t>
            </w:r>
          </w:p>
        </w:tc>
      </w:tr>
      <w:tr>
        <w:trPr>
          <w:trHeight w:val="200"/>
        </w:trPr>
        <w:tc>
          <w:tcPr>
            <w:tcW w:w="61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322,985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322,985</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7"/>
                <w:szCs w:val="17"/>
                <w:b w:val="1"/>
                <w:bCs w:val="1"/>
                <w:color w:val="auto"/>
              </w:rPr>
              <w:t>Assets at Fair Value as of December 31, 2018</w:t>
            </w:r>
          </w:p>
        </w:tc>
      </w:tr>
      <w:tr>
        <w:trPr>
          <w:trHeight w:val="200"/>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20" w:type="dxa"/>
            <w:vAlign w:val="bottom"/>
          </w:tcPr>
          <w:p>
            <w:pPr>
              <w:spacing w:after="0"/>
              <w:rPr>
                <w:sz w:val="17"/>
                <w:szCs w:val="17"/>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60" w:type="dxa"/>
            <w:vAlign w:val="bottom"/>
          </w:tcPr>
          <w:p>
            <w:pPr>
              <w:spacing w:after="0"/>
              <w:rPr>
                <w:sz w:val="17"/>
                <w:szCs w:val="17"/>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265,393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265,393</w:t>
            </w:r>
          </w:p>
        </w:tc>
      </w:tr>
      <w:tr>
        <w:trPr>
          <w:trHeight w:val="207"/>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120,978</w:t>
            </w:r>
          </w:p>
        </w:tc>
      </w:tr>
      <w:tr>
        <w:trPr>
          <w:trHeight w:val="200"/>
        </w:trPr>
        <w:tc>
          <w:tcPr>
            <w:tcW w:w="61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386,371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386,371</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84" w:lineRule="exact"/>
        <w:rPr>
          <w:sz w:val="20"/>
          <w:szCs w:val="20"/>
          <w:color w:val="auto"/>
        </w:rPr>
      </w:pPr>
    </w:p>
    <w:p>
      <w:pPr>
        <w:ind w:right="120" w:firstLine="472"/>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accounting for potential liabilities, the valuation allowance associated with the Company’s deferred tax assets, the assumptions made in valuing stock instruments issued for services and used in measuring operating lease right-of-use assets and operating lease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84" w:lineRule="exact"/>
        <w:rPr>
          <w:sz w:val="20"/>
          <w:szCs w:val="20"/>
          <w:color w:val="auto"/>
        </w:rPr>
      </w:pPr>
    </w:p>
    <w:p>
      <w:pPr>
        <w:ind w:right="200" w:firstLine="472"/>
        <w:spacing w:after="0" w:line="27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Iovance Biotherapeutics, Inc. and its wholly-owned subsidiary, Iovance Biotherapeutics GmbH. All intercompany accounts and transactions have been eliminated. The U.S. dollar is the functional currency for all the Company's consolidated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97" w:lineRule="exact"/>
        <w:rPr>
          <w:sz w:val="20"/>
          <w:szCs w:val="20"/>
          <w:color w:val="auto"/>
        </w:rPr>
      </w:pPr>
    </w:p>
    <w:p>
      <w:pPr>
        <w:ind w:right="100" w:firstLine="472"/>
        <w:spacing w:after="0" w:line="258" w:lineRule="auto"/>
        <w:rPr>
          <w:sz w:val="20"/>
          <w:szCs w:val="20"/>
          <w:color w:val="auto"/>
        </w:rPr>
      </w:pPr>
      <w:r>
        <w:rPr>
          <w:rFonts w:ascii="Times New Roman" w:cs="Times New Roman" w:eastAsia="Times New Roman" w:hAnsi="Times New Roman"/>
          <w:sz w:val="17"/>
          <w:szCs w:val="17"/>
          <w:color w:val="auto"/>
        </w:rPr>
        <w:t>The Company determines if an arrangement includes a lease at inception. Operating leases are included in its condensed consolidated balance sheet as Operating lease right-of-use assets and Operating lease liabilities as of September 30, 2019. Operating lease right-of-use assets represent our right to use an underlying asset for the lease term and operating lease liabilities represent our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36" w:lineRule="exact"/>
        <w:rPr>
          <w:sz w:val="20"/>
          <w:szCs w:val="20"/>
          <w:color w:val="auto"/>
        </w:rPr>
      </w:pPr>
    </w:p>
    <w:p>
      <w:pPr>
        <w:ind w:right="460" w:firstLine="472"/>
        <w:spacing w:after="0" w:line="291" w:lineRule="auto"/>
        <w:rPr>
          <w:sz w:val="20"/>
          <w:szCs w:val="20"/>
          <w:color w:val="auto"/>
        </w:rPr>
      </w:pPr>
      <w:r>
        <w:rPr>
          <w:rFonts w:ascii="Times New Roman" w:cs="Times New Roman" w:eastAsia="Times New Roman" w:hAnsi="Times New Roman"/>
          <w:sz w:val="17"/>
          <w:szCs w:val="17"/>
          <w:color w:val="auto"/>
        </w:rPr>
        <w:t>For lease agreements entered into after the adoption of Topic 842 that include lease and non-lease components, such components are generally accounted for separately.</w:t>
      </w:r>
    </w:p>
    <w:p>
      <w:pPr>
        <w:spacing w:after="0" w:line="109" w:lineRule="exact"/>
        <w:rPr>
          <w:sz w:val="20"/>
          <w:szCs w:val="20"/>
          <w:color w:val="auto"/>
        </w:rPr>
      </w:pPr>
    </w:p>
    <w:p>
      <w:pPr>
        <w:ind w:right="300" w:firstLine="472"/>
        <w:spacing w:after="0" w:line="291" w:lineRule="auto"/>
        <w:rPr>
          <w:sz w:val="20"/>
          <w:szCs w:val="20"/>
          <w:color w:val="auto"/>
        </w:rPr>
      </w:pPr>
      <w:r>
        <w:rPr>
          <w:rFonts w:ascii="Times New Roman" w:cs="Times New Roman" w:eastAsia="Times New Roman" w:hAnsi="Times New Roman"/>
          <w:sz w:val="17"/>
          <w:szCs w:val="17"/>
          <w:color w:val="auto"/>
        </w:rPr>
        <w:t>Prior period amounts continue to be reported in accordance with our historic accounting under previous lease guidance, Topic 840. See “Recently Adopted Accounting Pronouncements - Leases” below, for more information about the impact of the adoption on Topic 842.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84" w:lineRule="exact"/>
        <w:rPr>
          <w:sz w:val="20"/>
          <w:szCs w:val="20"/>
          <w:color w:val="auto"/>
        </w:rPr>
      </w:pPr>
    </w:p>
    <w:p>
      <w:pPr>
        <w:ind w:right="60" w:firstLine="472"/>
        <w:spacing w:after="0" w:line="272" w:lineRule="auto"/>
        <w:rPr>
          <w:sz w:val="20"/>
          <w:szCs w:val="20"/>
          <w:color w:val="auto"/>
        </w:rPr>
      </w:pPr>
      <w:r>
        <w:rPr>
          <w:rFonts w:ascii="Times New Roman" w:cs="Times New Roman" w:eastAsia="Times New Roman" w:hAnsi="Times New Roman"/>
          <w:sz w:val="17"/>
          <w:szCs w:val="17"/>
          <w:color w:val="auto"/>
        </w:rPr>
        <w:t>The Company periodically grants stock options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Upon the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adoption of ASU No. 2018-07, Compensation-Stock Compensation (“Topic 718”), the Company accounts for stock option grants to non-employees in the similar manner as stock option grants to employees, therefore no longer requiring a remeasurement at the then-current fair values at each reporting date until the share options have vested. The nonemployee awards that contain a performance condition that affects the quantity or other terms of the award are measured based on the outcome that is probable.</w:t>
      </w:r>
    </w:p>
    <w:p>
      <w:pPr>
        <w:spacing w:after="0" w:line="130" w:lineRule="exact"/>
        <w:rPr>
          <w:sz w:val="20"/>
          <w:szCs w:val="20"/>
          <w:color w:val="auto"/>
        </w:rPr>
      </w:pPr>
    </w:p>
    <w:p>
      <w:pPr>
        <w:ind w:right="100" w:firstLine="472"/>
        <w:spacing w:after="0" w:line="263" w:lineRule="auto"/>
        <w:rPr>
          <w:sz w:val="20"/>
          <w:szCs w:val="20"/>
          <w:color w:val="auto"/>
        </w:rPr>
      </w:pPr>
      <w:r>
        <w:rPr>
          <w:rFonts w:ascii="Times New Roman" w:cs="Times New Roman" w:eastAsia="Times New Roman" w:hAnsi="Times New Roman"/>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For non-employee stock option awards, an option term is used in the Black-Scholes option pricing model in lieu of expected life of the common stock options.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46" w:lineRule="exact"/>
        <w:rPr>
          <w:sz w:val="20"/>
          <w:szCs w:val="20"/>
          <w:color w:val="auto"/>
        </w:rPr>
      </w:pPr>
    </w:p>
    <w:p>
      <w:pPr>
        <w:ind w:right="480" w:firstLine="472"/>
        <w:spacing w:after="0" w:line="266" w:lineRule="auto"/>
        <w:rPr>
          <w:sz w:val="20"/>
          <w:szCs w:val="20"/>
          <w:color w:val="auto"/>
        </w:rPr>
      </w:pPr>
      <w:r>
        <w:rPr>
          <w:rFonts w:ascii="Times New Roman" w:cs="Times New Roman" w:eastAsia="Times New Roman" w:hAnsi="Times New Roman"/>
          <w:sz w:val="17"/>
          <w:szCs w:val="17"/>
          <w:color w:val="auto"/>
        </w:rPr>
        <w:t>The Company has in the past issued restricted stock units (RSU) and restricted stock awards (RSA) as part of its share-based compensation programs. The Company measures the compensation cost with respect to RSU and RSA issued to employees based upon the estimated fair value of the equity instruments at the date of the grant, which is recognized as an expense over the period during which an employee is required to provide services in exchange for the award.</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fair value of restricted stock units is based on the closing price of the Company’s common stock on the grant date.</w:t>
      </w:r>
    </w:p>
    <w:p>
      <w:pPr>
        <w:spacing w:after="0" w:line="180" w:lineRule="exact"/>
        <w:rPr>
          <w:sz w:val="20"/>
          <w:szCs w:val="20"/>
          <w:color w:val="auto"/>
        </w:rPr>
      </w:pPr>
    </w:p>
    <w:p>
      <w:pPr>
        <w:ind w:right="80" w:firstLine="472"/>
        <w:spacing w:after="0" w:line="291" w:lineRule="auto"/>
        <w:rPr>
          <w:sz w:val="20"/>
          <w:szCs w:val="20"/>
          <w:color w:val="auto"/>
        </w:rPr>
      </w:pPr>
      <w:r>
        <w:rPr>
          <w:rFonts w:ascii="Times New Roman" w:cs="Times New Roman" w:eastAsia="Times New Roman" w:hAnsi="Times New Roman"/>
          <w:sz w:val="17"/>
          <w:szCs w:val="17"/>
          <w:color w:val="auto"/>
        </w:rPr>
        <w:t>Total stock-based compensation expense related to all of the Company’s stock-based awards was recorded on the statements of operations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8"/>
        </w:trPr>
        <w:tc>
          <w:tcPr>
            <w:tcW w:w="6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00"/>
        </w:trPr>
        <w:tc>
          <w:tcPr>
            <w:tcW w:w="6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3,346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6,636</w:t>
            </w:r>
          </w:p>
        </w:tc>
      </w:tr>
      <w:tr>
        <w:trPr>
          <w:trHeight w:val="207"/>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3,252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8,206</w:t>
            </w:r>
          </w:p>
        </w:tc>
      </w:tr>
      <w:tr>
        <w:trPr>
          <w:trHeight w:val="20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6,598</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stock-based compensation expense broken down based on each individual instrument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8"/>
        </w:trPr>
        <w:tc>
          <w:tcPr>
            <w:tcW w:w="6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00"/>
        </w:trPr>
        <w:tc>
          <w:tcPr>
            <w:tcW w:w="6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14,640</w:t>
            </w:r>
          </w:p>
        </w:tc>
      </w:tr>
      <w:tr>
        <w:trPr>
          <w:trHeight w:val="207"/>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Restricted stock unit expense</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0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6,598</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97" w:lineRule="exact"/>
        <w:rPr>
          <w:sz w:val="20"/>
          <w:szCs w:val="20"/>
          <w:color w:val="auto"/>
        </w:rPr>
      </w:pPr>
    </w:p>
    <w:p>
      <w:pPr>
        <w:ind w:right="160" w:firstLine="472"/>
        <w:spacing w:after="0" w:line="263" w:lineRule="auto"/>
        <w:rPr>
          <w:sz w:val="20"/>
          <w:szCs w:val="20"/>
          <w:color w:val="auto"/>
        </w:rPr>
      </w:pPr>
      <w:r>
        <w:rPr>
          <w:rFonts w:ascii="Times New Roman" w:cs="Times New Roman" w:eastAsia="Times New Roman" w:hAnsi="Times New Roman"/>
          <w:sz w:val="17"/>
          <w:szCs w:val="17"/>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Instruments</w:t>
      </w:r>
    </w:p>
    <w:p>
      <w:pPr>
        <w:spacing w:after="0" w:line="184" w:lineRule="exact"/>
        <w:rPr>
          <w:sz w:val="20"/>
          <w:szCs w:val="20"/>
          <w:color w:val="auto"/>
        </w:rPr>
      </w:pPr>
    </w:p>
    <w:p>
      <w:pPr>
        <w:ind w:right="100" w:firstLine="472"/>
        <w:spacing w:after="0" w:line="260" w:lineRule="auto"/>
        <w:rPr>
          <w:sz w:val="20"/>
          <w:szCs w:val="20"/>
          <w:color w:val="auto"/>
        </w:rPr>
      </w:pPr>
      <w:r>
        <w:rPr>
          <w:rFonts w:ascii="Times New Roman" w:cs="Times New Roman" w:eastAsia="Times New Roman" w:hAnsi="Times New Roman"/>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09" w:lineRule="exact"/>
        <w:rPr>
          <w:sz w:val="20"/>
          <w:szCs w:val="20"/>
          <w:color w:val="auto"/>
        </w:rPr>
      </w:pPr>
    </w:p>
    <w:p>
      <w:pPr>
        <w:ind w:firstLine="472"/>
        <w:spacing w:after="0" w:line="272" w:lineRule="auto"/>
        <w:rPr>
          <w:sz w:val="20"/>
          <w:szCs w:val="20"/>
          <w:color w:val="auto"/>
        </w:rPr>
      </w:pPr>
      <w:r>
        <w:rPr>
          <w:rFonts w:ascii="Times New Roman" w:cs="Times New Roman" w:eastAsia="Times New Roman" w:hAnsi="Times New Roman"/>
          <w:sz w:val="17"/>
          <w:szCs w:val="17"/>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38" w:lineRule="exact"/>
        <w:rPr>
          <w:sz w:val="20"/>
          <w:szCs w:val="20"/>
          <w:color w:val="auto"/>
        </w:rPr>
      </w:pPr>
    </w:p>
    <w:p>
      <w:pPr>
        <w:ind w:right="340" w:firstLine="472"/>
        <w:spacing w:after="0" w:line="272" w:lineRule="auto"/>
        <w:rPr>
          <w:sz w:val="20"/>
          <w:szCs w:val="20"/>
          <w:color w:val="auto"/>
        </w:rPr>
      </w:pPr>
      <w:r>
        <w:rPr>
          <w:rFonts w:ascii="Times New Roman" w:cs="Times New Roman" w:eastAsia="Times New Roman" w:hAnsi="Times New Roman"/>
          <w:sz w:val="17"/>
          <w:szCs w:val="17"/>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95" w:lineRule="exact"/>
        <w:rPr>
          <w:sz w:val="20"/>
          <w:szCs w:val="20"/>
          <w:color w:val="auto"/>
        </w:rPr>
      </w:pPr>
    </w:p>
    <w:p>
      <w:pPr>
        <w:ind w:right="40" w:firstLine="472"/>
        <w:spacing w:after="0" w:line="259" w:lineRule="auto"/>
        <w:rPr>
          <w:sz w:val="20"/>
          <w:szCs w:val="20"/>
          <w:color w:val="auto"/>
        </w:rPr>
      </w:pPr>
      <w:r>
        <w:rPr>
          <w:rFonts w:ascii="Times New Roman" w:cs="Times New Roman" w:eastAsia="Times New Roman" w:hAnsi="Times New Roman"/>
          <w:sz w:val="17"/>
          <w:szCs w:val="17"/>
          <w:color w:val="auto"/>
        </w:rPr>
        <w:t>On January 1, 2019, the Company adopted Topic 842, which establishes a new lease accounting method for lessees. The updated guidance requires an entity to recognize assets and liabilities arising from a lease for both financing and operating leases, along with additional qualitative and quantitative disclosures. The Company elected the package of practical expedients requiring no reassessment of whether any expired or existing contracts are or contain leases, the lease classification of any expired or existing leases, or initial direct costs for any existing leases. The standard had a material impact on its consolidated balance sheets by recognizing Operating lease right-of-use assets and Operating lease liabilities for operating leases but did not have an impact on our consolidated statement of operations or cash flows. The adoption of Topic 842 resulted in recognition of Operating lease right-of-use assets of $10.4 million, $4.9 million of Operating lease liabilities – current, and $5.8 million of Operating lease liabilities – noncurrent as of January 1, 2019, the date of adoption.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Improvements to Nonemployee Share-Based Payment Accounting</w:t>
      </w:r>
    </w:p>
    <w:p>
      <w:pPr>
        <w:spacing w:after="0" w:line="182" w:lineRule="exact"/>
        <w:rPr>
          <w:sz w:val="20"/>
          <w:szCs w:val="20"/>
          <w:color w:val="auto"/>
        </w:rPr>
      </w:pPr>
    </w:p>
    <w:p>
      <w:pPr>
        <w:ind w:right="20" w:firstLine="472"/>
        <w:spacing w:after="0" w:line="259" w:lineRule="auto"/>
        <w:rPr>
          <w:sz w:val="20"/>
          <w:szCs w:val="20"/>
          <w:color w:val="auto"/>
        </w:rPr>
      </w:pPr>
      <w:r>
        <w:rPr>
          <w:rFonts w:ascii="Times New Roman" w:cs="Times New Roman" w:eastAsia="Times New Roman" w:hAnsi="Times New Roman"/>
          <w:sz w:val="17"/>
          <w:szCs w:val="17"/>
          <w:color w:val="auto"/>
        </w:rPr>
        <w:t>On January 1, 2019, the Company adopted Topic 718, which eliminates the separate accounting method for nonemployee share-based payment awards and requires companies to account for share-based payment transactions with nonemployees in the same manner as share-based payment transactions with employees. Under the new guidance, nonemployee share-based payment transactions are measured at the grant-date fair value and are no longer remeasured at the then-current fair values at each reporting date until the share options have vested. The guidance requires a modified-retrospective approach in transition. The Company compared the cumulative amounts that were recorded for its nonemployee share-based payments through December 31, 2018 immediately preceding the date of adoption to the cumulative amounts that should be recognized at the adoption date and recognized a cumulative effect of the transition adjustment of $0.3 million to retained earnings as of the date of adoption, January 1, 2019.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Presentation of Stockholders’ Equity</w:t>
      </w:r>
    </w:p>
    <w:p>
      <w:pPr>
        <w:spacing w:after="0" w:line="182" w:lineRule="exact"/>
        <w:rPr>
          <w:sz w:val="20"/>
          <w:szCs w:val="20"/>
          <w:color w:val="auto"/>
        </w:rPr>
      </w:pPr>
    </w:p>
    <w:p>
      <w:pPr>
        <w:ind w:right="20" w:firstLine="472"/>
        <w:spacing w:after="0" w:line="261" w:lineRule="auto"/>
        <w:rPr>
          <w:sz w:val="20"/>
          <w:szCs w:val="20"/>
          <w:color w:val="auto"/>
        </w:rPr>
      </w:pPr>
      <w:r>
        <w:rPr>
          <w:rFonts w:ascii="Times New Roman" w:cs="Times New Roman" w:eastAsia="Times New Roman" w:hAnsi="Times New Roman"/>
          <w:sz w:val="17"/>
          <w:szCs w:val="17"/>
          <w:color w:val="auto"/>
        </w:rPr>
        <w:t>In August 2018, the Security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Company has included its presentation of changes in stockholders’ equity in this Quarterly Report on Form 10-Q for the three and nine months ended September 30, 2019 and 2018.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Measurements Disclosure</w:t>
      </w:r>
    </w:p>
    <w:p>
      <w:pPr>
        <w:spacing w:after="0" w:line="195" w:lineRule="exact"/>
        <w:rPr>
          <w:sz w:val="20"/>
          <w:szCs w:val="20"/>
          <w:color w:val="auto"/>
        </w:rPr>
      </w:pPr>
    </w:p>
    <w:p>
      <w:pPr>
        <w:ind w:right="20" w:firstLine="472"/>
        <w:spacing w:after="0" w:line="263" w:lineRule="auto"/>
        <w:rPr>
          <w:sz w:val="20"/>
          <w:szCs w:val="20"/>
          <w:color w:val="auto"/>
        </w:rPr>
      </w:pPr>
      <w:r>
        <w:rPr>
          <w:rFonts w:ascii="Times New Roman" w:cs="Times New Roman" w:eastAsia="Times New Roman" w:hAnsi="Times New Roman"/>
          <w:sz w:val="17"/>
          <w:szCs w:val="17"/>
          <w:color w:val="auto"/>
        </w:rPr>
        <w:t>In August 2018, the FASB issued ASU No. 2018-13 Fair Value Measurement (Topic 820): Disclosure Framework- Changes to the Disclosure Requirements for Fair Value Measurement, which eliminates disclosure requirement regarding transfers between level 1 and level 2 of the fair value of hierarchy, however, adds disclosure requirements on the range and weighted average used to develop significant unobservable inputs for level 3 fair value measurements. The Company adopted the guidance on January 1, 2019, however, there was no adjustment required to its disclosures as it did not have fair value assets classified under level 2 or 3 as of September 30, 2019 and December 31, 2018.</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96990" cy="1651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w:t>
      </w:r>
    </w:p>
    <w:p>
      <w:pPr>
        <w:spacing w:after="0" w:line="182" w:lineRule="exact"/>
        <w:rPr>
          <w:sz w:val="20"/>
          <w:szCs w:val="20"/>
          <w:color w:val="auto"/>
        </w:rPr>
      </w:pPr>
    </w:p>
    <w:p>
      <w:pPr>
        <w:ind w:right="40" w:firstLine="472"/>
        <w:spacing w:after="0" w:line="257"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 - Credit Losses, and also issued subsequent amendments to the initial guidance, ASU 2018-19, ASU 2019-04, and ASU 2019-05 (collectively, Topic 326), to introduce a new impairment model for recognizing credit losses on financial instruments based on an estimate of current expected credit losses (CECL). Under Topic 326, an entity is required to estimate CECL on available-for-sale (AFS) debt securities only when the fair value is below the amortized cost of the asset and is no longer based on an impairment being “other-than-temporary”. Topic 326 also requires the impairment calculation on an individual security level and requires an entity use present value of cash flows when estimating the CECL. The credit-related losses are required to be recognized through earnings and non-credit related losses are reported in other comprehensive income. In April 2019, the FASB further clarified the scope of Topic 326 and addressed issues related to accrued interest receivable balances, recoveries, variable interest rates and prepayment. Topic 326 will be effective for public entities in fiscal years beginning after December 15, 2019, including interim periods within those fiscal years. The new guidance will require modified retrospective application to all outstanding instruments, with a cumulative effect adjustment recorded to opening retained earnings as of the beginning of the first period in which the guidance becomes effective. The Company does not believe the adoption of this new guidance will have any material impact on its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Cloud Computing Arrangements</w:t>
      </w:r>
    </w:p>
    <w:p>
      <w:pPr>
        <w:spacing w:after="0" w:line="182" w:lineRule="exact"/>
        <w:rPr>
          <w:sz w:val="20"/>
          <w:szCs w:val="20"/>
          <w:color w:val="auto"/>
        </w:rPr>
      </w:pPr>
    </w:p>
    <w:p>
      <w:pPr>
        <w:ind w:firstLine="515"/>
        <w:spacing w:after="0" w:line="259" w:lineRule="auto"/>
        <w:rPr>
          <w:sz w:val="20"/>
          <w:szCs w:val="20"/>
          <w:color w:val="auto"/>
        </w:rPr>
      </w:pPr>
      <w:r>
        <w:rPr>
          <w:rFonts w:ascii="Times New Roman" w:cs="Times New Roman" w:eastAsia="Times New Roman" w:hAnsi="Times New Roman"/>
          <w:sz w:val="17"/>
          <w:szCs w:val="17"/>
          <w:color w:val="auto"/>
        </w:rPr>
        <w:t>In August 2018, the FASB issued ASU 2018-15, Intangibles—Goodwill and Other—Internal-Use Software (Subtopic 350-40) Customer’s Accounting for Implementation Costs Incurred in a Cloud Computing Arrangement That Is a Service Contract (ASU 2018-15), to help entities evaluate the accounting for fees paid by a customer in a cloud computing arrangement (hosting arrangement) by providing guidance for determining when the arrangement includes a software license. The guidance provided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ASU 2018-15 is effective for fiscal years beginning subsequent to December 15, 2019. The Company is currently assessing the potential impact of adopting ASU 2018-15 on its consolidated financial statements and related disclosures.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Certain amounts within the balance sheets for the prior period have been reclassified to conform with the current period presentation.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reclassifications had no impact on the Company's previously reported financial position or cash flows for any of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3. CASH EQUIVALENTS AND SHORT-TERM INVESTMENTS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6"/>
        </w:trPr>
        <w:tc>
          <w:tcPr>
            <w:tcW w:w="65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Cash equivalents and short-term investments consist of the following (in thousands):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7"/>
        </w:trPr>
        <w:tc>
          <w:tcPr>
            <w:tcW w:w="10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24"/>
                <w:szCs w:val="24"/>
                <w:color w:val="auto"/>
              </w:rPr>
            </w:pPr>
          </w:p>
        </w:tc>
        <w:tc>
          <w:tcPr>
            <w:tcW w:w="11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8"/>
        </w:trPr>
        <w:tc>
          <w:tcPr>
            <w:tcW w:w="1000" w:type="dxa"/>
            <w:vAlign w:val="bottom"/>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100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equivalents - Money market funds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28,186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25,968</w:t>
            </w:r>
          </w:p>
        </w:tc>
      </w:tr>
      <w:tr>
        <w:trPr>
          <w:trHeight w:val="207"/>
        </w:trPr>
        <w:tc>
          <w:tcPr>
            <w:tcW w:w="1000" w:type="dxa"/>
            <w:vAlign w:val="bottom"/>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equivalents - U.S government securities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1000" w:type="dxa"/>
            <w:vAlign w:val="bottom"/>
          </w:tcPr>
          <w:p>
            <w:pPr>
              <w:spacing w:after="0"/>
              <w:rPr>
                <w:sz w:val="17"/>
                <w:szCs w:val="17"/>
                <w:color w:val="auto"/>
              </w:rPr>
            </w:pPr>
          </w:p>
        </w:tc>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equivalents 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35,687</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25,968</w:t>
            </w:r>
          </w:p>
        </w:tc>
      </w:tr>
      <w:tr>
        <w:trPr>
          <w:trHeight w:val="20"/>
        </w:trPr>
        <w:tc>
          <w:tcPr>
            <w:tcW w:w="10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540" w:firstLine="472"/>
        <w:spacing w:after="0" w:line="291" w:lineRule="auto"/>
        <w:rPr>
          <w:sz w:val="20"/>
          <w:szCs w:val="20"/>
          <w:color w:val="auto"/>
        </w:rPr>
      </w:pPr>
      <w:r>
        <w:rPr>
          <w:rFonts w:ascii="Times New Roman" w:cs="Times New Roman" w:eastAsia="Times New Roman" w:hAnsi="Times New Roman"/>
          <w:sz w:val="17"/>
          <w:szCs w:val="17"/>
          <w:color w:val="auto"/>
        </w:rPr>
        <w:t>Cash equivalents in the tables above exclude cash demand deposits of $3.2 million and $56.2 million as of September 30, 2019 and December 31, 2018,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8"/>
                <w:szCs w:val="18"/>
                <w:color w:val="auto"/>
              </w:rPr>
            </w:pP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Short-term Investments</w:t>
            </w:r>
          </w:p>
        </w:tc>
        <w:tc>
          <w:tcPr>
            <w:tcW w:w="2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23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229,423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265,393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93,562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120,978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Short-term investments total</w:t>
            </w:r>
          </w:p>
        </w:tc>
        <w:tc>
          <w:tcPr>
            <w:tcW w:w="2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322,985</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386,371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60" w:type="dxa"/>
            <w:vAlign w:val="bottom"/>
            <w:vMerge w:val="restart"/>
          </w:tcPr>
          <w:p>
            <w:pPr>
              <w:jc w:val="right"/>
              <w:ind w:right="1334"/>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10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639" w:right="89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firstLine="472"/>
        <w:spacing w:after="0" w:line="291" w:lineRule="auto"/>
        <w:rPr>
          <w:sz w:val="20"/>
          <w:szCs w:val="20"/>
          <w:color w:val="auto"/>
        </w:rPr>
      </w:pPr>
      <w:r>
        <w:rPr>
          <w:rFonts w:ascii="Times New Roman" w:cs="Times New Roman" w:eastAsia="Times New Roman" w:hAnsi="Times New Roman"/>
          <w:sz w:val="17"/>
          <w:szCs w:val="17"/>
          <w:color w:val="auto"/>
        </w:rPr>
        <w:t>The cost and fair value of cash equivalents and short-term investments at September 30, 2019 and December 31, 2018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6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7"/>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 of September 30, 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Accretion</w:t>
            </w:r>
          </w:p>
        </w:tc>
        <w:tc>
          <w:tcPr>
            <w:tcW w:w="180" w:type="dxa"/>
            <w:vAlign w:val="bottom"/>
          </w:tcPr>
          <w:p>
            <w:pPr>
              <w:spacing w:after="0"/>
              <w:rPr>
                <w:sz w:val="19"/>
                <w:szCs w:val="19"/>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6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0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4"/>
              </w:rPr>
              <w:t>Fair Value</w:t>
            </w:r>
          </w:p>
        </w:tc>
      </w:tr>
      <w:tr>
        <w:trPr>
          <w:trHeight w:val="200"/>
        </w:trPr>
        <w:tc>
          <w:tcPr>
            <w:tcW w:w="4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7"/>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 treasury securities</w:t>
            </w:r>
          </w:p>
        </w:tc>
        <w:tc>
          <w:tcPr>
            <w:tcW w:w="4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229,423</w:t>
            </w:r>
          </w:p>
        </w:tc>
      </w:tr>
      <w:tr>
        <w:trPr>
          <w:trHeight w:val="207"/>
        </w:trPr>
        <w:tc>
          <w:tcPr>
            <w:tcW w:w="4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93,562</w:t>
            </w:r>
          </w:p>
        </w:tc>
      </w:tr>
      <w:tr>
        <w:trPr>
          <w:trHeight w:val="200"/>
        </w:trPr>
        <w:tc>
          <w:tcPr>
            <w:tcW w:w="4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321,740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322,985</w:t>
            </w: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6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7"/>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 of December 31, 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Accretion</w:t>
            </w:r>
          </w:p>
        </w:tc>
        <w:tc>
          <w:tcPr>
            <w:tcW w:w="180" w:type="dxa"/>
            <w:vAlign w:val="bottom"/>
          </w:tcPr>
          <w:p>
            <w:pPr>
              <w:spacing w:after="0"/>
              <w:rPr>
                <w:sz w:val="19"/>
                <w:szCs w:val="19"/>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6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0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4"/>
              </w:rPr>
              <w:t>Fair Value</w:t>
            </w:r>
          </w:p>
        </w:tc>
      </w:tr>
      <w:tr>
        <w:trPr>
          <w:trHeight w:val="200"/>
        </w:trPr>
        <w:tc>
          <w:tcPr>
            <w:tcW w:w="4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7"/>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U.S. treasury securities</w:t>
            </w:r>
          </w:p>
        </w:tc>
        <w:tc>
          <w:tcPr>
            <w:tcW w:w="4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265,393</w:t>
            </w:r>
          </w:p>
        </w:tc>
      </w:tr>
      <w:tr>
        <w:trPr>
          <w:trHeight w:val="207"/>
        </w:trPr>
        <w:tc>
          <w:tcPr>
            <w:tcW w:w="4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121,001</w:t>
            </w:r>
          </w:p>
        </w:tc>
      </w:tr>
      <w:tr>
        <w:trPr>
          <w:trHeight w:val="200"/>
        </w:trPr>
        <w:tc>
          <w:tcPr>
            <w:tcW w:w="4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385,272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386,394</w:t>
            </w: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80" w:firstLine="472"/>
        <w:spacing w:after="0" w:line="291" w:lineRule="auto"/>
        <w:rPr>
          <w:sz w:val="20"/>
          <w:szCs w:val="20"/>
          <w:color w:val="auto"/>
        </w:rPr>
      </w:pPr>
      <w:r>
        <w:rPr>
          <w:rFonts w:ascii="Times New Roman" w:cs="Times New Roman" w:eastAsia="Times New Roman" w:hAnsi="Times New Roman"/>
          <w:sz w:val="17"/>
          <w:szCs w:val="17"/>
          <w:color w:val="auto"/>
        </w:rPr>
        <w:t>Unrealized gains and losses are included in accumulated other comprehensive loss. All short-term investments held by the Company as of September 30, 2019 and December 31, 2018 have a maturity of less than one year.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BALANCE SHEET COMPONENTS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8"/>
        </w:trPr>
        <w:tc>
          <w:tcPr>
            <w:tcW w:w="75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 consist of the following (in thousands):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7"/>
        </w:trPr>
        <w:tc>
          <w:tcPr>
            <w:tcW w:w="758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8"/>
        </w:trPr>
        <w:tc>
          <w:tcPr>
            <w:tcW w:w="7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 and employee related expenses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w:t>
            </w:r>
          </w:p>
        </w:tc>
      </w:tr>
      <w:tr>
        <w:trPr>
          <w:trHeight w:val="207"/>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Legal and related services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0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 related</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3,424</w:t>
            </w:r>
          </w:p>
        </w:tc>
      </w:tr>
      <w:tr>
        <w:trPr>
          <w:trHeight w:val="207"/>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Manufacturing related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r>
      <w:tr>
        <w:trPr>
          <w:trHeight w:val="20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other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07"/>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Deferred rent - current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0"/>
        </w:trPr>
        <w:tc>
          <w:tcPr>
            <w:tcW w:w="75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11,659</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STOCKHOLDERS’ EQUITY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Public Offerings and Common Stock</w:t>
      </w:r>
    </w:p>
    <w:p>
      <w:pPr>
        <w:spacing w:after="0" w:line="180" w:lineRule="exact"/>
        <w:rPr>
          <w:sz w:val="20"/>
          <w:szCs w:val="20"/>
          <w:color w:val="auto"/>
        </w:rPr>
      </w:pPr>
    </w:p>
    <w:p>
      <w:pPr>
        <w:ind w:right="240" w:firstLine="472"/>
        <w:spacing w:after="0" w:line="263" w:lineRule="auto"/>
        <w:rPr>
          <w:sz w:val="20"/>
          <w:szCs w:val="20"/>
          <w:color w:val="auto"/>
        </w:rPr>
      </w:pPr>
      <w:r>
        <w:rPr>
          <w:rFonts w:ascii="Times New Roman" w:cs="Times New Roman" w:eastAsia="Times New Roman" w:hAnsi="Times New Roman"/>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46" w:lineRule="exact"/>
        <w:rPr>
          <w:sz w:val="20"/>
          <w:szCs w:val="20"/>
          <w:color w:val="auto"/>
        </w:rPr>
      </w:pPr>
    </w:p>
    <w:p>
      <w:pPr>
        <w:ind w:right="80" w:firstLine="472"/>
        <w:spacing w:after="0" w:line="263" w:lineRule="auto"/>
        <w:rPr>
          <w:sz w:val="20"/>
          <w:szCs w:val="20"/>
          <w:color w:val="auto"/>
        </w:rPr>
      </w:pPr>
      <w:r>
        <w:rPr>
          <w:rFonts w:ascii="Times New Roman" w:cs="Times New Roman" w:eastAsia="Times New Roman" w:hAnsi="Times New Roman"/>
          <w:sz w:val="17"/>
          <w:szCs w:val="17"/>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33" w:lineRule="exact"/>
        <w:rPr>
          <w:sz w:val="20"/>
          <w:szCs w:val="20"/>
          <w:color w:val="auto"/>
        </w:rPr>
      </w:pPr>
    </w:p>
    <w:p>
      <w:pPr>
        <w:ind w:right="580" w:firstLine="472"/>
        <w:spacing w:after="0" w:line="291" w:lineRule="auto"/>
        <w:rPr>
          <w:sz w:val="20"/>
          <w:szCs w:val="20"/>
          <w:color w:val="auto"/>
        </w:rPr>
      </w:pPr>
      <w:r>
        <w:rPr>
          <w:rFonts w:ascii="Times New Roman" w:cs="Times New Roman" w:eastAsia="Times New Roman" w:hAnsi="Times New Roman"/>
          <w:sz w:val="17"/>
          <w:szCs w:val="17"/>
          <w:color w:val="auto"/>
        </w:rPr>
        <w:t>On June 10, 2019, the certificate of incorporation of the Company was amended to increase the number of authorized shares of the Company’s common stock, par value $0.000041666, from 150,000,000 shares to 300,000,000 shares (the “Certificate 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7"/>
          <w:szCs w:val="17"/>
          <w:color w:val="auto"/>
        </w:rPr>
        <w:t>Amendment”). The Certificate of Amendment was approved by the Company’s stockholders at the Company’s 2019 Annual Meeting of Stockholders held on June 10, 2019.</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Preferred Stock</w:t>
      </w:r>
    </w:p>
    <w:p>
      <w:pPr>
        <w:spacing w:after="0" w:line="193" w:lineRule="exact"/>
        <w:rPr>
          <w:sz w:val="20"/>
          <w:szCs w:val="20"/>
          <w:color w:val="auto"/>
        </w:rPr>
      </w:pPr>
    </w:p>
    <w:p>
      <w:pPr>
        <w:jc w:val="both"/>
        <w:ind w:right="520" w:firstLine="472"/>
        <w:spacing w:after="0" w:line="272" w:lineRule="auto"/>
        <w:rPr>
          <w:sz w:val="20"/>
          <w:szCs w:val="20"/>
          <w:color w:val="auto"/>
        </w:rPr>
      </w:pPr>
      <w:r>
        <w:rPr>
          <w:rFonts w:ascii="Times New Roman" w:cs="Times New Roman" w:eastAsia="Times New Roman" w:hAnsi="Times New Roman"/>
          <w:sz w:val="17"/>
          <w:szCs w:val="17"/>
          <w:color w:val="auto"/>
        </w:rPr>
        <w:t>The Company’s certificate of incorporation authorizes the issuance of up to 50,000,000 shares of “blank check” preferred stock. At September 30, 2019, 17,000 shares were designated as Series A Convertible Preferred Stock (“Series A Convertible Preferred Stock”) and 11,500,000 shares were designated as Series B Convertible Preferred Stock (“Series B Convertible Preferred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Series A Convertible Preferred Stock</w:t>
      </w:r>
    </w:p>
    <w:p>
      <w:pPr>
        <w:spacing w:after="0" w:line="180" w:lineRule="exact"/>
        <w:rPr>
          <w:sz w:val="20"/>
          <w:szCs w:val="20"/>
          <w:color w:val="auto"/>
        </w:rPr>
      </w:pPr>
    </w:p>
    <w:p>
      <w:pPr>
        <w:ind w:right="40" w:firstLine="472"/>
        <w:spacing w:after="0" w:line="272" w:lineRule="auto"/>
        <w:rPr>
          <w:sz w:val="20"/>
          <w:szCs w:val="20"/>
          <w:color w:val="auto"/>
        </w:rPr>
      </w:pPr>
      <w:r>
        <w:rPr>
          <w:rFonts w:ascii="Times New Roman" w:cs="Times New Roman" w:eastAsia="Times New Roman" w:hAnsi="Times New Roman"/>
          <w:sz w:val="17"/>
          <w:szCs w:val="17"/>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138" w:lineRule="exact"/>
        <w:rPr>
          <w:sz w:val="20"/>
          <w:szCs w:val="20"/>
          <w:color w:val="auto"/>
        </w:rPr>
      </w:pPr>
    </w:p>
    <w:p>
      <w:pPr>
        <w:ind w:right="140" w:firstLine="472"/>
        <w:spacing w:after="0" w:line="259" w:lineRule="auto"/>
        <w:rPr>
          <w:sz w:val="20"/>
          <w:szCs w:val="20"/>
          <w:color w:val="auto"/>
        </w:rPr>
      </w:pPr>
      <w:r>
        <w:rPr>
          <w:rFonts w:ascii="Times New Roman" w:cs="Times New Roman" w:eastAsia="Times New Roman" w:hAnsi="Times New Roman"/>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38" w:lineRule="exact"/>
        <w:rPr>
          <w:sz w:val="20"/>
          <w:szCs w:val="20"/>
          <w:color w:val="auto"/>
        </w:rPr>
      </w:pPr>
    </w:p>
    <w:p>
      <w:pPr>
        <w:ind w:right="200" w:firstLine="472"/>
        <w:spacing w:after="0" w:line="266" w:lineRule="auto"/>
        <w:rPr>
          <w:sz w:val="20"/>
          <w:szCs w:val="20"/>
          <w:color w:val="auto"/>
        </w:rPr>
      </w:pPr>
      <w:r>
        <w:rPr>
          <w:rFonts w:ascii="Times New Roman" w:cs="Times New Roman" w:eastAsia="Times New Roman" w:hAnsi="Times New Roman"/>
          <w:sz w:val="17"/>
          <w:szCs w:val="17"/>
          <w:color w:val="auto"/>
        </w:rPr>
        <w:t>No Shares of Series A Convertible Preferred Stock were converted during the nine months ended September 30, 2019. A total of 1,500 shares of Series A Convertible Preferred Stock were converted into 750,000 shares of common stock during the nine months ended September 30, 2018. At September 30, 2019 and 2018, 194 shares of Series A Convertible Preferred Stock (that are convertible into 97,000 shares of common stock) remained outstanding.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Series B Convertible Preferred Stock</w:t>
      </w:r>
    </w:p>
    <w:p>
      <w:pPr>
        <w:spacing w:after="0" w:line="193" w:lineRule="exact"/>
        <w:rPr>
          <w:sz w:val="20"/>
          <w:szCs w:val="20"/>
          <w:color w:val="auto"/>
        </w:rPr>
      </w:pPr>
    </w:p>
    <w:p>
      <w:pPr>
        <w:jc w:val="both"/>
        <w:ind w:right="20" w:firstLine="472"/>
        <w:spacing w:after="0" w:line="266" w:lineRule="auto"/>
        <w:rPr>
          <w:sz w:val="20"/>
          <w:szCs w:val="20"/>
          <w:color w:val="auto"/>
        </w:rPr>
      </w:pPr>
      <w:r>
        <w:rPr>
          <w:rFonts w:ascii="Times New Roman" w:cs="Times New Roman" w:eastAsia="Times New Roman" w:hAnsi="Times New Roman"/>
          <w:sz w:val="17"/>
          <w:szCs w:val="17"/>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130" w:lineRule="exact"/>
        <w:rPr>
          <w:sz w:val="20"/>
          <w:szCs w:val="20"/>
          <w:color w:val="auto"/>
        </w:rPr>
      </w:pPr>
    </w:p>
    <w:p>
      <w:pPr>
        <w:ind w:right="240" w:firstLine="472"/>
        <w:spacing w:after="0" w:line="266" w:lineRule="auto"/>
        <w:rPr>
          <w:sz w:val="20"/>
          <w:szCs w:val="20"/>
          <w:color w:val="auto"/>
        </w:rPr>
      </w:pPr>
      <w:r>
        <w:rPr>
          <w:rFonts w:ascii="Times New Roman" w:cs="Times New Roman" w:eastAsia="Times New Roman" w:hAnsi="Times New Roman"/>
          <w:sz w:val="17"/>
          <w:szCs w:val="17"/>
          <w:color w:val="auto"/>
        </w:rPr>
        <w:t>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30" w:lineRule="exact"/>
        <w:rPr>
          <w:sz w:val="20"/>
          <w:szCs w:val="20"/>
          <w:color w:val="auto"/>
        </w:rPr>
      </w:pPr>
    </w:p>
    <w:p>
      <w:pPr>
        <w:ind w:firstLine="472"/>
        <w:spacing w:after="0" w:line="266" w:lineRule="auto"/>
        <w:rPr>
          <w:sz w:val="20"/>
          <w:szCs w:val="20"/>
          <w:color w:val="auto"/>
        </w:rPr>
      </w:pPr>
      <w:r>
        <w:rPr>
          <w:rFonts w:ascii="Times New Roman" w:cs="Times New Roman" w:eastAsia="Times New Roman" w:hAnsi="Times New Roman"/>
          <w:sz w:val="17"/>
          <w:szCs w:val="17"/>
          <w:color w:val="auto"/>
        </w:rPr>
        <w:t>A total of 2,273,276 shares of Series B Convertible Preferred Stock were converted into 2,273,276 during the nine months ended September 30, 2019. A total of 1,523,396 shares of Series B Convertible Preferred Stock were converted into 1,523,396 shares of common stock during the nine months ended September 30, 2018. At September 30, 2019 and 2018, 3,581,119 and 5,854,845 shares of Series B Preferred Stock (that are convertible into 3,581,119 and 5,854,845 shares of common stock) remained outstanding,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Cancellation of Common Shares</w:t>
      </w:r>
    </w:p>
    <w:p>
      <w:pPr>
        <w:spacing w:after="0" w:line="180" w:lineRule="exact"/>
        <w:rPr>
          <w:sz w:val="20"/>
          <w:szCs w:val="20"/>
          <w:color w:val="auto"/>
        </w:rPr>
      </w:pPr>
    </w:p>
    <w:p>
      <w:pPr>
        <w:ind w:right="280" w:firstLine="472"/>
        <w:spacing w:after="0" w:line="263" w:lineRule="auto"/>
        <w:rPr>
          <w:sz w:val="20"/>
          <w:szCs w:val="20"/>
          <w:color w:val="auto"/>
        </w:rPr>
      </w:pPr>
      <w:r>
        <w:rPr>
          <w:rFonts w:ascii="Times New Roman" w:cs="Times New Roman" w:eastAsia="Times New Roman" w:hAnsi="Times New Roman"/>
          <w:sz w:val="17"/>
          <w:szCs w:val="17"/>
          <w:color w:val="auto"/>
        </w:rPr>
        <w:t>On September 30, 2013, the Company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condensed consolidated statement of operations.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0"/>
          </w:cols>
          <w:pgMar w:left="920" w:top="639" w:right="939" w:bottom="1440" w:gutter="0" w:footer="0" w:header="0"/>
        </w:sectPr>
      </w:pPr>
    </w:p>
    <w:bookmarkStart w:id="17" w:name="page18"/>
    <w:bookmarkEnd w:id="17"/>
    <w:p>
      <w:pPr>
        <w:ind w:left="5"/>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NOTE 6. STOCK BASED COMPENSATION</w:t>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i w:val="1"/>
          <w:iCs w:val="1"/>
          <w:color w:val="auto"/>
        </w:rPr>
        <w:t>Stock Plans</w:t>
      </w:r>
    </w:p>
    <w:p>
      <w:pPr>
        <w:spacing w:after="0" w:line="197" w:lineRule="exact"/>
        <w:rPr>
          <w:sz w:val="20"/>
          <w:szCs w:val="20"/>
          <w:color w:val="auto"/>
        </w:rPr>
      </w:pPr>
    </w:p>
    <w:p>
      <w:pPr>
        <w:ind w:left="5" w:right="40" w:firstLine="472"/>
        <w:spacing w:after="0" w:line="258" w:lineRule="auto"/>
        <w:rPr>
          <w:sz w:val="20"/>
          <w:szCs w:val="20"/>
          <w:color w:val="auto"/>
        </w:rPr>
      </w:pPr>
      <w:r>
        <w:rPr>
          <w:rFonts w:ascii="Times New Roman" w:cs="Times New Roman" w:eastAsia="Times New Roman" w:hAnsi="Times New Roman"/>
          <w:sz w:val="17"/>
          <w:szCs w:val="17"/>
          <w:color w:val="auto"/>
        </w:rPr>
        <w:t>On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the 2011 plan, but non-qualified options, common stock and stock appreciation rights can still be granted. In August 2013, the Company’s Board of Directors and a majority of the Company’s stockholders approved an amendment to increase the number of shares available under the 2011 Plan from 180,000 shares to 1,700,000 shares, and an amendment to increase the number of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As of September 30, 2019, 151,240 shares were available for future grant under the 2011 Plan.</w:t>
      </w:r>
    </w:p>
    <w:p>
      <w:pPr>
        <w:spacing w:after="0" w:line="136" w:lineRule="exact"/>
        <w:rPr>
          <w:sz w:val="20"/>
          <w:szCs w:val="20"/>
          <w:color w:val="auto"/>
        </w:rPr>
      </w:pPr>
    </w:p>
    <w:p>
      <w:pPr>
        <w:ind w:left="5" w:right="180" w:firstLine="472"/>
        <w:spacing w:after="0" w:line="261" w:lineRule="auto"/>
        <w:rPr>
          <w:sz w:val="20"/>
          <w:szCs w:val="20"/>
          <w:color w:val="auto"/>
        </w:rPr>
      </w:pPr>
      <w:r>
        <w:rPr>
          <w:rFonts w:ascii="Times New Roman" w:cs="Times New Roman" w:eastAsia="Times New Roman" w:hAnsi="Times New Roman"/>
          <w:sz w:val="17"/>
          <w:szCs w:val="17"/>
          <w:color w:val="auto"/>
        </w:rPr>
        <w:t>On September 19, 2014, the Company’s Board of Directors adopted the Iovance Biotherapeutics, Inc. 2014 Equity Incentive Plan (the “2014 Plan”). The 2014 Plan was approved by the Company’s stockholders at the Company’s 2014 Annual Meeting of Stockholders held in November 2014. The 2014 Plan, as approved by the stockholders, authorized the issuance up to an aggregate of 2,350,000 shares of the Company’s common stock. On April 10, 2015, the Board of Directors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36" w:lineRule="exact"/>
        <w:rPr>
          <w:sz w:val="20"/>
          <w:szCs w:val="20"/>
          <w:color w:val="auto"/>
        </w:rPr>
      </w:pPr>
    </w:p>
    <w:p>
      <w:pPr>
        <w:ind w:left="5" w:right="320" w:firstLine="472"/>
        <w:spacing w:after="0" w:line="272" w:lineRule="auto"/>
        <w:rPr>
          <w:sz w:val="20"/>
          <w:szCs w:val="20"/>
          <w:color w:val="auto"/>
        </w:rPr>
      </w:pPr>
      <w:r>
        <w:rPr>
          <w:rFonts w:ascii="Times New Roman" w:cs="Times New Roman" w:eastAsia="Times New Roman" w:hAnsi="Times New Roman"/>
          <w:sz w:val="17"/>
          <w:szCs w:val="17"/>
          <w:color w:val="auto"/>
        </w:rPr>
        <w:t>On August 16, 2016, the Company’s stockholders approved an increase in the total number of shares that can be issued under the 2014 Plan to 9,000,000 shares of the Company’s common stock. As of September 30, 2019, 40,324 shares were available for grant under the Company’s 2014 Plan.</w:t>
      </w:r>
    </w:p>
    <w:p>
      <w:pPr>
        <w:spacing w:after="0" w:line="138" w:lineRule="exact"/>
        <w:rPr>
          <w:sz w:val="20"/>
          <w:szCs w:val="20"/>
          <w:color w:val="auto"/>
        </w:rPr>
      </w:pPr>
    </w:p>
    <w:p>
      <w:pPr>
        <w:ind w:left="5" w:firstLine="472"/>
        <w:spacing w:after="0" w:line="261" w:lineRule="auto"/>
        <w:rPr>
          <w:sz w:val="20"/>
          <w:szCs w:val="20"/>
          <w:color w:val="auto"/>
        </w:rPr>
      </w:pPr>
      <w:r>
        <w:rPr>
          <w:rFonts w:ascii="Times New Roman" w:cs="Times New Roman" w:eastAsia="Times New Roman" w:hAnsi="Times New Roman"/>
          <w:sz w:val="17"/>
          <w:szCs w:val="17"/>
          <w:color w:val="auto"/>
        </w:rPr>
        <w:t>On April 22, 2018, the Board of Directors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As of September 30, 2019, 3,644,600 shares were available for grant under the 2018 Plan.</w:t>
      </w:r>
    </w:p>
    <w:p>
      <w:pPr>
        <w:spacing w:after="0" w:line="13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84" w:lineRule="exact"/>
        <w:rPr>
          <w:sz w:val="20"/>
          <w:szCs w:val="20"/>
          <w:color w:val="auto"/>
        </w:rPr>
      </w:pPr>
    </w:p>
    <w:p>
      <w:pPr>
        <w:ind w:left="5" w:right="20" w:firstLine="472"/>
        <w:spacing w:after="0" w:line="260" w:lineRule="auto"/>
        <w:rPr>
          <w:sz w:val="20"/>
          <w:szCs w:val="20"/>
          <w:color w:val="auto"/>
        </w:rPr>
      </w:pPr>
      <w:r>
        <w:rPr>
          <w:rFonts w:ascii="Times New Roman" w:cs="Times New Roman" w:eastAsia="Times New Roman" w:hAnsi="Times New Roman"/>
          <w:sz w:val="17"/>
          <w:szCs w:val="17"/>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for employment pursuant to Nasdaq Listing Rule 5635(c)(4). The 550,000 restricted stock units vest in installments as follows: (i) 137,500 restricted stock units vested upon the first anniversary of the effective date of Dr. Fardis’ employment agreement;</w:t>
      </w:r>
    </w:p>
    <w:p>
      <w:pPr>
        <w:ind w:left="5" w:right="260" w:hanging="5"/>
        <w:spacing w:after="0" w:line="259" w:lineRule="auto"/>
        <w:tabs>
          <w:tab w:leader="none" w:pos="25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275,000 restricted stock units vest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As of September 30, 2019, 34,371 restricted stock units remained unvested.</w:t>
      </w:r>
    </w:p>
    <w:p>
      <w:pPr>
        <w:spacing w:after="0" w:line="148" w:lineRule="exact"/>
        <w:rPr>
          <w:sz w:val="20"/>
          <w:szCs w:val="20"/>
          <w:color w:val="auto"/>
        </w:rPr>
      </w:pPr>
    </w:p>
    <w:p>
      <w:pPr>
        <w:ind w:left="5" w:right="360" w:firstLine="472"/>
        <w:spacing w:after="0" w:line="266" w:lineRule="auto"/>
        <w:rPr>
          <w:sz w:val="20"/>
          <w:szCs w:val="20"/>
          <w:color w:val="auto"/>
        </w:rPr>
      </w:pPr>
      <w:r>
        <w:rPr>
          <w:rFonts w:ascii="Times New Roman" w:cs="Times New Roman" w:eastAsia="Times New Roman" w:hAnsi="Times New Roman"/>
          <w:sz w:val="17"/>
          <w:szCs w:val="17"/>
          <w:color w:val="auto"/>
        </w:rPr>
        <w:t>Stock-based compensation expense for restricted stock units are measured based on the closing fair market value of the Company’s common stock on the date of grant. The stock-based compensation expenses relating to restricted stock units were $0.07 million for the three months ended September 30, 2019 and 2018, and $0.2 million for the nine months ended September 30, 2019 and 2018 recorded as part of general and administrative expenses.</w:t>
      </w:r>
    </w:p>
    <w:p>
      <w:pPr>
        <w:spacing w:after="0" w:line="130" w:lineRule="exact"/>
        <w:rPr>
          <w:sz w:val="20"/>
          <w:szCs w:val="20"/>
          <w:color w:val="auto"/>
        </w:rPr>
      </w:pPr>
    </w:p>
    <w:p>
      <w:pPr>
        <w:ind w:left="5" w:right="640" w:firstLine="472"/>
        <w:spacing w:after="0" w:line="291" w:lineRule="auto"/>
        <w:rPr>
          <w:sz w:val="20"/>
          <w:szCs w:val="20"/>
          <w:color w:val="auto"/>
        </w:rPr>
      </w:pPr>
      <w:r>
        <w:rPr>
          <w:rFonts w:ascii="Times New Roman" w:cs="Times New Roman" w:eastAsia="Times New Roman" w:hAnsi="Times New Roman"/>
          <w:sz w:val="17"/>
          <w:szCs w:val="17"/>
          <w:color w:val="auto"/>
        </w:rPr>
        <w:t>As of September 30, 2019, $0.2 million of total unrecognized compensation costs related to non-vested restricted stock units to be recognized over a weighted average period of 0.67 years.</w:t>
      </w:r>
    </w:p>
    <w:p>
      <w:pPr>
        <w:spacing w:after="0" w:line="3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5"/>
          </w:cols>
          <w:pgMar w:left="915" w:top="639" w:right="89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84" w:lineRule="exact"/>
        <w:rPr>
          <w:sz w:val="20"/>
          <w:szCs w:val="20"/>
          <w:color w:val="auto"/>
        </w:rPr>
      </w:pPr>
    </w:p>
    <w:p>
      <w:pPr>
        <w:ind w:right="160" w:firstLine="472"/>
        <w:spacing w:after="0" w:line="291" w:lineRule="auto"/>
        <w:rPr>
          <w:sz w:val="20"/>
          <w:szCs w:val="20"/>
          <w:color w:val="auto"/>
        </w:rPr>
      </w:pPr>
      <w:r>
        <w:rPr>
          <w:rFonts w:ascii="Times New Roman" w:cs="Times New Roman" w:eastAsia="Times New Roman" w:hAnsi="Times New Roman"/>
          <w:sz w:val="17"/>
          <w:szCs w:val="17"/>
          <w:color w:val="auto"/>
        </w:rPr>
        <w:t>A summary of the status of stock options at September 30, 2019, and the changes during the nine months then ended, is presented in the following table:</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r>
      <w:tr>
        <w:trPr>
          <w:trHeight w:val="207"/>
        </w:trPr>
        <w:tc>
          <w:tcPr>
            <w:tcW w:w="39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0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Intrinsic</w:t>
            </w:r>
          </w:p>
        </w:tc>
      </w:tr>
      <w:tr>
        <w:trPr>
          <w:trHeight w:val="207"/>
        </w:trPr>
        <w:tc>
          <w:tcPr>
            <w:tcW w:w="39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0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Value (in</w:t>
            </w:r>
          </w:p>
        </w:tc>
      </w:tr>
      <w:tr>
        <w:trPr>
          <w:trHeight w:val="228"/>
        </w:trPr>
        <w:tc>
          <w:tcPr>
            <w:tcW w:w="396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Contract Life</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thousands)</w:t>
            </w:r>
          </w:p>
        </w:tc>
      </w:tr>
      <w:tr>
        <w:trPr>
          <w:trHeight w:val="20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6,889,287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0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(514,450)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Expired/Forfeited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(536,915)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0"/>
        </w:trPr>
        <w:tc>
          <w:tcPr>
            <w:tcW w:w="39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Outstanding at September 30,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9,494,722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66,345</w:t>
            </w:r>
          </w:p>
        </w:tc>
      </w:tr>
      <w:tr>
        <w:trPr>
          <w:trHeight w:val="20"/>
        </w:trPr>
        <w:tc>
          <w:tcPr>
            <w:tcW w:w="3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6"/>
        </w:trPr>
        <w:tc>
          <w:tcPr>
            <w:tcW w:w="3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7"/>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 exercisable at September 30, 2019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4,378,622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20" w:firstLine="472"/>
        <w:spacing w:after="0" w:line="266" w:lineRule="auto"/>
        <w:rPr>
          <w:sz w:val="20"/>
          <w:szCs w:val="20"/>
          <w:color w:val="auto"/>
        </w:rPr>
      </w:pPr>
      <w:r>
        <w:rPr>
          <w:rFonts w:ascii="Times New Roman" w:cs="Times New Roman" w:eastAsia="Times New Roman" w:hAnsi="Times New Roman"/>
          <w:sz w:val="17"/>
          <w:szCs w:val="17"/>
          <w:color w:val="auto"/>
        </w:rPr>
        <w:t>The Company recorded stock-based compensation expenses related to options of $6.5 million and $5.4 million for the three months ended September 30, 2019 and 2018, respectively, and $18.7 million and $14.6 million for the nine months ended September 30, 2019 and 2018, respectively. As of September 30, 2019, there was $43.4 million of total unrecognized compensation expense related to the options to be recognized over a weighted average period of 2.05 years.</w:t>
      </w:r>
    </w:p>
    <w:p>
      <w:pPr>
        <w:spacing w:after="0" w:line="143" w:lineRule="exact"/>
        <w:rPr>
          <w:sz w:val="20"/>
          <w:szCs w:val="20"/>
          <w:color w:val="auto"/>
        </w:rPr>
      </w:pPr>
    </w:p>
    <w:p>
      <w:pPr>
        <w:ind w:right="80" w:firstLine="472"/>
        <w:spacing w:after="0" w:line="291" w:lineRule="auto"/>
        <w:rPr>
          <w:sz w:val="20"/>
          <w:szCs w:val="20"/>
          <w:color w:val="auto"/>
        </w:rPr>
      </w:pPr>
      <w:r>
        <w:rPr>
          <w:rFonts w:ascii="Times New Roman" w:cs="Times New Roman" w:eastAsia="Times New Roman" w:hAnsi="Times New Roman"/>
          <w:sz w:val="17"/>
          <w:szCs w:val="17"/>
          <w:color w:val="auto"/>
        </w:rPr>
        <w:t>The weighted average grant date fair value for employee options granted under the Company’s stock option plans during the nine months ended September 30, 2019 and 2018 was $8.90 and $15.26 per option respectively.</w:t>
      </w:r>
    </w:p>
    <w:p>
      <w:pPr>
        <w:spacing w:after="0" w:line="109" w:lineRule="exact"/>
        <w:rPr>
          <w:sz w:val="20"/>
          <w:szCs w:val="20"/>
          <w:color w:val="auto"/>
        </w:rPr>
      </w:pPr>
    </w:p>
    <w:p>
      <w:pPr>
        <w:ind w:right="40" w:firstLine="472"/>
        <w:spacing w:after="0" w:line="266" w:lineRule="auto"/>
        <w:rPr>
          <w:sz w:val="20"/>
          <w:szCs w:val="20"/>
          <w:color w:val="auto"/>
        </w:rPr>
      </w:pPr>
      <w:r>
        <w:rPr>
          <w:rFonts w:ascii="Times New Roman" w:cs="Times New Roman" w:eastAsia="Times New Roman" w:hAnsi="Times New Roman"/>
          <w:sz w:val="17"/>
          <w:szCs w:val="17"/>
          <w:color w:val="auto"/>
        </w:rPr>
        <w:t>The aggregate intrinsic value in the table above reflects the total pre-tax intrinsic value (the difference between the Company’s closing stock price on the last trading day of the quarter ended September 30, 2019 and the exercise price of the options, multiplied by the number of in-the-money stock options) that would have been received by the option holders had all option holders exercised their options on September 30, 2019. The intrinsic value of the Company’s stock options changes based on the closing price of the Company’s common stock.</w:t>
      </w:r>
    </w:p>
    <w:p>
      <w:pPr>
        <w:spacing w:after="0" w:line="130" w:lineRule="exact"/>
        <w:rPr>
          <w:sz w:val="20"/>
          <w:szCs w:val="20"/>
          <w:color w:val="auto"/>
        </w:rPr>
      </w:pPr>
    </w:p>
    <w:p>
      <w:pPr>
        <w:ind w:right="20" w:firstLine="472"/>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assumptions relating to options granted pursuant to the Company’s equity incentive plans for the nine months ended September 30, 2019 and 2018:</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2960" w:type="dxa"/>
            <w:vAlign w:val="bottom"/>
            <w:gridSpan w:val="4"/>
          </w:tcPr>
          <w:p>
            <w:pPr>
              <w:ind w:left="1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8"/>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Assumptions: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6.06 - 6.08</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6.50</w:t>
            </w:r>
          </w:p>
        </w:tc>
      </w:tr>
      <w:tr>
        <w:trPr>
          <w:trHeight w:val="207"/>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70.78%- 71.62%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167.54%</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200.28%</w:t>
            </w:r>
          </w:p>
        </w:tc>
      </w:tr>
      <w:tr>
        <w:trPr>
          <w:trHeight w:val="20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1.87% - 2.59%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2.97%</w:t>
            </w:r>
          </w:p>
        </w:tc>
      </w:tr>
      <w:tr>
        <w:trPr>
          <w:trHeight w:val="226"/>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Pr>
          <w:p>
            <w:pPr>
              <w:spacing w:after="0"/>
              <w:rPr>
                <w:sz w:val="19"/>
                <w:szCs w:val="19"/>
                <w:color w:val="auto"/>
              </w:rPr>
            </w:pPr>
          </w:p>
        </w:tc>
        <w:tc>
          <w:tcPr>
            <w:tcW w:w="1520" w:type="dxa"/>
            <w:vAlign w:val="bottom"/>
            <w:gridSpan w:val="2"/>
          </w:tcPr>
          <w:p>
            <w:pPr>
              <w:jc w:val="right"/>
              <w:ind w:right="554"/>
              <w:spacing w:after="0"/>
              <w:rPr>
                <w:sz w:val="20"/>
                <w:szCs w:val="20"/>
                <w:color w:val="auto"/>
              </w:rPr>
            </w:pPr>
            <w:r>
              <w:rPr>
                <w:rFonts w:ascii="Times New Roman" w:cs="Times New Roman" w:eastAsia="Times New Roman" w:hAnsi="Times New Roman"/>
                <w:sz w:val="17"/>
                <w:szCs w:val="17"/>
                <w:color w:val="auto"/>
              </w:rPr>
              <w:t>0%</w:t>
            </w:r>
          </w:p>
        </w:tc>
      </w:tr>
    </w:tbl>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Expected Dividend Yield —The Company has never paid dividends and does not expect to pay dividends in the foreseeable future.</w:t>
      </w:r>
    </w:p>
    <w:p>
      <w:pPr>
        <w:spacing w:after="0" w:line="193" w:lineRule="exact"/>
        <w:rPr>
          <w:sz w:val="20"/>
          <w:szCs w:val="20"/>
          <w:color w:val="auto"/>
        </w:rPr>
      </w:pPr>
    </w:p>
    <w:p>
      <w:pPr>
        <w:ind w:firstLine="472"/>
        <w:spacing w:after="0" w:line="291" w:lineRule="auto"/>
        <w:rPr>
          <w:sz w:val="20"/>
          <w:szCs w:val="20"/>
          <w:color w:val="auto"/>
        </w:rPr>
      </w:pPr>
      <w:r>
        <w:rPr>
          <w:rFonts w:ascii="Times New Roman" w:cs="Times New Roman" w:eastAsia="Times New Roman" w:hAnsi="Times New Roman"/>
          <w:sz w:val="17"/>
          <w:szCs w:val="17"/>
          <w:color w:val="auto"/>
        </w:rPr>
        <w:t>Risk-Free Interest Rate —The risk-free interest rate was based on the market yield currently available on United States Treasury securities with maturities approximately equal to the option’s expected term.</w:t>
      </w:r>
    </w:p>
    <w:p>
      <w:pPr>
        <w:spacing w:after="0" w:line="109" w:lineRule="exact"/>
        <w:rPr>
          <w:sz w:val="20"/>
          <w:szCs w:val="20"/>
          <w:color w:val="auto"/>
        </w:rPr>
      </w:pPr>
    </w:p>
    <w:p>
      <w:pPr>
        <w:ind w:right="60" w:firstLine="472"/>
        <w:spacing w:after="0" w:line="291" w:lineRule="auto"/>
        <w:rPr>
          <w:sz w:val="20"/>
          <w:szCs w:val="20"/>
          <w:color w:val="auto"/>
        </w:rPr>
      </w:pPr>
      <w:r>
        <w:rPr>
          <w:rFonts w:ascii="Times New Roman" w:cs="Times New Roman" w:eastAsia="Times New Roman" w:hAnsi="Times New Roman"/>
          <w:sz w:val="17"/>
          <w:szCs w:val="17"/>
          <w:color w:val="auto"/>
        </w:rPr>
        <w:t>Expected Term —The expected term of the stock option grants was calculated based on historical exercises, cancellations, and forfeitures of stock options and outstanding option shares.</w:t>
      </w:r>
    </w:p>
    <w:p>
      <w:pPr>
        <w:spacing w:after="0" w:line="109" w:lineRule="exact"/>
        <w:rPr>
          <w:sz w:val="20"/>
          <w:szCs w:val="20"/>
          <w:color w:val="auto"/>
        </w:rPr>
      </w:pPr>
    </w:p>
    <w:p>
      <w:pPr>
        <w:ind w:right="460" w:firstLine="472"/>
        <w:spacing w:after="0" w:line="291" w:lineRule="auto"/>
        <w:rPr>
          <w:sz w:val="20"/>
          <w:szCs w:val="20"/>
          <w:color w:val="auto"/>
        </w:rPr>
      </w:pPr>
      <w:r>
        <w:rPr>
          <w:rFonts w:ascii="Times New Roman" w:cs="Times New Roman" w:eastAsia="Times New Roman" w:hAnsi="Times New Roman"/>
          <w:sz w:val="17"/>
          <w:szCs w:val="17"/>
          <w:color w:val="auto"/>
        </w:rPr>
        <w:t>Expected Volatility —The expected volatility is based on the historical volatility for the Company’s stock over a period equal to the expected terms of the options.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Forfeiture Rate —The Company recognizes forfeitures as they occur.</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Each of the inputs discussed above is subjective and generally requires significant management judgment.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20"/>
          </w:cols>
          <w:pgMar w:left="920" w:top="639" w:right="95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LICENSES AND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National Institutes of Health (“NIH”) and the National Cancer Institute (“NCI”)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Cooperative Research and Development Agreement (“CRADA”)</w:t>
      </w:r>
    </w:p>
    <w:p>
      <w:pPr>
        <w:spacing w:after="0" w:line="182" w:lineRule="exact"/>
        <w:rPr>
          <w:sz w:val="20"/>
          <w:szCs w:val="20"/>
          <w:color w:val="auto"/>
        </w:rPr>
      </w:pPr>
    </w:p>
    <w:p>
      <w:pPr>
        <w:ind w:right="220" w:firstLine="472"/>
        <w:spacing w:after="0" w:line="291" w:lineRule="auto"/>
        <w:rPr>
          <w:sz w:val="20"/>
          <w:szCs w:val="20"/>
          <w:color w:val="auto"/>
        </w:rPr>
      </w:pPr>
      <w:r>
        <w:rPr>
          <w:rFonts w:ascii="Times New Roman" w:cs="Times New Roman" w:eastAsia="Times New Roman" w:hAnsi="Times New Roman"/>
          <w:sz w:val="17"/>
          <w:szCs w:val="17"/>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09" w:lineRule="exact"/>
        <w:rPr>
          <w:sz w:val="20"/>
          <w:szCs w:val="20"/>
          <w:color w:val="auto"/>
        </w:rPr>
      </w:pPr>
    </w:p>
    <w:p>
      <w:pPr>
        <w:ind w:right="420" w:firstLine="472"/>
        <w:spacing w:after="0" w:line="272" w:lineRule="auto"/>
        <w:rPr>
          <w:sz w:val="20"/>
          <w:szCs w:val="20"/>
          <w:color w:val="auto"/>
        </w:rPr>
      </w:pPr>
      <w:r>
        <w:rPr>
          <w:rFonts w:ascii="Times New Roman" w:cs="Times New Roman" w:eastAsia="Times New Roman" w:hAnsi="Times New Roman"/>
          <w:sz w:val="17"/>
          <w:szCs w:val="17"/>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38" w:lineRule="exact"/>
        <w:rPr>
          <w:sz w:val="20"/>
          <w:szCs w:val="20"/>
          <w:color w:val="auto"/>
        </w:rPr>
      </w:pPr>
    </w:p>
    <w:p>
      <w:pPr>
        <w:ind w:firstLine="472"/>
        <w:spacing w:after="0" w:line="263" w:lineRule="auto"/>
        <w:rPr>
          <w:sz w:val="20"/>
          <w:szCs w:val="20"/>
          <w:color w:val="auto"/>
        </w:rPr>
      </w:pPr>
      <w:r>
        <w:rPr>
          <w:rFonts w:ascii="Times New Roman" w:cs="Times New Roman" w:eastAsia="Times New Roman" w:hAnsi="Times New Roman"/>
          <w:sz w:val="17"/>
          <w:szCs w:val="17"/>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33" w:lineRule="exact"/>
        <w:rPr>
          <w:sz w:val="20"/>
          <w:szCs w:val="20"/>
          <w:color w:val="auto"/>
        </w:rPr>
      </w:pPr>
    </w:p>
    <w:p>
      <w:pPr>
        <w:ind w:right="120" w:firstLine="472"/>
        <w:spacing w:after="0" w:line="259" w:lineRule="auto"/>
        <w:rPr>
          <w:sz w:val="20"/>
          <w:szCs w:val="20"/>
          <w:color w:val="auto"/>
        </w:rPr>
      </w:pPr>
      <w:r>
        <w:rPr>
          <w:rFonts w:ascii="Times New Roman" w:cs="Times New Roman" w:eastAsia="Times New Roman" w:hAnsi="Times New Roman"/>
          <w:sz w:val="17"/>
          <w:szCs w:val="17"/>
          <w:color w:val="auto"/>
        </w:rPr>
        <w:t>Pursuant to the terms of the CRADA, the Company is currently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and $0.5 million for the three months ended September 30, 2019 and 2018, and $1.5 million and $1.5 million for the nine months ended September 30, 2019 and 2018 as research and development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Patent License Agreement Related to the Development and Manufacture of TIL</w:t>
      </w:r>
    </w:p>
    <w:p>
      <w:pPr>
        <w:spacing w:after="0" w:line="195" w:lineRule="exact"/>
        <w:rPr>
          <w:sz w:val="20"/>
          <w:szCs w:val="20"/>
          <w:color w:val="auto"/>
        </w:rPr>
      </w:pPr>
    </w:p>
    <w:p>
      <w:pPr>
        <w:ind w:right="80" w:firstLine="472"/>
        <w:spacing w:after="0" w:line="258" w:lineRule="auto"/>
        <w:rPr>
          <w:sz w:val="20"/>
          <w:szCs w:val="20"/>
          <w:color w:val="auto"/>
        </w:rPr>
      </w:pPr>
      <w:r>
        <w:rPr>
          <w:rFonts w:ascii="Times New Roman" w:cs="Times New Roman" w:eastAsia="Times New Roman" w:hAnsi="Times New Roman"/>
          <w:sz w:val="17"/>
          <w:szCs w:val="17"/>
          <w:color w:val="auto"/>
        </w:rPr>
        <w:t>Effective October 5, 2011, the Company entered into an Exclusive Patent License Agreement (the “Patent License Agreement”) with the NIH, an agency of the United States Public Health Service within the Department of Health and Human Services,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w:t>
      </w:r>
    </w:p>
    <w:p>
      <w:pPr>
        <w:spacing w:after="0" w:line="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Exclusive Patent License Agreement Related to TIL Selection</w:t>
      </w:r>
    </w:p>
    <w:p>
      <w:pPr>
        <w:spacing w:after="0" w:line="182" w:lineRule="exact"/>
        <w:rPr>
          <w:sz w:val="20"/>
          <w:szCs w:val="20"/>
          <w:color w:val="auto"/>
        </w:rPr>
      </w:pPr>
    </w:p>
    <w:p>
      <w:pPr>
        <w:ind w:right="80" w:firstLine="472"/>
        <w:spacing w:after="0" w:line="266" w:lineRule="auto"/>
        <w:rPr>
          <w:sz w:val="20"/>
          <w:szCs w:val="20"/>
          <w:color w:val="auto"/>
        </w:rPr>
      </w:pPr>
      <w:r>
        <w:rPr>
          <w:rFonts w:ascii="Times New Roman" w:cs="Times New Roman" w:eastAsia="Times New Roman" w:hAnsi="Times New Roman"/>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43" w:lineRule="exact"/>
        <w:rPr>
          <w:sz w:val="20"/>
          <w:szCs w:val="20"/>
          <w:color w:val="auto"/>
        </w:rPr>
      </w:pPr>
    </w:p>
    <w:p>
      <w:pPr>
        <w:ind w:right="100" w:firstLine="472"/>
        <w:spacing w:after="0" w:line="263" w:lineRule="auto"/>
        <w:rPr>
          <w:sz w:val="20"/>
          <w:szCs w:val="20"/>
          <w:color w:val="auto"/>
        </w:rPr>
      </w:pPr>
      <w:r>
        <w:rPr>
          <w:rFonts w:ascii="Times New Roman" w:cs="Times New Roman" w:eastAsia="Times New Roman" w:hAnsi="Times New Roman"/>
          <w:sz w:val="17"/>
          <w:szCs w:val="17"/>
          <w:color w:val="auto"/>
        </w:rPr>
        <w:t>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96990" cy="16510"/>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 Lee Moffitt Cancer Center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Collaboration and Clinical Grant Agreements with Moffitt</w:t>
      </w:r>
    </w:p>
    <w:p>
      <w:pPr>
        <w:spacing w:after="0" w:line="195" w:lineRule="exact"/>
        <w:rPr>
          <w:sz w:val="20"/>
          <w:szCs w:val="20"/>
          <w:color w:val="auto"/>
        </w:rPr>
      </w:pPr>
    </w:p>
    <w:p>
      <w:pPr>
        <w:ind w:right="20" w:firstLine="472"/>
        <w:spacing w:after="0" w:line="259" w:lineRule="auto"/>
        <w:rPr>
          <w:sz w:val="20"/>
          <w:szCs w:val="20"/>
          <w:color w:val="auto"/>
        </w:rPr>
      </w:pPr>
      <w:r>
        <w:rPr>
          <w:rFonts w:ascii="Times New Roman" w:cs="Times New Roman" w:eastAsia="Times New Roman" w:hAnsi="Times New Roman"/>
          <w:sz w:val="17"/>
          <w:szCs w:val="17"/>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research and development costs of $0.2 million and $0.6 million for the three months ended September 30, 2019 and 2018, respectively, and $0.7 million and $2.2 million for the nine months ended September 30, 2019 and 2018, respectively, in connection with the research collaboration and clinical grant agreements with Moffitt.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Exclusive License Agreements with Moffitt</w:t>
      </w:r>
    </w:p>
    <w:p>
      <w:pPr>
        <w:spacing w:after="0" w:line="182" w:lineRule="exact"/>
        <w:rPr>
          <w:sz w:val="20"/>
          <w:szCs w:val="20"/>
          <w:color w:val="auto"/>
        </w:rPr>
      </w:pPr>
    </w:p>
    <w:p>
      <w:pPr>
        <w:ind w:right="40" w:firstLine="472"/>
        <w:spacing w:after="0" w:line="266" w:lineRule="auto"/>
        <w:rPr>
          <w:sz w:val="20"/>
          <w:szCs w:val="20"/>
          <w:color w:val="auto"/>
        </w:rPr>
      </w:pPr>
      <w:r>
        <w:rPr>
          <w:rFonts w:ascii="Times New Roman" w:cs="Times New Roman" w:eastAsia="Times New Roman" w:hAnsi="Times New Roman"/>
          <w:sz w:val="17"/>
          <w:szCs w:val="17"/>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43" w:lineRule="exact"/>
        <w:rPr>
          <w:sz w:val="20"/>
          <w:szCs w:val="20"/>
          <w:color w:val="auto"/>
        </w:rPr>
      </w:pPr>
    </w:p>
    <w:p>
      <w:pPr>
        <w:ind w:firstLine="472"/>
        <w:spacing w:after="0" w:line="259" w:lineRule="auto"/>
        <w:rPr>
          <w:sz w:val="20"/>
          <w:szCs w:val="20"/>
          <w:color w:val="auto"/>
        </w:rPr>
      </w:pPr>
      <w:r>
        <w:rPr>
          <w:rFonts w:ascii="Times New Roman" w:cs="Times New Roman" w:eastAsia="Times New Roman" w:hAnsi="Times New Roman"/>
          <w:sz w:val="17"/>
          <w:szCs w:val="17"/>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 No expenses were recorded for the First Moffitt License for the three and nine months ended September 30, 2019 and 2018.</w:t>
      </w:r>
    </w:p>
    <w:p>
      <w:pPr>
        <w:spacing w:after="0" w:line="134" w:lineRule="exact"/>
        <w:rPr>
          <w:sz w:val="20"/>
          <w:szCs w:val="20"/>
          <w:color w:val="auto"/>
        </w:rPr>
      </w:pPr>
    </w:p>
    <w:p>
      <w:pPr>
        <w:ind w:right="80" w:firstLine="472"/>
        <w:spacing w:after="0" w:line="266" w:lineRule="auto"/>
        <w:rPr>
          <w:sz w:val="20"/>
          <w:szCs w:val="20"/>
          <w:color w:val="auto"/>
        </w:rPr>
      </w:pPr>
      <w:r>
        <w:rPr>
          <w:rFonts w:ascii="Times New Roman" w:cs="Times New Roman" w:eastAsia="Times New Roman" w:hAnsi="Times New Roman"/>
          <w:sz w:val="17"/>
          <w:szCs w:val="17"/>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The Company continues to develop TIL therapies using 4-1BB agonists in manufacturing in conjunction with M.D. Anderson Cancer Center.</w:t>
      </w:r>
    </w:p>
    <w:p>
      <w:pPr>
        <w:spacing w:after="0" w:line="130" w:lineRule="exact"/>
        <w:rPr>
          <w:sz w:val="20"/>
          <w:szCs w:val="20"/>
          <w:color w:val="auto"/>
        </w:rPr>
      </w:pPr>
    </w:p>
    <w:p>
      <w:pPr>
        <w:ind w:right="180" w:firstLine="472"/>
        <w:spacing w:after="0" w:line="263" w:lineRule="auto"/>
        <w:rPr>
          <w:sz w:val="20"/>
          <w:szCs w:val="20"/>
          <w:color w:val="auto"/>
        </w:rPr>
      </w:pPr>
      <w:r>
        <w:rPr>
          <w:rFonts w:ascii="Times New Roman" w:cs="Times New Roman" w:eastAsia="Times New Roman" w:hAnsi="Times New Roman"/>
          <w:sz w:val="17"/>
          <w:szCs w:val="17"/>
          <w:color w:val="auto"/>
        </w:rPr>
        <w:t>Pursuant to the Second Moffitt License, the Company paid an upfront licensing fee in the amount of $0.1 million in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 The Company recorded $0.01 million and $0.02 million for the three and nine months ended September 30, 2019 as research and development expenses in connection with the Second Moffitt License.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PolyBioCept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PolyBioCept Exclusive and Co-Exclusive License Agreement</w:t>
      </w:r>
    </w:p>
    <w:p>
      <w:pPr>
        <w:spacing w:after="0" w:line="182" w:lineRule="exact"/>
        <w:rPr>
          <w:sz w:val="20"/>
          <w:szCs w:val="20"/>
          <w:color w:val="auto"/>
        </w:rPr>
      </w:pPr>
    </w:p>
    <w:p>
      <w:pPr>
        <w:ind w:right="80" w:firstLine="472"/>
        <w:spacing w:after="0" w:line="260" w:lineRule="auto"/>
        <w:rPr>
          <w:sz w:val="20"/>
          <w:szCs w:val="20"/>
          <w:color w:val="auto"/>
        </w:rPr>
      </w:pPr>
      <w:r>
        <w:rPr>
          <w:rFonts w:ascii="Times New Roman" w:cs="Times New Roman" w:eastAsia="Times New Roman" w:hAnsi="Times New Roman"/>
          <w:sz w:val="17"/>
          <w:szCs w:val="17"/>
          <w:color w:val="auto"/>
        </w:rPr>
        <w:t>On September 14, 2016, the Company entered into an exclusive and co-exclusive license agreement (the “PolyBioCept Agreement”) with PolyBioCept AB, a corporation organized under the laws of Sweden (“PolyBioCept”).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were for use in all cancers and were worldwide in scope, with the exception that the uses in melanoma were not included for certain countries of the former Soviet Union. On June 13, 2019, the Company terminated the PolyBioCept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80" w:firstLine="472"/>
        <w:spacing w:after="0" w:line="272" w:lineRule="auto"/>
        <w:rPr>
          <w:sz w:val="20"/>
          <w:szCs w:val="20"/>
          <w:color w:val="auto"/>
        </w:rPr>
      </w:pPr>
      <w:r>
        <w:rPr>
          <w:rFonts w:ascii="Times New Roman" w:cs="Times New Roman" w:eastAsia="Times New Roman" w:hAnsi="Times New Roman"/>
          <w:sz w:val="17"/>
          <w:szCs w:val="17"/>
          <w:color w:val="auto"/>
        </w:rPr>
        <w:t>The Company paid PolyBioCept a total of $2.5 million as an up-front exclusive license payment. No expense was recorded for the three and nine months ended September 30, 2019 and 2018 in connection with this agreement. The Company believes it does not owe additional amounts to PolyBioCept.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M.D. Anderson Cancer Center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Alliance Agreement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On April 17, 2017, the Company entered into a Strategic Alliance Agreement (the “SAA”) with M.D. Anderson Cancer Center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(“MDACC”) under which the Company and MDACC agreed to conduct clinical and preclinical research studies. The Company agreed in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SAA to provide total funding not to exceed approximately $14.2 million for the performance of the multi-year studies under the SAA. In return,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acquired all rights to inventions resulting from the studies and has been granted a non-exclusive, sub-licensable, royalty-free,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perpetual license to specified background intellectual property of MDACC reasonably necessary to exploit, including the commercialization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thereof. The Company has also been granted certain rights in clinical data generated by MDACC outside of the clinical trials to be performed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SAA. The SAA’s term shall continue in effect until the later of the fourth anniversary of the SAA or the completion or termination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research and receipt by the Company of all deliverables due from MDACC thereunder. In May 2017, the Company made a prepayment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 million under this agreement. The Company recorded $0.7 million and $0.1 million associated with the MDACC SAA for the three months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September 30, 2019 and 2018, respectively, and $2.3 million and $0.2 million for the nine months ended September 30, 2019 and 2018,</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 as research and development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MedImmune</w:t>
      </w:r>
    </w:p>
    <w:p>
      <w:pPr>
        <w:spacing w:after="0" w:line="195" w:lineRule="exact"/>
        <w:rPr>
          <w:sz w:val="20"/>
          <w:szCs w:val="20"/>
          <w:color w:val="auto"/>
        </w:rPr>
      </w:pPr>
    </w:p>
    <w:p>
      <w:pPr>
        <w:ind w:right="80" w:firstLine="472"/>
        <w:spacing w:after="0" w:line="261" w:lineRule="auto"/>
        <w:rPr>
          <w:sz w:val="20"/>
          <w:szCs w:val="20"/>
          <w:color w:val="auto"/>
        </w:rPr>
      </w:pPr>
      <w:r>
        <w:rPr>
          <w:rFonts w:ascii="Times New Roman" w:cs="Times New Roman" w:eastAsia="Times New Roman" w:hAnsi="Times New Roman"/>
          <w:sz w:val="17"/>
          <w:szCs w:val="17"/>
          <w:color w:val="auto"/>
        </w:rPr>
        <w:t>In December 2015, the Company entered into a collaboration agreement (the “MedImmune Agreement”) with MedImmune, the global biologics research and development arm of AstraZeneca (“MedImmune”), to conduct clinical and preclinical research immuno-oncology. Under the MedImmune Agreement, the Company funded and sought to conduct at least one clinical trial combining MedImmune’s PD-L1 inhibitor, durvalumab, with TIL for the treatment of patients. MedImmune supplied durvalumab for the clinical trials. On April 3, 2019, the Company and MedImmune announced that the study was closed because of a changing treatment landscape and a lack of enrollment, and the collaboration agreement was terminated as of April 1, 2019.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WuXi Apptech, Inc. (“WuXi”)</w:t>
      </w:r>
    </w:p>
    <w:p>
      <w:pPr>
        <w:spacing w:after="0" w:line="182" w:lineRule="exact"/>
        <w:rPr>
          <w:sz w:val="20"/>
          <w:szCs w:val="20"/>
          <w:color w:val="auto"/>
        </w:rPr>
      </w:pPr>
    </w:p>
    <w:p>
      <w:pPr>
        <w:ind w:right="20" w:firstLine="472"/>
        <w:spacing w:after="0" w:line="257" w:lineRule="auto"/>
        <w:rPr>
          <w:sz w:val="20"/>
          <w:szCs w:val="20"/>
          <w:color w:val="auto"/>
        </w:rPr>
      </w:pPr>
      <w:r>
        <w:rPr>
          <w:rFonts w:ascii="Times New Roman" w:cs="Times New Roman" w:eastAsia="Times New Roman" w:hAnsi="Times New Roman"/>
          <w:sz w:val="17"/>
          <w:szCs w:val="17"/>
          <w:color w:val="auto"/>
        </w:rPr>
        <w:t>In November 2016, the Company entered into a three-year manufacturing and services agreement (“MSA”) with WuXi AppTech, Inc. (“Wuxi”) pursuant to which WuXi agreed to provide manufacturing and other services. Under the agreement, the Company entered into two statements of work for two cGMP manufacturing suites to be established and operated by WuXi for the Company, two of the suites are expected to be capable of being used for the commercial manufacture of our products. The statements of work for each facility include a fixed component to reserve a dedicated suite and a variable component, mainly labor and materials used during the manufacturing process. The fee payable under the first statement of work for the use of one of the manufacturing suites during the first year of the agreement, including the fees for the necessary personnel, was $2.5 million. The second statement of work, under which WuXi agreed to establish and operate a second, dedicated suite for a late stage/commercial manufacturing cGMP suite requires the Company to pay approximately $5.9 million during the first year of the agreement. The terms of the related statements of work for the first and second dedicated manufacturing suites currently extend to May 2020 and June 2021, respectively. The Company recorded costs associated with agreements with WuXi of $9.2 million and $4.5 million for three months ended September 30, 2019 and 2018 respectively, and $20 million and $10.6 million for the nine months ended September 30, 2019 and 2018, respectively, as research and development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LEGAL PROCEEDINGS</w:t>
      </w:r>
    </w:p>
    <w:p>
      <w:pPr>
        <w:spacing w:after="0" w:line="182" w:lineRule="exact"/>
        <w:rPr>
          <w:sz w:val="20"/>
          <w:szCs w:val="20"/>
          <w:color w:val="auto"/>
        </w:rPr>
      </w:pPr>
    </w:p>
    <w:p>
      <w:pPr>
        <w:ind w:firstLine="472"/>
        <w:spacing w:after="0" w:line="259" w:lineRule="auto"/>
        <w:rPr>
          <w:sz w:val="20"/>
          <w:szCs w:val="20"/>
          <w:color w:val="auto"/>
        </w:rPr>
      </w:pPr>
      <w:r>
        <w:rPr>
          <w:rFonts w:ascii="Times New Roman" w:cs="Times New Roman" w:eastAsia="Times New Roman" w:hAnsi="Times New Roman"/>
          <w:sz w:val="17"/>
          <w:szCs w:val="17"/>
          <w:u w:val="single" w:color="auto"/>
          <w:color w:val="auto"/>
        </w:rPr>
        <w:t>Class Action Lawsuit.</w:t>
      </w:r>
      <w:r>
        <w:rPr>
          <w:rFonts w:ascii="Times New Roman" w:cs="Times New Roman" w:eastAsia="Times New Roman" w:hAnsi="Times New Roman"/>
          <w:sz w:val="17"/>
          <w:szCs w:val="17"/>
          <w:color w:val="auto"/>
        </w:rPr>
        <w:t xml:space="preserve"> On April 10, 2017, the SEC announced settlements with the Company and with other public companies and unrelated parties in the </w:t>
      </w:r>
      <w:r>
        <w:rPr>
          <w:rFonts w:ascii="Times New Roman" w:cs="Times New Roman" w:eastAsia="Times New Roman" w:hAnsi="Times New Roman"/>
          <w:sz w:val="17"/>
          <w:szCs w:val="17"/>
          <w:i w:val="1"/>
          <w:iCs w:val="1"/>
          <w:color w:val="auto"/>
        </w:rPr>
        <w:t>In the Matter of Certain Stock Promotion</w:t>
      </w:r>
      <w:r>
        <w:rPr>
          <w:rFonts w:ascii="Times New Roman" w:cs="Times New Roman" w:eastAsia="Times New Roman" w:hAnsi="Times New Roman"/>
          <w:sz w:val="17"/>
          <w:szCs w:val="17"/>
          <w:color w:val="auto"/>
        </w:rPr>
        <w:t xml:space="preserve"> investigation. The Company’s settlement with the SEC is consistent with its previous disclosures (including in our Annual Report on Form 10-K that the Company filed with the SEC on March 9, 2017). On April 14, 2017, a purported shareholder filed a complaint seeking class action status in the United States District Court, Northern District of California for violations of the federal securities laws (</w:t>
      </w:r>
      <w:r>
        <w:rPr>
          <w:rFonts w:ascii="Times New Roman" w:cs="Times New Roman" w:eastAsia="Times New Roman" w:hAnsi="Times New Roman"/>
          <w:sz w:val="17"/>
          <w:szCs w:val="17"/>
          <w:i w:val="1"/>
          <w:iCs w:val="1"/>
          <w:color w:val="auto"/>
        </w:rPr>
        <w:t>Leonard DeSilvio v. Lion Biotechnologies, Inc., et al.,</w:t>
      </w:r>
      <w:r>
        <w:rPr>
          <w:rFonts w:ascii="Times New Roman" w:cs="Times New Roman" w:eastAsia="Times New Roman" w:hAnsi="Times New Roman"/>
          <w:sz w:val="17"/>
          <w:szCs w:val="17"/>
          <w:color w:val="auto"/>
        </w:rPr>
        <w:t xml:space="preserve"> case no. 3:17cv2086) against the Company and three of its former officers and directors. On April 19, 2017, a second class action complaint </w:t>
      </w:r>
      <w:r>
        <w:rPr>
          <w:rFonts w:ascii="Times New Roman" w:cs="Times New Roman" w:eastAsia="Times New Roman" w:hAnsi="Times New Roman"/>
          <w:sz w:val="17"/>
          <w:szCs w:val="17"/>
          <w:i w:val="1"/>
          <w:iCs w:val="1"/>
          <w:color w:val="auto"/>
        </w:rPr>
        <w:t>(Amra Kuc vs. Lion Biotechnologies, Inc., et al.,</w:t>
      </w:r>
      <w:r>
        <w:rPr>
          <w:rFonts w:ascii="Times New Roman" w:cs="Times New Roman" w:eastAsia="Times New Roman" w:hAnsi="Times New Roman"/>
          <w:sz w:val="17"/>
          <w:szCs w:val="17"/>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the former CEO, and the former investor relations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0"/>
          </w:cols>
          <w:pgMar w:left="920" w:top="639" w:right="93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 xml:space="preserve">firm that were the subject of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investigation. On July 20, 2017, the plaintiff in the </w:t>
      </w:r>
      <w:r>
        <w:rPr>
          <w:rFonts w:ascii="Times New Roman" w:cs="Times New Roman" w:eastAsia="Times New Roman" w:hAnsi="Times New Roman"/>
          <w:sz w:val="17"/>
          <w:szCs w:val="17"/>
          <w:i w:val="1"/>
          <w:iCs w:val="1"/>
          <w:color w:val="auto"/>
        </w:rPr>
        <w:t>Kuc</w:t>
      </w:r>
      <w:r>
        <w:rPr>
          <w:rFonts w:ascii="Times New Roman" w:cs="Times New Roman" w:eastAsia="Times New Roman" w:hAnsi="Times New Roman"/>
          <w:sz w:val="17"/>
          <w:szCs w:val="17"/>
          <w:color w:val="auto"/>
        </w:rPr>
        <w:t xml:space="preserve"> case filed a notice to voluntarily dismiss that case. The court entered an order dismissing the </w:t>
      </w:r>
      <w:r>
        <w:rPr>
          <w:rFonts w:ascii="Times New Roman" w:cs="Times New Roman" w:eastAsia="Times New Roman" w:hAnsi="Times New Roman"/>
          <w:sz w:val="17"/>
          <w:szCs w:val="17"/>
          <w:i w:val="1"/>
          <w:iCs w:val="1"/>
          <w:color w:val="auto"/>
        </w:rPr>
        <w:t>Kuc</w:t>
      </w:r>
      <w:r>
        <w:rPr>
          <w:rFonts w:ascii="Times New Roman" w:cs="Times New Roman" w:eastAsia="Times New Roman" w:hAnsi="Times New Roman"/>
          <w:sz w:val="17"/>
          <w:szCs w:val="17"/>
          <w:color w:val="auto"/>
        </w:rPr>
        <w:t xml:space="preserve"> complaint on July 21, 2017. On July 26, 2017, the court appointed a movant as lead plaintiff. On September 8, 2017, the lead plaintiff filed an amended complaint (</w:t>
      </w:r>
      <w:r>
        <w:rPr>
          <w:rFonts w:ascii="Times New Roman" w:cs="Times New Roman" w:eastAsia="Times New Roman" w:hAnsi="Times New Roman"/>
          <w:sz w:val="17"/>
          <w:szCs w:val="17"/>
          <w:i w:val="1"/>
          <w:iCs w:val="1"/>
          <w:color w:val="auto"/>
        </w:rPr>
        <w:t>Jay Rabkin v. Lion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Biotechnologies, Inc., et al., </w:t>
      </w:r>
      <w:r>
        <w:rPr>
          <w:rFonts w:ascii="Times New Roman" w:cs="Times New Roman" w:eastAsia="Times New Roman" w:hAnsi="Times New Roman"/>
          <w:sz w:val="17"/>
          <w:szCs w:val="17"/>
          <w:color w:val="auto"/>
        </w:rPr>
        <w:t>case no. 3:17-cv-2086) seeking class action status that alleges, among other things, that the defendants violated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federal securities laws by making materially false and misleading statements, or by failing to make certain disclosures, regarding the actions taken by Manish Singh and its former investor relations firm that were the subject of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the Company’s insurance carrier and would result in no loss to the Company.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the Company’s insurance carrier to a settlement fund, awarded attorney’s fees and costs to be paid to plaintiff’s counsel from the settlement fund, approved the plan of allocation for settlement class members, and ordered that the claims against the Company should be dismissed with prejudice. The Company does not expect to incur any costs or expenses in connection with this settlement.</w:t>
      </w:r>
    </w:p>
    <w:p>
      <w:pPr>
        <w:spacing w:after="0" w:line="140" w:lineRule="exact"/>
        <w:rPr>
          <w:sz w:val="20"/>
          <w:szCs w:val="20"/>
          <w:color w:val="auto"/>
        </w:rPr>
      </w:pPr>
    </w:p>
    <w:p>
      <w:pPr>
        <w:ind w:firstLine="472"/>
        <w:spacing w:after="0" w:line="257" w:lineRule="auto"/>
        <w:rPr>
          <w:sz w:val="20"/>
          <w:szCs w:val="20"/>
          <w:color w:val="auto"/>
        </w:rPr>
      </w:pPr>
      <w:r>
        <w:rPr>
          <w:rFonts w:ascii="Times New Roman" w:cs="Times New Roman" w:eastAsia="Times New Roman" w:hAnsi="Times New Roman"/>
          <w:sz w:val="17"/>
          <w:szCs w:val="17"/>
          <w:u w:val="single" w:color="auto"/>
          <w:color w:val="auto"/>
        </w:rPr>
        <w:t>Derivative Lawsuits.</w:t>
      </w:r>
      <w:r>
        <w:rPr>
          <w:rFonts w:ascii="Times New Roman" w:cs="Times New Roman" w:eastAsia="Times New Roman" w:hAnsi="Times New Roman"/>
          <w:sz w:val="17"/>
          <w:szCs w:val="17"/>
          <w:color w:val="auto"/>
        </w:rPr>
        <w:t xml:space="preserve"> On December 15, 2017, a purported stockholder derivative complaint was filed by plaintiff Kevin Fong against the Company, as nominal defendant, and certain of the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Times New Roman" w:cs="Times New Roman" w:eastAsia="Times New Roman" w:hAnsi="Times New Roman"/>
          <w:sz w:val="17"/>
          <w:szCs w:val="17"/>
          <w:i w:val="1"/>
          <w:iCs w:val="1"/>
          <w:color w:val="auto"/>
        </w:rPr>
        <w:t>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Matter of Certain Stock Promotions </w:t>
      </w:r>
      <w:r>
        <w:rPr>
          <w:rFonts w:ascii="Times New Roman" w:cs="Times New Roman" w:eastAsia="Times New Roman" w:hAnsi="Times New Roman"/>
          <w:sz w:val="17"/>
          <w:szCs w:val="17"/>
          <w:color w:val="auto"/>
        </w:rPr>
        <w:t>investigation and our April 10, 2017 settlement thereof, and seeks unspecified damages on behalf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investigation and the Company’s April 10, 2017 settlement thereof, and seeks unspecified damages on behalf of the Company and injunctive relief. On May 1, 2018, the court consolidated this case with the aforementioned purported stockholder derivative case filed by plaintiff Kevin Fong. The Company intends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49" w:lineRule="exact"/>
        <w:rPr>
          <w:sz w:val="20"/>
          <w:szCs w:val="20"/>
          <w:color w:val="auto"/>
        </w:rPr>
      </w:pPr>
    </w:p>
    <w:p>
      <w:pPr>
        <w:ind w:right="20" w:firstLine="472"/>
        <w:spacing w:after="0" w:line="256" w:lineRule="auto"/>
        <w:rPr>
          <w:sz w:val="20"/>
          <w:szCs w:val="20"/>
          <w:color w:val="auto"/>
        </w:rPr>
      </w:pPr>
      <w:r>
        <w:rPr>
          <w:rFonts w:ascii="Times New Roman" w:cs="Times New Roman" w:eastAsia="Times New Roman" w:hAnsi="Times New Roman"/>
          <w:sz w:val="17"/>
          <w:szCs w:val="17"/>
          <w:u w:val="single" w:color="auto"/>
          <w:color w:val="auto"/>
        </w:rPr>
        <w:t>Solomon Capital, LLC.</w:t>
      </w:r>
      <w:r>
        <w:rPr>
          <w:rFonts w:ascii="Times New Roman" w:cs="Times New Roman" w:eastAsia="Times New Roman" w:hAnsi="Times New Roman"/>
          <w:sz w:val="17"/>
          <w:szCs w:val="17"/>
          <w:color w:val="auto"/>
        </w:rPr>
        <w:t xml:space="preserve"> On April 8, 2016, a lawsuit (the “First Solomon Suit”) titled </w:t>
      </w:r>
      <w:r>
        <w:rPr>
          <w:rFonts w:ascii="Times New Roman" w:cs="Times New Roman" w:eastAsia="Times New Roman" w:hAnsi="Times New Roman"/>
          <w:sz w:val="17"/>
          <w:szCs w:val="17"/>
          <w:i w:val="1"/>
          <w:iCs w:val="1"/>
          <w:color w:val="auto"/>
        </w:rPr>
        <w:t>Solomon Capital, LLC, Solomon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401(K) Trust, Solomon Sharbat and Shelhav Raff v. Lion Biotechnologies, Inc. </w:t>
      </w:r>
      <w:r>
        <w:rPr>
          <w:rFonts w:ascii="Times New Roman" w:cs="Times New Roman" w:eastAsia="Times New Roman" w:hAnsi="Times New Roman"/>
          <w:sz w:val="17"/>
          <w:szCs w:val="17"/>
          <w:color w:val="auto"/>
        </w:rPr>
        <w:t>was filed by Solomon Capital, LLC, Solomon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401(k) Trust, Solomon Sharbat and Shelhav Raff (the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Solomon Plaintiffs allege that they should have been able to convert their advances and payments into shares of our common stock in the restructuring that was affected in May 2013. Based on the foregoing, the Solomon Plaintiffs allege causes for breach of contract and unjust enrichment and demand judgment against the Company in an unspecified amount exceeding $1.5 million, plus interest and attorneys’ fees. On June 3, 2016, the Company filed an answer and counterclaims in the lawsuit. In its counterclaims, the Company alleges that the Solomon Plaintiffs misrepresented their qualifications to assist the Company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 On April 19, 2017, the court granted the Solomon Plaintiffs’ counsel’s motion to withdraw from the case. On May 25, 2017, Solomon Plaintiffs filed a notice that they had hired new counsel. On June 7, 2017, the judge presiding over the case recused herself because of a conflict of interest arising from her relationship with the Solomon Plaintiffs’ new attorneys and the case was subsequently assigned to a new judge. On April 20, 2018, the court held a hearing regarding the Solomon Plaintiffs’ motion to dismiss the Company’s amended counterclaims and affirmative defense for fraudulent inducement. On August 15, 2018, the court entered an order granting the Solomon Plaintiffs’ motion and dismissed the Company’s amended counterclaims and eleventh affirmative defense for fraudulent inducement without leave to amend. On September 14, 2018, the Company filed a notice of appeal related to this order, and on November 5, 2018, the Company filed its memorandum of law in support of its appeal of the order dismissing the Company’s amended counterclaims and affirmative defense for fraudulent inducement. On January 2, 2019, the Solomon Plaintiffs filed their memorandum of law in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96990" cy="16510"/>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7"/>
          <w:szCs w:val="17"/>
          <w:color w:val="auto"/>
        </w:rPr>
        <w:t>opposition to the appeal. On January 18, 2019, the Company filed its reply brief in support of its appeal of the order dismissing its amended counterclaims and affirmative defense for fraudulent inducement. On April 4, 2019, the appellate court ordered that the Company’s amended counterclaims and its affirmative defense for fraudulent inducement be reinstated.</w:t>
      </w:r>
    </w:p>
    <w:p>
      <w:pPr>
        <w:spacing w:after="0" w:line="125" w:lineRule="exact"/>
        <w:rPr>
          <w:sz w:val="20"/>
          <w:szCs w:val="20"/>
          <w:color w:val="auto"/>
        </w:rPr>
      </w:pPr>
    </w:p>
    <w:p>
      <w:pPr>
        <w:ind w:right="260" w:firstLine="472"/>
        <w:spacing w:after="0" w:line="260" w:lineRule="auto"/>
        <w:rPr>
          <w:sz w:val="20"/>
          <w:szCs w:val="20"/>
          <w:color w:val="auto"/>
        </w:rPr>
      </w:pPr>
      <w:r>
        <w:rPr>
          <w:rFonts w:ascii="Times New Roman" w:cs="Times New Roman" w:eastAsia="Times New Roman" w:hAnsi="Times New Roman"/>
          <w:sz w:val="17"/>
          <w:szCs w:val="17"/>
          <w:color w:val="auto"/>
        </w:rPr>
        <w:t xml:space="preserve">On September 27, 2019, the Solomon Plaintiffs filed a new lawsuit (through new legal counsel) (the “Second Solomon Suit”), titled </w:t>
      </w:r>
      <w:r>
        <w:rPr>
          <w:rFonts w:ascii="Times New Roman" w:cs="Times New Roman" w:eastAsia="Times New Roman" w:hAnsi="Times New Roman"/>
          <w:sz w:val="17"/>
          <w:szCs w:val="17"/>
          <w:i w:val="1"/>
          <w:iCs w:val="1"/>
          <w:color w:val="auto"/>
        </w:rPr>
        <w:t xml:space="preserve">Solomon Capital, LLC, Solomon Capital 401(K) Trust, Solomon Sharbat and Shelhav Raff v. Iovance Biotherapeutics, Inc., f/k/a/ Lion Biotechnologies Inc. f/k/a/ Genesis Biopharma Inc., and Manish Singh </w:t>
      </w:r>
      <w:r>
        <w:rPr>
          <w:rFonts w:ascii="Times New Roman" w:cs="Times New Roman" w:eastAsia="Times New Roman" w:hAnsi="Times New Roman"/>
          <w:sz w:val="17"/>
          <w:szCs w:val="17"/>
          <w:color w:val="auto"/>
        </w:rPr>
        <w:t>in the Supreme Court of the State of New York, County of New York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(index no. 655667/2019). The Solomon Plaintiffs allege new claims in the Second Solomon Suit based principally on the allegation that they were entitled to fees for introducing investors to the Company.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intends to vigorously defend these complaints and pursue its counterclaims, as applicable.</w:t>
      </w:r>
    </w:p>
    <w:p>
      <w:pPr>
        <w:spacing w:after="0" w:line="178" w:lineRule="exact"/>
        <w:rPr>
          <w:sz w:val="20"/>
          <w:szCs w:val="20"/>
          <w:color w:val="auto"/>
        </w:rPr>
      </w:pPr>
    </w:p>
    <w:p>
      <w:pPr>
        <w:ind w:firstLine="472"/>
        <w:spacing w:after="0" w:line="256" w:lineRule="auto"/>
        <w:rPr>
          <w:sz w:val="20"/>
          <w:szCs w:val="20"/>
          <w:color w:val="auto"/>
        </w:rPr>
      </w:pPr>
      <w:r>
        <w:rPr>
          <w:rFonts w:ascii="Times New Roman" w:cs="Times New Roman" w:eastAsia="Times New Roman" w:hAnsi="Times New Roman"/>
          <w:sz w:val="17"/>
          <w:szCs w:val="17"/>
          <w:u w:val="single" w:color="auto"/>
          <w:color w:val="auto"/>
        </w:rPr>
        <w:t>Litigation Involving Dr. Steven Fischkoff.</w:t>
      </w:r>
      <w:r>
        <w:rPr>
          <w:rFonts w:ascii="Times New Roman" w:cs="Times New Roman" w:eastAsia="Times New Roman" w:hAnsi="Times New Roman"/>
          <w:sz w:val="17"/>
          <w:szCs w:val="17"/>
          <w:color w:val="auto"/>
        </w:rPr>
        <w:t xml:space="preserve"> On June 13, 2017, in an action titled </w:t>
      </w:r>
      <w:r>
        <w:rPr>
          <w:rFonts w:ascii="Times New Roman" w:cs="Times New Roman" w:eastAsia="Times New Roman" w:hAnsi="Times New Roman"/>
          <w:sz w:val="17"/>
          <w:szCs w:val="17"/>
          <w:i w:val="1"/>
          <w:iCs w:val="1"/>
          <w:color w:val="auto"/>
        </w:rPr>
        <w:t>Steven Fischkoff v. Lion Biotechnologies, Inc. and Maria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Fardis</w:t>
      </w:r>
      <w:r>
        <w:rPr>
          <w:rFonts w:ascii="Times New Roman" w:cs="Times New Roman" w:eastAsia="Times New Roman" w:hAnsi="Times New Roman"/>
          <w:sz w:val="17"/>
          <w:szCs w:val="17"/>
          <w:color w:val="auto"/>
        </w:rPr>
        <w:t>, Dr. Steven Fischkoff, its former Vice President and Chief Medical Officer, filed a lawsuit against the Company in the Supreme Court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its materials, and granting expedited discovery. On June 25, 2018, pursuant to a stipulation between the parties, the court entered a permanent injunction prohibiting</w:t>
      </w:r>
    </w:p>
    <w:p>
      <w:pPr>
        <w:spacing w:after="0" w:line="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w:t>
      </w:r>
    </w:p>
    <w:p>
      <w:pPr>
        <w:spacing w:after="0" w:line="133" w:lineRule="exact"/>
        <w:rPr>
          <w:sz w:val="20"/>
          <w:szCs w:val="20"/>
          <w:color w:val="auto"/>
        </w:rPr>
      </w:pPr>
    </w:p>
    <w:p>
      <w:pPr>
        <w:ind w:right="40" w:firstLine="472"/>
        <w:spacing w:after="0" w:line="272" w:lineRule="auto"/>
        <w:rPr>
          <w:sz w:val="20"/>
          <w:szCs w:val="20"/>
          <w:color w:val="auto"/>
        </w:rPr>
      </w:pPr>
      <w:r>
        <w:rPr>
          <w:rFonts w:ascii="Times New Roman" w:cs="Times New Roman" w:eastAsia="Times New Roman" w:hAnsi="Times New Roman"/>
          <w:sz w:val="17"/>
          <w:szCs w:val="17"/>
          <w:color w:val="auto"/>
        </w:rPr>
        <w:t>The Company intends to vigorously defend against Dr. Fischkoff’s lawsuit and pursue the Company’s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38" w:lineRule="exact"/>
        <w:rPr>
          <w:sz w:val="20"/>
          <w:szCs w:val="20"/>
          <w:color w:val="auto"/>
        </w:rPr>
      </w:pPr>
    </w:p>
    <w:p>
      <w:pPr>
        <w:ind w:firstLine="472"/>
        <w:spacing w:after="0" w:line="259" w:lineRule="auto"/>
        <w:rPr>
          <w:sz w:val="20"/>
          <w:szCs w:val="20"/>
          <w:color w:val="auto"/>
        </w:rPr>
      </w:pPr>
      <w:r>
        <w:rPr>
          <w:rFonts w:ascii="Times New Roman" w:cs="Times New Roman" w:eastAsia="Times New Roman" w:hAnsi="Times New Roman"/>
          <w:sz w:val="17"/>
          <w:szCs w:val="17"/>
          <w:u w:val="single" w:color="auto"/>
          <w:color w:val="auto"/>
        </w:rPr>
        <w:t>Other Matters.</w:t>
      </w:r>
      <w:r>
        <w:rPr>
          <w:rFonts w:ascii="Times New Roman" w:cs="Times New Roman" w:eastAsia="Times New Roman" w:hAnsi="Times New Roman"/>
          <w:sz w:val="17"/>
          <w:szCs w:val="17"/>
          <w:color w:val="auto"/>
        </w:rPr>
        <w:t xml:space="preserve"> During the second quarter of 2016, warrants representing 128,500 shares were exercised. The 128,500 shares of common stock had previously been registered for re-sale. However, the Company believes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38" w:lineRule="exact"/>
        <w:rPr>
          <w:sz w:val="20"/>
          <w:szCs w:val="20"/>
          <w:color w:val="auto"/>
        </w:rPr>
      </w:pPr>
    </w:p>
    <w:p>
      <w:pPr>
        <w:ind w:right="80" w:firstLine="472"/>
        <w:spacing w:after="0" w:line="260" w:lineRule="auto"/>
        <w:rPr>
          <w:sz w:val="20"/>
          <w:szCs w:val="20"/>
          <w:color w:val="auto"/>
        </w:rPr>
      </w:pPr>
      <w:r>
        <w:rPr>
          <w:rFonts w:ascii="Times New Roman" w:cs="Times New Roman" w:eastAsia="Times New Roman" w:hAnsi="Times New Roman"/>
          <w:sz w:val="17"/>
          <w:szCs w:val="17"/>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2011 Plan. Before the Company filed the required post-effective amendment, options to purchase 200,000 shares were exercised under the 2011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financial statements.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472"/>
        <w:spacing w:after="0" w:line="261" w:lineRule="auto"/>
        <w:rPr>
          <w:sz w:val="20"/>
          <w:szCs w:val="20"/>
          <w:color w:val="auto"/>
        </w:rPr>
      </w:pPr>
      <w:r>
        <w:rPr>
          <w:rFonts w:ascii="Times New Roman" w:cs="Times New Roman" w:eastAsia="Times New Roman" w:hAnsi="Times New Roman"/>
          <w:sz w:val="17"/>
          <w:szCs w:val="17"/>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LEASES</w:t>
      </w:r>
    </w:p>
    <w:p>
      <w:pPr>
        <w:spacing w:after="0" w:line="195" w:lineRule="exact"/>
        <w:rPr>
          <w:sz w:val="20"/>
          <w:szCs w:val="20"/>
          <w:color w:val="auto"/>
        </w:rPr>
      </w:pPr>
    </w:p>
    <w:p>
      <w:pPr>
        <w:ind w:firstLine="472"/>
        <w:spacing w:after="0" w:line="272" w:lineRule="auto"/>
        <w:rPr>
          <w:sz w:val="20"/>
          <w:szCs w:val="20"/>
          <w:color w:val="auto"/>
        </w:rPr>
      </w:pPr>
      <w:r>
        <w:rPr>
          <w:rFonts w:ascii="Times New Roman" w:cs="Times New Roman" w:eastAsia="Times New Roman" w:hAnsi="Times New Roman"/>
          <w:sz w:val="17"/>
          <w:szCs w:val="17"/>
          <w:color w:val="auto"/>
        </w:rPr>
        <w:t>As described further in “Note 2. Summary of Significant Accounting Policies”, the Company adopted Topic 842 as of January 1, 2019. Prior period amounts have not been adjusted and continue to be reported in accordance with its historic accounting under ASU Topic 840- Leases (Topic 840).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 Leases</w:t>
      </w:r>
    </w:p>
    <w:p>
      <w:pPr>
        <w:spacing w:after="0" w:line="182" w:lineRule="exact"/>
        <w:rPr>
          <w:sz w:val="20"/>
          <w:szCs w:val="20"/>
          <w:color w:val="auto"/>
        </w:rPr>
      </w:pPr>
    </w:p>
    <w:p>
      <w:pPr>
        <w:ind w:firstLine="472"/>
        <w:spacing w:after="0" w:line="260" w:lineRule="auto"/>
        <w:rPr>
          <w:sz w:val="20"/>
          <w:szCs w:val="20"/>
          <w:color w:val="auto"/>
        </w:rPr>
      </w:pPr>
      <w:r>
        <w:rPr>
          <w:rFonts w:ascii="Times New Roman" w:cs="Times New Roman" w:eastAsia="Times New Roman" w:hAnsi="Times New Roman"/>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Tampa Lease</w:t>
      </w:r>
    </w:p>
    <w:p>
      <w:pPr>
        <w:spacing w:after="0" w:line="182" w:lineRule="exact"/>
        <w:rPr>
          <w:sz w:val="20"/>
          <w:szCs w:val="20"/>
          <w:color w:val="auto"/>
        </w:rPr>
      </w:pPr>
    </w:p>
    <w:p>
      <w:pPr>
        <w:ind w:right="20" w:firstLine="472"/>
        <w:spacing w:after="0" w:line="263" w:lineRule="auto"/>
        <w:rPr>
          <w:sz w:val="20"/>
          <w:szCs w:val="20"/>
          <w:color w:val="auto"/>
        </w:rPr>
      </w:pPr>
      <w:r>
        <w:rPr>
          <w:rFonts w:ascii="Times New Roman" w:cs="Times New Roman" w:eastAsia="Times New Roman" w:hAnsi="Times New Roman"/>
          <w:sz w:val="17"/>
          <w:szCs w:val="17"/>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33" w:lineRule="exact"/>
        <w:rPr>
          <w:sz w:val="20"/>
          <w:szCs w:val="20"/>
          <w:color w:val="auto"/>
        </w:rPr>
      </w:pPr>
    </w:p>
    <w:p>
      <w:pPr>
        <w:ind w:right="60" w:firstLine="472"/>
        <w:spacing w:after="0" w:line="266" w:lineRule="auto"/>
        <w:rPr>
          <w:sz w:val="20"/>
          <w:szCs w:val="20"/>
          <w:color w:val="auto"/>
        </w:rPr>
      </w:pPr>
      <w:r>
        <w:rPr>
          <w:rFonts w:ascii="Times New Roman" w:cs="Times New Roman" w:eastAsia="Times New Roman" w:hAnsi="Times New Roman"/>
          <w:sz w:val="17"/>
          <w:szCs w:val="17"/>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The lease expires in December 2019. The Company has notified the landlord of its intent to renew the lease under the existing terms.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San Carlos Lease</w:t>
      </w:r>
    </w:p>
    <w:p>
      <w:pPr>
        <w:spacing w:after="0" w:line="182" w:lineRule="exact"/>
        <w:rPr>
          <w:sz w:val="20"/>
          <w:szCs w:val="20"/>
          <w:color w:val="auto"/>
        </w:rPr>
      </w:pPr>
    </w:p>
    <w:p>
      <w:pPr>
        <w:ind w:right="160" w:firstLine="472"/>
        <w:spacing w:after="0" w:line="291" w:lineRule="auto"/>
        <w:rPr>
          <w:sz w:val="20"/>
          <w:szCs w:val="20"/>
          <w:color w:val="auto"/>
        </w:rPr>
      </w:pPr>
      <w:r>
        <w:rPr>
          <w:rFonts w:ascii="Times New Roman" w:cs="Times New Roman" w:eastAsia="Times New Roman" w:hAnsi="Times New Roman"/>
          <w:sz w:val="17"/>
          <w:szCs w:val="17"/>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09" w:lineRule="exact"/>
        <w:rPr>
          <w:sz w:val="20"/>
          <w:szCs w:val="20"/>
          <w:color w:val="auto"/>
        </w:rPr>
      </w:pPr>
    </w:p>
    <w:p>
      <w:pPr>
        <w:ind w:right="220" w:firstLine="472"/>
        <w:spacing w:after="0" w:line="266" w:lineRule="auto"/>
        <w:rPr>
          <w:sz w:val="20"/>
          <w:szCs w:val="20"/>
          <w:color w:val="auto"/>
        </w:rPr>
      </w:pPr>
      <w:r>
        <w:rPr>
          <w:rFonts w:ascii="Times New Roman" w:cs="Times New Roman" w:eastAsia="Times New Roman" w:hAnsi="Times New Roman"/>
          <w:sz w:val="17"/>
          <w:szCs w:val="17"/>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43" w:lineRule="exact"/>
        <w:rPr>
          <w:sz w:val="20"/>
          <w:szCs w:val="20"/>
          <w:color w:val="auto"/>
        </w:rPr>
      </w:pPr>
    </w:p>
    <w:p>
      <w:pPr>
        <w:ind w:right="100" w:firstLine="472"/>
        <w:spacing w:after="0" w:line="266" w:lineRule="auto"/>
        <w:rPr>
          <w:sz w:val="20"/>
          <w:szCs w:val="20"/>
          <w:color w:val="auto"/>
        </w:rPr>
      </w:pPr>
      <w:r>
        <w:rPr>
          <w:rFonts w:ascii="Times New Roman" w:cs="Times New Roman" w:eastAsia="Times New Roman" w:hAnsi="Times New Roman"/>
          <w:sz w:val="17"/>
          <w:szCs w:val="17"/>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30" w:lineRule="exact"/>
        <w:rPr>
          <w:sz w:val="20"/>
          <w:szCs w:val="20"/>
          <w:color w:val="auto"/>
        </w:rPr>
      </w:pPr>
    </w:p>
    <w:p>
      <w:pPr>
        <w:ind w:right="160" w:firstLine="472"/>
        <w:spacing w:after="0" w:line="272" w:lineRule="auto"/>
        <w:rPr>
          <w:sz w:val="20"/>
          <w:szCs w:val="20"/>
          <w:color w:val="auto"/>
        </w:rPr>
      </w:pPr>
      <w:r>
        <w:rPr>
          <w:rFonts w:ascii="Times New Roman" w:cs="Times New Roman" w:eastAsia="Times New Roman" w:hAnsi="Times New Roman"/>
          <w:sz w:val="17"/>
          <w:szCs w:val="17"/>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0"/>
          </w:cols>
          <w:pgMar w:left="920" w:top="639" w:right="939"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York Lease</w:t>
      </w:r>
    </w:p>
    <w:p>
      <w:pPr>
        <w:spacing w:after="0" w:line="195" w:lineRule="exact"/>
        <w:rPr>
          <w:sz w:val="20"/>
          <w:szCs w:val="20"/>
          <w:color w:val="auto"/>
        </w:rPr>
      </w:pPr>
    </w:p>
    <w:p>
      <w:pPr>
        <w:ind w:right="140" w:firstLine="472"/>
        <w:spacing w:after="0" w:line="260" w:lineRule="auto"/>
        <w:rPr>
          <w:sz w:val="20"/>
          <w:szCs w:val="20"/>
          <w:color w:val="auto"/>
        </w:rPr>
      </w:pPr>
      <w:r>
        <w:rPr>
          <w:rFonts w:ascii="Times New Roman" w:cs="Times New Roman" w:eastAsia="Times New Roman" w:hAnsi="Times New Roman"/>
          <w:sz w:val="17"/>
          <w:szCs w:val="17"/>
          <w:color w:val="auto"/>
        </w:rPr>
        <w:t>The Company leased office space in New York for a monthly rental of approximately $18,000 a month from January 2017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 agreement to extend the lease term to January 31, 2020 for approximately $4,000 a month. On October 24, 2019, the Company entered into an agreement to extend the lease term to April 30, 2020 for approximately $4,000 a month.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Philadelphia Office Lease</w:t>
      </w:r>
    </w:p>
    <w:p>
      <w:pPr>
        <w:spacing w:after="0" w:line="182" w:lineRule="exact"/>
        <w:rPr>
          <w:sz w:val="20"/>
          <w:szCs w:val="20"/>
          <w:color w:val="auto"/>
        </w:rPr>
      </w:pPr>
    </w:p>
    <w:p>
      <w:pPr>
        <w:ind w:right="380" w:firstLine="472"/>
        <w:spacing w:after="0" w:line="272" w:lineRule="auto"/>
        <w:rPr>
          <w:sz w:val="20"/>
          <w:szCs w:val="20"/>
          <w:color w:val="auto"/>
        </w:rPr>
      </w:pPr>
      <w:r>
        <w:rPr>
          <w:rFonts w:ascii="Times New Roman" w:cs="Times New Roman" w:eastAsia="Times New Roman" w:hAnsi="Times New Roman"/>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Commercial Manufacturing Facility Agreement</w:t>
      </w:r>
    </w:p>
    <w:p>
      <w:pPr>
        <w:spacing w:after="0" w:line="182" w:lineRule="exact"/>
        <w:rPr>
          <w:sz w:val="20"/>
          <w:szCs w:val="20"/>
          <w:color w:val="auto"/>
        </w:rPr>
      </w:pPr>
    </w:p>
    <w:p>
      <w:pPr>
        <w:ind w:firstLine="472"/>
        <w:spacing w:after="0" w:line="257" w:lineRule="auto"/>
        <w:rPr>
          <w:sz w:val="20"/>
          <w:szCs w:val="20"/>
          <w:color w:val="auto"/>
        </w:rPr>
      </w:pPr>
      <w:r>
        <w:rPr>
          <w:rFonts w:ascii="Times New Roman" w:cs="Times New Roman" w:eastAsia="Times New Roman" w:hAnsi="Times New Roman"/>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will lease approximately 136,000 rentable square feet of space in a building to be located at 300 Rouse Boulevard, Philadelphia, Pennsylvania (the “Premises”). The commercial manufacturing facility is expected to be constructed in two phases: Phase I-A, the construction of the commercial manufacturing facility, with approximately 66,000 rentable square feet of space; and Phase I-B, the construction of offices and laboratories, with approximately 70,000 rentable square feet of space. The Commercial Manufacturing Facility Lease is for a term of 242 months, commencing on the earlier of (i) the date on which the Company occupies any portion of the Premises for the normal operation of its business or (ii) the date that is the later of (A) one hundred sixty (160) days after the Phase I-A substantial completion date, currently anticipated to be July 16, 2020, or (B) the Phase I-B Substantial Completion Date (the “Commencement Date”). The Commencement Date shall be extended by one day for each day of landlord delay, net of any tenant delay, as defined in the Lease.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w:t>
      </w:r>
    </w:p>
    <w:p>
      <w:pPr>
        <w:spacing w:after="0" w:line="140" w:lineRule="exact"/>
        <w:rPr>
          <w:sz w:val="20"/>
          <w:szCs w:val="20"/>
          <w:color w:val="auto"/>
        </w:rPr>
      </w:pPr>
    </w:p>
    <w:p>
      <w:pPr>
        <w:ind w:right="60" w:firstLine="515"/>
        <w:spacing w:after="0" w:line="266" w:lineRule="auto"/>
        <w:rPr>
          <w:sz w:val="20"/>
          <w:szCs w:val="20"/>
          <w:color w:val="auto"/>
        </w:rPr>
      </w:pPr>
      <w:r>
        <w:rPr>
          <w:rFonts w:ascii="Times New Roman" w:cs="Times New Roman" w:eastAsia="Times New Roman" w:hAnsi="Times New Roman"/>
          <w:sz w:val="17"/>
          <w:szCs w:val="17"/>
          <w:color w:val="auto"/>
        </w:rPr>
        <w:t>Beginning on the Commencement Date, the Company’s monthly base rent under the Lease will be approximately $320,000, subject to an annual increase of 2% for the first ten years, and an annual increase of the greater of 2% or 75% of the average ten-year consumer price index. Beginning in 2020, the Company will be responsible for paying operating expenses, which are expected to be approximately $53,000 per month in 2020.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Contracts</w:t>
      </w:r>
    </w:p>
    <w:p>
      <w:pPr>
        <w:spacing w:after="0" w:line="182" w:lineRule="exact"/>
        <w:rPr>
          <w:sz w:val="20"/>
          <w:szCs w:val="20"/>
          <w:color w:val="auto"/>
        </w:rPr>
      </w:pPr>
    </w:p>
    <w:p>
      <w:pPr>
        <w:ind w:firstLine="472"/>
        <w:spacing w:after="0" w:line="257" w:lineRule="auto"/>
        <w:rPr>
          <w:sz w:val="20"/>
          <w:szCs w:val="20"/>
          <w:color w:val="auto"/>
        </w:rPr>
      </w:pPr>
      <w:r>
        <w:rPr>
          <w:rFonts w:ascii="Times New Roman" w:cs="Times New Roman" w:eastAsia="Times New Roman" w:hAnsi="Times New Roman"/>
          <w:sz w:val="17"/>
          <w:szCs w:val="17"/>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the current lease guidance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25" w:lineRule="exact"/>
        <w:rPr>
          <w:sz w:val="20"/>
          <w:szCs w:val="20"/>
          <w:color w:val="auto"/>
        </w:rPr>
      </w:pPr>
    </w:p>
    <w:p>
      <w:pPr>
        <w:ind w:right="20" w:firstLine="472"/>
        <w:spacing w:after="0" w:line="260" w:lineRule="auto"/>
        <w:rPr>
          <w:sz w:val="20"/>
          <w:szCs w:val="20"/>
          <w:color w:val="auto"/>
        </w:rPr>
      </w:pPr>
      <w:r>
        <w:rPr>
          <w:rFonts w:ascii="Times New Roman" w:cs="Times New Roman" w:eastAsia="Times New Roman" w:hAnsi="Times New Roman"/>
          <w:sz w:val="17"/>
          <w:szCs w:val="17"/>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49" w:lineRule="exact"/>
        <w:rPr>
          <w:sz w:val="20"/>
          <w:szCs w:val="20"/>
          <w:color w:val="auto"/>
        </w:rPr>
      </w:pPr>
    </w:p>
    <w:p>
      <w:pPr>
        <w:jc w:val="both"/>
        <w:ind w:right="260" w:firstLine="472"/>
        <w:spacing w:after="0" w:line="272" w:lineRule="auto"/>
        <w:rPr>
          <w:sz w:val="20"/>
          <w:szCs w:val="20"/>
          <w:color w:val="auto"/>
        </w:rPr>
      </w:pPr>
      <w:r>
        <w:rPr>
          <w:rFonts w:ascii="Times New Roman" w:cs="Times New Roman" w:eastAsia="Times New Roman" w:hAnsi="Times New Roman"/>
          <w:sz w:val="17"/>
          <w:szCs w:val="17"/>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balance sheet classification of the Company’s right-of-use asset and lease liabilities was as follows: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2019</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94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portion included in current liabilities</w:t>
            </w: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Long-term portion included in non-current liabilities</w:t>
            </w:r>
          </w:p>
        </w:tc>
        <w:tc>
          <w:tcPr>
            <w:tcW w:w="13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6,017</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20" w:firstLine="472"/>
        <w:spacing w:after="0" w:line="291" w:lineRule="auto"/>
        <w:rPr>
          <w:sz w:val="20"/>
          <w:szCs w:val="20"/>
          <w:color w:val="auto"/>
        </w:rPr>
      </w:pPr>
      <w:r>
        <w:rPr>
          <w:rFonts w:ascii="Times New Roman" w:cs="Times New Roman" w:eastAsia="Times New Roman" w:hAnsi="Times New Roman"/>
          <w:sz w:val="17"/>
          <w:szCs w:val="17"/>
          <w:color w:val="auto"/>
        </w:rPr>
        <w:t>The components of lease expenses, which were included in Total expenses in the Company’s consolidated statement of operations, were as follows:</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For the Three Months</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Nine Months</w:t>
            </w:r>
          </w:p>
        </w:tc>
      </w:tr>
      <w:tr>
        <w:trPr>
          <w:trHeight w:val="207"/>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00" w:type="dxa"/>
            <w:vAlign w:val="bottom"/>
          </w:tcPr>
          <w:p>
            <w:pPr>
              <w:spacing w:after="0"/>
              <w:rPr>
                <w:sz w:val="18"/>
                <w:szCs w:val="18"/>
                <w:color w:val="auto"/>
              </w:rPr>
            </w:pPr>
          </w:p>
        </w:tc>
        <w:tc>
          <w:tcPr>
            <w:tcW w:w="15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28"/>
        </w:trPr>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 2019</w:t>
            </w:r>
          </w:p>
        </w:tc>
        <w:tc>
          <w:tcPr>
            <w:tcW w:w="100" w:type="dxa"/>
            <w:vAlign w:val="bottom"/>
          </w:tcPr>
          <w:p>
            <w:pPr>
              <w:spacing w:after="0"/>
              <w:rPr>
                <w:sz w:val="19"/>
                <w:szCs w:val="19"/>
                <w:color w:val="auto"/>
              </w:rPr>
            </w:pPr>
          </w:p>
        </w:tc>
        <w:tc>
          <w:tcPr>
            <w:tcW w:w="15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September 30, 2019</w:t>
            </w:r>
          </w:p>
        </w:tc>
      </w:tr>
      <w:tr>
        <w:trPr>
          <w:trHeight w:val="200"/>
        </w:trPr>
        <w:tc>
          <w:tcPr>
            <w:tcW w:w="4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w:t>
            </w:r>
          </w:p>
        </w:tc>
      </w:tr>
      <w:tr>
        <w:trPr>
          <w:trHeight w:val="207"/>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3,908</w:t>
            </w: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0"/>
        </w:trPr>
        <w:tc>
          <w:tcPr>
            <w:tcW w:w="4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lease 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4,195</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9,448</w:t>
            </w: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40" w:firstLine="472"/>
        <w:spacing w:after="0" w:line="291" w:lineRule="auto"/>
        <w:rPr>
          <w:sz w:val="20"/>
          <w:szCs w:val="20"/>
          <w:color w:val="auto"/>
        </w:rPr>
      </w:pPr>
      <w:r>
        <w:rPr>
          <w:rFonts w:ascii="Times New Roman" w:cs="Times New Roman" w:eastAsia="Times New Roman" w:hAnsi="Times New Roman"/>
          <w:sz w:val="17"/>
          <w:szCs w:val="17"/>
          <w:color w:val="auto"/>
        </w:rPr>
        <w:t>Variable lease cost is determined based on performance or usage in accordance with the contractual agreements, and not based on an index or rate.</w:t>
      </w:r>
    </w:p>
    <w:p>
      <w:pPr>
        <w:spacing w:after="0" w:line="122" w:lineRule="exact"/>
        <w:rPr>
          <w:sz w:val="20"/>
          <w:szCs w:val="20"/>
          <w:color w:val="auto"/>
        </w:rPr>
      </w:pPr>
    </w:p>
    <w:p>
      <w:pPr>
        <w:ind w:firstLine="472"/>
        <w:spacing w:after="0" w:line="260"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for the three and nine months ended September 30, 2019 was $2.5 million and $5.9 million, respectively, and were included in Net cash used by operating activities in its consolidated statement of cash flows. Upon the adoption of Topic 842 on January 1, 2019, the Company increased noncash balances of operating lease right-of-use assets and operating lease liabilities by $10.4 million and $10.7 million, respectively. The Company additionally increased noncash balance of operating lease right-of-use assets by $4.5 million and operating lease liability by $5.0 million for the three months ended September 30, 2019, and operating lease right-of-use assets by $8.8 million and operating lease liability by $9.3 million for the nine months ended September 30, 2019 as a result of lease modifications and additional lease agreements entered by the Company.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96990" cy="1651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27" w:name="page28"/>
    <w:bookmarkEnd w:id="27"/>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2019, the maturities of the Company’s operating lease liabilities were as follows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CMO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Facility</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embedded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8"/>
        </w:trPr>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2020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8,521</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5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lease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14,655</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Less:  Present value adjustment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00"/>
        </w:trPr>
        <w:tc>
          <w:tcPr>
            <w:tcW w:w="54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14,387</w:t>
            </w: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60" w:firstLine="472"/>
        <w:spacing w:after="0" w:line="262" w:lineRule="auto"/>
        <w:rPr>
          <w:sz w:val="20"/>
          <w:szCs w:val="20"/>
          <w:color w:val="auto"/>
        </w:rPr>
      </w:pPr>
      <w:r>
        <w:rPr>
          <w:rFonts w:ascii="Times New Roman" w:cs="Times New Roman" w:eastAsia="Times New Roman" w:hAnsi="Times New Roman"/>
          <w:sz w:val="17"/>
          <w:szCs w:val="17"/>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modifications. As of September 30, 2019, the weighted average remaining lease term is 1.74 years and the weighted average discount rate used to determine the operating lease liabilities was 7.9%. As of September 30, 2019, we have a finance lease for the commercial manufacturing facility that has not yet commenced. This finance lease will commence in 2020 with a lease term of 20 years.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Disclosures related to periods prior to adoption of Topic 842</w:t>
      </w:r>
    </w:p>
    <w:p>
      <w:pPr>
        <w:spacing w:after="0" w:line="197" w:lineRule="exact"/>
        <w:rPr>
          <w:sz w:val="20"/>
          <w:szCs w:val="20"/>
          <w:color w:val="auto"/>
        </w:rPr>
      </w:pPr>
    </w:p>
    <w:p>
      <w:pPr>
        <w:ind w:firstLine="472"/>
        <w:spacing w:after="0" w:line="291" w:lineRule="auto"/>
        <w:rPr>
          <w:sz w:val="20"/>
          <w:szCs w:val="20"/>
          <w:color w:val="auto"/>
        </w:rPr>
      </w:pPr>
      <w:r>
        <w:rPr>
          <w:rFonts w:ascii="Times New Roman" w:cs="Times New Roman" w:eastAsia="Times New Roman" w:hAnsi="Times New Roman"/>
          <w:sz w:val="17"/>
          <w:szCs w:val="17"/>
          <w:color w:val="auto"/>
        </w:rPr>
        <w:t>As required, the following disclosure is provided for periods prior to adoption. Minimum lease commitments as of December 31, 2018 that have initial or remaining lease terms in excess of one year are as follows:</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CMO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Facility</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embedded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8"/>
        </w:trPr>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4,316</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2020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6,514</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5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lease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12,948</w:t>
            </w: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Less: Present value adjustment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(349)</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r>
      <w:tr>
        <w:trPr>
          <w:trHeight w:val="200"/>
        </w:trPr>
        <w:tc>
          <w:tcPr>
            <w:tcW w:w="54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12,097</w:t>
            </w: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RELATED PARTY TRANSACTIONS</w:t>
      </w:r>
    </w:p>
    <w:p>
      <w:pPr>
        <w:spacing w:after="0" w:line="182" w:lineRule="exact"/>
        <w:rPr>
          <w:sz w:val="20"/>
          <w:szCs w:val="20"/>
          <w:color w:val="auto"/>
        </w:rPr>
      </w:pPr>
    </w:p>
    <w:p>
      <w:pPr>
        <w:ind w:right="20" w:firstLine="472"/>
        <w:spacing w:after="0" w:line="266" w:lineRule="auto"/>
        <w:rPr>
          <w:sz w:val="20"/>
          <w:szCs w:val="20"/>
          <w:color w:val="auto"/>
        </w:rPr>
      </w:pPr>
      <w:r>
        <w:rPr>
          <w:rFonts w:ascii="Times New Roman" w:cs="Times New Roman" w:eastAsia="Times New Roman" w:hAnsi="Times New Roman"/>
          <w:sz w:val="17"/>
          <w:szCs w:val="17"/>
          <w:color w:val="auto"/>
        </w:rPr>
        <w:t>A former member of the Company’s Board of Directors was an attorney at a law firm, TroyGould PC, that rendered legal services to the Company during the period of his directorship until June 6, 2018, but did not provide legal services to the Company himself during that period. The Company paid TroyGould PC $0.1 million and $0.1 million for the three months ended September 30, 2019 and 2018, respectively, and $0.3 million and $0.4 million for the nine months ended September 30, 2019 and 2018, respectively.</w:t>
      </w:r>
    </w:p>
    <w:p>
      <w:pPr>
        <w:spacing w:after="0" w:line="130" w:lineRule="exact"/>
        <w:rPr>
          <w:sz w:val="20"/>
          <w:szCs w:val="20"/>
          <w:color w:val="auto"/>
        </w:rPr>
      </w:pPr>
    </w:p>
    <w:p>
      <w:pPr>
        <w:ind w:right="40" w:firstLine="472"/>
        <w:spacing w:after="0" w:line="259" w:lineRule="auto"/>
        <w:rPr>
          <w:sz w:val="20"/>
          <w:szCs w:val="20"/>
          <w:color w:val="auto"/>
        </w:rPr>
      </w:pPr>
      <w:r>
        <w:rPr>
          <w:rFonts w:ascii="Times New Roman" w:cs="Times New Roman" w:eastAsia="Times New Roman" w:hAnsi="Times New Roman"/>
          <w:sz w:val="17"/>
          <w:szCs w:val="17"/>
          <w:color w:val="auto"/>
        </w:rPr>
        <w:t>On September 14, 2017, the Company entered into a three-year consulting agreement with Iain Dukes, D. Phil, the Chairman of the Board of Directors.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7"/>
          <w:szCs w:val="17"/>
          <w:color w:val="auto"/>
        </w:rPr>
        <w:t>recognized $0.1 million and $0.4 million in stock-based compensation expense related to this consulting agreement during the three months ended September 30, 2019 and 2018, respectively and $0.3 million and $1.0 million for the months ended September 30, 2019 and 2018, respectively. In addition, in connection with the adoption of ASC 2018-07, the Company recognized $0.3 million to retained earnings as of January 1, 2019.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SUBSEQUENT EVENTS</w:t>
      </w:r>
    </w:p>
    <w:p>
      <w:pPr>
        <w:spacing w:after="0" w:line="221" w:lineRule="exact"/>
        <w:rPr>
          <w:sz w:val="20"/>
          <w:szCs w:val="20"/>
          <w:color w:val="auto"/>
        </w:rPr>
      </w:pPr>
    </w:p>
    <w:p>
      <w:pPr>
        <w:ind w:firstLine="472"/>
        <w:spacing w:after="0" w:line="291" w:lineRule="auto"/>
        <w:rPr>
          <w:sz w:val="20"/>
          <w:szCs w:val="20"/>
          <w:color w:val="auto"/>
        </w:rPr>
      </w:pPr>
      <w:r>
        <w:rPr>
          <w:rFonts w:ascii="Times New Roman" w:cs="Times New Roman" w:eastAsia="Times New Roman" w:hAnsi="Times New Roman"/>
          <w:sz w:val="17"/>
          <w:szCs w:val="17"/>
          <w:color w:val="auto"/>
        </w:rPr>
        <w:t>On October 24, 2019, the Company entered into an agreement to extend the lease term for the office space in New York to April 30, 2020 for approximately $4,000 a month. See Note 9 for details.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96990" cy="16510"/>
                    </a:xfrm>
                    <a:prstGeom prst="rect">
                      <a:avLst/>
                    </a:prstGeom>
                    <a:noFill/>
                  </pic:spPr>
                </pic:pic>
              </a:graphicData>
            </a:graphic>
          </wp:anchor>
        </w:drawing>
      </w:r>
    </w:p>
    <w:p>
      <w:pPr>
        <w:sectPr>
          <w:pgSz w:w="11900" w:h="16838" w:orient="portrait"/>
          <w:cols w:equalWidth="0" w:num="1">
            <w:col w:w="9980"/>
          </w:cols>
          <w:pgMar w:left="920" w:top="639" w:right="99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9" w:lineRule="exact"/>
        <w:rPr>
          <w:sz w:val="20"/>
          <w:szCs w:val="20"/>
          <w:color w:val="auto"/>
        </w:rPr>
      </w:pPr>
    </w:p>
    <w:p>
      <w:pPr>
        <w:ind w:firstLine="472"/>
        <w:spacing w:after="0" w:line="257" w:lineRule="auto"/>
        <w:rPr>
          <w:sz w:val="20"/>
          <w:szCs w:val="20"/>
          <w:color w:val="auto"/>
        </w:rPr>
      </w:pPr>
      <w:r>
        <w:rPr>
          <w:rFonts w:ascii="Times New Roman" w:cs="Times New Roman" w:eastAsia="Times New Roman" w:hAnsi="Times New Roman"/>
          <w:sz w:val="17"/>
          <w:szCs w:val="17"/>
          <w:i w:val="1"/>
          <w:iCs w:val="1"/>
          <w:color w:val="auto"/>
        </w:rPr>
        <w:t>The management’s discussion and analysis of financial condition as of September 30, 2019 and results of operations for the three and nine months ended September 30, 2019, should be read in conjunction with management’s discussion and analysis of financial condition and results of operations included in our Annual Report on Form 10-K for the year ended December 31, 2018, which was filed with the Securities and Exchange Commission, or SEC, on February 28, 2019.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and other reports we file with the SEC.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3" w:lineRule="exact"/>
        <w:rPr>
          <w:sz w:val="20"/>
          <w:szCs w:val="20"/>
          <w:color w:val="auto"/>
        </w:rPr>
      </w:pPr>
    </w:p>
    <w:p>
      <w:pPr>
        <w:ind w:right="80" w:firstLine="472"/>
        <w:spacing w:after="0" w:line="259"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 platform technology that has been licensed from National Cancer Institute (NCI) primarily based on data in metastatic melanoma and metastatic and advanced cervical cancer. We have optimized the manufacturing process for TIL to a shorter process known as Gen 2, which yields a cryopreserved TIL product. This proprietary and scalable manufacturing method is being further investigated in multiple indications. Our lead product candidates include lifileucel for metastatic melanoma and LN-145 for advanced cervical cancer. Both product candidates are autologous adoptive cell therapies utilizing TIL. In addition to metastatic melanoma and advanced cervical cancer, we are investigating the effectiveness and safety of TIL therapy for the treatment of squamous cell carcinoma of the head and neck and metastatic non-small cell lung cancer through our sponsored trials, as well as other oncology indications through collaborations.</w:t>
      </w:r>
    </w:p>
    <w:p>
      <w:pPr>
        <w:spacing w:after="0" w:line="173" w:lineRule="exact"/>
        <w:rPr>
          <w:sz w:val="20"/>
          <w:szCs w:val="20"/>
          <w:color w:val="auto"/>
        </w:rPr>
      </w:pPr>
    </w:p>
    <w:p>
      <w:pPr>
        <w:ind w:right="20" w:firstLine="466"/>
        <w:spacing w:after="0" w:line="257" w:lineRule="auto"/>
        <w:rPr>
          <w:sz w:val="20"/>
          <w:szCs w:val="20"/>
          <w:color w:val="auto"/>
        </w:rPr>
      </w:pPr>
      <w:r>
        <w:rPr>
          <w:rFonts w:ascii="Times New Roman" w:cs="Times New Roman" w:eastAsia="Times New Roman" w:hAnsi="Times New Roman"/>
          <w:sz w:val="17"/>
          <w:szCs w:val="17"/>
          <w:color w:val="auto"/>
        </w:rPr>
        <w:t>We are conducting an on-going Phase 2 clinical trial, C-144-01, of our lead product candidate, lifileucel, for the treatment of metastatic melanoma. This multicenter pivotal trial is enrolling patients with melanoma whose disease has progressed following treatment with at least one systemic therapy, including a PD-1 inhibitor and if BRAF mutated, a BRAF inhibitor, or a combination of BRAF and MEK inhibitors (National Clinical Trial identification number NCT02360579). Cohort 4 of the C-144-01 clinical trial is a single-arm cohort intended to be used for the registration of lifileucel. The C-144-01 trial uses our proprietary Generation 2, or Gen 2, manufacturing process. We completed and closed enrollment of patients into Cohort 2 of the C-144-01 trial in 2018. We announced that the first patient was dosed in Cohort 4 of this trial in March 2019. Cohort 4 is being enrolled with a prospective definition of objective response rate, or ORR, read out by an Independent Review Committee, or IRC, as the primary endpoint based on our interpretation of discussions with the U.S. Food and Drug Administration, or FDA. FDA also acknowledged the potential acceptability of single-arm data from Cohort 4 for registration. In October 2018, we announced that lifileucel had received a Regenerative Medicine Advanced Therapy, or RMAT, designation from the FDA. Updated results from Cohort 2 of the C-144-01 clinical trial were reported at the American Society of Clinical Oncology, or ASCO, annual meeting on June 1, 2019. In 66 patients with metastatic melanoma, treatment with lifileucel resulted in an ORR of 38%, with 2 complete responses and 23 partial responses. The disease control rate, or DCR, was 80%. Patients were heavily pretreated and had a mean of 3.3 prior therapies. The median duration of response, or DOR, had not been reached. The median follow-up was 8.8 months. The adverse event profile was generally consistent with the underlying advanced disease and the profile of the lymphodepletion and IL-2 regimens.</w:t>
      </w:r>
    </w:p>
    <w:p>
      <w:pPr>
        <w:spacing w:after="0" w:line="175" w:lineRule="exact"/>
        <w:rPr>
          <w:sz w:val="20"/>
          <w:szCs w:val="20"/>
          <w:color w:val="auto"/>
        </w:rPr>
      </w:pPr>
    </w:p>
    <w:p>
      <w:pPr>
        <w:ind w:right="20" w:firstLine="466"/>
        <w:spacing w:after="0" w:line="259" w:lineRule="auto"/>
        <w:rPr>
          <w:sz w:val="20"/>
          <w:szCs w:val="20"/>
          <w:color w:val="auto"/>
        </w:rPr>
      </w:pPr>
      <w:r>
        <w:rPr>
          <w:rFonts w:ascii="Times New Roman" w:cs="Times New Roman" w:eastAsia="Times New Roman" w:hAnsi="Times New Roman"/>
          <w:sz w:val="17"/>
          <w:szCs w:val="17"/>
          <w:color w:val="auto"/>
        </w:rPr>
        <w:t>In addition to our ongoing trial in metastatic melanoma, we are conducting clinical trials of LN-145, TIL therapy in cervical, head and neck cancers, and other cancers. C-145-04 is an ongoing Phase 2, multicenter pivotal trial that will assess the safety and efficacy of LN-145 for the treatment of patients with recurrent, metastatic or persistent cervical cancer (NCT03108495). In February 2019, LN-145 received Fast Track designation from the FDA for development in the treatment of cervical cancer with disease progression on or after chemotherapy. In March 2019, the protocol for this trial was amended to increase the sample size to 59 and to modify the primary endpoint of ORR to be determined by BIRC. In May 2019, LN-145 received Breakthrough Therapy designation, or BTD, from the FDA for the development in the treatment of cervical cancer. Updated results from the C-145-04 clinical trial were reported at the ASCO annual meeting on June 1, 2019. In 27 patients with advanced cervical cancer, treatment with LN-145 resulted in an ORR of 44%. In the study there were 3 complete responses and 9 partial responses. The DCR was 85%. Patients were heavily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30" w:name="page31"/>
    <w:bookmarkEnd w:id="3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pretreated and had a mean of 2.4 prior therapies. The DOR had not been reached. The median follow-up was 7.4 months. The adverse event profile was generally consistent with the underlying advanced disease and the profile of the lymphodepletion and IL-2 regimens. Based on an End of Phase 2 meeting held with the FDA in June 2019, the FDA has acknowledged that results from the C-145-04 clinical trial may be sufficient to support registration in the treatment of patients with advanced cervical cancer. In accordance with the FDA’s recommendations, a new version of the protocol, which further defines the patient population, was provided to the FDA. We plan to include in the biologics license application, or BLA, patients who have progressed following initial systemic therapy for recurrent or metastatic disease, which constitutes almost all of the more advanced patients enrolled to date. In November 2019, we announced that we had added additional cohorts to the C-145-04 trial. Enrollment in these additional cohorts will not impact the timing of the completion of the pivotal cohort nor the size of the registrational program. In order to position LN-145 for potential future use in broader lines of therapy in cervical cancer, we have amended the C-145-04 trial to collect additional data on early-line patients as well as late-line patients. These additional cohorts also allow access to TIL therapy when the pivotal Cohort 1 is completed and also may support a request from FDA to provide expanded access to LN-145. After this amendment, the C-145-04 trial will consist of the following cohorts of cervical cancer patients:</w:t>
      </w:r>
    </w:p>
    <w:p>
      <w:pPr>
        <w:spacing w:after="0" w:line="181" w:lineRule="exact"/>
        <w:rPr>
          <w:sz w:val="20"/>
          <w:szCs w:val="20"/>
          <w:color w:val="auto"/>
        </w:rPr>
      </w:pPr>
    </w:p>
    <w:p>
      <w:pPr>
        <w:ind w:left="800" w:hanging="313"/>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Cohort 1 is a pivotal cohort for LN-145 and is anticipated to enroll 75 patients by the end of the first quarter of 2020;</w:t>
      </w:r>
    </w:p>
    <w:p>
      <w:pPr>
        <w:spacing w:after="0" w:line="218"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Cohort 2 will enroll patients for treatment with LN-145 who have progressed following treatment with pembrolizumab;</w:t>
      </w:r>
    </w:p>
    <w:p>
      <w:pPr>
        <w:spacing w:after="0" w:line="218" w:lineRule="exact"/>
        <w:rPr>
          <w:rFonts w:ascii="Times New Roman" w:cs="Times New Roman" w:eastAsia="Times New Roman" w:hAnsi="Times New Roman"/>
          <w:sz w:val="17"/>
          <w:szCs w:val="17"/>
          <w:color w:val="auto"/>
        </w:rPr>
      </w:pPr>
    </w:p>
    <w:p>
      <w:pPr>
        <w:ind w:left="800" w:right="20" w:hanging="313"/>
        <w:spacing w:after="0" w:line="291" w:lineRule="auto"/>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Cohort 3 will enroll patients who have not received any therapies other than prior chemoradiation or surgery for loco-regional disease for treatment with LN-145 in combination with pembrolizumab;</w:t>
      </w:r>
    </w:p>
    <w:p>
      <w:pPr>
        <w:spacing w:after="0" w:line="147" w:lineRule="exact"/>
        <w:rPr>
          <w:rFonts w:ascii="Times New Roman" w:cs="Times New Roman" w:eastAsia="Times New Roman" w:hAnsi="Times New Roman"/>
          <w:sz w:val="17"/>
          <w:szCs w:val="17"/>
          <w:color w:val="auto"/>
        </w:rPr>
      </w:pPr>
    </w:p>
    <w:p>
      <w:pPr>
        <w:ind w:left="800" w:right="180" w:hanging="313"/>
        <w:spacing w:after="0" w:line="291" w:lineRule="auto"/>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Cohort 4 is intended to hold patients who have been previously enrolled but are not considered within the registrational population, including patients dosed with product produced by our first generation, or Gen 1, TIL manufacturing process; and</w:t>
      </w:r>
    </w:p>
    <w:p>
      <w:pPr>
        <w:spacing w:after="0" w:line="147"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Cohort 5 will enroll patients for retreatment with LN-145 for patients from Cohort 1 or 2 who have progressed.</w:t>
      </w:r>
    </w:p>
    <w:p>
      <w:pPr>
        <w:spacing w:after="0" w:line="219" w:lineRule="exact"/>
        <w:rPr>
          <w:sz w:val="20"/>
          <w:szCs w:val="20"/>
          <w:color w:val="auto"/>
        </w:rPr>
      </w:pPr>
    </w:p>
    <w:p>
      <w:pPr>
        <w:ind w:right="200" w:firstLine="466"/>
        <w:spacing w:after="0" w:line="291" w:lineRule="auto"/>
        <w:rPr>
          <w:sz w:val="20"/>
          <w:szCs w:val="20"/>
          <w:color w:val="auto"/>
        </w:rPr>
      </w:pPr>
      <w:r>
        <w:rPr>
          <w:rFonts w:ascii="Times New Roman" w:cs="Times New Roman" w:eastAsia="Times New Roman" w:hAnsi="Times New Roman"/>
          <w:sz w:val="17"/>
          <w:szCs w:val="17"/>
          <w:color w:val="auto"/>
        </w:rPr>
        <w:t>As a result of these changes, we have also expanded the sample size of the C-145-04 clinical trial to include approximately 138 patients from the appropriate patient populations across these five cohorts.</w:t>
      </w:r>
    </w:p>
    <w:p>
      <w:pPr>
        <w:spacing w:after="0" w:line="147" w:lineRule="exact"/>
        <w:rPr>
          <w:sz w:val="20"/>
          <w:szCs w:val="20"/>
          <w:color w:val="auto"/>
        </w:rPr>
      </w:pPr>
    </w:p>
    <w:p>
      <w:pPr>
        <w:ind w:right="160" w:firstLine="466"/>
        <w:spacing w:after="0" w:line="266" w:lineRule="auto"/>
        <w:rPr>
          <w:sz w:val="20"/>
          <w:szCs w:val="20"/>
          <w:color w:val="auto"/>
        </w:rPr>
      </w:pPr>
      <w:r>
        <w:rPr>
          <w:rFonts w:ascii="Times New Roman" w:cs="Times New Roman" w:eastAsia="Times New Roman" w:hAnsi="Times New Roman"/>
          <w:sz w:val="17"/>
          <w:szCs w:val="17"/>
          <w:color w:val="auto"/>
        </w:rPr>
        <w:t>C-145-03 is an ongoing Phase 2, multicenter trial that we are conducting to assess the safety and efficacy of LN-145 for the treatment of patients with recurrent metastatic squamous cell carcinoma of the head and neck (NCT03083873). In October 2018, we reported that, to date, preliminary data for 13 patients in the C-145-03 clinical trial yielded an ORR of 31% with a DOR ranging from 2.8 to 7.6 months. The adverse event profile remained consistent with previous reports. We continue to enroll patients in this study.</w:t>
      </w:r>
    </w:p>
    <w:p>
      <w:pPr>
        <w:spacing w:after="0" w:line="169" w:lineRule="exact"/>
        <w:rPr>
          <w:sz w:val="20"/>
          <w:szCs w:val="20"/>
          <w:color w:val="auto"/>
        </w:rPr>
      </w:pPr>
    </w:p>
    <w:p>
      <w:pPr>
        <w:ind w:right="20" w:firstLine="466"/>
        <w:spacing w:after="0" w:line="257" w:lineRule="auto"/>
        <w:rPr>
          <w:sz w:val="20"/>
          <w:szCs w:val="20"/>
          <w:color w:val="auto"/>
        </w:rPr>
      </w:pPr>
      <w:r>
        <w:rPr>
          <w:rFonts w:ascii="Times New Roman" w:cs="Times New Roman" w:eastAsia="Times New Roman" w:hAnsi="Times New Roman"/>
          <w:sz w:val="17"/>
          <w:szCs w:val="17"/>
          <w:color w:val="auto"/>
        </w:rPr>
        <w:t>We are also investigating the potential of our TIL therapies in earlier lines of treatment and in combination with pembrolizumab. IOV-COM-202 is a Phase 2, multicenter trial that is composed of four cohorts to enroll up to a total of 48 patients (NCT03645928). In Cohort 1A, we are enrolling advanced unresectable or metastatic melanoma patients who have not received prior immunotherapy, including checkpoint inhibitors such as anti-PD-1/anti-PD-L1 therapy. The patients receive lifileucel in combination with pembrolizumab. In Cohort 2A, we are enrolling advanced head and neck squamous cell carcinoma patients who are also naïve to prior immunotherapy including anti-PD-1/anti-PD-L1 therapy. The patients will receive LN-145 in combination with pembrolizumab. We recently opened Cohort 3A to enroll non-small cell lung cancer patients who are also naïve to prior immunotherapy including anti-PD-1/anti-PD-L1 therapy. The patients in Cohort 3A will receive LN-145 in combination with pembrolizumab. In Cohort 3B, we are enrolling non-small cell lung cancer patients who have previously received systemic therapy which could include checkpoint inhibitors. The patients are receiving LN-145. In May 2019, we reported that the first patient was dosed in Cohort 1A, which represents the first instance of a patient naïve to checkpoint inhibitor treatment receiving our TIL therapy in combination with pembrolizumab. In addition to the U.S., the IOV-COM-202 trial has also received regulatory approval in Canada and in certain European countries.</w:t>
      </w:r>
    </w:p>
    <w:p>
      <w:pPr>
        <w:spacing w:after="0" w:line="181" w:lineRule="exact"/>
        <w:rPr>
          <w:sz w:val="20"/>
          <w:szCs w:val="20"/>
          <w:color w:val="auto"/>
        </w:rPr>
      </w:pPr>
    </w:p>
    <w:p>
      <w:pPr>
        <w:ind w:right="20" w:firstLine="466"/>
        <w:spacing w:after="0" w:line="263" w:lineRule="auto"/>
        <w:rPr>
          <w:sz w:val="20"/>
          <w:szCs w:val="20"/>
          <w:color w:val="auto"/>
        </w:rPr>
      </w:pPr>
      <w:r>
        <w:rPr>
          <w:rFonts w:ascii="Times New Roman" w:cs="Times New Roman" w:eastAsia="Times New Roman" w:hAnsi="Times New Roman"/>
          <w:sz w:val="17"/>
          <w:szCs w:val="17"/>
          <w:color w:val="auto"/>
        </w:rPr>
        <w:t>In November 2019, we announced that our investigational new drug application, or IND, for our peripheral blood lymphocyte therapy, IOV-2001, was approved by the FDA and our sponsored clinical trial using this therapy, IOV-CLL-01, was cleared to proceed. IOV-2001 is a non-genetically modified, polyclonal T cell product that is manufactured using a nine-day process from 50 mL of patient's blood. IOV-CLL-01 is Phase 1/2 clinical trial evaluating the safety and efficacy of IOV-2001 in patients with relapsed or refractory chronic lymphocytic leukemia or small lymphocytic leukemia. The IOV-CLL-01 trial is expected to enroll up to approximately 70 patients.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0"/>
          </w:cols>
          <w:pgMar w:left="920" w:top="639" w:right="939" w:bottom="1440" w:gutter="0" w:footer="0" w:header="0"/>
        </w:sectPr>
      </w:pPr>
    </w:p>
    <w:bookmarkStart w:id="31" w:name="page32"/>
    <w:bookmarkEnd w:id="3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firstLine="466"/>
        <w:spacing w:after="0" w:line="272" w:lineRule="auto"/>
        <w:rPr>
          <w:sz w:val="20"/>
          <w:szCs w:val="20"/>
          <w:color w:val="auto"/>
        </w:rPr>
      </w:pPr>
      <w:r>
        <w:rPr>
          <w:rFonts w:ascii="Times New Roman" w:cs="Times New Roman" w:eastAsia="Times New Roman" w:hAnsi="Times New Roman"/>
          <w:sz w:val="17"/>
          <w:szCs w:val="17"/>
          <w:color w:val="auto"/>
        </w:rPr>
        <w:t>We closed the IOV-LUN-201 clinical trial, investigating TIL therapy in non-small cell lung cancer, or NSCLC, in combination with anti-PD-L1 therapy, in April 2019, and instead opened Cohorts 3A and 3B of the IOV-COM-202 trial as described above, to adapt our clinical development plans to reflect advances in the treatment landscape for non-small cell lung cancer.</w:t>
      </w:r>
    </w:p>
    <w:p>
      <w:pPr>
        <w:spacing w:after="0" w:line="164"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As part of our collaboration program with the MD Anderson Cancer Center, or MDACC, two Phase 2 trials were initiated in 2018. Both trials are sponsored by MDACC. The first trial, 2017-0672 (NCT03449108), is intended to allow for investigation of LN-145 manufactured by us using our manufacturing process to treat patients with soft tissue sarcoma, osteosarcoma and platinum resistant ovarian cancer. A second trial under the collaboration with MDACC is active as well (NCT03610490). This trial is treating patients with platinum resistant ovarian cancer and colorectal cancer. This trial uses TIL manufactured by MDACC using urelumab, a 4-1BB agonistic antibody, as part of the manufacturing process. The data obtained using this manufacturing process may not be representative of our data using our Gen 2 manufacturing process. We are also collaborating with Roswell Park Cancer Institute on a clinical trial using our LN-145 product for the treatment of patients with bladder cancer in combination with the anti-PD1 antibody pembrolizumab. This trial is now open for enrollment.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current product candidate pipeline and selected investigator-sponsored proof-of-concept studies are summarized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150495</wp:posOffset>
            </wp:positionV>
            <wp:extent cx="5887085" cy="2499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7085" cy="249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320" w:firstLine="466"/>
        <w:spacing w:after="0" w:line="272" w:lineRule="auto"/>
        <w:rPr>
          <w:sz w:val="20"/>
          <w:szCs w:val="20"/>
          <w:color w:val="auto"/>
        </w:rPr>
      </w:pPr>
      <w:r>
        <w:rPr>
          <w:rFonts w:ascii="Times New Roman" w:cs="Times New Roman" w:eastAsia="Times New Roman" w:hAnsi="Times New Roman"/>
          <w:sz w:val="17"/>
          <w:szCs w:val="17"/>
          <w:color w:val="auto"/>
        </w:rPr>
        <w:t>We have also entered into a collaboration with a Canadian institution, Centre hospitalier de l'Université de Montreal, or CHUM, under which CHUM agreed to conduct a clinical study using a PD-1 positive selected TIL product manufactured by a CHUM collaborator using a process developed by CHUM. We are also developing our own TIL selection processes for future clinical testing.</w:t>
      </w:r>
    </w:p>
    <w:p>
      <w:pPr>
        <w:spacing w:after="0" w:line="164" w:lineRule="exact"/>
        <w:rPr>
          <w:sz w:val="20"/>
          <w:szCs w:val="20"/>
          <w:color w:val="auto"/>
        </w:rPr>
      </w:pPr>
    </w:p>
    <w:p>
      <w:pPr>
        <w:ind w:right="120" w:firstLine="466"/>
        <w:spacing w:after="0" w:line="263" w:lineRule="auto"/>
        <w:rPr>
          <w:sz w:val="20"/>
          <w:szCs w:val="20"/>
          <w:color w:val="auto"/>
        </w:rPr>
      </w:pPr>
      <w:r>
        <w:rPr>
          <w:rFonts w:ascii="Times New Roman" w:cs="Times New Roman" w:eastAsia="Times New Roman" w:hAnsi="Times New Roman"/>
          <w:sz w:val="17"/>
          <w:szCs w:val="17"/>
          <w:color w:val="auto"/>
        </w:rPr>
        <w:t>We currently own seven recently granted or allowed U.S. patents for compositions and methods of treatment in a broad range of cancers relating to our Gen 2 manufacturing process, including U.S. Patent Nos. 10,166,257, 10,130,659, 10,272,113, 10,363,273, 10,398,734 and 10,420,799. Our owned and licensed intellectual property portfolio also includes patent applications relating to TIL, marrow infiltrating, and peripheral blood lymphocyte therapies, methods of manufacturing, the use of costimulatory molecules in TIL therapy and manufacturing, stable and transient genetically-modified TIL therapies, and methods of treating patient subpopulations.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32" w:name="page33"/>
    <w:bookmarkEnd w:id="32"/>
    <w:p>
      <w:pPr>
        <w:ind w:left="5"/>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w:t>
      </w:r>
    </w:p>
    <w:p>
      <w:pPr>
        <w:spacing w:after="0" w:line="2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221" w:lineRule="exact"/>
        <w:rPr>
          <w:sz w:val="20"/>
          <w:szCs w:val="20"/>
          <w:color w:val="auto"/>
        </w:rPr>
      </w:pPr>
    </w:p>
    <w:p>
      <w:pPr>
        <w:ind w:left="5" w:right="340" w:firstLine="466"/>
        <w:spacing w:after="0" w:line="272" w:lineRule="auto"/>
        <w:rPr>
          <w:sz w:val="20"/>
          <w:szCs w:val="20"/>
          <w:color w:val="auto"/>
        </w:rPr>
      </w:pPr>
      <w:r>
        <w:rPr>
          <w:rFonts w:ascii="Times New Roman" w:cs="Times New Roman" w:eastAsia="Times New Roman" w:hAnsi="Times New Roman"/>
          <w:sz w:val="17"/>
          <w:szCs w:val="17"/>
          <w:color w:val="auto"/>
        </w:rPr>
        <w:t>We have not yet generated any revenues since our formation. We currently do not anticipate that we will generate any revenues during 2019 from the sale or licensing of our products. Our ability to generate revenues in the future will depend on our ability to complete the development of our product candidates and to obtain regulatory approval for them.</w:t>
      </w:r>
    </w:p>
    <w:p>
      <w:pPr>
        <w:spacing w:after="0" w:line="162"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Costs and expenses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Research and Development (in thousands)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7"/>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20" w:type="dxa"/>
            <w:vAlign w:val="bottom"/>
            <w:gridSpan w:val="3"/>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40" w:type="dxa"/>
            <w:vAlign w:val="bottom"/>
            <w:gridSpan w:val="6"/>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(Decrease)</w:t>
            </w:r>
          </w:p>
        </w:tc>
        <w:tc>
          <w:tcPr>
            <w:tcW w:w="180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0" w:type="dxa"/>
            <w:vAlign w:val="bottom"/>
            <w:gridSpan w:val="5"/>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(Decrease)</w:t>
            </w:r>
          </w:p>
        </w:tc>
      </w:tr>
      <w:tr>
        <w:trPr>
          <w:trHeight w:val="200"/>
        </w:trPr>
        <w:tc>
          <w:tcPr>
            <w:tcW w:w="3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tcPr>
          <w:p>
            <w:pPr>
              <w:spacing w:after="0"/>
              <w:rPr>
                <w:sz w:val="17"/>
                <w:szCs w:val="17"/>
                <w:color w:val="auto"/>
              </w:rPr>
            </w:pPr>
          </w:p>
        </w:tc>
      </w:tr>
      <w:tr>
        <w:trPr>
          <w:trHeight w:val="20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41,582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27,947</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$ 72,410</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189"/>
        </w:trPr>
        <w:tc>
          <w:tcPr>
            <w:tcW w:w="30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7"/>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included in research and development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6"/>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expense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3,346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6,636</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32 %</w:t>
            </w:r>
          </w:p>
        </w:tc>
      </w:tr>
    </w:tbl>
    <w:p>
      <w:pPr>
        <w:spacing w:after="0" w:line="189" w:lineRule="exact"/>
        <w:rPr>
          <w:sz w:val="20"/>
          <w:szCs w:val="20"/>
          <w:color w:val="auto"/>
        </w:rPr>
      </w:pPr>
    </w:p>
    <w:p>
      <w:pPr>
        <w:ind w:left="5" w:right="120" w:firstLine="472"/>
        <w:spacing w:after="0" w:line="266" w:lineRule="auto"/>
        <w:rPr>
          <w:sz w:val="20"/>
          <w:szCs w:val="20"/>
          <w:color w:val="auto"/>
        </w:rPr>
      </w:pPr>
      <w:r>
        <w:rPr>
          <w:rFonts w:ascii="Times New Roman" w:cs="Times New Roman" w:eastAsia="Times New Roman" w:hAnsi="Times New Roman"/>
          <w:sz w:val="17"/>
          <w:szCs w:val="17"/>
          <w:color w:val="auto"/>
        </w:rPr>
        <w:t>Research and development expense for the three months ended September 30, 2019 increased by $13.6 million, or 49%, compared to the same period in 2018. The increase in research and development expenses was primarily attributable to (i) the costs to transfer the manufacturing process to a CMO for additional manufacturing capacity, (ii) an increase in total patients in our clinical studies which in turn results in higher study costs, and (iii) an increase in research and development headcount.</w:t>
      </w:r>
    </w:p>
    <w:p>
      <w:pPr>
        <w:spacing w:after="0" w:line="169" w:lineRule="exact"/>
        <w:rPr>
          <w:sz w:val="20"/>
          <w:szCs w:val="20"/>
          <w:color w:val="auto"/>
        </w:rPr>
      </w:pPr>
    </w:p>
    <w:p>
      <w:pPr>
        <w:ind w:left="5" w:right="120" w:firstLine="472"/>
        <w:spacing w:after="0" w:line="261" w:lineRule="auto"/>
        <w:rPr>
          <w:sz w:val="20"/>
          <w:szCs w:val="20"/>
          <w:color w:val="auto"/>
        </w:rPr>
      </w:pPr>
      <w:r>
        <w:rPr>
          <w:rFonts w:ascii="Times New Roman" w:cs="Times New Roman" w:eastAsia="Times New Roman" w:hAnsi="Times New Roman"/>
          <w:sz w:val="17"/>
          <w:szCs w:val="17"/>
          <w:color w:val="auto"/>
        </w:rPr>
        <w:t>Research and development expense for the nine months ended September 30, 2019 increased by $39.4 million, or 54%, compared to the same period in 2018. The increase in research and development expenses was primarily attributable to (i) costs to transfer the manufacturing process to a CMO for additional manufacturing capacity (ii) higher costs for the purchase of drugs used in the clinical studies, specifically IL-2,</w:t>
      </w:r>
    </w:p>
    <w:p>
      <w:pPr>
        <w:spacing w:after="0" w:line="2" w:lineRule="exact"/>
        <w:rPr>
          <w:sz w:val="20"/>
          <w:szCs w:val="20"/>
          <w:color w:val="auto"/>
        </w:rPr>
      </w:pPr>
    </w:p>
    <w:p>
      <w:pPr>
        <w:ind w:left="5" w:right="920" w:hanging="5"/>
        <w:spacing w:after="0" w:line="268" w:lineRule="auto"/>
        <w:tabs>
          <w:tab w:leader="none" w:pos="30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total patients in our clinical studies which in turn results in higher study costs, and (iv) an increase in research and development headcount.</w:t>
      </w:r>
    </w:p>
    <w:p>
      <w:pPr>
        <w:spacing w:after="0" w:line="166" w:lineRule="exact"/>
        <w:rPr>
          <w:sz w:val="20"/>
          <w:szCs w:val="20"/>
          <w:color w:val="auto"/>
        </w:rPr>
      </w:pPr>
    </w:p>
    <w:p>
      <w:pPr>
        <w:jc w:val="both"/>
        <w:ind w:left="5" w:right="260" w:firstLine="466"/>
        <w:spacing w:after="0" w:line="272" w:lineRule="auto"/>
        <w:rPr>
          <w:sz w:val="20"/>
          <w:szCs w:val="20"/>
          <w:color w:val="auto"/>
        </w:rPr>
      </w:pPr>
      <w:r>
        <w:rPr>
          <w:rFonts w:ascii="Times New Roman" w:cs="Times New Roman" w:eastAsia="Times New Roman" w:hAnsi="Times New Roman"/>
          <w:sz w:val="17"/>
          <w:szCs w:val="17"/>
          <w:color w:val="auto"/>
        </w:rPr>
        <w:t>We expect that our research and development expenses may increase over the next several years as we continue to conduct our clinical trials for our products and if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64" w:lineRule="exact"/>
        <w:rPr>
          <w:sz w:val="20"/>
          <w:szCs w:val="20"/>
          <w:color w:val="auto"/>
        </w:rPr>
      </w:pPr>
    </w:p>
    <w:p>
      <w:pPr>
        <w:ind w:left="5" w:right="320" w:firstLine="466"/>
        <w:spacing w:after="0" w:line="263" w:lineRule="auto"/>
        <w:rPr>
          <w:sz w:val="20"/>
          <w:szCs w:val="20"/>
          <w:color w:val="auto"/>
        </w:rPr>
      </w:pPr>
      <w:r>
        <w:rPr>
          <w:rFonts w:ascii="Times New Roman" w:cs="Times New Roman" w:eastAsia="Times New Roman" w:hAnsi="Times New Roman"/>
          <w:sz w:val="17"/>
          <w:szCs w:val="17"/>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General and Administrative (in thousands)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07"/>
        </w:trPr>
        <w:tc>
          <w:tcPr>
            <w:tcW w:w="3160" w:type="dxa"/>
            <w:vAlign w:val="bottom"/>
          </w:tcPr>
          <w:p>
            <w:pPr>
              <w:spacing w:after="0"/>
              <w:rPr>
                <w:sz w:val="24"/>
                <w:szCs w:val="24"/>
                <w:color w:val="auto"/>
              </w:rPr>
            </w:pPr>
          </w:p>
        </w:tc>
        <w:tc>
          <w:tcPr>
            <w:tcW w:w="190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20" w:type="dxa"/>
            <w:vAlign w:val="bottom"/>
            <w:gridSpan w:val="3"/>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3160" w:type="dxa"/>
            <w:vAlign w:val="bottom"/>
          </w:tcPr>
          <w:p>
            <w:pPr>
              <w:spacing w:after="0"/>
              <w:rPr>
                <w:sz w:val="19"/>
                <w:szCs w:val="19"/>
                <w:color w:val="auto"/>
              </w:rPr>
            </w:pPr>
          </w:p>
        </w:tc>
        <w:tc>
          <w:tcPr>
            <w:tcW w:w="1900" w:type="dxa"/>
            <w:vAlign w:val="bottom"/>
            <w:gridSpan w:val="4"/>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gridSpan w:val="4"/>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20" w:type="dxa"/>
            <w:vAlign w:val="bottom"/>
            <w:gridSpan w:val="5"/>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(Decrease)</w:t>
            </w:r>
          </w:p>
        </w:tc>
      </w:tr>
      <w:tr>
        <w:trPr>
          <w:trHeight w:val="200"/>
        </w:trPr>
        <w:tc>
          <w:tcPr>
            <w:tcW w:w="3160" w:type="dxa"/>
            <w:vAlign w:val="bottom"/>
          </w:tcPr>
          <w:p>
            <w:pPr>
              <w:spacing w:after="0"/>
              <w:rPr>
                <w:sz w:val="17"/>
                <w:szCs w:val="17"/>
                <w:color w:val="auto"/>
              </w:rPr>
            </w:pPr>
          </w:p>
        </w:tc>
        <w:tc>
          <w:tcPr>
            <w:tcW w:w="7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2019</w:t>
            </w:r>
          </w:p>
        </w:tc>
        <w:tc>
          <w:tcPr>
            <w:tcW w:w="940" w:type="dxa"/>
            <w:vAlign w:val="bottom"/>
            <w:tcBorders>
              <w:top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2019</w:t>
            </w:r>
          </w:p>
        </w:tc>
        <w:tc>
          <w:tcPr>
            <w:tcW w:w="920" w:type="dxa"/>
            <w:vAlign w:val="bottom"/>
            <w:tcBorders>
              <w:top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r>
      <w:tr>
        <w:trPr>
          <w:trHeight w:val="20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10,029</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7,113</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29,977</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20,905</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9,072</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189"/>
        </w:trPr>
        <w:tc>
          <w:tcPr>
            <w:tcW w:w="31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Stock-based compensation expense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included in general and administrative</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3,261</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4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10,103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8,206</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23 %</w:t>
            </w:r>
          </w:p>
        </w:tc>
      </w:tr>
    </w:tbl>
    <w:p>
      <w:pPr>
        <w:spacing w:after="0" w:line="396" w:lineRule="exact"/>
        <w:rPr>
          <w:sz w:val="20"/>
          <w:szCs w:val="20"/>
          <w:color w:val="auto"/>
        </w:rPr>
      </w:pPr>
    </w:p>
    <w:p>
      <w:pPr>
        <w:ind w:left="5" w:right="240" w:firstLine="466"/>
        <w:spacing w:after="0" w:line="291" w:lineRule="auto"/>
        <w:rPr>
          <w:sz w:val="20"/>
          <w:szCs w:val="20"/>
          <w:color w:val="auto"/>
        </w:rPr>
      </w:pPr>
      <w:r>
        <w:rPr>
          <w:rFonts w:ascii="Times New Roman" w:cs="Times New Roman" w:eastAsia="Times New Roman" w:hAnsi="Times New Roman"/>
          <w:sz w:val="17"/>
          <w:szCs w:val="17"/>
          <w:color w:val="auto"/>
        </w:rPr>
        <w:t>General and administrative expense for the three months ended September 30, 2019 increased by $2.9 million, or 41%, compared to the same period in 2018. The increase was primarily attributable to increases in (i) general and administrative headcount</w:t>
      </w:r>
    </w:p>
    <w:p>
      <w:pPr>
        <w:spacing w:after="0" w:line="3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5"/>
          </w:cols>
          <w:pgMar w:left="915" w:top="639" w:right="899" w:bottom="1440" w:gutter="0" w:footer="0" w:header="0"/>
        </w:sectPr>
      </w:pPr>
    </w:p>
    <w:bookmarkStart w:id="33" w:name="page34"/>
    <w:bookmarkEnd w:id="33"/>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7"/>
          <w:szCs w:val="17"/>
          <w:color w:val="auto"/>
        </w:rPr>
        <w:t>and higher stock-based compensation, (ii) legal expenses related to intellectual property, and (iii) market research costs as we prepare for commercialization.</w:t>
      </w:r>
    </w:p>
    <w:p>
      <w:pPr>
        <w:spacing w:after="0" w:line="147" w:lineRule="exact"/>
        <w:rPr>
          <w:sz w:val="20"/>
          <w:szCs w:val="20"/>
          <w:color w:val="auto"/>
        </w:rPr>
      </w:pPr>
    </w:p>
    <w:p>
      <w:pPr>
        <w:ind w:right="300" w:firstLine="466"/>
        <w:spacing w:after="0" w:line="272" w:lineRule="auto"/>
        <w:rPr>
          <w:sz w:val="20"/>
          <w:szCs w:val="20"/>
          <w:color w:val="auto"/>
        </w:rPr>
      </w:pPr>
      <w:r>
        <w:rPr>
          <w:rFonts w:ascii="Times New Roman" w:cs="Times New Roman" w:eastAsia="Times New Roman" w:hAnsi="Times New Roman"/>
          <w:sz w:val="17"/>
          <w:szCs w:val="17"/>
          <w:color w:val="auto"/>
        </w:rPr>
        <w:t>General and administrative expense for the nine months ended September 30, 2019 increased by $9.1 million, or 43%, compared to the same period in 2018. The increase was primarily attributable to increases in (i) general and administrative headcount and higher stock-based compensation, (ii) legal expenses related to intellectual property, and (iii) market research costs.</w:t>
      </w:r>
    </w:p>
    <w:p>
      <w:pPr>
        <w:spacing w:after="0" w:line="164" w:lineRule="exact"/>
        <w:rPr>
          <w:sz w:val="20"/>
          <w:szCs w:val="20"/>
          <w:color w:val="auto"/>
        </w:rPr>
      </w:pPr>
    </w:p>
    <w:p>
      <w:pPr>
        <w:ind w:right="20" w:firstLine="466"/>
        <w:spacing w:after="0" w:line="266" w:lineRule="auto"/>
        <w:rPr>
          <w:sz w:val="20"/>
          <w:szCs w:val="20"/>
          <w:color w:val="auto"/>
        </w:rPr>
      </w:pPr>
      <w:r>
        <w:rPr>
          <w:rFonts w:ascii="Times New Roman" w:cs="Times New Roman" w:eastAsia="Times New Roman" w:hAnsi="Times New Roman"/>
          <w:sz w:val="17"/>
          <w:szCs w:val="17"/>
          <w:color w:val="auto"/>
        </w:rPr>
        <w:t>General and administrative expenses include personnel costs for our employees engaged in general and administrative activities, legal fees, audit and tax fees, consultants and professional services, commercialization and market preparation and general corporate expenses. We anticipate general and administrative expenses will increase as we continue to support our expanded research and development efforts and prepare for commercialization.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20" w:type="dxa"/>
            <w:vAlign w:val="bottom"/>
            <w:gridSpan w:val="3"/>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6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740" w:type="dxa"/>
            <w:vAlign w:val="bottom"/>
            <w:gridSpan w:val="5"/>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(Decrease)</w:t>
            </w:r>
          </w:p>
        </w:tc>
      </w:tr>
      <w:tr>
        <w:trPr>
          <w:trHeight w:val="200"/>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r>
      <w:tr>
        <w:trPr>
          <w:trHeight w:val="200"/>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income</w:t>
            </w:r>
          </w:p>
        </w:tc>
        <w:tc>
          <w:tcPr>
            <w:tcW w:w="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2,124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894</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73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7,774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bl>
    <w:p>
      <w:pPr>
        <w:spacing w:after="0" w:line="124" w:lineRule="exact"/>
        <w:rPr>
          <w:sz w:val="20"/>
          <w:szCs w:val="20"/>
          <w:color w:val="auto"/>
        </w:rPr>
      </w:pPr>
    </w:p>
    <w:p>
      <w:pPr>
        <w:ind w:right="160" w:firstLine="466"/>
        <w:spacing w:after="0" w:line="266" w:lineRule="auto"/>
        <w:rPr>
          <w:sz w:val="20"/>
          <w:szCs w:val="20"/>
          <w:color w:val="auto"/>
        </w:rPr>
      </w:pPr>
      <w:r>
        <w:rPr>
          <w:rFonts w:ascii="Times New Roman" w:cs="Times New Roman" w:eastAsia="Times New Roman" w:hAnsi="Times New Roman"/>
          <w:sz w:val="17"/>
          <w:szCs w:val="17"/>
          <w:color w:val="auto"/>
        </w:rPr>
        <w:t>Interest income results from our interest-bearing cash and short term investment balances. Net interest income increased by $0.9 million and $5.5 million for the three and nine months ended September 30, 2019 compared to the same periods in 2018, respectively, due to the higher average cash and short-term investment balances as a result of the proceeds received from our equity financings in January 2018 and October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Net Loss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42"/>
        </w:trPr>
        <w:tc>
          <w:tcPr>
            <w:tcW w:w="2680" w:type="dxa"/>
            <w:vAlign w:val="bottom"/>
          </w:tcPr>
          <w:p>
            <w:pPr>
              <w:spacing w:after="0"/>
              <w:rPr>
                <w:sz w:val="24"/>
                <w:szCs w:val="24"/>
                <w:color w:val="auto"/>
              </w:rPr>
            </w:pPr>
          </w:p>
        </w:tc>
        <w:tc>
          <w:tcPr>
            <w:tcW w:w="196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80" w:type="dxa"/>
            <w:vAlign w:val="bottom"/>
            <w:gridSpan w:val="3"/>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20" w:type="dxa"/>
            <w:vAlign w:val="bottom"/>
            <w:gridSpan w:val="3"/>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Increase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2680" w:type="dxa"/>
            <w:vAlign w:val="bottom"/>
          </w:tcPr>
          <w:p>
            <w:pPr>
              <w:spacing w:after="0"/>
              <w:rPr>
                <w:sz w:val="19"/>
                <w:szCs w:val="19"/>
                <w:color w:val="auto"/>
              </w:rPr>
            </w:pPr>
          </w:p>
        </w:tc>
        <w:tc>
          <w:tcPr>
            <w:tcW w:w="196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20" w:type="dxa"/>
            <w:vAlign w:val="bottom"/>
            <w:gridSpan w:val="6"/>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(Decrease)</w:t>
            </w:r>
          </w:p>
        </w:tc>
        <w:tc>
          <w:tcPr>
            <w:tcW w:w="188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740" w:type="dxa"/>
            <w:vAlign w:val="bottom"/>
            <w:gridSpan w:val="5"/>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(Decrease)</w:t>
            </w:r>
          </w:p>
        </w:tc>
      </w:tr>
      <w:tr>
        <w:trPr>
          <w:trHeight w:val="200"/>
        </w:trPr>
        <w:tc>
          <w:tcPr>
            <w:tcW w:w="2680" w:type="dxa"/>
            <w:vAlign w:val="bottom"/>
          </w:tcPr>
          <w:p>
            <w:pPr>
              <w:spacing w:after="0"/>
              <w:rPr>
                <w:sz w:val="17"/>
                <w:szCs w:val="17"/>
                <w:color w:val="auto"/>
              </w:rPr>
            </w:pPr>
          </w:p>
        </w:tc>
        <w:tc>
          <w:tcPr>
            <w:tcW w:w="7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0" w:type="dxa"/>
            <w:vAlign w:val="bottom"/>
            <w:tcBorders>
              <w:top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2019</w:t>
            </w:r>
          </w:p>
        </w:tc>
        <w:tc>
          <w:tcPr>
            <w:tcW w:w="980" w:type="dxa"/>
            <w:vAlign w:val="bottom"/>
            <w:tcBorders>
              <w:top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80" w:type="dxa"/>
            <w:vAlign w:val="bottom"/>
          </w:tcPr>
          <w:p>
            <w:pPr>
              <w:spacing w:after="0"/>
              <w:rPr>
                <w:sz w:val="17"/>
                <w:szCs w:val="17"/>
                <w:color w:val="auto"/>
              </w:rPr>
            </w:pPr>
          </w:p>
        </w:tc>
        <w:tc>
          <w:tcPr>
            <w:tcW w:w="7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r>
      <w:tr>
        <w:trPr>
          <w:trHeight w:val="200"/>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49,487</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33,830</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133,988</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91,005</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42,983</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bl>
    <w:p>
      <w:pPr>
        <w:spacing w:after="0" w:line="124" w:lineRule="exact"/>
        <w:rPr>
          <w:sz w:val="20"/>
          <w:szCs w:val="20"/>
          <w:color w:val="auto"/>
        </w:rPr>
      </w:pPr>
    </w:p>
    <w:p>
      <w:pPr>
        <w:ind w:right="120" w:firstLine="466"/>
        <w:spacing w:after="0" w:line="263" w:lineRule="auto"/>
        <w:rPr>
          <w:sz w:val="20"/>
          <w:szCs w:val="20"/>
          <w:color w:val="auto"/>
        </w:rPr>
      </w:pPr>
      <w:r>
        <w:rPr>
          <w:rFonts w:ascii="Times New Roman" w:cs="Times New Roman" w:eastAsia="Times New Roman" w:hAnsi="Times New Roman"/>
          <w:sz w:val="17"/>
          <w:szCs w:val="17"/>
          <w:color w:val="auto"/>
        </w:rPr>
        <w:t>Net loss for the three and nine months ended September 30, 2019 increased by $15.6 million or 46%, and $43 million or 47%, compared to the same periods in 2018, respectively.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 building our own manufacturing facility and certain pre-commercial activities.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58" w:lineRule="exact"/>
        <w:rPr>
          <w:sz w:val="20"/>
          <w:szCs w:val="20"/>
          <w:color w:val="auto"/>
        </w:rPr>
      </w:pPr>
    </w:p>
    <w:p>
      <w:pPr>
        <w:ind w:right="200" w:firstLine="466"/>
        <w:spacing w:after="0" w:line="266" w:lineRule="auto"/>
        <w:rPr>
          <w:sz w:val="20"/>
          <w:szCs w:val="20"/>
          <w:color w:val="auto"/>
        </w:rPr>
      </w:pPr>
      <w:r>
        <w:rPr>
          <w:rFonts w:ascii="Times New Roman" w:cs="Times New Roman" w:eastAsia="Times New Roman" w:hAnsi="Times New Roman"/>
          <w:sz w:val="17"/>
          <w:szCs w:val="17"/>
          <w:color w:val="auto"/>
        </w:rPr>
        <w:t>We have incurred losses and generated negative cash flows from operations since inception. We expect to continue to incur significant losses in 2019 and may incur significant losses and negative cash flows from operations for the foreseeable future. We have funded our operations from various public and private offerings of our equity securities (both common stock and preferred stock), from option and warrant exercises, and from interest income.</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September 30, 2019, we had outstanding 126,192,990 shares of our $0.000041666 par value common stock, 194 shares of our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$0.001 par value Series A Convertible Preferred Stock, and 3,581,119 shares of our $0.001 par value Series B Convertible Preferred Stock.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shares of Series A Convertible Preferred Stock are currently convertible into 97,000 shares of our common stock, and the outstanding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Series B Convertible Preferred Stock are currently convertible into 3,581,119 shares of our common stock. The shares of Series 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Preferred Stock and Series B Convertible Preferred Stock do not have voting rights or accrue dividends.</w:t>
      </w:r>
    </w:p>
    <w:p>
      <w:pPr>
        <w:spacing w:after="0" w:line="136" w:lineRule="exact"/>
        <w:rPr>
          <w:sz w:val="20"/>
          <w:szCs w:val="20"/>
          <w:color w:val="auto"/>
        </w:rPr>
      </w:pPr>
    </w:p>
    <w:p>
      <w:pPr>
        <w:ind w:right="60" w:firstLine="466"/>
        <w:spacing w:after="0" w:line="263" w:lineRule="auto"/>
        <w:rPr>
          <w:sz w:val="20"/>
          <w:szCs w:val="20"/>
          <w:color w:val="auto"/>
        </w:rPr>
      </w:pPr>
      <w:r>
        <w:rPr>
          <w:rFonts w:ascii="Times New Roman" w:cs="Times New Roman" w:eastAsia="Times New Roman" w:hAnsi="Times New Roman"/>
          <w:sz w:val="17"/>
          <w:szCs w:val="17"/>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color w:val="auto"/>
        </w:rPr>
        <w:t>deducting underwriting discounts and offering expenses. The 2017 Shelf Registration Statement was terminated upon effectiveness of the 2018 Shelf Registration Statement (as discussed below).</w:t>
      </w:r>
    </w:p>
    <w:p>
      <w:pPr>
        <w:spacing w:after="0" w:line="83" w:lineRule="exact"/>
        <w:rPr>
          <w:sz w:val="20"/>
          <w:szCs w:val="20"/>
          <w:color w:val="auto"/>
        </w:rPr>
      </w:pPr>
    </w:p>
    <w:p>
      <w:pPr>
        <w:ind w:right="40" w:firstLine="466"/>
        <w:spacing w:after="0" w:line="260" w:lineRule="auto"/>
        <w:rPr>
          <w:sz w:val="20"/>
          <w:szCs w:val="20"/>
          <w:color w:val="auto"/>
        </w:rPr>
      </w:pPr>
      <w:r>
        <w:rPr>
          <w:rFonts w:ascii="Times New Roman" w:cs="Times New Roman" w:eastAsia="Times New Roman" w:hAnsi="Times New Roman"/>
          <w:sz w:val="17"/>
          <w:szCs w:val="17"/>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10" w:lineRule="exact"/>
        <w:rPr>
          <w:sz w:val="20"/>
          <w:szCs w:val="20"/>
          <w:color w:val="auto"/>
        </w:rPr>
      </w:pPr>
    </w:p>
    <w:p>
      <w:pPr>
        <w:ind w:right="60" w:firstLine="466"/>
        <w:spacing w:after="0" w:line="266" w:lineRule="auto"/>
        <w:rPr>
          <w:sz w:val="20"/>
          <w:szCs w:val="20"/>
          <w:color w:val="auto"/>
        </w:rPr>
      </w:pPr>
      <w:r>
        <w:rPr>
          <w:rFonts w:ascii="Times New Roman" w:cs="Times New Roman" w:eastAsia="Times New Roman" w:hAnsi="Times New Roman"/>
          <w:sz w:val="17"/>
          <w:szCs w:val="17"/>
          <w:color w:val="auto"/>
        </w:rPr>
        <w:t>On September 17, 2019, we filed a shelf registration statement with the SEC for the issuance of common stock, preferred stock, warrants, rights, debt securities and units up to an aggregate amount of $400 million, which we refer to as the 2019 Shelf Registration Statement. The 2019 Shelf Registration Statement was declared effective on September 24, 2019. We have not yet sold any securities pursuant to the 2019 Shelf Registration Statement.</w:t>
      </w:r>
    </w:p>
    <w:p>
      <w:pPr>
        <w:spacing w:after="0" w:line="105" w:lineRule="exact"/>
        <w:rPr>
          <w:sz w:val="20"/>
          <w:szCs w:val="20"/>
          <w:color w:val="auto"/>
        </w:rPr>
      </w:pPr>
    </w:p>
    <w:p>
      <w:pPr>
        <w:ind w:right="100" w:firstLine="466"/>
        <w:spacing w:after="0" w:line="272" w:lineRule="auto"/>
        <w:rPr>
          <w:sz w:val="20"/>
          <w:szCs w:val="20"/>
          <w:color w:val="auto"/>
        </w:rPr>
      </w:pPr>
      <w:r>
        <w:rPr>
          <w:rFonts w:ascii="Times New Roman" w:cs="Times New Roman" w:eastAsia="Times New Roman" w:hAnsi="Times New Roman"/>
          <w:sz w:val="17"/>
          <w:szCs w:val="17"/>
          <w:color w:val="auto"/>
        </w:rPr>
        <w:t>In the future, we may periodically offer one or more of these securities in amounts, prices and terms to be announced when and if the securities are offered. If any of the securities covered by the 2019 Shelf Registration Statement are offered for sale, a prospectus supplement will be prepared and filed with the SEC containing specific information about the terms of such offering at that time.</w:t>
      </w:r>
    </w:p>
    <w:p>
      <w:pPr>
        <w:spacing w:after="0" w:line="99" w:lineRule="exact"/>
        <w:rPr>
          <w:sz w:val="20"/>
          <w:szCs w:val="20"/>
          <w:color w:val="auto"/>
        </w:rPr>
      </w:pPr>
    </w:p>
    <w:p>
      <w:pPr>
        <w:ind w:right="60" w:firstLine="466"/>
        <w:spacing w:after="0" w:line="261" w:lineRule="auto"/>
        <w:rPr>
          <w:sz w:val="20"/>
          <w:szCs w:val="20"/>
          <w:color w:val="auto"/>
        </w:rPr>
      </w:pPr>
      <w:r>
        <w:rPr>
          <w:rFonts w:ascii="Times New Roman" w:cs="Times New Roman" w:eastAsia="Times New Roman" w:hAnsi="Times New Roman"/>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2019 from the sale or licensing of any products. We have incurred a net loss of $134.0 million for the nine months ended September 30, 2019 and used $105.0 million of cash in our operating activities the same period ended September 30, 2019. As of September 30, 2019, we had $38.9 million of cash and cash equivalents, $323.0 million of short-term investments, $355.1 million of stockholders’ equity and had working capital of $332.7 million.</w:t>
      </w:r>
    </w:p>
    <w:p>
      <w:pPr>
        <w:spacing w:after="0" w:line="175" w:lineRule="exact"/>
        <w:rPr>
          <w:sz w:val="20"/>
          <w:szCs w:val="20"/>
          <w:color w:val="auto"/>
        </w:rPr>
      </w:pPr>
    </w:p>
    <w:p>
      <w:pPr>
        <w:ind w:right="40" w:firstLine="466"/>
        <w:spacing w:after="0" w:line="263" w:lineRule="auto"/>
        <w:rPr>
          <w:sz w:val="20"/>
          <w:szCs w:val="20"/>
          <w:color w:val="auto"/>
        </w:rPr>
      </w:pPr>
      <w:r>
        <w:rPr>
          <w:rFonts w:ascii="Times New Roman" w:cs="Times New Roman" w:eastAsia="Times New Roman" w:hAnsi="Times New Roman"/>
          <w:sz w:val="17"/>
          <w:szCs w:val="17"/>
          <w:color w:val="auto"/>
        </w:rPr>
        <w:t>We expect to further increase our research and development activities, which will increase the amount of cash we will use during 2019 and beyond. Specifically, we expect increased spending on clinical trials, research and development activities, higher payroll expenses as we increase our professional and scientific staff and continue our expansion of manufacturing activities. Based on the funds we have available as of the date of filing of this Quarterly Report on Form 10-Q, we believe that we have sufficient capital to fund our anticipated operating expenses for at least 12 months from the date of filing this report.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At September 30, 2019, we had no obligations that would require disclosure as off-balance sheet arrangements.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 and Recent Accounting Standards</w:t>
      </w:r>
    </w:p>
    <w:p>
      <w:pPr>
        <w:spacing w:after="0" w:line="223" w:lineRule="exact"/>
        <w:rPr>
          <w:sz w:val="20"/>
          <w:szCs w:val="20"/>
          <w:color w:val="auto"/>
        </w:rPr>
      </w:pPr>
    </w:p>
    <w:p>
      <w:pPr>
        <w:ind w:right="240" w:firstLine="466"/>
        <w:spacing w:after="0" w:line="291" w:lineRule="auto"/>
        <w:rPr>
          <w:sz w:val="20"/>
          <w:szCs w:val="20"/>
          <w:color w:val="auto"/>
        </w:rPr>
      </w:pPr>
      <w:r>
        <w:rPr>
          <w:rFonts w:ascii="Times New Roman" w:cs="Times New Roman" w:eastAsia="Times New Roman" w:hAnsi="Times New Roman"/>
          <w:sz w:val="17"/>
          <w:szCs w:val="17"/>
          <w:color w:val="auto"/>
        </w:rPr>
        <w:t>See Note 2 of the financial statements for a discussion of our significant accounting policies, including the discussion of recently issued and adopted accounting standards.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Inflation and changing prices have had no effect on our continuing operations over our two most recent fiscal years.</w:t>
      </w:r>
    </w:p>
    <w:p>
      <w:pPr>
        <w:spacing w:after="0" w:line="1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56"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There have been no material changes in our market risk during the nine months ended September 30, 2019 compared to the disclosures in Part II, Item 7A of our Annual Report on Form 10-K for the year ended December 31, 2018.</w:t>
      </w:r>
    </w:p>
    <w:p>
      <w:pPr>
        <w:spacing w:after="0" w:line="1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Conclusion Regarding the Effectiveness of Disclosure Controls and Procedures</w:t>
      </w:r>
    </w:p>
    <w:p>
      <w:pPr>
        <w:spacing w:after="0" w:line="156" w:lineRule="exact"/>
        <w:rPr>
          <w:sz w:val="20"/>
          <w:szCs w:val="20"/>
          <w:color w:val="auto"/>
        </w:rPr>
      </w:pPr>
    </w:p>
    <w:p>
      <w:pPr>
        <w:ind w:right="420" w:firstLine="466"/>
        <w:spacing w:after="0" w:line="291"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Controls Over Financial Reporting</w:t>
      </w:r>
    </w:p>
    <w:p>
      <w:pPr>
        <w:spacing w:after="0" w:line="156" w:lineRule="exact"/>
        <w:rPr>
          <w:sz w:val="20"/>
          <w:szCs w:val="20"/>
          <w:color w:val="auto"/>
        </w:rPr>
      </w:pPr>
    </w:p>
    <w:p>
      <w:pPr>
        <w:jc w:val="both"/>
        <w:ind w:right="80" w:firstLine="472"/>
        <w:spacing w:after="0" w:line="272"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(as such term is defined in Rules 13a-15(f) and 15d-15(f) under the Exchange Act)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1" w:lineRule="exact"/>
        <w:rPr>
          <w:sz w:val="20"/>
          <w:szCs w:val="20"/>
          <w:color w:val="auto"/>
        </w:rPr>
      </w:pPr>
    </w:p>
    <w:p>
      <w:pPr>
        <w:ind w:firstLine="466"/>
        <w:spacing w:after="0" w:line="256" w:lineRule="auto"/>
        <w:rPr>
          <w:sz w:val="20"/>
          <w:szCs w:val="20"/>
          <w:color w:val="auto"/>
        </w:rPr>
      </w:pPr>
      <w:r>
        <w:rPr>
          <w:rFonts w:ascii="Times New Roman" w:cs="Times New Roman" w:eastAsia="Times New Roman" w:hAnsi="Times New Roman"/>
          <w:sz w:val="17"/>
          <w:szCs w:val="17"/>
          <w:u w:val="single" w:color="auto"/>
          <w:color w:val="auto"/>
        </w:rPr>
        <w:t>Class Action Lawsuit</w:t>
      </w:r>
      <w:r>
        <w:rPr>
          <w:rFonts w:ascii="Times New Roman" w:cs="Times New Roman" w:eastAsia="Times New Roman" w:hAnsi="Times New Roman"/>
          <w:sz w:val="17"/>
          <w:szCs w:val="17"/>
          <w:color w:val="auto"/>
        </w:rPr>
        <w:t xml:space="preserve">. On April 10, 2017, the SEC announced settlements with us and with other public companies and unrelated parties in the </w:t>
      </w:r>
      <w:r>
        <w:rPr>
          <w:rFonts w:ascii="Times New Roman" w:cs="Times New Roman" w:eastAsia="Times New Roman" w:hAnsi="Times New Roman"/>
          <w:sz w:val="17"/>
          <w:szCs w:val="17"/>
          <w:i w:val="1"/>
          <w:iCs w:val="1"/>
          <w:color w:val="auto"/>
        </w:rPr>
        <w:t>In the Matter of Certain Stock Promotion</w:t>
      </w:r>
      <w:r>
        <w:rPr>
          <w:rFonts w:ascii="Times New Roman" w:cs="Times New Roman" w:eastAsia="Times New Roman" w:hAnsi="Times New Roman"/>
          <w:sz w:val="17"/>
          <w:szCs w:val="17"/>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Times New Roman" w:cs="Times New Roman" w:eastAsia="Times New Roman" w:hAnsi="Times New Roman"/>
          <w:sz w:val="17"/>
          <w:szCs w:val="17"/>
          <w:i w:val="1"/>
          <w:iCs w:val="1"/>
          <w:color w:val="auto"/>
        </w:rPr>
        <w:t>Leonard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DeSilvio v. Lion Biotechnologies, Inc., et al., </w:t>
      </w:r>
      <w:r>
        <w:rPr>
          <w:rFonts w:ascii="Times New Roman" w:cs="Times New Roman" w:eastAsia="Times New Roman" w:hAnsi="Times New Roman"/>
          <w:sz w:val="17"/>
          <w:szCs w:val="17"/>
          <w:color w:val="auto"/>
        </w:rPr>
        <w:t>case no. 3:17cv2086) against our company and three of our former officers and directors. On April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19, 2017, a second class action complaint </w:t>
      </w:r>
      <w:r>
        <w:rPr>
          <w:rFonts w:ascii="Times New Roman" w:cs="Times New Roman" w:eastAsia="Times New Roman" w:hAnsi="Times New Roman"/>
          <w:sz w:val="17"/>
          <w:szCs w:val="17"/>
          <w:i w:val="1"/>
          <w:iCs w:val="1"/>
          <w:color w:val="auto"/>
        </w:rPr>
        <w:t>(Amra Kuc vs. Lion Biotechnologies, Inc., et al.,</w:t>
      </w:r>
      <w:r>
        <w:rPr>
          <w:rFonts w:ascii="Times New Roman" w:cs="Times New Roman" w:eastAsia="Times New Roman" w:hAnsi="Times New Roman"/>
          <w:sz w:val="17"/>
          <w:szCs w:val="17"/>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investigation. On July 20, 2017, the plaintiff in the </w:t>
      </w:r>
      <w:r>
        <w:rPr>
          <w:rFonts w:ascii="Times New Roman" w:cs="Times New Roman" w:eastAsia="Times New Roman" w:hAnsi="Times New Roman"/>
          <w:sz w:val="17"/>
          <w:szCs w:val="17"/>
          <w:i w:val="1"/>
          <w:iCs w:val="1"/>
          <w:color w:val="auto"/>
        </w:rPr>
        <w:t>Kuc</w:t>
      </w:r>
      <w:r>
        <w:rPr>
          <w:rFonts w:ascii="Times New Roman" w:cs="Times New Roman" w:eastAsia="Times New Roman" w:hAnsi="Times New Roman"/>
          <w:sz w:val="17"/>
          <w:szCs w:val="17"/>
          <w:color w:val="auto"/>
        </w:rPr>
        <w:t xml:space="preserve"> case filed a notice to voluntarily dismiss that case. The court entered an order dismissing the </w:t>
      </w:r>
      <w:r>
        <w:rPr>
          <w:rFonts w:ascii="Times New Roman" w:cs="Times New Roman" w:eastAsia="Times New Roman" w:hAnsi="Times New Roman"/>
          <w:sz w:val="17"/>
          <w:szCs w:val="17"/>
          <w:i w:val="1"/>
          <w:iCs w:val="1"/>
          <w:color w:val="auto"/>
        </w:rPr>
        <w:t>Kuc</w:t>
      </w:r>
      <w:r>
        <w:rPr>
          <w:rFonts w:ascii="Times New Roman" w:cs="Times New Roman" w:eastAsia="Times New Roman" w:hAnsi="Times New Roman"/>
          <w:sz w:val="17"/>
          <w:szCs w:val="17"/>
          <w:color w:val="auto"/>
        </w:rPr>
        <w:t xml:space="preserve"> complaint on July 21, 2017. On July 26, 2017, the court appointed a movant as lead plaintiff. On September 8, 2017, the lead plaintiff filed an amended complaint (</w:t>
      </w:r>
      <w:r>
        <w:rPr>
          <w:rFonts w:ascii="Times New Roman" w:cs="Times New Roman" w:eastAsia="Times New Roman" w:hAnsi="Times New Roman"/>
          <w:sz w:val="17"/>
          <w:szCs w:val="17"/>
          <w:i w:val="1"/>
          <w:iCs w:val="1"/>
          <w:color w:val="auto"/>
        </w:rPr>
        <w:t>Jay Rabkin v. Lion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Biotechnologies, Inc., et al., </w:t>
      </w:r>
      <w:r>
        <w:rPr>
          <w:rFonts w:ascii="Times New Roman" w:cs="Times New Roman" w:eastAsia="Times New Roman" w:hAnsi="Times New Roman"/>
          <w:sz w:val="17"/>
          <w:szCs w:val="17"/>
          <w:color w:val="auto"/>
        </w:rPr>
        <w:t>case no. 3:17-cv-2086) seeking class action status that alleges, among other things, that the defendants violated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federal securities laws by making materially false and misleading statements, or by failing to make certain disclosures, regarding the actions taken by Manish Singh and our former investor relations firm that were the subject of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final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We do not expect to incur any costs or expenses in connection with this settlement.</w:t>
      </w:r>
    </w:p>
    <w:p>
      <w:pPr>
        <w:spacing w:after="0" w:line="386"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u w:val="single" w:color="auto"/>
          <w:color w:val="auto"/>
        </w:rPr>
        <w:t>Derivative Lawsuits.</w:t>
      </w:r>
      <w:r>
        <w:rPr>
          <w:rFonts w:ascii="Times New Roman" w:cs="Times New Roman" w:eastAsia="Times New Roman" w:hAnsi="Times New Roman"/>
          <w:sz w:val="17"/>
          <w:szCs w:val="17"/>
          <w:color w:val="auto"/>
        </w:rPr>
        <w:t xml:space="preserve"> 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Times New Roman" w:cs="Times New Roman" w:eastAsia="Times New Roman" w:hAnsi="Times New Roman"/>
          <w:sz w:val="17"/>
          <w:szCs w:val="17"/>
          <w:i w:val="1"/>
          <w:iCs w:val="1"/>
          <w:color w:val="auto"/>
        </w:rPr>
        <w:t>In the Matter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Certain Stock Promotions </w:t>
      </w:r>
      <w:r>
        <w:rPr>
          <w:rFonts w:ascii="Times New Roman" w:cs="Times New Roman" w:eastAsia="Times New Roman" w:hAnsi="Times New Roman"/>
          <w:sz w:val="17"/>
          <w:szCs w:val="17"/>
          <w:color w:val="auto"/>
        </w:rPr>
        <w:t>investigation and our April 10, 2017 settlement thereof, and seeks unspecified damages on behalf of our company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investigation and our April 10, 2017 settlement thereof and seeks unspecified damages on behalf of our company and injunctive relief. On May 1, 2018, the court consolidated this case with the aforementioned purported stockholder derivative case filed by plaintiff Kevin Fong. We intend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75"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u w:val="single" w:color="auto"/>
          <w:color w:val="auto"/>
        </w:rPr>
        <w:t>Solomon Capital, LLC.</w:t>
      </w:r>
      <w:r>
        <w:rPr>
          <w:rFonts w:ascii="Times New Roman" w:cs="Times New Roman" w:eastAsia="Times New Roman" w:hAnsi="Times New Roman"/>
          <w:sz w:val="17"/>
          <w:szCs w:val="17"/>
          <w:color w:val="auto"/>
        </w:rPr>
        <w:t xml:space="preserve"> On April 8, 2016, a lawsuit, or the First Solomon Lawsuit, titled </w:t>
      </w:r>
      <w:r>
        <w:rPr>
          <w:rFonts w:ascii="Times New Roman" w:cs="Times New Roman" w:eastAsia="Times New Roman" w:hAnsi="Times New Roman"/>
          <w:sz w:val="17"/>
          <w:szCs w:val="17"/>
          <w:i w:val="1"/>
          <w:iCs w:val="1"/>
          <w:color w:val="auto"/>
        </w:rPr>
        <w:t>Solomon Capital, LLC, Solomon Capital 401(K)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Trust, Solomon Sharbat and Shelhav Raff v. Lion Biotechnologies, Inc. </w:t>
      </w:r>
      <w:r>
        <w:rPr>
          <w:rFonts w:ascii="Times New Roman" w:cs="Times New Roman" w:eastAsia="Times New Roman" w:hAnsi="Times New Roman"/>
          <w:sz w:val="17"/>
          <w:szCs w:val="17"/>
          <w:color w:val="auto"/>
        </w:rPr>
        <w:t>was filed by Solomon Capital, LLC, Solomon Capital 401(k)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Solomon Sharbat and Shelhav Raff, which we refer to as the Solomon Plaintiffs, against us in the Supreme Court of the State of New York, County of New York (index no. 651881/2016). The Solomon Plaintiffs allege that, between June and November 2012 they provided to us $0.1 million and that they advanced and paid on our behalf an additional $0.2 million. The complaint further alleges that we agreed to (i) provide them with promissory notes totaling $0.2 million, plus interest, (ii) issue a total of 111,425 shares to the Solomon Plaintiffs (before the 1-for-100 reverse split of our common stock effected in March 2013), and (iii) allow the Solomon Plaintiffs to convert the foregoing funds into our securities in the next transaction. The Solomon Plaintiffs allege that they should have been able to convert their advances and payments into shares of our common stock in the restructuring that was affected in May 2013. Based on the foregoing, the Solomon Plaintiffs allege causes for breach of contract and unjust enrichment and demand judgment against us in an unspecified amount exceeding $1.5 million, plus interest and attorneys’ fees. On June 3, 2016, we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filed an answer and counterclaims in the lawsuit. In its counterclaims, we allege that the Solomon Plaintiffs misrepresented their qualifications to assist us in fundraising and that they failed to disclose that they were under investigation for securities laws violations. We are seeking damages in an amount exceeding $0.5 million and an order rescinding any and all agreements that the Solomon Plaintiffs contend entitled them to obtain stock in our company. On April 19, 2017, the court granted the Solomon Plaintiffs’ counsel’s motion to withdraw from the case. On May 25, 2017, the Solomon Plaintiffs’ filed a notice that they had hired new counsel. On June 7, 2017, the judge presiding over the case recused herself because of a conflict of interest arising from her relationship with the Solomon Plaintiffs’ new attorneys and the case was subsequently assigned to a new judge. On April 20, 2018, the court held a hearing regarding the Solomon Plaintiffs’ motion to dismiss our amended counterclaims and affirmative defense for fraudulent inducement. On August 15, 2018, the court entered an order granting the Solomon Plaintiffs’ motion and dismissed the Company’s amended counterclaims and eleventh affirmative defense for fraudulent inducement without leave to amend. On September 14, 2018, we filed a notice of appeal related to this order, and on November 5, 2018, we filed our memorandum of law in support of our appeal of the order dismissing our amended counterclaims and affirmative defense for fraudulent inducement. On January 2, 2019, the Solomon Plaintiffs filed their memorandum of law in opposition to the appeal. On January 18, 2019, we filed our reply brief in support of our appeal of the order dismissing our amended counterclaims and affirmative defense for fraudulent inducement. On April 4, 2019, the appellate court ordered that our amended counterclaims and our affirmative defense for fraudulent inducement be reinstated.</w:t>
      </w:r>
    </w:p>
    <w:p>
      <w:pPr>
        <w:spacing w:after="0" w:line="177" w:lineRule="exact"/>
        <w:rPr>
          <w:sz w:val="20"/>
          <w:szCs w:val="20"/>
          <w:color w:val="auto"/>
        </w:rPr>
      </w:pPr>
    </w:p>
    <w:p>
      <w:pPr>
        <w:ind w:right="60" w:firstLine="466"/>
        <w:spacing w:after="0" w:line="260" w:lineRule="auto"/>
        <w:rPr>
          <w:sz w:val="20"/>
          <w:szCs w:val="20"/>
          <w:color w:val="auto"/>
        </w:rPr>
      </w:pPr>
      <w:r>
        <w:rPr>
          <w:rFonts w:ascii="Times New Roman" w:cs="Times New Roman" w:eastAsia="Times New Roman" w:hAnsi="Times New Roman"/>
          <w:sz w:val="17"/>
          <w:szCs w:val="17"/>
          <w:color w:val="auto"/>
        </w:rPr>
        <w:t xml:space="preserve">On September 27, 2019, the Solomon Plaintiffs filed a new lawsuit (through new legal counsel), or the Second Solomon Suit, titled </w:t>
      </w:r>
      <w:r>
        <w:rPr>
          <w:rFonts w:ascii="Times New Roman" w:cs="Times New Roman" w:eastAsia="Times New Roman" w:hAnsi="Times New Roman"/>
          <w:sz w:val="17"/>
          <w:szCs w:val="17"/>
          <w:i w:val="1"/>
          <w:iCs w:val="1"/>
          <w:color w:val="auto"/>
        </w:rPr>
        <w:t xml:space="preserve">Solomon Capital, LLC, Solomon Capital 401(K) Trust, Solomon Sharbat and Shelhav Raff v. Iovance Biotherapeutics, Inc., f/k/a/ Lion Biotechnologies Inc. f/k/a/ Genesis Biopharma Inc., and Manish Singh </w:t>
      </w:r>
      <w:r>
        <w:rPr>
          <w:rFonts w:ascii="Times New Roman" w:cs="Times New Roman" w:eastAsia="Times New Roman" w:hAnsi="Times New Roman"/>
          <w:sz w:val="17"/>
          <w:szCs w:val="17"/>
          <w:color w:val="auto"/>
        </w:rPr>
        <w:t>in the Supreme Court of the State of New York, County of New York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(index no. 655667/2019). The Solomon Plaintiffs allege new claims in the Second Solomon Suit based principally on the allegation that they were entitled to fees for introducing investors to us.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75" w:lineRule="exact"/>
        <w:rPr>
          <w:sz w:val="20"/>
          <w:szCs w:val="20"/>
          <w:color w:val="auto"/>
        </w:rPr>
      </w:pPr>
    </w:p>
    <w:p>
      <w:pPr>
        <w:ind w:right="20" w:firstLine="466"/>
        <w:spacing w:after="0" w:line="291" w:lineRule="auto"/>
        <w:rPr>
          <w:sz w:val="20"/>
          <w:szCs w:val="20"/>
          <w:color w:val="auto"/>
        </w:rPr>
      </w:pPr>
      <w:r>
        <w:rPr>
          <w:rFonts w:ascii="Times New Roman" w:cs="Times New Roman" w:eastAsia="Times New Roman" w:hAnsi="Times New Roman"/>
          <w:sz w:val="17"/>
          <w:szCs w:val="17"/>
          <w:color w:val="auto"/>
        </w:rPr>
        <w:t>We intend to vigorously defend these complaints and pursue our counterclaims, as applicable. At the current stage of the litigation, it is not possible to estimate the amount or range of possible loss that might result from an adverse judgment or a settlement of these matters.</w:t>
      </w:r>
    </w:p>
    <w:p>
      <w:pPr>
        <w:spacing w:after="0" w:line="145"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u w:val="single" w:color="auto"/>
          <w:color w:val="auto"/>
        </w:rPr>
        <w:t>Litigation Involving Dr. Steven Fischkoff</w:t>
      </w:r>
      <w:r>
        <w:rPr>
          <w:rFonts w:ascii="Times New Roman" w:cs="Times New Roman" w:eastAsia="Times New Roman" w:hAnsi="Times New Roman"/>
          <w:sz w:val="17"/>
          <w:szCs w:val="17"/>
          <w:color w:val="auto"/>
        </w:rPr>
        <w:t xml:space="preserve">. On June 13, 2017, in an action titled </w:t>
      </w:r>
      <w:r>
        <w:rPr>
          <w:rFonts w:ascii="Times New Roman" w:cs="Times New Roman" w:eastAsia="Times New Roman" w:hAnsi="Times New Roman"/>
          <w:sz w:val="17"/>
          <w:szCs w:val="17"/>
          <w:i w:val="1"/>
          <w:iCs w:val="1"/>
          <w:color w:val="auto"/>
        </w:rPr>
        <w:t>Steven Fischkoff v. Lion Biotechnologies, Inc. and Maria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Fardis</w:t>
      </w:r>
      <w:r>
        <w:rPr>
          <w:rFonts w:ascii="Times New Roman" w:cs="Times New Roman" w:eastAsia="Times New Roman" w:hAnsi="Times New Roman"/>
          <w:sz w:val="17"/>
          <w:szCs w:val="17"/>
          <w:color w:val="auto"/>
        </w:rPr>
        <w:t>, Dr. Steven Fischkoff, our former Vice President and Chief Medical Officer, filed a lawsuit against us in the Supreme Court of the State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York, County of New York. Dr. Fischkoff was dismissed by us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company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us and Dr. Fardis. On October 18, 2018, Dr. Fischkoff amended his complaint to assert a new claim for defamation arising from SEC filings in which we provided the information about this litigation.</w:t>
      </w:r>
    </w:p>
    <w:p>
      <w:pPr>
        <w:spacing w:after="0" w:line="175" w:lineRule="exact"/>
        <w:rPr>
          <w:sz w:val="20"/>
          <w:szCs w:val="20"/>
          <w:color w:val="auto"/>
        </w:rPr>
      </w:pPr>
    </w:p>
    <w:p>
      <w:pPr>
        <w:jc w:val="both"/>
        <w:ind w:firstLine="466"/>
        <w:spacing w:after="0" w:line="272" w:lineRule="auto"/>
        <w:rPr>
          <w:sz w:val="20"/>
          <w:szCs w:val="20"/>
          <w:color w:val="auto"/>
        </w:rPr>
      </w:pPr>
      <w:r>
        <w:rPr>
          <w:rFonts w:ascii="Times New Roman" w:cs="Times New Roman" w:eastAsia="Times New Roman" w:hAnsi="Times New Roman"/>
          <w:sz w:val="17"/>
          <w:szCs w:val="17"/>
          <w:color w:val="auto"/>
        </w:rPr>
        <w:t>We intend to vigorously defend against Dr. Fischkoff’s lawsuit and pursue our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64" w:lineRule="exact"/>
        <w:rPr>
          <w:sz w:val="20"/>
          <w:szCs w:val="20"/>
          <w:color w:val="auto"/>
        </w:rPr>
      </w:pPr>
    </w:p>
    <w:p>
      <w:pPr>
        <w:ind w:right="100" w:firstLine="466"/>
        <w:spacing w:after="0" w:line="266" w:lineRule="auto"/>
        <w:rPr>
          <w:sz w:val="20"/>
          <w:szCs w:val="20"/>
          <w:color w:val="auto"/>
        </w:rPr>
      </w:pPr>
      <w:r>
        <w:rPr>
          <w:rFonts w:ascii="Times New Roman" w:cs="Times New Roman" w:eastAsia="Times New Roman" w:hAnsi="Times New Roman"/>
          <w:sz w:val="17"/>
          <w:szCs w:val="17"/>
          <w:u w:val="single" w:color="auto"/>
          <w:color w:val="auto"/>
        </w:rPr>
        <w:t>Other Matters.</w:t>
      </w:r>
      <w:r>
        <w:rPr>
          <w:rFonts w:ascii="Times New Roman" w:cs="Times New Roman" w:eastAsia="Times New Roman" w:hAnsi="Times New Roman"/>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shares may have rescission rights (if they still own the shares) or claims for damages (if they no longer own the shares). The amount of any such liability is uncertain and as such, an accrual for any potential loss has not been made. We believe that any claims brought against it would not result in a material impact to our financial position or results of operations. We have not accrued a loss for a potential claim associated with this matter as we are unable to estimate any at this time.</w:t>
      </w:r>
    </w:p>
    <w:p>
      <w:pPr>
        <w:spacing w:after="0" w:line="169"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In connection with our reincorporation from Nevada to Delaware in 2017, we (as a Delaware corporation) untimely filed a post-effective amendment to adopt a Form S-8 registration statement that the Company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consolidated financial statements.</w:t>
      </w:r>
    </w:p>
    <w:p>
      <w:pPr>
        <w:spacing w:after="0" w:line="175" w:lineRule="exact"/>
        <w:rPr>
          <w:sz w:val="20"/>
          <w:szCs w:val="20"/>
          <w:color w:val="auto"/>
        </w:rPr>
      </w:pPr>
    </w:p>
    <w:p>
      <w:pPr>
        <w:ind w:firstLine="466"/>
        <w:spacing w:after="0" w:line="261" w:lineRule="auto"/>
        <w:rPr>
          <w:sz w:val="20"/>
          <w:szCs w:val="20"/>
          <w:color w:val="auto"/>
        </w:rPr>
      </w:pPr>
      <w:r>
        <w:rPr>
          <w:rFonts w:ascii="Times New Roman" w:cs="Times New Roman" w:eastAsia="Times New Roman" w:hAnsi="Times New Roman"/>
          <w:sz w:val="17"/>
          <w:szCs w:val="17"/>
          <w:color w:val="auto"/>
        </w:rPr>
        <w:t>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0"/>
          </w:cols>
          <w:pgMar w:left="920" w:top="639" w:right="939"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19" w:lineRule="exact"/>
        <w:rPr>
          <w:sz w:val="20"/>
          <w:szCs w:val="20"/>
          <w:color w:val="auto"/>
        </w:rPr>
      </w:pPr>
    </w:p>
    <w:p>
      <w:pPr>
        <w:jc w:val="both"/>
        <w:ind w:firstLine="621"/>
        <w:spacing w:after="0" w:line="264"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w:t>
      </w:r>
      <w:hyperlink r:id="rId51">
        <w:r>
          <w:rPr>
            <w:rFonts w:ascii="Times New Roman" w:cs="Times New Roman" w:eastAsia="Times New Roman" w:hAnsi="Times New Roman"/>
            <w:sz w:val="17"/>
            <w:szCs w:val="17"/>
            <w:i w:val="1"/>
            <w:iCs w:val="1"/>
            <w:u w:val="single" w:color="auto"/>
            <w:color w:val="0000EE"/>
          </w:rPr>
          <w:t>Annual Report on Form 10-K for the year ended December 31, 2018 filed on February 28, 2019</w:t>
        </w:r>
      </w:hyperlink>
      <w:r>
        <w:rPr>
          <w:rFonts w:ascii="Times New Roman" w:cs="Times New Roman" w:eastAsia="Times New Roman" w:hAnsi="Times New Roman"/>
          <w:sz w:val="17"/>
          <w:szCs w:val="17"/>
          <w:i w:val="1"/>
          <w:iCs w:val="1"/>
          <w:color w:val="auto"/>
        </w:rPr>
        <w:t>, including our financial statements and related notes, and our other filings from time to time with the Securities and Exchange Commission or SEC.</w:t>
      </w:r>
    </w:p>
    <w:p>
      <w:pPr>
        <w:spacing w:after="0" w:line="168" w:lineRule="exact"/>
        <w:rPr>
          <w:sz w:val="20"/>
          <w:szCs w:val="20"/>
          <w:color w:val="auto"/>
        </w:rPr>
      </w:pPr>
    </w:p>
    <w:p>
      <w:pPr>
        <w:jc w:val="both"/>
        <w:ind w:right="20" w:firstLine="621"/>
        <w:spacing w:after="0" w:line="294" w:lineRule="auto"/>
        <w:rPr>
          <w:sz w:val="20"/>
          <w:szCs w:val="20"/>
          <w:color w:val="auto"/>
        </w:rPr>
      </w:pPr>
      <w:r>
        <w:rPr>
          <w:rFonts w:ascii="Times New Roman" w:cs="Times New Roman" w:eastAsia="Times New Roman" w:hAnsi="Times New Roman"/>
          <w:sz w:val="17"/>
          <w:szCs w:val="17"/>
          <w:i w:val="1"/>
          <w:iCs w:val="1"/>
          <w:color w:val="auto"/>
        </w:rPr>
        <w:t>We have marked with an asterisk (*) those risk factors below that reflect a substantive change from the risk factors included in our Annual Report on Form 10-K filed with the SEC on February 28, 2019.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operating losses; we expect to continue to incur losses and we may never be profitable.</w:t>
      </w:r>
      <w:r>
        <w:rPr>
          <w:rFonts w:ascii="Times New Roman" w:cs="Times New Roman" w:eastAsia="Times New Roman" w:hAnsi="Times New Roman"/>
          <w:sz w:val="25"/>
          <w:szCs w:val="25"/>
          <w:color w:val="auto"/>
          <w:vertAlign w:val="superscript"/>
        </w:rPr>
        <w:t>*</w:t>
      </w:r>
    </w:p>
    <w:p>
      <w:pPr>
        <w:spacing w:after="0" w:line="131" w:lineRule="exact"/>
        <w:rPr>
          <w:sz w:val="20"/>
          <w:szCs w:val="20"/>
          <w:color w:val="auto"/>
        </w:rPr>
      </w:pPr>
    </w:p>
    <w:p>
      <w:pPr>
        <w:ind w:right="40" w:firstLine="466"/>
        <w:spacing w:after="0" w:line="260" w:lineRule="auto"/>
        <w:rPr>
          <w:sz w:val="20"/>
          <w:szCs w:val="20"/>
          <w:color w:val="auto"/>
        </w:rPr>
      </w:pPr>
      <w:r>
        <w:rPr>
          <w:rFonts w:ascii="Times New Roman" w:cs="Times New Roman" w:eastAsia="Times New Roman" w:hAnsi="Times New Roman"/>
          <w:sz w:val="17"/>
          <w:szCs w:val="17"/>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September 30, 2019, we had an accumulated deficit of $507.0 million. In addition, during the nine months ended September 30, 2019, we incurred a net loss of $134.0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5" w:lineRule="exact"/>
        <w:rPr>
          <w:sz w:val="20"/>
          <w:szCs w:val="20"/>
          <w:color w:val="auto"/>
        </w:rPr>
      </w:pPr>
    </w:p>
    <w:p>
      <w:pPr>
        <w:ind w:right="540" w:firstLine="466"/>
        <w:spacing w:after="0" w:line="272" w:lineRule="auto"/>
        <w:rPr>
          <w:sz w:val="20"/>
          <w:szCs w:val="20"/>
          <w:color w:val="auto"/>
        </w:rPr>
      </w:pPr>
      <w:r>
        <w:rPr>
          <w:rFonts w:ascii="Times New Roman" w:cs="Times New Roman" w:eastAsia="Times New Roman" w:hAnsi="Times New Roman"/>
          <w:sz w:val="17"/>
          <w:szCs w:val="17"/>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experience in operating our current business, which makes it difficult to evaluate our business plan and our prospects.</w:t>
      </w:r>
    </w:p>
    <w:p>
      <w:pPr>
        <w:spacing w:after="0" w:line="223" w:lineRule="exact"/>
        <w:rPr>
          <w:sz w:val="20"/>
          <w:szCs w:val="20"/>
          <w:color w:val="auto"/>
        </w:rPr>
      </w:pPr>
    </w:p>
    <w:p>
      <w:pPr>
        <w:ind w:right="180" w:firstLine="466"/>
        <w:spacing w:after="0" w:line="263" w:lineRule="auto"/>
        <w:rPr>
          <w:sz w:val="20"/>
          <w:szCs w:val="20"/>
          <w:color w:val="auto"/>
        </w:rPr>
      </w:pPr>
      <w:r>
        <w:rPr>
          <w:rFonts w:ascii="Times New Roman" w:cs="Times New Roman" w:eastAsia="Times New Roman" w:hAnsi="Times New Roman"/>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72" w:lineRule="exact"/>
        <w:rPr>
          <w:sz w:val="20"/>
          <w:szCs w:val="20"/>
          <w:color w:val="auto"/>
        </w:rPr>
      </w:pPr>
    </w:p>
    <w:p>
      <w:pPr>
        <w:ind w:right="40" w:firstLine="466"/>
        <w:spacing w:after="0" w:line="260" w:lineRule="auto"/>
        <w:rPr>
          <w:sz w:val="20"/>
          <w:szCs w:val="20"/>
          <w:color w:val="auto"/>
        </w:rPr>
      </w:pPr>
      <w:r>
        <w:rPr>
          <w:rFonts w:ascii="Times New Roman" w:cs="Times New Roman" w:eastAsia="Times New Roman" w:hAnsi="Times New Roman"/>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71" w:lineRule="exact"/>
        <w:rPr>
          <w:sz w:val="20"/>
          <w:szCs w:val="20"/>
          <w:color w:val="auto"/>
        </w:rPr>
      </w:pPr>
    </w:p>
    <w:p>
      <w:pPr>
        <w:ind w:right="46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right="80" w:firstLine="466"/>
        <w:spacing w:after="0" w:line="263" w:lineRule="auto"/>
        <w:rPr>
          <w:sz w:val="20"/>
          <w:szCs w:val="20"/>
          <w:color w:val="auto"/>
        </w:rPr>
      </w:pPr>
      <w:r>
        <w:rPr>
          <w:rFonts w:ascii="Times New Roman" w:cs="Times New Roman" w:eastAsia="Times New Roman" w:hAnsi="Times New Roman"/>
          <w:sz w:val="17"/>
          <w:szCs w:val="17"/>
          <w:color w:val="auto"/>
        </w:rPr>
        <w:t>We currently have no products approved for commercial sale.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successfully commercialize our product candidates. We currently generate no revenue from the sale of any products, and we may never be able to develop or commercialize a marketable product.</w:t>
      </w:r>
    </w:p>
    <w:p>
      <w:pPr>
        <w:spacing w:after="0" w:line="147" w:lineRule="exact"/>
        <w:rPr>
          <w:sz w:val="20"/>
          <w:szCs w:val="20"/>
          <w:color w:val="auto"/>
        </w:rPr>
      </w:pPr>
    </w:p>
    <w:p>
      <w:pPr>
        <w:ind w:right="100" w:firstLine="466"/>
        <w:spacing w:after="0" w:line="266" w:lineRule="auto"/>
        <w:rPr>
          <w:sz w:val="20"/>
          <w:szCs w:val="20"/>
          <w:color w:val="auto"/>
        </w:rPr>
      </w:pPr>
      <w:r>
        <w:rPr>
          <w:rFonts w:ascii="Times New Roman" w:cs="Times New Roman" w:eastAsia="Times New Roman" w:hAnsi="Times New Roman"/>
          <w:sz w:val="17"/>
          <w:szCs w:val="17"/>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169" w:lineRule="exact"/>
        <w:rPr>
          <w:sz w:val="20"/>
          <w:szCs w:val="20"/>
          <w:color w:val="auto"/>
        </w:rPr>
      </w:pPr>
    </w:p>
    <w:p>
      <w:pPr>
        <w:ind w:right="220" w:firstLine="466"/>
        <w:spacing w:after="0" w:line="261" w:lineRule="auto"/>
        <w:rPr>
          <w:sz w:val="20"/>
          <w:szCs w:val="20"/>
          <w:color w:val="auto"/>
        </w:rPr>
      </w:pPr>
      <w:r>
        <w:rPr>
          <w:rFonts w:ascii="Times New Roman" w:cs="Times New Roman" w:eastAsia="Times New Roman" w:hAnsi="Times New Roman"/>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75" w:lineRule="exact"/>
        <w:rPr>
          <w:sz w:val="20"/>
          <w:szCs w:val="20"/>
          <w:color w:val="auto"/>
        </w:rPr>
      </w:pPr>
    </w:p>
    <w:p>
      <w:pPr>
        <w:jc w:val="both"/>
        <w:ind w:right="300" w:firstLine="466"/>
        <w:spacing w:after="0" w:line="272" w:lineRule="auto"/>
        <w:rPr>
          <w:sz w:val="20"/>
          <w:szCs w:val="20"/>
          <w:color w:val="auto"/>
        </w:rPr>
      </w:pPr>
      <w:r>
        <w:rPr>
          <w:rFonts w:ascii="Times New Roman" w:cs="Times New Roman" w:eastAsia="Times New Roman" w:hAnsi="Times New Roman"/>
          <w:sz w:val="17"/>
          <w:szCs w:val="17"/>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64" w:lineRule="exact"/>
        <w:rPr>
          <w:sz w:val="20"/>
          <w:szCs w:val="20"/>
          <w:color w:val="auto"/>
        </w:rPr>
      </w:pPr>
    </w:p>
    <w:p>
      <w:pPr>
        <w:jc w:val="both"/>
        <w:ind w:right="240" w:firstLine="466"/>
        <w:spacing w:after="0" w:line="272" w:lineRule="auto"/>
        <w:rPr>
          <w:sz w:val="20"/>
          <w:szCs w:val="20"/>
          <w:color w:val="auto"/>
        </w:rPr>
      </w:pPr>
      <w:r>
        <w:rPr>
          <w:rFonts w:ascii="Times New Roman" w:cs="Times New Roman" w:eastAsia="Times New Roman" w:hAnsi="Times New Roman"/>
          <w:sz w:val="17"/>
          <w:szCs w:val="17"/>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64" w:lineRule="exact"/>
        <w:rPr>
          <w:sz w:val="20"/>
          <w:szCs w:val="20"/>
          <w:color w:val="auto"/>
        </w:rPr>
      </w:pPr>
    </w:p>
    <w:p>
      <w:pPr>
        <w:ind w:firstLine="466"/>
        <w:spacing w:after="0" w:line="291" w:lineRule="auto"/>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will depend on our ability to:</w:t>
      </w:r>
    </w:p>
    <w:p>
      <w:pPr>
        <w:spacing w:after="0" w:line="147" w:lineRule="exact"/>
        <w:rPr>
          <w:sz w:val="20"/>
          <w:szCs w:val="20"/>
          <w:color w:val="auto"/>
        </w:rPr>
      </w:pP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our product candidates competitively such that third-party and government reimbursement leads to broad product adoption;</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 broad network of clinical sites for administration of our product;</w:t>
      </w:r>
    </w:p>
    <w:p>
      <w:pPr>
        <w:spacing w:after="0" w:line="11" w:lineRule="exact"/>
        <w:rPr>
          <w:rFonts w:ascii="Times New Roman" w:cs="Times New Roman" w:eastAsia="Times New Roman" w:hAnsi="Times New Roman"/>
          <w:sz w:val="17"/>
          <w:szCs w:val="17"/>
          <w:color w:val="auto"/>
        </w:rPr>
      </w:pPr>
    </w:p>
    <w:p>
      <w:pPr>
        <w:ind w:left="780" w:right="460" w:hanging="313"/>
        <w:spacing w:after="0" w:line="254" w:lineRule="auto"/>
        <w:tabs>
          <w:tab w:leader="none" w:pos="77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market demand for our product candidates through our own marketing and sales activities, and any other arrangements to promote these product candidates that we may otherwise establish;</w:t>
      </w: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regulatory approval for the targeted patient population(s) and claims that are necessary or desirable for successful marketing;</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deploy a commercial team including a sales force to commercialize product candidates in the United States and abroad;</w:t>
      </w:r>
    </w:p>
    <w:p>
      <w:pPr>
        <w:spacing w:after="0" w:line="11" w:lineRule="exact"/>
        <w:rPr>
          <w:rFonts w:ascii="Times New Roman" w:cs="Times New Roman" w:eastAsia="Times New Roman" w:hAnsi="Times New Roman"/>
          <w:sz w:val="17"/>
          <w:szCs w:val="17"/>
          <w:color w:val="auto"/>
        </w:rPr>
      </w:pPr>
    </w:p>
    <w:p>
      <w:pPr>
        <w:ind w:left="780" w:right="100" w:hanging="313"/>
        <w:spacing w:after="0" w:line="254" w:lineRule="auto"/>
        <w:tabs>
          <w:tab w:leader="none" w:pos="77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 product candidates through CMOs or in our own manufacturing facility in sufficient quantities and at acceptable quality and manufacturing cost to meet commercial demand at launch and thereafter;</w:t>
      </w:r>
    </w:p>
    <w:p>
      <w:pPr>
        <w:ind w:left="780" w:right="200" w:hanging="313"/>
        <w:spacing w:after="0" w:line="254" w:lineRule="auto"/>
        <w:tabs>
          <w:tab w:leader="none" w:pos="77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agreements with wholesalers, distributors, pharmacies, and group purchasing organizations on commercially reasonable terms;</w:t>
      </w: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patent and trade secret protection and regulatory exclusivity for our product candidates;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commercial sales of our product candidates;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market acceptance of our product candidates by patients, the medical community, and third-party payors;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appropriate reimbursement for our product candidates;</w:t>
      </w:r>
    </w:p>
    <w:p>
      <w:pPr>
        <w:spacing w:after="0" w:line="11" w:lineRule="exact"/>
        <w:rPr>
          <w:rFonts w:ascii="Times New Roman" w:cs="Times New Roman" w:eastAsia="Times New Roman" w:hAnsi="Times New Roman"/>
          <w:sz w:val="17"/>
          <w:szCs w:val="17"/>
          <w:color w:val="auto"/>
        </w:rPr>
      </w:pPr>
    </w:p>
    <w:p>
      <w:pPr>
        <w:ind w:left="780" w:right="460" w:hanging="313"/>
        <w:spacing w:after="0" w:line="254" w:lineRule="auto"/>
        <w:tabs>
          <w:tab w:leader="none" w:pos="77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distribution and logistics network capable of product storage within our specifications and regulatory guidelines, and further capable of timely product delivery to clinical sites;</w:t>
      </w: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compete with other therapies or competitors; and</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 continued acceptable safety profile of our product candidates following launch.</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experience as a company conducting clinical trials and face risks due to the need to rely on third parties.</w:t>
      </w:r>
      <w:r>
        <w:rPr>
          <w:rFonts w:ascii="Times New Roman" w:cs="Times New Roman" w:eastAsia="Times New Roman" w:hAnsi="Times New Roman"/>
          <w:sz w:val="25"/>
          <w:szCs w:val="25"/>
          <w:color w:val="auto"/>
          <w:vertAlign w:val="superscript"/>
        </w:rPr>
        <w:t>*</w:t>
      </w:r>
    </w:p>
    <w:p>
      <w:pPr>
        <w:spacing w:after="0" w:line="131" w:lineRule="exact"/>
        <w:rPr>
          <w:sz w:val="20"/>
          <w:szCs w:val="20"/>
          <w:color w:val="auto"/>
        </w:rPr>
      </w:pPr>
    </w:p>
    <w:p>
      <w:pPr>
        <w:jc w:val="both"/>
        <w:ind w:right="240" w:firstLine="466"/>
        <w:spacing w:after="0" w:line="266" w:lineRule="auto"/>
        <w:rPr>
          <w:sz w:val="20"/>
          <w:szCs w:val="20"/>
          <w:color w:val="auto"/>
        </w:rPr>
      </w:pPr>
      <w:r>
        <w:rPr>
          <w:rFonts w:ascii="Times New Roman" w:cs="Times New Roman" w:eastAsia="Times New Roman" w:hAnsi="Times New Roman"/>
          <w:sz w:val="17"/>
          <w:szCs w:val="17"/>
          <w:color w:val="auto"/>
        </w:rPr>
        <w:t>We have limited experience conducting pre-clinical and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7"/>
          <w:szCs w:val="17"/>
          <w:color w:val="auto"/>
        </w:rPr>
        <w:t>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169" w:lineRule="exact"/>
        <w:rPr>
          <w:sz w:val="20"/>
          <w:szCs w:val="20"/>
          <w:color w:val="auto"/>
        </w:rPr>
      </w:pPr>
    </w:p>
    <w:p>
      <w:pPr>
        <w:ind w:right="60" w:firstLine="466"/>
        <w:spacing w:after="0" w:line="263" w:lineRule="auto"/>
        <w:rPr>
          <w:sz w:val="20"/>
          <w:szCs w:val="20"/>
          <w:color w:val="auto"/>
        </w:rPr>
      </w:pPr>
      <w:r>
        <w:rPr>
          <w:rFonts w:ascii="Times New Roman" w:cs="Times New Roman" w:eastAsia="Times New Roman" w:hAnsi="Times New Roman"/>
          <w:sz w:val="17"/>
          <w:szCs w:val="17"/>
          <w:color w:val="auto"/>
        </w:rPr>
        <w:t>Prior to 2015, all the preclinical and clinical trials relating to TIL had been conducted by the NCI. We have recruited a team that has experience with clinical trials; however, we as a company have limited experience in conducting clinical trials. In part because of this lack of experience, we cannot be certain that our ongoing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72" w:lineRule="exact"/>
        <w:rPr>
          <w:sz w:val="20"/>
          <w:szCs w:val="20"/>
          <w:color w:val="auto"/>
        </w:rPr>
      </w:pPr>
    </w:p>
    <w:p>
      <w:pPr>
        <w:jc w:val="both"/>
        <w:ind w:firstLine="466"/>
        <w:spacing w:after="0" w:line="260" w:lineRule="auto"/>
        <w:rPr>
          <w:sz w:val="20"/>
          <w:szCs w:val="20"/>
          <w:color w:val="auto"/>
        </w:rPr>
      </w:pPr>
      <w:r>
        <w:rPr>
          <w:rFonts w:ascii="Times New Roman" w:cs="Times New Roman" w:eastAsia="Times New Roman" w:hAnsi="Times New Roman"/>
          <w:sz w:val="17"/>
          <w:szCs w:val="17"/>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75" w:lineRule="exact"/>
        <w:rPr>
          <w:sz w:val="20"/>
          <w:szCs w:val="20"/>
          <w:color w:val="auto"/>
        </w:rPr>
      </w:pPr>
    </w:p>
    <w:p>
      <w:pPr>
        <w:ind w:right="40" w:firstLine="466"/>
        <w:spacing w:after="0" w:line="259" w:lineRule="auto"/>
        <w:rPr>
          <w:sz w:val="20"/>
          <w:szCs w:val="20"/>
          <w:color w:val="auto"/>
        </w:rPr>
      </w:pPr>
      <w:r>
        <w:rPr>
          <w:rFonts w:ascii="Times New Roman" w:cs="Times New Roman" w:eastAsia="Times New Roman" w:hAnsi="Times New Roman"/>
          <w:sz w:val="17"/>
          <w:szCs w:val="17"/>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73" w:lineRule="exact"/>
        <w:rPr>
          <w:sz w:val="20"/>
          <w:szCs w:val="20"/>
          <w:color w:val="auto"/>
        </w:rPr>
      </w:pPr>
    </w:p>
    <w:p>
      <w:pPr>
        <w:ind w:right="20" w:firstLine="466"/>
        <w:spacing w:after="0" w:line="257" w:lineRule="auto"/>
        <w:rPr>
          <w:sz w:val="20"/>
          <w:szCs w:val="20"/>
          <w:color w:val="auto"/>
        </w:rPr>
      </w:pPr>
      <w:r>
        <w:rPr>
          <w:rFonts w:ascii="Times New Roman" w:cs="Times New Roman" w:eastAsia="Times New Roman" w:hAnsi="Times New Roman"/>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79" w:lineRule="exact"/>
        <w:rPr>
          <w:sz w:val="20"/>
          <w:szCs w:val="20"/>
          <w:color w:val="auto"/>
        </w:rPr>
      </w:pPr>
    </w:p>
    <w:p>
      <w:pPr>
        <w:jc w:val="both"/>
        <w:ind w:right="360" w:firstLine="466"/>
        <w:spacing w:after="0" w:line="272" w:lineRule="auto"/>
        <w:rPr>
          <w:sz w:val="20"/>
          <w:szCs w:val="20"/>
          <w:color w:val="auto"/>
        </w:rPr>
      </w:pPr>
      <w:r>
        <w:rPr>
          <w:rFonts w:ascii="Times New Roman" w:cs="Times New Roman" w:eastAsia="Times New Roman" w:hAnsi="Times New Roman"/>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64" w:lineRule="exact"/>
        <w:rPr>
          <w:sz w:val="20"/>
          <w:szCs w:val="20"/>
          <w:color w:val="auto"/>
        </w:rPr>
      </w:pPr>
    </w:p>
    <w:p>
      <w:pPr>
        <w:ind w:right="60" w:firstLine="466"/>
        <w:spacing w:after="0" w:line="266" w:lineRule="auto"/>
        <w:rPr>
          <w:sz w:val="20"/>
          <w:szCs w:val="20"/>
          <w:color w:val="auto"/>
        </w:rPr>
      </w:pPr>
      <w:r>
        <w:rPr>
          <w:rFonts w:ascii="Times New Roman" w:cs="Times New Roman" w:eastAsia="Times New Roman" w:hAnsi="Times New Roman"/>
          <w:sz w:val="17"/>
          <w:szCs w:val="17"/>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81" w:lineRule="exact"/>
        <w:rPr>
          <w:sz w:val="20"/>
          <w:szCs w:val="20"/>
          <w:color w:val="auto"/>
        </w:rPr>
      </w:pPr>
    </w:p>
    <w:p>
      <w:pPr>
        <w:ind w:right="40" w:firstLine="466"/>
        <w:spacing w:after="0" w:line="261"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75" w:lineRule="exact"/>
        <w:rPr>
          <w:sz w:val="20"/>
          <w:szCs w:val="20"/>
          <w:color w:val="auto"/>
        </w:rPr>
      </w:pPr>
    </w:p>
    <w:p>
      <w:pPr>
        <w:ind w:right="60" w:firstLine="466"/>
        <w:spacing w:after="0" w:line="270" w:lineRule="auto"/>
        <w:rPr>
          <w:sz w:val="20"/>
          <w:szCs w:val="20"/>
          <w:color w:val="auto"/>
        </w:rPr>
      </w:pPr>
      <w:r>
        <w:rPr>
          <w:rFonts w:ascii="Times New Roman" w:cs="Times New Roman" w:eastAsia="Times New Roman" w:hAnsi="Times New Roman"/>
          <w:sz w:val="17"/>
          <w:szCs w:val="17"/>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372" w:lineRule="exact"/>
        <w:rPr>
          <w:sz w:val="20"/>
          <w:szCs w:val="20"/>
          <w:color w:val="auto"/>
        </w:rPr>
      </w:pPr>
    </w:p>
    <w:p>
      <w:pPr>
        <w:ind w:right="14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right="120" w:firstLine="466"/>
        <w:spacing w:after="0" w:line="260" w:lineRule="auto"/>
        <w:rPr>
          <w:sz w:val="20"/>
          <w:szCs w:val="20"/>
          <w:color w:val="auto"/>
        </w:rPr>
      </w:pPr>
      <w:r>
        <w:rPr>
          <w:rFonts w:ascii="Times New Roman" w:cs="Times New Roman" w:eastAsia="Times New Roman" w:hAnsi="Times New Roman"/>
          <w:sz w:val="17"/>
          <w:szCs w:val="17"/>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plan to initiate trials in new indications, and new cohorts in existing trials. Even as these trials progress, issues may arise that could require us to suspend or terminate such clinical trials or could cause the results of one cohort to differ from a prior cohort.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75" w:lineRule="exact"/>
        <w:rPr>
          <w:sz w:val="20"/>
          <w:szCs w:val="20"/>
          <w:color w:val="auto"/>
        </w:rPr>
      </w:pPr>
    </w:p>
    <w:p>
      <w:pPr>
        <w:ind w:left="780" w:hanging="313"/>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generate sufficient preclinical data to support the initiation of clinical studies;</w:t>
      </w:r>
    </w:p>
    <w:p>
      <w:pPr>
        <w:spacing w:after="0" w:line="30" w:lineRule="exact"/>
        <w:rPr>
          <w:rFonts w:ascii="Times New Roman" w:cs="Times New Roman" w:eastAsia="Times New Roman" w:hAnsi="Times New Roman"/>
          <w:sz w:val="17"/>
          <w:szCs w:val="17"/>
          <w:color w:val="auto"/>
        </w:rPr>
      </w:pPr>
    </w:p>
    <w:p>
      <w:pPr>
        <w:ind w:left="780" w:right="220" w:hanging="313"/>
        <w:spacing w:after="0" w:line="254" w:lineRule="auto"/>
        <w:tabs>
          <w:tab w:leader="none" w:pos="77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ind w:left="780" w:hanging="313"/>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a consensus or inability to obtain agreement with regulatory agencies on study design;</w:t>
      </w:r>
    </w:p>
    <w:p>
      <w:pPr>
        <w:spacing w:after="0" w:line="11" w:lineRule="exact"/>
        <w:rPr>
          <w:rFonts w:ascii="Times New Roman" w:cs="Times New Roman" w:eastAsia="Times New Roman" w:hAnsi="Times New Roman"/>
          <w:sz w:val="17"/>
          <w:szCs w:val="17"/>
          <w:color w:val="auto"/>
        </w:rPr>
      </w:pPr>
    </w:p>
    <w:p>
      <w:pPr>
        <w:ind w:left="780" w:hanging="313"/>
        <w:spacing w:after="0" w:line="254" w:lineRule="auto"/>
        <w:tabs>
          <w:tab w:leader="none" w:pos="77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ind w:left="780" w:hanging="313"/>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not accept data from studies with clinical trial sites in foreign countries;</w:t>
      </w:r>
    </w:p>
    <w:p>
      <w:pPr>
        <w:spacing w:after="0" w:line="11" w:lineRule="exact"/>
        <w:rPr>
          <w:rFonts w:ascii="Times New Roman" w:cs="Times New Roman" w:eastAsia="Times New Roman" w:hAnsi="Times New Roman"/>
          <w:sz w:val="17"/>
          <w:szCs w:val="17"/>
          <w:color w:val="auto"/>
        </w:rPr>
      </w:pPr>
    </w:p>
    <w:p>
      <w:pPr>
        <w:jc w:val="both"/>
        <w:ind w:left="780" w:right="340" w:hanging="313"/>
        <w:spacing w:after="0" w:line="254" w:lineRule="auto"/>
        <w:tabs>
          <w:tab w:leader="none" w:pos="77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ind w:left="780" w:right="100" w:hanging="313"/>
        <w:spacing w:after="0" w:line="268" w:lineRule="auto"/>
        <w:tabs>
          <w:tab w:leader="none" w:pos="77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obtaining required IRB approval at each clinical study site;</w:t>
      </w:r>
    </w:p>
    <w:p>
      <w:pPr>
        <w:spacing w:after="0" w:line="30" w:lineRule="exact"/>
        <w:rPr>
          <w:rFonts w:ascii="Times New Roman" w:cs="Times New Roman" w:eastAsia="Times New Roman" w:hAnsi="Times New Roman"/>
          <w:sz w:val="17"/>
          <w:szCs w:val="17"/>
          <w:color w:val="auto"/>
        </w:rPr>
      </w:pPr>
    </w:p>
    <w:p>
      <w:pPr>
        <w:ind w:left="780" w:right="20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recruiting suitable patients to participate in our clinical studies;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in adding new investigators or clinical trial sites, or withdrawal of clinical trial sites from a study;</w:t>
      </w:r>
    </w:p>
    <w:p>
      <w:pPr>
        <w:spacing w:after="0" w:line="11" w:lineRule="exact"/>
        <w:rPr>
          <w:rFonts w:ascii="Times New Roman" w:cs="Times New Roman" w:eastAsia="Times New Roman" w:hAnsi="Times New Roman"/>
          <w:sz w:val="17"/>
          <w:szCs w:val="17"/>
          <w:color w:val="auto"/>
        </w:rPr>
      </w:pPr>
    </w:p>
    <w:p>
      <w:pPr>
        <w:ind w:left="780" w:right="10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change in strategic direction for an indication resulting from differences in results between cohorts in a clinical trial, such as Cohort 2 and Cohort 4 of the C-144-01 clinical trial or the previously disclosed interim results for the C-145-04 trial and the final patient population and results, including differences in patient population, or from different interpretations of the results using a BIRC;</w:t>
      </w:r>
    </w:p>
    <w:p>
      <w:pPr>
        <w:spacing w:after="0" w:line="1" w:lineRule="exact"/>
        <w:rPr>
          <w:rFonts w:ascii="Times New Roman" w:cs="Times New Roman" w:eastAsia="Times New Roman" w:hAnsi="Times New Roman"/>
          <w:sz w:val="17"/>
          <w:szCs w:val="17"/>
          <w:color w:val="auto"/>
        </w:rPr>
      </w:pPr>
    </w:p>
    <w:p>
      <w:pPr>
        <w:ind w:left="780" w:right="54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our CROs, clinical trial sites, patients, or other third parties, or us to adhere to clinical study requirements, including regulatory, contractual or protocol requirements;</w:t>
      </w: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perform in accordance with the FDA’s cGCP requirements, or applicable regulatory guidelines in other countries;</w:t>
      </w:r>
    </w:p>
    <w:p>
      <w:pPr>
        <w:spacing w:after="0" w:line="11" w:lineRule="exact"/>
        <w:rPr>
          <w:rFonts w:ascii="Times New Roman" w:cs="Times New Roman" w:eastAsia="Times New Roman" w:hAnsi="Times New Roman"/>
          <w:sz w:val="17"/>
          <w:szCs w:val="17"/>
          <w:color w:val="auto"/>
        </w:rPr>
      </w:pPr>
    </w:p>
    <w:p>
      <w:pPr>
        <w:ind w:left="780" w:right="28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of our product candidates may be larger than we anticipate or enrollment in these clinical trials may be slower than we anticipate;</w:t>
      </w:r>
    </w:p>
    <w:p>
      <w:pPr>
        <w:ind w:left="780" w:right="8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dropping out of a study;</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occurrence of adverse events associated with the product candidate that are viewed to outweigh its potential benefits;</w:t>
      </w:r>
    </w:p>
    <w:p>
      <w:pPr>
        <w:spacing w:after="0" w:line="11" w:lineRule="exact"/>
        <w:rPr>
          <w:rFonts w:ascii="Times New Roman" w:cs="Times New Roman" w:eastAsia="Times New Roman" w:hAnsi="Times New Roman"/>
          <w:sz w:val="17"/>
          <w:szCs w:val="17"/>
          <w:color w:val="auto"/>
        </w:rPr>
      </w:pPr>
    </w:p>
    <w:p>
      <w:pPr>
        <w:ind w:left="780" w:right="8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and guidance that require amending or submitting new clinical protocols to regulatory authorities and IRBs, and which may cause delays in our development programs, or changes to regulatory review times;</w:t>
      </w:r>
    </w:p>
    <w:p>
      <w:pPr>
        <w:ind w:left="780" w:right="36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regulatory questions or disagreements regarding interpretations of data and results, or new information may emerge regarding our product candidates;</w:t>
      </w: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standard of care on which a clinical development plan was based, which may require new or additional trials;</w:t>
      </w:r>
    </w:p>
    <w:p>
      <w:pPr>
        <w:spacing w:after="0" w:line="11" w:lineRule="exact"/>
        <w:rPr>
          <w:rFonts w:ascii="Times New Roman" w:cs="Times New Roman" w:eastAsia="Times New Roman" w:hAnsi="Times New Roman"/>
          <w:sz w:val="17"/>
          <w:szCs w:val="17"/>
          <w:color w:val="auto"/>
        </w:rPr>
      </w:pPr>
    </w:p>
    <w:p>
      <w:pPr>
        <w:ind w:left="780" w:right="8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studies of our product candidates being greater than we anticipate, or we may have insufficient funds for a clinical trial or to pay the substantial user fees required by the FDA upon the filing of a BLA;</w:t>
      </w:r>
    </w:p>
    <w:p>
      <w:pPr>
        <w:ind w:left="780" w:right="16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Times New Roman" w:cs="Times New Roman" w:eastAsia="Times New Roman" w:hAnsi="Times New Roman"/>
          <w:sz w:val="17"/>
          <w:szCs w:val="17"/>
          <w:color w:val="auto"/>
        </w:rPr>
      </w:pPr>
    </w:p>
    <w:p>
      <w:pPr>
        <w:ind w:left="78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1" w:lineRule="exact"/>
        <w:rPr>
          <w:rFonts w:ascii="Times New Roman" w:cs="Times New Roman" w:eastAsia="Times New Roman" w:hAnsi="Times New Roman"/>
          <w:sz w:val="17"/>
          <w:szCs w:val="17"/>
          <w:color w:val="auto"/>
        </w:rPr>
      </w:pPr>
    </w:p>
    <w:p>
      <w:pPr>
        <w:ind w:left="780" w:right="12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that a product candidate provides an advantage over current standards of care or current or future competitive therapies in development;</w:t>
      </w:r>
    </w:p>
    <w:p>
      <w:pPr>
        <w:ind w:left="780" w:right="50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changes to the therapeutics or their regulatory status which we are administering in combination with our product candidates;</w:t>
      </w:r>
    </w:p>
    <w:p>
      <w:pPr>
        <w:ind w:left="78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fail to approve or subsequently find fault with the manufacturing processes or our manufacturing facilities for clinical and future commercial supplies;</w:t>
      </w:r>
    </w:p>
    <w:p>
      <w:pPr>
        <w:ind w:left="780" w:hanging="31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regulatory authorities may take longer than we anticipate making a decision on our product candidates;</w:t>
      </w:r>
    </w:p>
    <w:p>
      <w:pPr>
        <w:spacing w:after="0" w:line="11" w:lineRule="exact"/>
        <w:rPr>
          <w:rFonts w:ascii="Times New Roman" w:cs="Times New Roman" w:eastAsia="Times New Roman" w:hAnsi="Times New Roman"/>
          <w:sz w:val="17"/>
          <w:szCs w:val="17"/>
          <w:color w:val="auto"/>
        </w:rPr>
      </w:pPr>
    </w:p>
    <w:p>
      <w:pPr>
        <w:ind w:left="780" w:right="4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our manufacturing processes to our CMOs or other larger-scale facilities operated by a CMO or by us and delays or failure by our CMOs or us to make any necessary changes to such manufacturing process;</w:t>
      </w:r>
    </w:p>
    <w:p>
      <w:pPr>
        <w:jc w:val="both"/>
        <w:ind w:left="780" w:right="140" w:hanging="313"/>
        <w:spacing w:after="0" w:line="254"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jc w:val="both"/>
        <w:ind w:left="780" w:hanging="313"/>
        <w:spacing w:after="0" w:line="261" w:lineRule="auto"/>
        <w:tabs>
          <w:tab w:leader="none" w:pos="7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0"/>
          </w:cols>
          <w:pgMar w:left="920" w:top="639" w:right="93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466"/>
        <w:spacing w:after="0" w:line="263" w:lineRule="auto"/>
        <w:rPr>
          <w:sz w:val="20"/>
          <w:szCs w:val="20"/>
          <w:color w:val="auto"/>
        </w:rPr>
      </w:pPr>
      <w:r>
        <w:rPr>
          <w:rFonts w:ascii="Times New Roman" w:cs="Times New Roman" w:eastAsia="Times New Roman" w:hAnsi="Times New Roman"/>
          <w:sz w:val="17"/>
          <w:szCs w:val="17"/>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72"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For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refusal to file or non-approval of a BLA.</w:t>
      </w:r>
    </w:p>
    <w:p>
      <w:pPr>
        <w:spacing w:after="0" w:line="177" w:lineRule="exact"/>
        <w:rPr>
          <w:sz w:val="20"/>
          <w:szCs w:val="20"/>
          <w:color w:val="auto"/>
        </w:rPr>
      </w:pPr>
    </w:p>
    <w:p>
      <w:pPr>
        <w:ind w:right="100" w:firstLine="466"/>
        <w:spacing w:after="0" w:line="272" w:lineRule="auto"/>
        <w:rPr>
          <w:sz w:val="20"/>
          <w:szCs w:val="20"/>
          <w:color w:val="auto"/>
        </w:rPr>
      </w:pPr>
      <w:r>
        <w:rPr>
          <w:rFonts w:ascii="Times New Roman" w:cs="Times New Roman" w:eastAsia="Times New Roman" w:hAnsi="Times New Roman"/>
          <w:sz w:val="17"/>
          <w:szCs w:val="17"/>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64" w:lineRule="exact"/>
        <w:rPr>
          <w:sz w:val="20"/>
          <w:szCs w:val="20"/>
          <w:color w:val="auto"/>
        </w:rPr>
      </w:pPr>
    </w:p>
    <w:p>
      <w:pPr>
        <w:ind w:right="40" w:firstLine="466"/>
        <w:spacing w:after="0" w:line="259" w:lineRule="auto"/>
        <w:rPr>
          <w:sz w:val="20"/>
          <w:szCs w:val="20"/>
          <w:color w:val="auto"/>
        </w:rPr>
      </w:pPr>
      <w:r>
        <w:rPr>
          <w:rFonts w:ascii="Times New Roman" w:cs="Times New Roman" w:eastAsia="Times New Roman" w:hAnsi="Times New Roman"/>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It may take longer and cost more to complete our clinical trials than we project, or we may not be able to complete them at all.</w:t>
      </w:r>
      <w:r>
        <w:rPr>
          <w:rFonts w:ascii="Times New Roman" w:cs="Times New Roman" w:eastAsia="Times New Roman" w:hAnsi="Times New Roman"/>
          <w:sz w:val="25"/>
          <w:szCs w:val="25"/>
          <w:color w:val="auto"/>
          <w:vertAlign w:val="superscript"/>
        </w:rPr>
        <w:t>*</w:t>
      </w:r>
    </w:p>
    <w:p>
      <w:pPr>
        <w:spacing w:after="0" w:line="131" w:lineRule="exact"/>
        <w:rPr>
          <w:sz w:val="20"/>
          <w:szCs w:val="20"/>
          <w:color w:val="auto"/>
        </w:rPr>
      </w:pPr>
    </w:p>
    <w:p>
      <w:pPr>
        <w:ind w:right="80" w:firstLine="466"/>
        <w:spacing w:after="0" w:line="266" w:lineRule="auto"/>
        <w:rPr>
          <w:sz w:val="20"/>
          <w:szCs w:val="20"/>
          <w:color w:val="auto"/>
        </w:rPr>
      </w:pPr>
      <w:r>
        <w:rPr>
          <w:rFonts w:ascii="Times New Roman" w:cs="Times New Roman" w:eastAsia="Times New Roman" w:hAnsi="Times New Roman"/>
          <w:sz w:val="17"/>
          <w:szCs w:val="17"/>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69" w:lineRule="exact"/>
        <w:rPr>
          <w:sz w:val="20"/>
          <w:szCs w:val="20"/>
          <w:color w:val="auto"/>
        </w:rPr>
      </w:pPr>
    </w:p>
    <w:p>
      <w:pPr>
        <w:ind w:right="60" w:firstLine="466"/>
        <w:spacing w:after="0" w:line="257" w:lineRule="auto"/>
        <w:rPr>
          <w:sz w:val="20"/>
          <w:szCs w:val="20"/>
          <w:color w:val="auto"/>
        </w:rPr>
      </w:pPr>
      <w:r>
        <w:rPr>
          <w:rFonts w:ascii="Times New Roman" w:cs="Times New Roman" w:eastAsia="Times New Roman" w:hAnsi="Times New Roman"/>
          <w:sz w:val="17"/>
          <w:szCs w:val="17"/>
          <w:color w:val="auto"/>
        </w:rPr>
        <w:t>We have opened enrollment of our company-sponsored, Phase 2 clinical trials to establish the feasibility of our product, and to assess its overall safety and efficacy in patients with metastatic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TIL therapy LN-145 in patients with recurrent, metastatic or persistent cervical cancers and TIL therapy lifileucel in advanced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LN-145 in patients with recurrent, metastatic or persistent cervical cancers and TIL therapy lifileucel in advanced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73" w:lineRule="exact"/>
        <w:rPr>
          <w:sz w:val="20"/>
          <w:szCs w:val="20"/>
          <w:color w:val="auto"/>
        </w:rPr>
      </w:pPr>
    </w:p>
    <w:p>
      <w:pPr>
        <w:ind w:right="60" w:firstLine="466"/>
        <w:spacing w:after="0" w:line="260" w:lineRule="auto"/>
        <w:rPr>
          <w:sz w:val="20"/>
          <w:szCs w:val="20"/>
          <w:color w:val="auto"/>
        </w:rPr>
      </w:pPr>
      <w:r>
        <w:rPr>
          <w:rFonts w:ascii="Times New Roman" w:cs="Times New Roman" w:eastAsia="Times New Roman" w:hAnsi="Times New Roman"/>
          <w:sz w:val="17"/>
          <w:szCs w:val="17"/>
          <w:color w:val="auto"/>
        </w:rPr>
        <w:t>Furthermore,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75" w:lineRule="exact"/>
        <w:rPr>
          <w:sz w:val="20"/>
          <w:szCs w:val="20"/>
          <w:color w:val="auto"/>
        </w:rPr>
      </w:pPr>
    </w:p>
    <w:p>
      <w:pPr>
        <w:ind w:firstLine="466"/>
        <w:spacing w:after="0" w:line="266" w:lineRule="auto"/>
        <w:rPr>
          <w:sz w:val="20"/>
          <w:szCs w:val="20"/>
          <w:color w:val="auto"/>
        </w:rPr>
      </w:pPr>
      <w:r>
        <w:rPr>
          <w:rFonts w:ascii="Times New Roman" w:cs="Times New Roman" w:eastAsia="Times New Roman" w:hAnsi="Times New Roman"/>
          <w:sz w:val="17"/>
          <w:szCs w:val="17"/>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69" w:lineRule="exact"/>
        <w:rPr>
          <w:sz w:val="20"/>
          <w:szCs w:val="20"/>
          <w:color w:val="auto"/>
        </w:rPr>
      </w:pPr>
    </w:p>
    <w:p>
      <w:pPr>
        <w:ind w:right="80" w:firstLine="466"/>
        <w:spacing w:after="0" w:line="272" w:lineRule="auto"/>
        <w:rPr>
          <w:sz w:val="20"/>
          <w:szCs w:val="20"/>
          <w:color w:val="auto"/>
        </w:rPr>
      </w:pPr>
      <w:r>
        <w:rPr>
          <w:rFonts w:ascii="Times New Roman" w:cs="Times New Roman" w:eastAsia="Times New Roman" w:hAnsi="Times New Roman"/>
          <w:sz w:val="17"/>
          <w:szCs w:val="17"/>
          <w:color w:val="auto"/>
        </w:rPr>
        <w:t>We currently anticipate that we will have to rely on our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160" w:lineRule="exact"/>
        <w:rPr>
          <w:sz w:val="20"/>
          <w:szCs w:val="20"/>
          <w:color w:val="auto"/>
        </w:rPr>
      </w:pPr>
    </w:p>
    <w:p>
      <w:pPr>
        <w:ind w:right="6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43" w:lineRule="exact"/>
        <w:rPr>
          <w:sz w:val="20"/>
          <w:szCs w:val="20"/>
          <w:color w:val="auto"/>
        </w:rPr>
      </w:pPr>
    </w:p>
    <w:p>
      <w:pPr>
        <w:ind w:right="80" w:firstLine="466"/>
        <w:spacing w:after="0" w:line="258" w:lineRule="auto"/>
        <w:rPr>
          <w:sz w:val="20"/>
          <w:szCs w:val="20"/>
          <w:color w:val="auto"/>
        </w:rPr>
      </w:pPr>
      <w:r>
        <w:rPr>
          <w:rFonts w:ascii="Times New Roman" w:cs="Times New Roman" w:eastAsia="Times New Roman" w:hAnsi="Times New Roman"/>
          <w:sz w:val="17"/>
          <w:szCs w:val="17"/>
          <w:color w:val="auto"/>
        </w:rPr>
        <w:t>Clinical trials are expensive and difficult to design and implement, in part because they are subject to rigorous regulatory requirements. Because our product candidates are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71" w:lineRule="exact"/>
        <w:rPr>
          <w:sz w:val="20"/>
          <w:szCs w:val="20"/>
          <w:color w:val="auto"/>
        </w:rPr>
      </w:pPr>
    </w:p>
    <w:p>
      <w:pPr>
        <w:ind w:right="14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clinical trials may fail to demonstrate adequately the safety and efficacy of our product candidates, which would prevent or delay regulatory approval and commercialization.</w:t>
      </w:r>
    </w:p>
    <w:p>
      <w:pPr>
        <w:spacing w:after="0" w:line="143" w:lineRule="exact"/>
        <w:rPr>
          <w:sz w:val="20"/>
          <w:szCs w:val="20"/>
          <w:color w:val="auto"/>
        </w:rPr>
      </w:pPr>
    </w:p>
    <w:p>
      <w:pPr>
        <w:ind w:right="100" w:firstLine="466"/>
        <w:spacing w:after="0" w:line="260" w:lineRule="auto"/>
        <w:rPr>
          <w:sz w:val="20"/>
          <w:szCs w:val="20"/>
          <w:color w:val="auto"/>
        </w:rPr>
      </w:pPr>
      <w:r>
        <w:rPr>
          <w:rFonts w:ascii="Times New Roman" w:cs="Times New Roman" w:eastAsia="Times New Roman" w:hAnsi="Times New Roman"/>
          <w:sz w:val="17"/>
          <w:szCs w:val="17"/>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81" w:lineRule="exact"/>
        <w:rPr>
          <w:sz w:val="20"/>
          <w:szCs w:val="20"/>
          <w:color w:val="auto"/>
        </w:rPr>
      </w:pPr>
    </w:p>
    <w:p>
      <w:pPr>
        <w:ind w:right="40" w:firstLine="466"/>
        <w:spacing w:after="0" w:line="260" w:lineRule="auto"/>
        <w:rPr>
          <w:sz w:val="20"/>
          <w:szCs w:val="20"/>
          <w:color w:val="auto"/>
        </w:rPr>
      </w:pPr>
      <w:r>
        <w:rPr>
          <w:rFonts w:ascii="Times New Roman" w:cs="Times New Roman" w:eastAsia="Times New Roman" w:hAnsi="Times New Roman"/>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5"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develop our product candidates for use with other oncology products, the design, implementation, and interpretation of the clinical trials necessary for marketing approval may be more complex than if we were developing our product candidates alone.</w:t>
      </w:r>
    </w:p>
    <w:p>
      <w:pPr>
        <w:spacing w:after="0" w:line="175" w:lineRule="exact"/>
        <w:rPr>
          <w:sz w:val="20"/>
          <w:szCs w:val="20"/>
          <w:color w:val="auto"/>
        </w:rPr>
      </w:pPr>
    </w:p>
    <w:p>
      <w:pPr>
        <w:ind w:firstLine="466"/>
        <w:spacing w:after="0" w:line="266" w:lineRule="auto"/>
        <w:rPr>
          <w:sz w:val="20"/>
          <w:szCs w:val="20"/>
          <w:color w:val="auto"/>
        </w:rPr>
      </w:pPr>
      <w:r>
        <w:rPr>
          <w:rFonts w:ascii="Times New Roman" w:cs="Times New Roman" w:eastAsia="Times New Roman" w:hAnsi="Times New Roman"/>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69" w:lineRule="exact"/>
        <w:rPr>
          <w:sz w:val="20"/>
          <w:szCs w:val="20"/>
          <w:color w:val="auto"/>
        </w:rPr>
      </w:pPr>
    </w:p>
    <w:p>
      <w:pPr>
        <w:ind w:right="80" w:firstLine="466"/>
        <w:spacing w:after="0" w:line="259" w:lineRule="auto"/>
        <w:rPr>
          <w:sz w:val="20"/>
          <w:szCs w:val="20"/>
          <w:color w:val="auto"/>
        </w:rPr>
      </w:pPr>
      <w:r>
        <w:rPr>
          <w:rFonts w:ascii="Times New Roman" w:cs="Times New Roman" w:eastAsia="Times New Roman" w:hAnsi="Times New Roman"/>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73" w:lineRule="exact"/>
        <w:rPr>
          <w:sz w:val="20"/>
          <w:szCs w:val="20"/>
          <w:color w:val="auto"/>
        </w:rPr>
      </w:pPr>
    </w:p>
    <w:p>
      <w:pPr>
        <w:ind w:right="28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encounter difficulties enrolling patients in our clinical trials, our clinical development activities could be delayed or otherwise adversely affected.</w:t>
      </w:r>
    </w:p>
    <w:p>
      <w:pPr>
        <w:spacing w:after="0" w:line="143" w:lineRule="exact"/>
        <w:rPr>
          <w:sz w:val="20"/>
          <w:szCs w:val="20"/>
          <w:color w:val="auto"/>
        </w:rPr>
      </w:pPr>
    </w:p>
    <w:p>
      <w:pPr>
        <w:ind w:right="40" w:firstLine="466"/>
        <w:spacing w:after="0" w:line="272" w:lineRule="auto"/>
        <w:rPr>
          <w:sz w:val="20"/>
          <w:szCs w:val="20"/>
          <w:color w:val="auto"/>
        </w:rPr>
      </w:pPr>
      <w:r>
        <w:rPr>
          <w:rFonts w:ascii="Times New Roman" w:cs="Times New Roman" w:eastAsia="Times New Roman" w:hAnsi="Times New Roman"/>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64" w:lineRule="exact"/>
        <w:rPr>
          <w:sz w:val="20"/>
          <w:szCs w:val="20"/>
          <w:color w:val="auto"/>
        </w:rPr>
      </w:pPr>
    </w:p>
    <w:p>
      <w:pPr>
        <w:ind w:left="780" w:hanging="313"/>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nature of the patient population;</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disease under investigation;</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eligibility criteria defined in the protocol;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study population required for analysis of the trial’s primary endpoints;</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of patients to trial sites;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trial;</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clinical trial investigators with the appropriate competencies and experience;</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to facilitate timely enrollment in clinical trials and the effectiveness of recruiting publicity;</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referral practices of physicians;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competing clinical trials for similar therapies or other new therapeutics not involving cell-based immunotherapy;</w:t>
      </w:r>
    </w:p>
    <w:p>
      <w:pPr>
        <w:spacing w:after="0" w:line="11" w:lineRule="exact"/>
        <w:rPr>
          <w:rFonts w:ascii="Times New Roman" w:cs="Times New Roman" w:eastAsia="Times New Roman" w:hAnsi="Times New Roman"/>
          <w:sz w:val="17"/>
          <w:szCs w:val="17"/>
          <w:color w:val="auto"/>
        </w:rPr>
      </w:pPr>
    </w:p>
    <w:p>
      <w:pPr>
        <w:ind w:left="780" w:hanging="313"/>
        <w:spacing w:after="0" w:line="254" w:lineRule="auto"/>
        <w:tabs>
          <w:tab w:leader="none" w:pos="77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780" w:right="260" w:hanging="313"/>
        <w:spacing w:after="0" w:line="254" w:lineRule="auto"/>
        <w:tabs>
          <w:tab w:leader="none" w:pos="77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investigators enrolling patients who do not meet the enrollment criteria, requiring the inclusion of additional patients in the clinical trial;</w:t>
      </w: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new indications for existing therapies or approval of new therapies in general;</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patient consents; and</w:t>
      </w:r>
    </w:p>
    <w:p>
      <w:pPr>
        <w:spacing w:after="0" w:line="11" w:lineRule="exact"/>
        <w:rPr>
          <w:rFonts w:ascii="Times New Roman" w:cs="Times New Roman" w:eastAsia="Times New Roman" w:hAnsi="Times New Roman"/>
          <w:sz w:val="17"/>
          <w:szCs w:val="17"/>
          <w:color w:val="auto"/>
        </w:rPr>
      </w:pPr>
    </w:p>
    <w:p>
      <w:pPr>
        <w:ind w:left="780" w:right="20" w:hanging="313"/>
        <w:spacing w:after="0" w:line="259" w:lineRule="auto"/>
        <w:tabs>
          <w:tab w:leader="none" w:pos="77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73" w:lineRule="exact"/>
        <w:rPr>
          <w:sz w:val="20"/>
          <w:szCs w:val="20"/>
          <w:color w:val="auto"/>
        </w:rPr>
      </w:pPr>
    </w:p>
    <w:p>
      <w:pPr>
        <w:ind w:right="80" w:firstLine="466"/>
        <w:spacing w:after="0" w:line="258" w:lineRule="auto"/>
        <w:rPr>
          <w:sz w:val="20"/>
          <w:szCs w:val="20"/>
          <w:color w:val="auto"/>
        </w:rPr>
      </w:pPr>
      <w:r>
        <w:rPr>
          <w:rFonts w:ascii="Times New Roman" w:cs="Times New Roman" w:eastAsia="Times New Roman" w:hAnsi="Times New Roman"/>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78" w:lineRule="exact"/>
        <w:rPr>
          <w:sz w:val="20"/>
          <w:szCs w:val="20"/>
          <w:color w:val="auto"/>
        </w:rPr>
      </w:pPr>
    </w:p>
    <w:p>
      <w:pPr>
        <w:ind w:right="60" w:firstLine="472"/>
        <w:spacing w:after="0" w:line="272" w:lineRule="auto"/>
        <w:rPr>
          <w:sz w:val="20"/>
          <w:szCs w:val="20"/>
          <w:color w:val="auto"/>
        </w:rPr>
      </w:pPr>
      <w:r>
        <w:rPr>
          <w:rFonts w:ascii="Times New Roman" w:cs="Times New Roman" w:eastAsia="Times New Roman" w:hAnsi="Times New Roman"/>
          <w:sz w:val="17"/>
          <w:szCs w:val="17"/>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60" w:lineRule="exact"/>
        <w:rPr>
          <w:sz w:val="20"/>
          <w:szCs w:val="20"/>
          <w:color w:val="auto"/>
        </w:rPr>
      </w:pPr>
    </w:p>
    <w:p>
      <w:pPr>
        <w:ind w:right="12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73" w:lineRule="exact"/>
        <w:rPr>
          <w:sz w:val="20"/>
          <w:szCs w:val="20"/>
          <w:color w:val="auto"/>
        </w:rPr>
      </w:pPr>
    </w:p>
    <w:p>
      <w:pPr>
        <w:ind w:right="20" w:firstLine="466"/>
        <w:spacing w:after="0" w:line="261" w:lineRule="auto"/>
        <w:rPr>
          <w:sz w:val="20"/>
          <w:szCs w:val="20"/>
          <w:color w:val="auto"/>
        </w:rPr>
      </w:pPr>
      <w:r>
        <w:rPr>
          <w:rFonts w:ascii="Times New Roman" w:cs="Times New Roman" w:eastAsia="Times New Roman" w:hAnsi="Times New Roman"/>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color w:val="auto"/>
        </w:rPr>
        <w:t>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47"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71" w:lineRule="exact"/>
        <w:rPr>
          <w:sz w:val="20"/>
          <w:szCs w:val="20"/>
          <w:color w:val="auto"/>
        </w:rPr>
      </w:pPr>
    </w:p>
    <w:p>
      <w:pPr>
        <w:ind w:right="80" w:firstLine="466"/>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manufacture of our product candidates is complex, and we may encounter difficulties in production, particularly with respect to process development, quality control,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 </w:t>
      </w:r>
      <w:r>
        <w:rPr>
          <w:rFonts w:ascii="Times New Roman" w:cs="Times New Roman" w:eastAsia="Times New Roman" w:hAnsi="Times New Roman"/>
          <w:sz w:val="25"/>
          <w:szCs w:val="25"/>
          <w:color w:val="auto"/>
          <w:vertAlign w:val="superscript"/>
        </w:rPr>
        <w:t>*</w:t>
      </w:r>
    </w:p>
    <w:p>
      <w:pPr>
        <w:spacing w:after="0" w:line="42"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75" w:lineRule="exact"/>
        <w:rPr>
          <w:sz w:val="20"/>
          <w:szCs w:val="20"/>
          <w:color w:val="auto"/>
        </w:rPr>
      </w:pPr>
    </w:p>
    <w:p>
      <w:pPr>
        <w:ind w:right="100" w:firstLine="466"/>
        <w:spacing w:after="0" w:line="259" w:lineRule="auto"/>
        <w:rPr>
          <w:sz w:val="20"/>
          <w:szCs w:val="20"/>
          <w:color w:val="auto"/>
        </w:rPr>
      </w:pPr>
      <w:r>
        <w:rPr>
          <w:rFonts w:ascii="Times New Roman" w:cs="Times New Roman" w:eastAsia="Times New Roman" w:hAnsi="Times New Roman"/>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77"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This includes potential risks associated with FDA not agreeing with all of the details of our validation data or our potency assay for Cohort 4 of our C-144-01 clinical trial. Furthermore, some of our CMOs may not be able to establish comparability of their products with TIL product used in Cohort 2 or may not be fully validated prior to starting Cohort 4.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Our current manufacturing strategy involves the use of CMOs. Currently our product candidates are manufactured by WuXi, Lonza Netherlands, MasTHerCell,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73" w:lineRule="exact"/>
        <w:rPr>
          <w:sz w:val="20"/>
          <w:szCs w:val="20"/>
          <w:color w:val="auto"/>
        </w:rPr>
      </w:pPr>
    </w:p>
    <w:p>
      <w:pPr>
        <w:ind w:right="680" w:firstLine="466"/>
        <w:spacing w:after="0" w:line="291" w:lineRule="auto"/>
        <w:rPr>
          <w:sz w:val="20"/>
          <w:szCs w:val="20"/>
          <w:color w:val="auto"/>
        </w:rPr>
      </w:pPr>
      <w:r>
        <w:rPr>
          <w:rFonts w:ascii="Times New Roman" w:cs="Times New Roman" w:eastAsia="Times New Roman" w:hAnsi="Times New Roman"/>
          <w:sz w:val="17"/>
          <w:szCs w:val="17"/>
          <w:color w:val="auto"/>
        </w:rPr>
        <w:t>Reliance on third-party manufacturers entails exposure to risks to which we would not be subject if we manufactured the product candidate ourselves, including:</w:t>
      </w:r>
    </w:p>
    <w:p>
      <w:pPr>
        <w:spacing w:after="0" w:line="147" w:lineRule="exact"/>
        <w:rPr>
          <w:sz w:val="20"/>
          <w:szCs w:val="20"/>
          <w:color w:val="auto"/>
        </w:rPr>
      </w:pPr>
    </w:p>
    <w:p>
      <w:pPr>
        <w:ind w:left="780" w:hanging="31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negotiate manufacturing agreements with third parties under commercially reasonable terms;</w:t>
      </w:r>
    </w:p>
    <w:p>
      <w:pPr>
        <w:spacing w:after="0" w:line="30" w:lineRule="exact"/>
        <w:rPr>
          <w:rFonts w:ascii="Times New Roman" w:cs="Times New Roman" w:eastAsia="Times New Roman" w:hAnsi="Times New Roman"/>
          <w:sz w:val="17"/>
          <w:szCs w:val="17"/>
          <w:color w:val="auto"/>
        </w:rPr>
      </w:pPr>
    </w:p>
    <w:p>
      <w:pPr>
        <w:ind w:left="780" w:right="200" w:hanging="313"/>
        <w:spacing w:after="0" w:line="254" w:lineRule="auto"/>
        <w:tabs>
          <w:tab w:leader="none" w:pos="77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day-to-day control over the manufacturing process for our product candidates as a result of using third-party manufacturers for all aspects of manufacturing activities;</w:t>
      </w:r>
    </w:p>
    <w:p>
      <w:pPr>
        <w:ind w:left="780" w:hanging="31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control over the protection of our trade secrets and know-how from misappropriation or inadvertent disclosure;</w:t>
      </w:r>
    </w:p>
    <w:p>
      <w:pPr>
        <w:spacing w:after="0" w:line="11" w:lineRule="exact"/>
        <w:rPr>
          <w:rFonts w:ascii="Times New Roman" w:cs="Times New Roman" w:eastAsia="Times New Roman" w:hAnsi="Times New Roman"/>
          <w:sz w:val="17"/>
          <w:szCs w:val="17"/>
          <w:color w:val="auto"/>
        </w:rPr>
      </w:pPr>
    </w:p>
    <w:p>
      <w:pPr>
        <w:ind w:left="780" w:right="100" w:hanging="313"/>
        <w:spacing w:after="0" w:line="254" w:lineRule="auto"/>
        <w:tabs>
          <w:tab w:leader="none" w:pos="77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nonrenewal of manufacturing agreements with third parties in a manner or at a time that may be costly or damaging to us or result in delays in the development or commercialization of our product candidates; and</w:t>
      </w:r>
    </w:p>
    <w:p>
      <w:pPr>
        <w:ind w:left="780" w:right="760" w:hanging="313"/>
        <w:spacing w:after="0" w:line="268" w:lineRule="auto"/>
        <w:tabs>
          <w:tab w:leader="none" w:pos="77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the operations of our third-party manufacturers or suppliers caused by conditions unrelated to our business or operations, including the bankruptcy of the manufacturer or supplier.</w:t>
      </w:r>
    </w:p>
    <w:p>
      <w:pPr>
        <w:spacing w:after="0" w:line="166" w:lineRule="exact"/>
        <w:rPr>
          <w:sz w:val="20"/>
          <w:szCs w:val="20"/>
          <w:color w:val="auto"/>
        </w:rPr>
      </w:pPr>
    </w:p>
    <w:p>
      <w:pPr>
        <w:ind w:right="100" w:firstLine="466"/>
        <w:spacing w:after="0" w:line="259" w:lineRule="auto"/>
        <w:rPr>
          <w:sz w:val="20"/>
          <w:szCs w:val="20"/>
          <w:color w:val="auto"/>
        </w:rPr>
      </w:pPr>
      <w:r>
        <w:rPr>
          <w:rFonts w:ascii="Times New Roman" w:cs="Times New Roman" w:eastAsia="Times New Roman" w:hAnsi="Times New Roman"/>
          <w:sz w:val="17"/>
          <w:szCs w:val="17"/>
          <w:color w:val="auto"/>
        </w:rPr>
        <w:t>In May 2019 we entered into a lease agreement to build a commercial-scale manufacturing facility in Philadelphia, Pennsylvania for commercial and clinical production of autologous TIL products, including our product candidates lifileucel and LN-145.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73" w:lineRule="exact"/>
        <w:rPr>
          <w:sz w:val="20"/>
          <w:szCs w:val="20"/>
          <w:color w:val="auto"/>
        </w:rPr>
      </w:pPr>
    </w:p>
    <w:p>
      <w:pPr>
        <w:ind w:right="120" w:firstLine="466"/>
        <w:spacing w:after="0" w:line="263" w:lineRule="auto"/>
        <w:rPr>
          <w:sz w:val="20"/>
          <w:szCs w:val="20"/>
          <w:color w:val="auto"/>
        </w:rPr>
      </w:pPr>
      <w:r>
        <w:rPr>
          <w:rFonts w:ascii="Times New Roman" w:cs="Times New Roman" w:eastAsia="Times New Roman" w:hAnsi="Times New Roman"/>
          <w:sz w:val="17"/>
          <w:szCs w:val="17"/>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72" w:lineRule="exact"/>
        <w:rPr>
          <w:sz w:val="20"/>
          <w:szCs w:val="20"/>
          <w:color w:val="auto"/>
        </w:rPr>
      </w:pPr>
    </w:p>
    <w:p>
      <w:pPr>
        <w:ind w:firstLine="466"/>
        <w:spacing w:after="0" w:line="261" w:lineRule="auto"/>
        <w:rPr>
          <w:sz w:val="20"/>
          <w:szCs w:val="20"/>
          <w:color w:val="auto"/>
        </w:rPr>
      </w:pPr>
      <w:r>
        <w:rPr>
          <w:rFonts w:ascii="Times New Roman" w:cs="Times New Roman" w:eastAsia="Times New Roman" w:hAnsi="Times New Roman"/>
          <w:sz w:val="17"/>
          <w:szCs w:val="17"/>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75"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firstLine="466"/>
        <w:spacing w:after="0" w:line="258" w:lineRule="auto"/>
        <w:rPr>
          <w:sz w:val="20"/>
          <w:szCs w:val="20"/>
          <w:color w:val="auto"/>
        </w:rPr>
      </w:pPr>
      <w:r>
        <w:rPr>
          <w:rFonts w:ascii="Times New Roman" w:cs="Times New Roman" w:eastAsia="Times New Roman" w:hAnsi="Times New Roman"/>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5" w:lineRule="exact"/>
        <w:rPr>
          <w:sz w:val="20"/>
          <w:szCs w:val="20"/>
          <w:color w:val="auto"/>
        </w:rPr>
      </w:pPr>
    </w:p>
    <w:p>
      <w:pPr>
        <w:ind w:firstLine="466"/>
        <w:spacing w:after="0" w:line="260" w:lineRule="auto"/>
        <w:rPr>
          <w:sz w:val="20"/>
          <w:szCs w:val="20"/>
          <w:color w:val="auto"/>
        </w:rPr>
      </w:pPr>
      <w:r>
        <w:rPr>
          <w:rFonts w:ascii="Times New Roman" w:cs="Times New Roman" w:eastAsia="Times New Roman" w:hAnsi="Times New Roman"/>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75" w:lineRule="exact"/>
        <w:rPr>
          <w:sz w:val="20"/>
          <w:szCs w:val="20"/>
          <w:color w:val="auto"/>
        </w:rPr>
      </w:pPr>
    </w:p>
    <w:p>
      <w:pPr>
        <w:ind w:right="20" w:firstLine="466"/>
        <w:spacing w:after="0" w:line="272" w:lineRule="auto"/>
        <w:rPr>
          <w:sz w:val="20"/>
          <w:szCs w:val="20"/>
          <w:color w:val="auto"/>
        </w:rPr>
      </w:pPr>
      <w:r>
        <w:rPr>
          <w:rFonts w:ascii="Times New Roman" w:cs="Times New Roman" w:eastAsia="Times New Roman" w:hAnsi="Times New Roman"/>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60" w:lineRule="exact"/>
        <w:rPr>
          <w:sz w:val="20"/>
          <w:szCs w:val="20"/>
          <w:color w:val="auto"/>
        </w:rPr>
      </w:pPr>
    </w:p>
    <w:p>
      <w:pPr>
        <w:ind w:firstLine="466"/>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61"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382" w:lineRule="exact"/>
        <w:rPr>
          <w:sz w:val="20"/>
          <w:szCs w:val="20"/>
          <w:color w:val="auto"/>
        </w:rPr>
      </w:pPr>
    </w:p>
    <w:p>
      <w:pPr>
        <w:ind w:right="120" w:firstLine="466"/>
        <w:spacing w:after="0" w:line="261" w:lineRule="auto"/>
        <w:rPr>
          <w:sz w:val="20"/>
          <w:szCs w:val="20"/>
          <w:color w:val="auto"/>
        </w:rPr>
      </w:pPr>
      <w:r>
        <w:rPr>
          <w:rFonts w:ascii="Times New Roman" w:cs="Times New Roman" w:eastAsia="Times New Roman" w:hAnsi="Times New Roman"/>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5" w:lineRule="exact"/>
        <w:rPr>
          <w:sz w:val="20"/>
          <w:szCs w:val="20"/>
          <w:color w:val="auto"/>
        </w:rPr>
      </w:pPr>
    </w:p>
    <w:p>
      <w:pPr>
        <w:ind w:right="40" w:firstLine="466"/>
        <w:spacing w:after="0" w:line="260" w:lineRule="auto"/>
        <w:rPr>
          <w:sz w:val="20"/>
          <w:szCs w:val="20"/>
          <w:color w:val="auto"/>
        </w:rPr>
      </w:pPr>
      <w:r>
        <w:rPr>
          <w:rFonts w:ascii="Times New Roman" w:cs="Times New Roman" w:eastAsia="Times New Roman" w:hAnsi="Times New Roman"/>
          <w:sz w:val="17"/>
          <w:szCs w:val="17"/>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comparability studies and to collect additional data from patients prior to undertaking more advanced clinical trials.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2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43"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Our TIL based therapy is based on the adoptive cell therapy technology that we licensed from the NIH and that is presently in use as a physician-sponsored investigational therapy for the treatment of Stage IV metastatic melanoma in the United States at the NCI, MDACC Cancer Center, and Moffitt. These current methods of treatment are very labor intensive and expensive, which has limited its widespread application. We have developed new processes that we anticipate will enable more efficient manufacturing of TIL. We may have difficulty demonstrating that the products produced from our new processes are comparable to the existing products. The FDA may require additional clinical testing before permitting a larger clinical trial with the new processes, and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178" w:lineRule="exact"/>
        <w:rPr>
          <w:sz w:val="20"/>
          <w:szCs w:val="20"/>
          <w:color w:val="auto"/>
        </w:rPr>
      </w:pPr>
    </w:p>
    <w:p>
      <w:pPr>
        <w:ind w:right="100" w:firstLine="466"/>
        <w:spacing w:after="0" w:line="272" w:lineRule="auto"/>
        <w:rPr>
          <w:sz w:val="20"/>
          <w:szCs w:val="20"/>
          <w:color w:val="auto"/>
        </w:rPr>
      </w:pPr>
      <w:r>
        <w:rPr>
          <w:rFonts w:ascii="Times New Roman" w:cs="Times New Roman" w:eastAsia="Times New Roman" w:hAnsi="Times New Roman"/>
          <w:sz w:val="17"/>
          <w:szCs w:val="17"/>
          <w:color w:val="auto"/>
        </w:rPr>
        <w:t>In addition to developing a TIL based therapy on existing ACT technology, we are currently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will be unable to commercialize our products if our trials are not successful.</w:t>
      </w:r>
    </w:p>
    <w:p>
      <w:pPr>
        <w:spacing w:after="0" w:line="223" w:lineRule="exact"/>
        <w:rPr>
          <w:sz w:val="20"/>
          <w:szCs w:val="20"/>
          <w:color w:val="auto"/>
        </w:rPr>
      </w:pPr>
    </w:p>
    <w:p>
      <w:pPr>
        <w:ind w:firstLine="466"/>
        <w:spacing w:after="0" w:line="272" w:lineRule="auto"/>
        <w:rPr>
          <w:sz w:val="20"/>
          <w:szCs w:val="20"/>
          <w:color w:val="auto"/>
        </w:rPr>
      </w:pPr>
      <w:r>
        <w:rPr>
          <w:rFonts w:ascii="Times New Roman" w:cs="Times New Roman" w:eastAsia="Times New Roman" w:hAnsi="Times New Roman"/>
          <w:sz w:val="17"/>
          <w:szCs w:val="17"/>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64" w:lineRule="exact"/>
        <w:rPr>
          <w:sz w:val="20"/>
          <w:szCs w:val="20"/>
          <w:color w:val="auto"/>
        </w:rPr>
      </w:pPr>
    </w:p>
    <w:p>
      <w:pPr>
        <w:ind w:left="780" w:right="80" w:hanging="313"/>
        <w:spacing w:after="0" w:line="265" w:lineRule="auto"/>
        <w:tabs>
          <w:tab w:leader="none" w:pos="77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and efficacy results in various human clinical trials reported in scientific and medical literature may not be indicative of results we obtain in our clinical trials;</w:t>
      </w:r>
    </w:p>
    <w:p>
      <w:pPr>
        <w:spacing w:after="0" w:line="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reviewing test results, we or our collaborators may abandon projects that we might previously have believed to be promising;</w:t>
      </w:r>
    </w:p>
    <w:p>
      <w:pPr>
        <w:spacing w:after="0" w:line="11" w:lineRule="exact"/>
        <w:rPr>
          <w:rFonts w:ascii="Times New Roman" w:cs="Times New Roman" w:eastAsia="Times New Roman" w:hAnsi="Times New Roman"/>
          <w:sz w:val="17"/>
          <w:szCs w:val="17"/>
          <w:color w:val="auto"/>
        </w:rPr>
      </w:pPr>
    </w:p>
    <w:p>
      <w:pPr>
        <w:ind w:left="780" w:right="120" w:hanging="313"/>
        <w:spacing w:after="0" w:line="254" w:lineRule="auto"/>
        <w:tabs>
          <w:tab w:leader="none" w:pos="77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our collaborators or regulators, may suspend or terminate clinical trials if the participating subjects or patients are being exposed to unacceptable health risks;</w:t>
      </w:r>
    </w:p>
    <w:p>
      <w:pPr>
        <w:ind w:left="780" w:right="200" w:hanging="313"/>
        <w:spacing w:after="0" w:line="254" w:lineRule="auto"/>
        <w:tabs>
          <w:tab w:leader="none" w:pos="77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our potential products have may not be the desired effects or may include undesirable side effects or other characteristics that preclude regulatory approval or limit their commercial use if approved;</w:t>
      </w:r>
    </w:p>
    <w:p>
      <w:pPr>
        <w:ind w:left="780" w:right="320" w:hanging="313"/>
        <w:spacing w:after="0" w:line="254" w:lineRule="auto"/>
        <w:tabs>
          <w:tab w:leader="none" w:pos="77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manufacturers may not meet the necessary standards for the production of the product candidates or may not be able to supply the product candidates in a sufficient quantity; and</w:t>
      </w:r>
    </w:p>
    <w:p>
      <w:pPr>
        <w:ind w:left="780" w:hanging="313"/>
        <w:spacing w:after="0"/>
        <w:tabs>
          <w:tab w:leader="none" w:pos="7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find that our clinical trial design or conduct does not meet the applicable approval requirements.</w:t>
      </w:r>
    </w:p>
    <w:p>
      <w:pPr>
        <w:spacing w:after="0" w:line="200" w:lineRule="exact"/>
        <w:rPr>
          <w:sz w:val="20"/>
          <w:szCs w:val="20"/>
          <w:color w:val="auto"/>
        </w:rPr>
      </w:pPr>
    </w:p>
    <w:p>
      <w:pPr>
        <w:ind w:right="160" w:firstLine="466"/>
        <w:spacing w:after="0" w:line="261" w:lineRule="auto"/>
        <w:rPr>
          <w:sz w:val="20"/>
          <w:szCs w:val="20"/>
          <w:color w:val="auto"/>
        </w:rPr>
      </w:pPr>
      <w:r>
        <w:rPr>
          <w:rFonts w:ascii="Times New Roman" w:cs="Times New Roman" w:eastAsia="Times New Roman" w:hAnsi="Times New Roman"/>
          <w:sz w:val="17"/>
          <w:szCs w:val="17"/>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Even if our lead products, lifileucel and LN-145, are approved and commercialized, we may not become profitable.</w:t>
      </w:r>
    </w:p>
    <w:p>
      <w:pPr>
        <w:spacing w:after="0" w:line="223" w:lineRule="exact"/>
        <w:rPr>
          <w:sz w:val="20"/>
          <w:szCs w:val="20"/>
          <w:color w:val="auto"/>
        </w:rPr>
      </w:pPr>
    </w:p>
    <w:p>
      <w:pPr>
        <w:ind w:right="120" w:firstLine="466"/>
        <w:spacing w:after="0" w:line="261" w:lineRule="auto"/>
        <w:rPr>
          <w:sz w:val="20"/>
          <w:szCs w:val="20"/>
          <w:color w:val="auto"/>
        </w:rPr>
      </w:pPr>
      <w:r>
        <w:rPr>
          <w:rFonts w:ascii="Times New Roman" w:cs="Times New Roman" w:eastAsia="Times New Roman" w:hAnsi="Times New Roman"/>
          <w:sz w:val="17"/>
          <w:szCs w:val="17"/>
          <w:color w:val="auto"/>
        </w:rPr>
        <w:t>Our lead products, lifileucel and LN-145, are initially targeting a small population of refractory patients that suffer from metastatic melanoma and advanced cervical cancer. Even if the FDA approves these new therapies, and even if we obtain significant market share for each product candidate, because the potential target population for lifileucel and LN-145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0" w:firstLine="466"/>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61" w:lineRule="exact"/>
        <w:rPr>
          <w:sz w:val="20"/>
          <w:szCs w:val="20"/>
          <w:color w:val="auto"/>
        </w:rPr>
      </w:pPr>
    </w:p>
    <w:p>
      <w:pPr>
        <w:ind w:right="20" w:firstLine="466"/>
        <w:spacing w:after="0" w:line="257" w:lineRule="auto"/>
        <w:rPr>
          <w:sz w:val="20"/>
          <w:szCs w:val="20"/>
          <w:color w:val="auto"/>
        </w:rPr>
      </w:pPr>
      <w:r>
        <w:rPr>
          <w:rFonts w:ascii="Times New Roman" w:cs="Times New Roman" w:eastAsia="Times New Roman" w:hAnsi="Times New Roman"/>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2017-2019, we announced collaborations with Moffitt, MDACC, Roswell Park Cancer Institute,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73" w:lineRule="exact"/>
        <w:rPr>
          <w:sz w:val="20"/>
          <w:szCs w:val="20"/>
          <w:color w:val="auto"/>
        </w:rPr>
      </w:pPr>
    </w:p>
    <w:p>
      <w:pPr>
        <w:ind w:right="40" w:firstLine="466"/>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r>
        <w:rPr>
          <w:rFonts w:ascii="Times New Roman" w:cs="Times New Roman" w:eastAsia="Times New Roman" w:hAnsi="Times New Roman"/>
          <w:sz w:val="25"/>
          <w:szCs w:val="25"/>
          <w:b w:val="1"/>
          <w:bCs w:val="1"/>
          <w:i w:val="1"/>
          <w:iCs w:val="1"/>
          <w:color w:val="auto"/>
          <w:vertAlign w:val="superscript"/>
        </w:rPr>
        <w:t>*</w:t>
      </w:r>
    </w:p>
    <w:p>
      <w:pPr>
        <w:spacing w:after="0" w:line="42" w:lineRule="exact"/>
        <w:rPr>
          <w:sz w:val="20"/>
          <w:szCs w:val="20"/>
          <w:color w:val="auto"/>
        </w:rPr>
      </w:pPr>
    </w:p>
    <w:p>
      <w:pPr>
        <w:ind w:right="40" w:firstLine="466"/>
        <w:spacing w:after="0" w:line="259" w:lineRule="auto"/>
        <w:rPr>
          <w:sz w:val="20"/>
          <w:szCs w:val="20"/>
          <w:color w:val="auto"/>
        </w:rPr>
      </w:pPr>
      <w:r>
        <w:rPr>
          <w:rFonts w:ascii="Times New Roman" w:cs="Times New Roman" w:eastAsia="Times New Roman" w:hAnsi="Times New Roman"/>
          <w:sz w:val="17"/>
          <w:szCs w:val="17"/>
          <w:color w:val="auto"/>
        </w:rPr>
        <w:t>Our operations have consumed substantial amounts of cash since inception. From our inception to September 30, 2019, we have an accumulated deficit of $507.0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 million. In October 2018, we closed an underwritten public offering of our common stock. The net proceeds from the offering, after deducting the underwriting discounts and commissions and other estimated offering expenses payable by the Company, were of $236.7 million. In September 2019, we filed a shelf registration statement with the SEC for the issuance of common stock, preferred stock, warrants, rights, debt securities and units up to an aggregate amount of $400 million. We expect to continue to spend substantial amounts to continue the clinical development of our product candidates. As of September 30, 2019, we had $361.9 million in cash, cash equivalents and short-term investments.</w:t>
      </w:r>
    </w:p>
    <w:p>
      <w:pPr>
        <w:spacing w:after="0" w:line="173" w:lineRule="exact"/>
        <w:rPr>
          <w:sz w:val="20"/>
          <w:szCs w:val="20"/>
          <w:color w:val="auto"/>
        </w:rPr>
      </w:pPr>
    </w:p>
    <w:p>
      <w:pPr>
        <w:ind w:right="20" w:firstLine="466"/>
        <w:spacing w:after="0" w:line="259" w:lineRule="auto"/>
        <w:rPr>
          <w:sz w:val="20"/>
          <w:szCs w:val="20"/>
          <w:color w:val="auto"/>
        </w:rPr>
      </w:pPr>
      <w:r>
        <w:rPr>
          <w:rFonts w:ascii="Times New Roman" w:cs="Times New Roman" w:eastAsia="Times New Roman" w:hAnsi="Times New Roman"/>
          <w:sz w:val="17"/>
          <w:szCs w:val="17"/>
          <w:color w:val="auto"/>
        </w:rPr>
        <w:t>Accordingly, we believe that our existing cash, cash equivalents and short-term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77" w:lineRule="exact"/>
        <w:rPr>
          <w:sz w:val="20"/>
          <w:szCs w:val="20"/>
          <w:color w:val="auto"/>
        </w:rPr>
      </w:pPr>
    </w:p>
    <w:p>
      <w:pPr>
        <w:ind w:firstLine="466"/>
        <w:spacing w:after="0" w:line="291" w:lineRule="auto"/>
        <w:rPr>
          <w:sz w:val="20"/>
          <w:szCs w:val="20"/>
          <w:color w:val="auto"/>
        </w:rPr>
      </w:pPr>
      <w:r>
        <w:rPr>
          <w:rFonts w:ascii="Times New Roman" w:cs="Times New Roman" w:eastAsia="Times New Roman" w:hAnsi="Times New Roman"/>
          <w:sz w:val="17"/>
          <w:szCs w:val="17"/>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47" w:lineRule="exact"/>
        <w:rPr>
          <w:sz w:val="20"/>
          <w:szCs w:val="20"/>
          <w:color w:val="auto"/>
        </w:rPr>
      </w:pPr>
    </w:p>
    <w:p>
      <w:pPr>
        <w:ind w:left="780" w:right="620" w:hanging="313"/>
        <w:spacing w:after="0" w:line="265" w:lineRule="auto"/>
        <w:tabs>
          <w:tab w:leader="none" w:pos="77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Times New Roman" w:cs="Times New Roman" w:eastAsia="Times New Roman" w:hAnsi="Times New Roman"/>
          <w:sz w:val="17"/>
          <w:szCs w:val="17"/>
          <w:color w:val="auto"/>
        </w:rPr>
      </w:pPr>
    </w:p>
    <w:p>
      <w:pPr>
        <w:ind w:left="780" w:right="420" w:hanging="313"/>
        <w:spacing w:after="0" w:line="254" w:lineRule="auto"/>
        <w:tabs>
          <w:tab w:leader="none" w:pos="77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and cost necessary to obtain regulatory approvals that may be required by regulatory authorities to execute clinical trials or commercialize our product;</w:t>
      </w:r>
    </w:p>
    <w:p>
      <w:pPr>
        <w:ind w:left="780" w:hanging="313"/>
        <w:spacing w:after="0"/>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our product candidates, if approved;</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20"/>
          </w:cols>
          <w:pgMar w:left="920" w:top="639" w:right="959"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780" w:right="40" w:hanging="313"/>
        <w:spacing w:after="0" w:line="265" w:lineRule="auto"/>
        <w:tabs>
          <w:tab w:leader="none" w:pos="77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have clinical and commercial product successfully manufactured consistent with FDA and European Medicines Agency, or EMA, regulations;</w:t>
      </w:r>
    </w:p>
    <w:p>
      <w:pPr>
        <w:spacing w:after="0" w:line="1" w:lineRule="exact"/>
        <w:rPr>
          <w:rFonts w:ascii="Times New Roman" w:cs="Times New Roman" w:eastAsia="Times New Roman" w:hAnsi="Times New Roman"/>
          <w:sz w:val="17"/>
          <w:szCs w:val="17"/>
          <w:color w:val="auto"/>
        </w:rPr>
      </w:pPr>
    </w:p>
    <w:p>
      <w:pPr>
        <w:ind w:left="780" w:right="160" w:hanging="313"/>
        <w:spacing w:after="0" w:line="254" w:lineRule="auto"/>
        <w:tabs>
          <w:tab w:leader="none" w:pos="77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780" w:right="260" w:hanging="313"/>
        <w:spacing w:after="0" w:line="254" w:lineRule="auto"/>
        <w:tabs>
          <w:tab w:leader="none" w:pos="77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costs associated with commercializing our products, if approved, including the cost and timing of building our marketing and sales capabilities;</w:t>
      </w:r>
    </w:p>
    <w:p>
      <w:pPr>
        <w:ind w:left="780" w:hanging="313"/>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building, staffing and validating our own manufacturing facility in the United States;</w:t>
      </w:r>
    </w:p>
    <w:p>
      <w:pPr>
        <w:spacing w:after="0" w:line="11" w:lineRule="exact"/>
        <w:rPr>
          <w:rFonts w:ascii="Times New Roman" w:cs="Times New Roman" w:eastAsia="Times New Roman" w:hAnsi="Times New Roman"/>
          <w:sz w:val="17"/>
          <w:szCs w:val="17"/>
          <w:color w:val="auto"/>
        </w:rPr>
      </w:pPr>
    </w:p>
    <w:p>
      <w:pPr>
        <w:ind w:left="780" w:right="240" w:hanging="313"/>
        <w:spacing w:after="0" w:line="254" w:lineRule="auto"/>
        <w:tabs>
          <w:tab w:leader="none" w:pos="77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terms and timing of our current and any potential future collaborations, licensing or other arrangements that we have established or may establish;</w:t>
      </w:r>
    </w:p>
    <w:p>
      <w:pPr>
        <w:ind w:left="780" w:hanging="313"/>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requirements of any future acquisitions or the development of other product candidates;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operating as a public company;</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and cost necessary to respond to technological, regulatory, political and market developments;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filing, prosecuting, defending and enforcing any patent claims and other intellectual property rights; and</w:t>
      </w:r>
    </w:p>
    <w:p>
      <w:pPr>
        <w:spacing w:after="0" w:line="11" w:lineRule="exact"/>
        <w:rPr>
          <w:rFonts w:ascii="Times New Roman" w:cs="Times New Roman" w:eastAsia="Times New Roman" w:hAnsi="Times New Roman"/>
          <w:sz w:val="17"/>
          <w:szCs w:val="17"/>
          <w:color w:val="auto"/>
        </w:rPr>
      </w:pPr>
    </w:p>
    <w:p>
      <w:pPr>
        <w:ind w:left="780" w:right="840" w:hanging="313"/>
        <w:spacing w:after="0" w:line="268" w:lineRule="auto"/>
        <w:tabs>
          <w:tab w:leader="none" w:pos="77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potential business or product acquisitions, strategic collaborations, licensing agreements or other arrangements that we may establish.</w:t>
      </w:r>
    </w:p>
    <w:p>
      <w:pPr>
        <w:spacing w:after="0" w:line="166" w:lineRule="exact"/>
        <w:rPr>
          <w:sz w:val="20"/>
          <w:szCs w:val="20"/>
          <w:color w:val="auto"/>
        </w:rPr>
      </w:pPr>
    </w:p>
    <w:p>
      <w:pPr>
        <w:ind w:right="60" w:firstLine="466"/>
        <w:spacing w:after="0" w:line="259" w:lineRule="auto"/>
        <w:rPr>
          <w:sz w:val="20"/>
          <w:szCs w:val="20"/>
          <w:color w:val="auto"/>
        </w:rPr>
      </w:pPr>
      <w:r>
        <w:rPr>
          <w:rFonts w:ascii="Times New Roman" w:cs="Times New Roman" w:eastAsia="Times New Roman" w:hAnsi="Times New Roman"/>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77" w:lineRule="exact"/>
        <w:rPr>
          <w:sz w:val="20"/>
          <w:szCs w:val="20"/>
          <w:color w:val="auto"/>
        </w:rPr>
      </w:pPr>
    </w:p>
    <w:p>
      <w:pPr>
        <w:ind w:right="80" w:firstLine="466"/>
        <w:spacing w:after="0" w:line="260"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1" w:lineRule="exact"/>
        <w:rPr>
          <w:sz w:val="20"/>
          <w:szCs w:val="20"/>
          <w:color w:val="auto"/>
        </w:rPr>
      </w:pPr>
    </w:p>
    <w:p>
      <w:pPr>
        <w:ind w:firstLine="466"/>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Subject to various spending levels approved by our Board of Directors, our management will have broad discretion in the use of the net proceeds from our capital raises, including our October 2018, January 2018, and September 2017 public offerings, and may not use them effectively.</w:t>
      </w:r>
    </w:p>
    <w:p>
      <w:pPr>
        <w:spacing w:after="0" w:line="161"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Our management will have discretion in the application of the net proceeds from our capital raises, including our October 2018, January 2018 and September 2017 public offerings,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October 2018, January 2018 and September 2017 public offerings, their ultimate use may vary substantially from their currently intended use. Our failure to apply the net proceeds of our capital raises, including our October 2018, January 2018 and September 2017 public offerings,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October 2018, January 2018 and September 2017 public offerings. Pending their use, we may invest the net proceeds from our capital raises, including our October 2018, January 2018 and September 2017 public offerings, in interest and non-interest bearing cash accounts, short-term, investment-grade, interest-bearing instruments and U.S. government securities. These temporary investments are not likely to yield a significant return.</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use of our net operating loss carryforwards and research tax credits may be limited.</w:t>
      </w:r>
      <w:r>
        <w:rPr>
          <w:rFonts w:ascii="Times New Roman" w:cs="Times New Roman" w:eastAsia="Times New Roman" w:hAnsi="Times New Roman"/>
          <w:sz w:val="25"/>
          <w:szCs w:val="25"/>
          <w:color w:val="auto"/>
          <w:vertAlign w:val="superscript"/>
        </w:rPr>
        <w:t>*</w:t>
      </w:r>
    </w:p>
    <w:p>
      <w:pPr>
        <w:spacing w:after="0" w:line="131" w:lineRule="exact"/>
        <w:rPr>
          <w:sz w:val="20"/>
          <w:szCs w:val="20"/>
          <w:color w:val="auto"/>
        </w:rPr>
      </w:pPr>
    </w:p>
    <w:p>
      <w:pPr>
        <w:ind w:firstLine="466"/>
        <w:spacing w:after="0" w:line="291" w:lineRule="auto"/>
        <w:rPr>
          <w:sz w:val="20"/>
          <w:szCs w:val="20"/>
          <w:color w:val="auto"/>
        </w:rPr>
      </w:pPr>
      <w:r>
        <w:rPr>
          <w:rFonts w:ascii="Times New Roman" w:cs="Times New Roman" w:eastAsia="Times New Roman" w:hAnsi="Times New Roman"/>
          <w:sz w:val="17"/>
          <w:szCs w:val="17"/>
          <w:color w:val="auto"/>
        </w:rPr>
        <w:t>Our net operating loss carryforwards and any future research and development tax credits may expire and not be used. As of December 31, 2018, we had U.S. federal net operating loss carryforwards of approximately $251.5 million. Our net operating loss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carryforwards arising in taxable years ending on or prior to December 31, 2018 will begin expiring in 2027 if we have not used them prior to that time. Net operating loss carryforwards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72" w:lineRule="exact"/>
        <w:rPr>
          <w:sz w:val="20"/>
          <w:szCs w:val="20"/>
          <w:color w:val="auto"/>
        </w:rPr>
      </w:pPr>
    </w:p>
    <w:p>
      <w:pPr>
        <w:ind w:right="120" w:firstLine="466"/>
        <w:spacing w:after="0" w:line="260" w:lineRule="auto"/>
        <w:rPr>
          <w:sz w:val="20"/>
          <w:szCs w:val="20"/>
          <w:color w:val="auto"/>
        </w:rPr>
      </w:pPr>
      <w:r>
        <w:rPr>
          <w:rFonts w:ascii="Times New Roman" w:cs="Times New Roman" w:eastAsia="Times New Roman" w:hAnsi="Times New Roman"/>
          <w:sz w:val="17"/>
          <w:szCs w:val="17"/>
          <w:color w:val="auto"/>
        </w:rPr>
        <w:t>We have performed an IRC Section 382 analysis as of December 31, 2017.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Recently enacted tax reform legislation in the U.S. could adversely affect our business and financial condition.</w:t>
      </w:r>
    </w:p>
    <w:p>
      <w:pPr>
        <w:spacing w:after="0" w:line="223" w:lineRule="exact"/>
        <w:rPr>
          <w:sz w:val="20"/>
          <w:szCs w:val="20"/>
          <w:color w:val="auto"/>
        </w:rPr>
      </w:pPr>
    </w:p>
    <w:p>
      <w:pPr>
        <w:ind w:right="20" w:firstLine="466"/>
        <w:spacing w:after="0" w:line="257" w:lineRule="auto"/>
        <w:rPr>
          <w:sz w:val="20"/>
          <w:szCs w:val="20"/>
          <w:color w:val="auto"/>
        </w:rPr>
      </w:pPr>
      <w:r>
        <w:rPr>
          <w:rFonts w:ascii="Times New Roman" w:cs="Times New Roman" w:eastAsia="Times New Roman" w:hAnsi="Times New Roman"/>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71" w:lineRule="exact"/>
        <w:rPr>
          <w:sz w:val="20"/>
          <w:szCs w:val="20"/>
          <w:color w:val="auto"/>
        </w:rPr>
      </w:pPr>
    </w:p>
    <w:p>
      <w:pPr>
        <w:ind w:right="38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p>
    <w:p>
      <w:pPr>
        <w:ind w:right="40" w:firstLine="466"/>
        <w:spacing w:after="0" w:line="263" w:lineRule="auto"/>
        <w:rPr>
          <w:sz w:val="20"/>
          <w:szCs w:val="20"/>
          <w:color w:val="auto"/>
        </w:rPr>
      </w:pPr>
      <w:r>
        <w:rPr>
          <w:rFonts w:ascii="Times New Roman" w:cs="Times New Roman" w:eastAsia="Times New Roman" w:hAnsi="Times New Roman"/>
          <w:sz w:val="17"/>
          <w:szCs w:val="17"/>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72" w:lineRule="exact"/>
        <w:rPr>
          <w:sz w:val="20"/>
          <w:szCs w:val="20"/>
          <w:color w:val="auto"/>
        </w:rPr>
      </w:pPr>
    </w:p>
    <w:p>
      <w:pPr>
        <w:ind w:firstLine="466"/>
        <w:spacing w:after="0" w:line="263" w:lineRule="auto"/>
        <w:rPr>
          <w:sz w:val="20"/>
          <w:szCs w:val="20"/>
          <w:color w:val="auto"/>
        </w:rPr>
      </w:pPr>
      <w:r>
        <w:rPr>
          <w:rFonts w:ascii="Times New Roman" w:cs="Times New Roman" w:eastAsia="Times New Roman" w:hAnsi="Times New Roman"/>
          <w:sz w:val="17"/>
          <w:szCs w:val="17"/>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72" w:lineRule="exact"/>
        <w:rPr>
          <w:sz w:val="20"/>
          <w:szCs w:val="20"/>
          <w:color w:val="auto"/>
        </w:rPr>
      </w:pPr>
    </w:p>
    <w:p>
      <w:pPr>
        <w:ind w:right="160" w:firstLine="466"/>
        <w:spacing w:after="0" w:line="263" w:lineRule="auto"/>
        <w:rPr>
          <w:sz w:val="20"/>
          <w:szCs w:val="20"/>
          <w:color w:val="auto"/>
        </w:rPr>
      </w:pPr>
      <w:r>
        <w:rPr>
          <w:rFonts w:ascii="Times New Roman" w:cs="Times New Roman" w:eastAsia="Times New Roman" w:hAnsi="Times New Roman"/>
          <w:sz w:val="17"/>
          <w:szCs w:val="17"/>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license new TIL technology from the NIH and others.</w:t>
      </w:r>
      <w:r>
        <w:rPr>
          <w:rFonts w:ascii="Times New Roman" w:cs="Times New Roman" w:eastAsia="Times New Roman" w:hAnsi="Times New Roman"/>
          <w:sz w:val="25"/>
          <w:szCs w:val="25"/>
          <w:b w:val="1"/>
          <w:bCs w:val="1"/>
          <w:i w:val="1"/>
          <w:iCs w:val="1"/>
          <w:color w:val="auto"/>
          <w:vertAlign w:val="superscript"/>
        </w:rPr>
        <w:t>*</w:t>
      </w:r>
    </w:p>
    <w:p>
      <w:pPr>
        <w:spacing w:after="0" w:line="131" w:lineRule="exact"/>
        <w:rPr>
          <w:sz w:val="20"/>
          <w:szCs w:val="20"/>
          <w:color w:val="auto"/>
        </w:rPr>
      </w:pPr>
    </w:p>
    <w:p>
      <w:pPr>
        <w:ind w:right="60" w:firstLine="466"/>
        <w:spacing w:after="0" w:line="261" w:lineRule="auto"/>
        <w:rPr>
          <w:sz w:val="20"/>
          <w:szCs w:val="20"/>
          <w:color w:val="auto"/>
        </w:rPr>
      </w:pPr>
      <w:r>
        <w:rPr>
          <w:rFonts w:ascii="Times New Roman" w:cs="Times New Roman" w:eastAsia="Times New Roman" w:hAnsi="Times New Roman"/>
          <w:sz w:val="17"/>
          <w:szCs w:val="17"/>
          <w:color w:val="auto"/>
        </w:rPr>
        <w:t>An element of our intellectual property portfolio is to license additional rights and technologies from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1" w:lineRule="exact"/>
        <w:rPr>
          <w:sz w:val="20"/>
          <w:szCs w:val="20"/>
          <w:color w:val="auto"/>
        </w:rPr>
      </w:pPr>
    </w:p>
    <w:p>
      <w:pPr>
        <w:ind w:right="34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projections regarding the market opportunities for our product candidates may not be accurate, and the actual market for our products may be smaller than we estimate.</w:t>
      </w:r>
    </w:p>
    <w:p>
      <w:pPr>
        <w:spacing w:after="0" w:line="143"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74" w:lineRule="exact"/>
        <w:rPr>
          <w:sz w:val="20"/>
          <w:szCs w:val="20"/>
          <w:color w:val="auto"/>
        </w:rPr>
      </w:pPr>
    </w:p>
    <w:p>
      <w:pPr>
        <w:ind w:right="46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pay substantial royalties and lump sum benchmark payments under our license agreements with the NIH and Moffitt, and we must meet certain milestones to maintain our license rights.</w:t>
      </w:r>
    </w:p>
    <w:p>
      <w:pPr>
        <w:spacing w:after="0" w:line="143" w:lineRule="exact"/>
        <w:rPr>
          <w:sz w:val="20"/>
          <w:szCs w:val="20"/>
          <w:color w:val="auto"/>
        </w:rPr>
      </w:pPr>
    </w:p>
    <w:p>
      <w:pPr>
        <w:ind w:right="120" w:firstLine="466"/>
        <w:spacing w:after="0" w:line="261" w:lineRule="auto"/>
        <w:rPr>
          <w:sz w:val="20"/>
          <w:szCs w:val="20"/>
          <w:color w:val="auto"/>
        </w:rPr>
      </w:pPr>
      <w:r>
        <w:rPr>
          <w:rFonts w:ascii="Times New Roman" w:cs="Times New Roman" w:eastAsia="Times New Roman" w:hAnsi="Times New Roman"/>
          <w:sz w:val="17"/>
          <w:szCs w:val="17"/>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 NIH license agreements. In order to maintain our license rights under the NIH and Moffitt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71" w:lineRule="exact"/>
        <w:rPr>
          <w:sz w:val="20"/>
          <w:szCs w:val="20"/>
          <w:color w:val="auto"/>
        </w:rPr>
      </w:pPr>
    </w:p>
    <w:p>
      <w:pPr>
        <w:ind w:right="20" w:firstLine="466"/>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61" w:lineRule="exact"/>
        <w:rPr>
          <w:sz w:val="20"/>
          <w:szCs w:val="20"/>
          <w:color w:val="auto"/>
        </w:rPr>
      </w:pPr>
    </w:p>
    <w:p>
      <w:pPr>
        <w:ind w:right="80" w:firstLine="466"/>
        <w:spacing w:after="0" w:line="259" w:lineRule="auto"/>
        <w:rPr>
          <w:sz w:val="20"/>
          <w:szCs w:val="20"/>
          <w:color w:val="auto"/>
        </w:rPr>
      </w:pPr>
      <w:r>
        <w:rPr>
          <w:rFonts w:ascii="Times New Roman" w:cs="Times New Roman" w:eastAsia="Times New Roman" w:hAnsi="Times New Roman"/>
          <w:sz w:val="17"/>
          <w:szCs w:val="17"/>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620"/>
        <w:spacing w:after="0" w:line="291" w:lineRule="auto"/>
        <w:rPr>
          <w:sz w:val="20"/>
          <w:szCs w:val="20"/>
          <w:color w:val="auto"/>
        </w:rPr>
      </w:pPr>
      <w:r>
        <w:rPr>
          <w:rFonts w:ascii="Times New Roman" w:cs="Times New Roman" w:eastAsia="Times New Roman" w:hAnsi="Times New Roman"/>
          <w:sz w:val="17"/>
          <w:szCs w:val="17"/>
          <w:color w:val="auto"/>
        </w:rPr>
        <w:t>Finally, after increased usage, we may find that our product candidates do not have the intended effect or have unanticipated side effects, potentially jeopardizing initial or continuing regulatory approval and commercial prospects.</w:t>
      </w:r>
    </w:p>
    <w:p>
      <w:pPr>
        <w:spacing w:after="0" w:line="147" w:lineRule="exact"/>
        <w:rPr>
          <w:sz w:val="20"/>
          <w:szCs w:val="20"/>
          <w:color w:val="auto"/>
        </w:rPr>
      </w:pPr>
    </w:p>
    <w:p>
      <w:pPr>
        <w:ind w:right="200" w:firstLine="466"/>
        <w:spacing w:after="0" w:line="263" w:lineRule="auto"/>
        <w:rPr>
          <w:sz w:val="20"/>
          <w:szCs w:val="20"/>
          <w:color w:val="auto"/>
        </w:rPr>
      </w:pPr>
      <w:r>
        <w:rPr>
          <w:rFonts w:ascii="Times New Roman" w:cs="Times New Roman" w:eastAsia="Times New Roman" w:hAnsi="Times New Roman"/>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72"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386" w:lineRule="exact"/>
        <w:rPr>
          <w:sz w:val="20"/>
          <w:szCs w:val="20"/>
          <w:color w:val="auto"/>
        </w:rPr>
      </w:pPr>
    </w:p>
    <w:p>
      <w:pPr>
        <w:ind w:firstLine="466"/>
        <w:spacing w:after="0" w:line="266" w:lineRule="auto"/>
        <w:rPr>
          <w:sz w:val="20"/>
          <w:szCs w:val="20"/>
          <w:color w:val="auto"/>
        </w:rPr>
      </w:pPr>
      <w:r>
        <w:rPr>
          <w:rFonts w:ascii="Times New Roman" w:cs="Times New Roman" w:eastAsia="Times New Roman" w:hAnsi="Times New Roman"/>
          <w:sz w:val="17"/>
          <w:szCs w:val="17"/>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165" w:lineRule="exact"/>
        <w:rPr>
          <w:sz w:val="20"/>
          <w:szCs w:val="20"/>
          <w:color w:val="auto"/>
        </w:rPr>
      </w:pPr>
    </w:p>
    <w:p>
      <w:pPr>
        <w:ind w:right="24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No assurance can be given that the Gen 2 manufacturing process we have selected will be FDA-compliant, more efficient and lower the cost to manufacture TIL products.</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our facilities or any of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71" w:lineRule="exact"/>
        <w:rPr>
          <w:sz w:val="20"/>
          <w:szCs w:val="20"/>
          <w:color w:val="auto"/>
        </w:rPr>
      </w:pPr>
    </w:p>
    <w:p>
      <w:pPr>
        <w:ind w:right="6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commercialization of our product candidates.</w:t>
      </w:r>
    </w:p>
    <w:p>
      <w:pPr>
        <w:spacing w:after="0" w:line="143" w:lineRule="exact"/>
        <w:rPr>
          <w:sz w:val="20"/>
          <w:szCs w:val="20"/>
          <w:color w:val="auto"/>
        </w:rPr>
      </w:pPr>
    </w:p>
    <w:p>
      <w:pPr>
        <w:ind w:right="80" w:firstLine="466"/>
        <w:spacing w:after="0" w:line="291"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5" w:lineRule="exact"/>
        <w:rPr>
          <w:sz w:val="20"/>
          <w:szCs w:val="20"/>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 candidates;</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 or sites and potential termination of clinical trial sites or entire clinical programs;</w:t>
      </w:r>
    </w:p>
    <w:p>
      <w:pPr>
        <w:spacing w:after="0" w:line="11" w:lineRule="exact"/>
        <w:rPr>
          <w:rFonts w:ascii="Times New Roman" w:cs="Times New Roman" w:eastAsia="Times New Roman" w:hAnsi="Times New Roman"/>
          <w:sz w:val="17"/>
          <w:szCs w:val="17"/>
          <w:color w:val="auto"/>
        </w:rPr>
      </w:pPr>
    </w:p>
    <w:p>
      <w:pPr>
        <w:ind w:left="780" w:right="240" w:hanging="313"/>
        <w:spacing w:after="0" w:line="254" w:lineRule="auto"/>
        <w:tabs>
          <w:tab w:leader="none" w:pos="77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by regulators, refusal to approve marketing applications or supplements, and withdrawal or limitation of product approvals;</w:t>
      </w: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management’s time and our resources;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negative media attention;</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the price of our stock and overall value of our company;</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exhaustion of our available insurance coverage and our capital resources; or</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our product candidates.</w:t>
      </w:r>
    </w:p>
    <w:p>
      <w:pPr>
        <w:spacing w:after="0" w:line="200" w:lineRule="exact"/>
        <w:rPr>
          <w:sz w:val="20"/>
          <w:szCs w:val="20"/>
          <w:color w:val="auto"/>
        </w:rPr>
      </w:pPr>
    </w:p>
    <w:p>
      <w:pPr>
        <w:ind w:firstLine="466"/>
        <w:spacing w:after="0" w:line="260" w:lineRule="auto"/>
        <w:rPr>
          <w:sz w:val="20"/>
          <w:szCs w:val="20"/>
          <w:color w:val="auto"/>
        </w:rPr>
      </w:pPr>
      <w:r>
        <w:rPr>
          <w:rFonts w:ascii="Times New Roman" w:cs="Times New Roman" w:eastAsia="Times New Roman" w:hAnsi="Times New Roman"/>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biotechnology and pharmaceutical companies and from non-profit institutions.</w:t>
      </w:r>
      <w:r>
        <w:rPr>
          <w:rFonts w:ascii="Times New Roman" w:cs="Times New Roman" w:eastAsia="Times New Roman" w:hAnsi="Times New Roman"/>
          <w:sz w:val="25"/>
          <w:szCs w:val="25"/>
          <w:b w:val="1"/>
          <w:bCs w:val="1"/>
          <w:i w:val="1"/>
          <w:iCs w:val="1"/>
          <w:color w:val="auto"/>
          <w:vertAlign w:val="superscript"/>
        </w:rPr>
        <w:t>*</w:t>
      </w:r>
    </w:p>
    <w:p>
      <w:pPr>
        <w:spacing w:after="0" w:line="131" w:lineRule="exact"/>
        <w:rPr>
          <w:sz w:val="20"/>
          <w:szCs w:val="20"/>
          <w:color w:val="auto"/>
        </w:rPr>
      </w:pPr>
    </w:p>
    <w:p>
      <w:pPr>
        <w:ind w:right="60" w:firstLine="466"/>
        <w:spacing w:after="0" w:line="263" w:lineRule="auto"/>
        <w:rPr>
          <w:sz w:val="20"/>
          <w:szCs w:val="20"/>
          <w:color w:val="auto"/>
        </w:rPr>
      </w:pPr>
      <w:r>
        <w:rPr>
          <w:rFonts w:ascii="Times New Roman" w:cs="Times New Roman" w:eastAsia="Times New Roman" w:hAnsi="Times New Roman"/>
          <w:sz w:val="17"/>
          <w:szCs w:val="17"/>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72" w:lineRule="exact"/>
        <w:rPr>
          <w:sz w:val="20"/>
          <w:szCs w:val="20"/>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safer, more convenient or more effective immunotherapies and other therapeutic products;</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therapies that are less expensive or have better reimbursement from private or public payors;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reach the market more rapidly, reducing the potential sales of our products; or</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superior proprietary positions.</w:t>
      </w:r>
    </w:p>
    <w:p>
      <w:pPr>
        <w:spacing w:after="0" w:line="200"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Dynavax Technologies, Oncosec Medical, Immetacyte, WindMIL Therapeutics, Seattle Genetics, and others. We also may compete with therapies based on genetically engineered T cells rendered reactive against tumor-associated antigens prior to their administration to patients. Genetically engineered T cells are being pursued by several companies, including Adaptimmune, Celgene (in collaboration with bluebird bio as well as through Celgene’s subsidiary Juno Therapeutics),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72" w:lineRule="exact"/>
        <w:rPr>
          <w:sz w:val="20"/>
          <w:szCs w:val="20"/>
          <w:color w:val="auto"/>
        </w:rPr>
      </w:pPr>
    </w:p>
    <w:p>
      <w:pPr>
        <w:ind w:right="40" w:firstLine="466"/>
        <w:spacing w:after="0" w:line="263" w:lineRule="auto"/>
        <w:rPr>
          <w:sz w:val="20"/>
          <w:szCs w:val="20"/>
          <w:color w:val="auto"/>
        </w:rPr>
      </w:pPr>
      <w:r>
        <w:rPr>
          <w:rFonts w:ascii="Times New Roman" w:cs="Times New Roman" w:eastAsia="Times New Roman" w:hAnsi="Times New Roman"/>
          <w:sz w:val="17"/>
          <w:szCs w:val="17"/>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72" w:lineRule="exact"/>
        <w:rPr>
          <w:sz w:val="20"/>
          <w:szCs w:val="20"/>
          <w:color w:val="auto"/>
        </w:rPr>
      </w:pPr>
    </w:p>
    <w:p>
      <w:pPr>
        <w:ind w:right="120" w:firstLine="466"/>
        <w:spacing w:after="0" w:line="259" w:lineRule="auto"/>
        <w:rPr>
          <w:sz w:val="20"/>
          <w:szCs w:val="20"/>
          <w:color w:val="auto"/>
        </w:rPr>
      </w:pPr>
      <w:r>
        <w:rPr>
          <w:rFonts w:ascii="Times New Roman" w:cs="Times New Roman" w:eastAsia="Times New Roman" w:hAnsi="Times New Roman"/>
          <w:sz w:val="17"/>
          <w:szCs w:val="17"/>
          <w:color w:val="auto"/>
        </w:rPr>
        <w:t>Our lead product candidates, lifileucel and LN-145, are therapies for the treatment of metastatic melanoma and advanced cervical. Currently, there are numerous companies that are developing various alternate treatments for melanoma and cervical cancer, including patients that have progressed after prior treatment with checkpoint inhibitors and chemotherapy. Accordingly, lifileucel and LN-145 face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77" w:lineRule="exact"/>
        <w:rPr>
          <w:sz w:val="20"/>
          <w:szCs w:val="20"/>
          <w:color w:val="auto"/>
        </w:rPr>
      </w:pPr>
    </w:p>
    <w:p>
      <w:pPr>
        <w:ind w:right="40" w:firstLine="466"/>
        <w:spacing w:after="0" w:line="263" w:lineRule="auto"/>
        <w:rPr>
          <w:sz w:val="20"/>
          <w:szCs w:val="20"/>
          <w:color w:val="auto"/>
        </w:rPr>
      </w:pPr>
      <w:r>
        <w:rPr>
          <w:rFonts w:ascii="Times New Roman" w:cs="Times New Roman" w:eastAsia="Times New Roman" w:hAnsi="Times New Roman"/>
          <w:sz w:val="17"/>
          <w:szCs w:val="17"/>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8" w:lineRule="exact"/>
        <w:rPr>
          <w:sz w:val="20"/>
          <w:szCs w:val="20"/>
          <w:color w:val="auto"/>
        </w:rPr>
      </w:pPr>
    </w:p>
    <w:p>
      <w:pPr>
        <w:ind w:right="8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right="40" w:firstLine="466"/>
        <w:spacing w:after="0" w:line="260" w:lineRule="auto"/>
        <w:rPr>
          <w:sz w:val="20"/>
          <w:szCs w:val="20"/>
          <w:color w:val="auto"/>
        </w:rPr>
      </w:pPr>
      <w:r>
        <w:rPr>
          <w:rFonts w:ascii="Times New Roman" w:cs="Times New Roman" w:eastAsia="Times New Roman" w:hAnsi="Times New Roman"/>
          <w:sz w:val="17"/>
          <w:szCs w:val="17"/>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75"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Ohio State University, Roswell Park Cancer Institute, Phio Pharmaceuticals, Cellectis, Genocea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75" w:lineRule="exact"/>
        <w:rPr>
          <w:sz w:val="20"/>
          <w:szCs w:val="20"/>
          <w:color w:val="auto"/>
        </w:rPr>
      </w:pPr>
    </w:p>
    <w:p>
      <w:pPr>
        <w:ind w:right="360" w:firstLine="466"/>
        <w:spacing w:after="0" w:line="291" w:lineRule="auto"/>
        <w:rPr>
          <w:sz w:val="20"/>
          <w:szCs w:val="20"/>
          <w:color w:val="auto"/>
        </w:rPr>
      </w:pPr>
      <w:r>
        <w:rPr>
          <w:rFonts w:ascii="Times New Roman" w:cs="Times New Roman" w:eastAsia="Times New Roman" w:hAnsi="Times New Roman"/>
          <w:sz w:val="17"/>
          <w:szCs w:val="17"/>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color w:val="auto"/>
        </w:rPr>
        <w:t>and expertise, the terms and conditions of the proposed collaboration and, an evaluation by the proposed collaborator of a number of similar or unique factors.</w:t>
      </w:r>
    </w:p>
    <w:p>
      <w:pPr>
        <w:spacing w:after="0" w:line="147" w:lineRule="exact"/>
        <w:rPr>
          <w:sz w:val="20"/>
          <w:szCs w:val="20"/>
          <w:color w:val="auto"/>
        </w:rPr>
      </w:pPr>
    </w:p>
    <w:p>
      <w:pPr>
        <w:ind w:right="100" w:firstLine="466"/>
        <w:spacing w:after="0" w:line="272" w:lineRule="auto"/>
        <w:rPr>
          <w:sz w:val="20"/>
          <w:szCs w:val="20"/>
          <w:color w:val="auto"/>
        </w:rPr>
      </w:pPr>
      <w:r>
        <w:rPr>
          <w:rFonts w:ascii="Times New Roman" w:cs="Times New Roman" w:eastAsia="Times New Roman" w:hAnsi="Times New Roman"/>
          <w:sz w:val="17"/>
          <w:szCs w:val="17"/>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64" w:lineRule="exact"/>
        <w:rPr>
          <w:sz w:val="20"/>
          <w:szCs w:val="20"/>
          <w:color w:val="auto"/>
        </w:rPr>
      </w:pPr>
    </w:p>
    <w:p>
      <w:pPr>
        <w:ind w:left="780" w:hanging="313"/>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30" w:lineRule="exact"/>
        <w:rPr>
          <w:rFonts w:ascii="Times New Roman" w:cs="Times New Roman" w:eastAsia="Times New Roman" w:hAnsi="Times New Roman"/>
          <w:sz w:val="17"/>
          <w:szCs w:val="17"/>
          <w:color w:val="auto"/>
        </w:rPr>
      </w:pPr>
    </w:p>
    <w:p>
      <w:pPr>
        <w:ind w:left="78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jc w:val="both"/>
        <w:ind w:left="780" w:right="52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780" w:hanging="313"/>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fail to make timely regulatory submissions for a product candidate;</w:t>
      </w:r>
    </w:p>
    <w:p>
      <w:pPr>
        <w:spacing w:after="0" w:line="11" w:lineRule="exact"/>
        <w:rPr>
          <w:rFonts w:ascii="Times New Roman" w:cs="Times New Roman" w:eastAsia="Times New Roman" w:hAnsi="Times New Roman"/>
          <w:sz w:val="17"/>
          <w:szCs w:val="17"/>
          <w:color w:val="auto"/>
        </w:rPr>
      </w:pPr>
    </w:p>
    <w:p>
      <w:pPr>
        <w:ind w:left="780" w:right="44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comply with all applicable regulatory requirements or may fail to report safety data in accordance with all applicable regulatory requirements;</w:t>
      </w:r>
    </w:p>
    <w:p>
      <w:pPr>
        <w:ind w:left="780" w:right="20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780" w:right="36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ind w:left="780" w:right="22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ind w:left="780" w:right="8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Times New Roman" w:cs="Times New Roman" w:eastAsia="Times New Roman" w:hAnsi="Times New Roman"/>
          <w:sz w:val="17"/>
          <w:szCs w:val="17"/>
          <w:color w:val="auto"/>
        </w:rPr>
      </w:pPr>
    </w:p>
    <w:p>
      <w:pPr>
        <w:ind w:left="780" w:right="28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780" w:hanging="313"/>
        <w:spacing w:after="0"/>
        <w:tabs>
          <w:tab w:leader="none" w:pos="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11" w:lineRule="exact"/>
        <w:rPr>
          <w:rFonts w:ascii="Times New Roman" w:cs="Times New Roman" w:eastAsia="Times New Roman" w:hAnsi="Times New Roman"/>
          <w:sz w:val="17"/>
          <w:szCs w:val="17"/>
          <w:color w:val="auto"/>
        </w:rPr>
      </w:pPr>
    </w:p>
    <w:p>
      <w:pPr>
        <w:ind w:left="780" w:right="520" w:hanging="313"/>
        <w:spacing w:after="0" w:line="254"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be involved in a business combination, resulting in the decreased emphasis or termination of development or commercialization of any product candidate subject to the collaboration agreement; and</w:t>
      </w:r>
    </w:p>
    <w:p>
      <w:pPr>
        <w:ind w:left="780" w:right="100" w:hanging="313"/>
        <w:spacing w:after="0" w:line="268"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66" w:lineRule="exact"/>
        <w:rPr>
          <w:sz w:val="20"/>
          <w:szCs w:val="20"/>
          <w:color w:val="auto"/>
        </w:rPr>
      </w:pPr>
    </w:p>
    <w:p>
      <w:pPr>
        <w:ind w:right="20" w:firstLine="466"/>
        <w:spacing w:after="0" w:line="263" w:lineRule="auto"/>
        <w:rPr>
          <w:sz w:val="20"/>
          <w:szCs w:val="20"/>
          <w:color w:val="auto"/>
        </w:rPr>
      </w:pPr>
      <w:r>
        <w:rPr>
          <w:rFonts w:ascii="Times New Roman" w:cs="Times New Roman" w:eastAsia="Times New Roman" w:hAnsi="Times New Roman"/>
          <w:sz w:val="17"/>
          <w:szCs w:val="17"/>
          <w:color w:val="auto"/>
        </w:rPr>
        <w:t>If any third-party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72" w:lineRule="exact"/>
        <w:rPr>
          <w:sz w:val="20"/>
          <w:szCs w:val="20"/>
          <w:color w:val="auto"/>
        </w:rPr>
      </w:pPr>
    </w:p>
    <w:p>
      <w:pPr>
        <w:ind w:right="20" w:firstLine="466"/>
        <w:spacing w:after="0" w:line="266" w:lineRule="auto"/>
        <w:rPr>
          <w:sz w:val="20"/>
          <w:szCs w:val="20"/>
          <w:color w:val="auto"/>
        </w:rPr>
      </w:pPr>
      <w:r>
        <w:rPr>
          <w:rFonts w:ascii="Times New Roman" w:cs="Times New Roman" w:eastAsia="Times New Roman" w:hAnsi="Times New Roman"/>
          <w:sz w:val="17"/>
          <w:szCs w:val="17"/>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69" w:lineRule="exact"/>
        <w:rPr>
          <w:sz w:val="20"/>
          <w:szCs w:val="20"/>
          <w:color w:val="auto"/>
        </w:rPr>
      </w:pPr>
    </w:p>
    <w:p>
      <w:pPr>
        <w:ind w:right="20" w:firstLine="466"/>
        <w:spacing w:after="0" w:line="266" w:lineRule="auto"/>
        <w:rPr>
          <w:sz w:val="20"/>
          <w:szCs w:val="20"/>
          <w:color w:val="auto"/>
        </w:rPr>
      </w:pPr>
      <w:r>
        <w:rPr>
          <w:rFonts w:ascii="Times New Roman" w:cs="Times New Roman" w:eastAsia="Times New Roman" w:hAnsi="Times New Roman"/>
          <w:sz w:val="17"/>
          <w:szCs w:val="17"/>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studies may not be seen in our current or future studies that employ our manufacturing processes and the results generated from their studies may not support approval of our product candidates.</w:t>
      </w:r>
    </w:p>
    <w:p>
      <w:pPr>
        <w:spacing w:after="0" w:line="147" w:lineRule="exact"/>
        <w:rPr>
          <w:sz w:val="20"/>
          <w:szCs w:val="20"/>
          <w:color w:val="auto"/>
        </w:rPr>
      </w:pPr>
    </w:p>
    <w:p>
      <w:pPr>
        <w:ind w:right="120" w:firstLine="466"/>
        <w:spacing w:after="0" w:line="266" w:lineRule="auto"/>
        <w:rPr>
          <w:sz w:val="20"/>
          <w:szCs w:val="20"/>
          <w:color w:val="auto"/>
        </w:rPr>
      </w:pPr>
      <w:r>
        <w:rPr>
          <w:rFonts w:ascii="Times New Roman" w:cs="Times New Roman" w:eastAsia="Times New Roman" w:hAnsi="Times New Roman"/>
          <w:sz w:val="17"/>
          <w:szCs w:val="17"/>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65" w:lineRule="exact"/>
        <w:rPr>
          <w:sz w:val="20"/>
          <w:szCs w:val="20"/>
          <w:color w:val="auto"/>
        </w:rPr>
      </w:pPr>
    </w:p>
    <w:p>
      <w:pPr>
        <w:ind w:right="12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43" w:lineRule="exact"/>
        <w:rPr>
          <w:sz w:val="20"/>
          <w:szCs w:val="20"/>
          <w:color w:val="auto"/>
        </w:rPr>
      </w:pPr>
    </w:p>
    <w:p>
      <w:pPr>
        <w:ind w:right="20" w:firstLine="466"/>
        <w:spacing w:after="0" w:line="258" w:lineRule="auto"/>
        <w:rPr>
          <w:sz w:val="20"/>
          <w:szCs w:val="20"/>
          <w:color w:val="auto"/>
        </w:rPr>
      </w:pPr>
      <w:r>
        <w:rPr>
          <w:rFonts w:ascii="Times New Roman" w:cs="Times New Roman" w:eastAsia="Times New Roman" w:hAnsi="Times New Roman"/>
          <w:sz w:val="17"/>
          <w:szCs w:val="17"/>
          <w:color w:val="auto"/>
        </w:rPr>
        <w:t>We are currently developing lifileucel and LN-145 for use along with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74" w:lineRule="exact"/>
        <w:rPr>
          <w:sz w:val="20"/>
          <w:szCs w:val="20"/>
          <w:color w:val="auto"/>
        </w:rPr>
      </w:pPr>
    </w:p>
    <w:p>
      <w:pPr>
        <w:ind w:right="20" w:firstLine="466"/>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r>
        <w:rPr>
          <w:rFonts w:ascii="Times New Roman" w:cs="Times New Roman" w:eastAsia="Times New Roman" w:hAnsi="Times New Roman"/>
          <w:sz w:val="25"/>
          <w:szCs w:val="25"/>
          <w:color w:val="auto"/>
          <w:vertAlign w:val="superscript"/>
        </w:rPr>
        <w:t>*</w:t>
      </w:r>
    </w:p>
    <w:p>
      <w:pPr>
        <w:spacing w:after="0" w:line="36" w:lineRule="exact"/>
        <w:rPr>
          <w:sz w:val="20"/>
          <w:szCs w:val="20"/>
          <w:color w:val="auto"/>
        </w:rPr>
      </w:pPr>
    </w:p>
    <w:p>
      <w:pPr>
        <w:ind w:right="20" w:firstLine="466"/>
        <w:spacing w:after="0" w:line="259" w:lineRule="auto"/>
        <w:rPr>
          <w:sz w:val="20"/>
          <w:szCs w:val="20"/>
          <w:color w:val="auto"/>
        </w:rPr>
      </w:pPr>
      <w:r>
        <w:rPr>
          <w:rFonts w:ascii="Times New Roman" w:cs="Times New Roman" w:eastAsia="Times New Roman" w:hAnsi="Times New Roman"/>
          <w:sz w:val="17"/>
          <w:szCs w:val="17"/>
          <w:color w:val="auto"/>
        </w:rPr>
        <w:t>We were granted Fast Track designation by the FDA for lifileucel in advanced melanoma and LN-145 for cervical cancer. We were granted Breakthrough Therapy designation, or BTD, for LN-145 for advanced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73" w:lineRule="exact"/>
        <w:rPr>
          <w:sz w:val="20"/>
          <w:szCs w:val="20"/>
          <w:color w:val="auto"/>
        </w:rPr>
      </w:pPr>
    </w:p>
    <w:p>
      <w:pPr>
        <w:ind w:right="100" w:firstLine="466"/>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67"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We received orphan drug designation in the United States for lifileucel to treat malignant melanoma stages IIB-IV and LN-145 for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78" w:lineRule="exact"/>
        <w:rPr>
          <w:sz w:val="20"/>
          <w:szCs w:val="20"/>
          <w:color w:val="auto"/>
        </w:rPr>
      </w:pPr>
    </w:p>
    <w:p>
      <w:pPr>
        <w:ind w:right="480" w:firstLine="466"/>
        <w:spacing w:after="0" w:line="291" w:lineRule="auto"/>
        <w:rPr>
          <w:sz w:val="20"/>
          <w:szCs w:val="20"/>
          <w:color w:val="auto"/>
        </w:rPr>
      </w:pPr>
      <w:r>
        <w:rPr>
          <w:rFonts w:ascii="Times New Roman" w:cs="Times New Roman" w:eastAsia="Times New Roman" w:hAnsi="Times New Roman"/>
          <w:sz w:val="17"/>
          <w:szCs w:val="17"/>
          <w:color w:val="auto"/>
        </w:rPr>
        <w:t>Moreover, the FDA may grant orphan drug designations to multiple of the same products for the same indication. If another sponsor receives FDA approval for an orphan drug designated product that is the same as our product candidates and intended for the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same indication before we do, we would be prevented from launching our product in the United States for this indication for a period of at least 7 years.</w:t>
      </w:r>
    </w:p>
    <w:p>
      <w:pPr>
        <w:spacing w:after="0" w:line="147" w:lineRule="exact"/>
        <w:rPr>
          <w:sz w:val="20"/>
          <w:szCs w:val="20"/>
          <w:color w:val="auto"/>
        </w:rPr>
      </w:pPr>
    </w:p>
    <w:p>
      <w:pPr>
        <w:ind w:right="20" w:firstLine="466"/>
        <w:spacing w:after="0" w:line="266" w:lineRule="auto"/>
        <w:rPr>
          <w:sz w:val="20"/>
          <w:szCs w:val="20"/>
          <w:color w:val="auto"/>
        </w:rPr>
      </w:pPr>
      <w:r>
        <w:rPr>
          <w:rFonts w:ascii="Times New Roman" w:cs="Times New Roman" w:eastAsia="Times New Roman" w:hAnsi="Times New Roman"/>
          <w:sz w:val="17"/>
          <w:szCs w:val="17"/>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5" w:lineRule="exact"/>
        <w:rPr>
          <w:sz w:val="20"/>
          <w:szCs w:val="20"/>
          <w:color w:val="auto"/>
        </w:rPr>
      </w:pPr>
    </w:p>
    <w:p>
      <w:pPr>
        <w:ind w:right="6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3"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74" w:lineRule="exact"/>
        <w:rPr>
          <w:sz w:val="20"/>
          <w:szCs w:val="20"/>
          <w:color w:val="auto"/>
        </w:rPr>
      </w:pPr>
    </w:p>
    <w:p>
      <w:pPr>
        <w:ind w:right="14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right="40" w:firstLine="466"/>
        <w:spacing w:after="0" w:line="260" w:lineRule="auto"/>
        <w:rPr>
          <w:sz w:val="20"/>
          <w:szCs w:val="20"/>
          <w:color w:val="auto"/>
        </w:rPr>
      </w:pPr>
      <w:r>
        <w:rPr>
          <w:rFonts w:ascii="Times New Roman" w:cs="Times New Roman" w:eastAsia="Times New Roman" w:hAnsi="Times New Roman"/>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75" w:lineRule="exact"/>
        <w:rPr>
          <w:sz w:val="20"/>
          <w:szCs w:val="20"/>
          <w:color w:val="auto"/>
        </w:rPr>
      </w:pPr>
    </w:p>
    <w:p>
      <w:pPr>
        <w:ind w:firstLine="466"/>
        <w:spacing w:after="0" w:line="260" w:lineRule="auto"/>
        <w:rPr>
          <w:sz w:val="20"/>
          <w:szCs w:val="20"/>
          <w:color w:val="auto"/>
        </w:rPr>
      </w:pPr>
      <w:r>
        <w:rPr>
          <w:rFonts w:ascii="Times New Roman" w:cs="Times New Roman" w:eastAsia="Times New Roman" w:hAnsi="Times New Roman"/>
          <w:sz w:val="17"/>
          <w:szCs w:val="17"/>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and sales personnel. In the event we are unable to develop a marketing and sales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382" w:lineRule="exact"/>
        <w:rPr>
          <w:sz w:val="20"/>
          <w:szCs w:val="20"/>
          <w:color w:val="auto"/>
        </w:rPr>
      </w:pPr>
    </w:p>
    <w:p>
      <w:pPr>
        <w:ind w:left="780" w:hanging="313"/>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recruit, train, manage, and retain adequate numbers of effective sales and marketing personnel;</w:t>
      </w:r>
    </w:p>
    <w:p>
      <w:pPr>
        <w:spacing w:after="0" w:line="30" w:lineRule="exact"/>
        <w:rPr>
          <w:rFonts w:ascii="Times New Roman" w:cs="Times New Roman" w:eastAsia="Times New Roman" w:hAnsi="Times New Roman"/>
          <w:sz w:val="17"/>
          <w:szCs w:val="17"/>
          <w:color w:val="auto"/>
        </w:rPr>
      </w:pPr>
    </w:p>
    <w:p>
      <w:pPr>
        <w:ind w:left="780" w:right="160" w:hanging="313"/>
        <w:spacing w:after="0" w:line="254" w:lineRule="auto"/>
        <w:tabs>
          <w:tab w:leader="none" w:pos="77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sales personnel to obtain access to physicians or persuade adequate numbers of physicians to prescribe our current or future product candidates;</w:t>
      </w:r>
    </w:p>
    <w:p>
      <w:pPr>
        <w:ind w:left="780" w:hanging="313"/>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effectively oversee a geographically dispersed sales and marketing team;</w:t>
      </w:r>
    </w:p>
    <w:p>
      <w:pPr>
        <w:spacing w:after="0" w:line="11" w:lineRule="exact"/>
        <w:rPr>
          <w:rFonts w:ascii="Times New Roman" w:cs="Times New Roman" w:eastAsia="Times New Roman" w:hAnsi="Times New Roman"/>
          <w:sz w:val="17"/>
          <w:szCs w:val="17"/>
          <w:color w:val="auto"/>
        </w:rPr>
      </w:pPr>
    </w:p>
    <w:p>
      <w:pPr>
        <w:ind w:left="780" w:right="800" w:hanging="313"/>
        <w:spacing w:after="0" w:line="254" w:lineRule="auto"/>
        <w:tabs>
          <w:tab w:leader="none" w:pos="77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time associated with the initial and ongoing training of sales and marketing personnel on legal and regulatory compliance matters and monitoring their actions;</w:t>
      </w:r>
    </w:p>
    <w:p>
      <w:pPr>
        <w:ind w:left="780" w:hanging="313"/>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secure adequate coverage and reimbursement by government and private health plans;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products are approved and the claims that we may make for the products;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including distribution or use restrictions, contained in the products’ approved labeling;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780" w:right="520" w:hanging="313"/>
        <w:spacing w:after="0" w:line="265" w:lineRule="auto"/>
        <w:tabs>
          <w:tab w:leader="none" w:pos="77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distribution and use restrictions imposed by the FDA or to which we agree as part of a mandatory REMS or voluntary risk management plan;</w:t>
      </w:r>
    </w:p>
    <w:p>
      <w:pPr>
        <w:spacing w:after="0" w:line="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sales or marketing personnel who fail to comply with the applicable legal and regulatory requirements;</w:t>
      </w:r>
    </w:p>
    <w:p>
      <w:pPr>
        <w:spacing w:after="0" w:line="11" w:lineRule="exact"/>
        <w:rPr>
          <w:rFonts w:ascii="Times New Roman" w:cs="Times New Roman" w:eastAsia="Times New Roman" w:hAnsi="Times New Roman"/>
          <w:sz w:val="17"/>
          <w:szCs w:val="17"/>
          <w:color w:val="auto"/>
        </w:rPr>
      </w:pPr>
    </w:p>
    <w:p>
      <w:pPr>
        <w:ind w:left="780" w:right="400" w:hanging="313"/>
        <w:spacing w:after="0" w:line="254" w:lineRule="auto"/>
        <w:tabs>
          <w:tab w:leader="none" w:pos="77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ind w:left="780" w:right="80" w:hanging="313"/>
        <w:spacing w:after="0" w:line="268" w:lineRule="auto"/>
        <w:tabs>
          <w:tab w:leader="none" w:pos="77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our product candidates do not achieve broad market acceptance, the revenues that we generate from their sales will be limited.</w:t>
      </w:r>
    </w:p>
    <w:p>
      <w:pPr>
        <w:spacing w:after="0" w:line="223"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75" w:lineRule="exact"/>
        <w:rPr>
          <w:sz w:val="20"/>
          <w:szCs w:val="20"/>
          <w:color w:val="auto"/>
        </w:rPr>
      </w:pPr>
    </w:p>
    <w:p>
      <w:pPr>
        <w:ind w:right="80" w:firstLine="466"/>
        <w:spacing w:after="0" w:line="266"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69" w:lineRule="exact"/>
        <w:rPr>
          <w:sz w:val="20"/>
          <w:szCs w:val="20"/>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our product candidates;</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adverse events associated with such product candidates;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products are approved and the approved claims that we may make for the products;</w:t>
      </w:r>
    </w:p>
    <w:p>
      <w:pPr>
        <w:spacing w:after="0" w:line="11" w:lineRule="exact"/>
        <w:rPr>
          <w:rFonts w:ascii="Times New Roman" w:cs="Times New Roman" w:eastAsia="Times New Roman" w:hAnsi="Times New Roman"/>
          <w:sz w:val="17"/>
          <w:szCs w:val="17"/>
          <w:color w:val="auto"/>
        </w:rPr>
      </w:pPr>
    </w:p>
    <w:p>
      <w:pPr>
        <w:ind w:left="780" w:right="480" w:hanging="313"/>
        <w:spacing w:after="0" w:line="254" w:lineRule="auto"/>
        <w:tabs>
          <w:tab w:leader="none" w:pos="77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Product’s FDA-approved labeling, including potential limitations or warnings for such products that may be more restrictive than other competitive products;</w:t>
      </w: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standard of care for the targeted indications for such product candidates;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difficulty of administration of such product candidates;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treatment versus economic and clinical benefit in relation to alternative treatments or therapies;</w:t>
      </w:r>
    </w:p>
    <w:p>
      <w:pPr>
        <w:spacing w:after="0" w:line="11" w:lineRule="exact"/>
        <w:rPr>
          <w:rFonts w:ascii="Times New Roman" w:cs="Times New Roman" w:eastAsia="Times New Roman" w:hAnsi="Times New Roman"/>
          <w:sz w:val="17"/>
          <w:szCs w:val="17"/>
          <w:color w:val="auto"/>
        </w:rPr>
      </w:pPr>
    </w:p>
    <w:p>
      <w:pPr>
        <w:ind w:left="780" w:hanging="313"/>
        <w:spacing w:after="0" w:line="254" w:lineRule="auto"/>
        <w:tabs>
          <w:tab w:leader="none" w:pos="77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coverage or reimbursement by third parties, such as insurance companies and other healthcare payors, and by government healthcare programs, including Medicare and Medicaid;</w:t>
      </w: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and strength of our marketing and distribution of such product candidates;</w:t>
      </w:r>
    </w:p>
    <w:p>
      <w:pPr>
        <w:spacing w:after="0" w:line="11" w:lineRule="exact"/>
        <w:rPr>
          <w:rFonts w:ascii="Times New Roman" w:cs="Times New Roman" w:eastAsia="Times New Roman" w:hAnsi="Times New Roman"/>
          <w:sz w:val="17"/>
          <w:szCs w:val="17"/>
          <w:color w:val="auto"/>
        </w:rPr>
      </w:pPr>
    </w:p>
    <w:p>
      <w:pPr>
        <w:ind w:left="780" w:right="220" w:hanging="313"/>
        <w:spacing w:after="0" w:line="254" w:lineRule="auto"/>
        <w:tabs>
          <w:tab w:leader="none" w:pos="77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safety, efficacy, and other potential advantages over, and availability of, alternative treatments already used or that may later be approved for any of our intended indications;</w:t>
      </w:r>
    </w:p>
    <w:p>
      <w:pPr>
        <w:ind w:left="780" w:right="540" w:hanging="313"/>
        <w:spacing w:after="0" w:line="254" w:lineRule="auto"/>
        <w:tabs>
          <w:tab w:leader="none" w:pos="77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and use restrictions imposed by the FDA with respect to such product candidates or to which we agree as part of a mandatory risk evaluation and mitigation strategy or voluntary risk management plan;</w:t>
      </w: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such product candidates, as well as competitive products;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such product candidates for sale at competitive prices;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and strength of our third-party manufacturer and supplier support;</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other new products for the same indications;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about the product or favorable publicity about competitive products; and</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 liability claims.</w:t>
      </w:r>
    </w:p>
    <w:p>
      <w:pPr>
        <w:spacing w:after="0" w:line="200" w:lineRule="exact"/>
        <w:rPr>
          <w:sz w:val="20"/>
          <w:szCs w:val="20"/>
          <w:color w:val="auto"/>
        </w:rPr>
      </w:pPr>
    </w:p>
    <w:p>
      <w:pPr>
        <w:ind w:right="40" w:firstLine="466"/>
        <w:spacing w:after="0" w:line="261" w:lineRule="auto"/>
        <w:rPr>
          <w:sz w:val="20"/>
          <w:szCs w:val="20"/>
          <w:color w:val="auto"/>
        </w:rPr>
      </w:pPr>
      <w:r>
        <w:rPr>
          <w:rFonts w:ascii="Times New Roman" w:cs="Times New Roman" w:eastAsia="Times New Roman" w:hAnsi="Times New Roman"/>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20"/>
          </w:cols>
          <w:pgMar w:left="920" w:top="639" w:right="95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product candidates may face competition sooner than anticipated.</w:t>
      </w:r>
    </w:p>
    <w:p>
      <w:pPr>
        <w:spacing w:after="0" w:line="223" w:lineRule="exact"/>
        <w:rPr>
          <w:sz w:val="20"/>
          <w:szCs w:val="20"/>
          <w:color w:val="auto"/>
        </w:rPr>
      </w:pPr>
    </w:p>
    <w:p>
      <w:pPr>
        <w:ind w:right="120" w:firstLine="466"/>
        <w:spacing w:after="0" w:line="261" w:lineRule="auto"/>
        <w:rPr>
          <w:sz w:val="20"/>
          <w:szCs w:val="20"/>
          <w:color w:val="auto"/>
        </w:rPr>
      </w:pPr>
      <w:r>
        <w:rPr>
          <w:rFonts w:ascii="Times New Roman" w:cs="Times New Roman" w:eastAsia="Times New Roman" w:hAnsi="Times New Roman"/>
          <w:sz w:val="17"/>
          <w:szCs w:val="17"/>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382" w:lineRule="exact"/>
        <w:rPr>
          <w:sz w:val="20"/>
          <w:szCs w:val="20"/>
          <w:color w:val="auto"/>
        </w:rPr>
      </w:pPr>
    </w:p>
    <w:p>
      <w:pPr>
        <w:ind w:right="20" w:firstLine="466"/>
        <w:spacing w:after="0" w:line="258" w:lineRule="auto"/>
        <w:rPr>
          <w:sz w:val="20"/>
          <w:szCs w:val="20"/>
          <w:color w:val="auto"/>
        </w:rPr>
      </w:pPr>
      <w:r>
        <w:rPr>
          <w:rFonts w:ascii="Times New Roman" w:cs="Times New Roman" w:eastAsia="Times New Roman" w:hAnsi="Times New Roman"/>
          <w:sz w:val="17"/>
          <w:szCs w:val="17"/>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71" w:lineRule="exact"/>
        <w:rPr>
          <w:sz w:val="20"/>
          <w:szCs w:val="20"/>
          <w:color w:val="auto"/>
        </w:rPr>
      </w:pPr>
    </w:p>
    <w:p>
      <w:pPr>
        <w:ind w:right="12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will need to obtain FDA approval of any proposed branded product names, and any failure or delay associated with such approval may adversely affect our business.</w:t>
      </w:r>
    </w:p>
    <w:p>
      <w:pPr>
        <w:spacing w:after="0" w:line="143"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9" w:lineRule="exact"/>
        <w:rPr>
          <w:sz w:val="20"/>
          <w:szCs w:val="20"/>
          <w:color w:val="auto"/>
        </w:rPr>
      </w:pPr>
    </w:p>
    <w:p>
      <w:pPr>
        <w:ind w:right="22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systems, or those used by our contract research organizations or other contractors or consultants, may fail or suffer security breaches.</w:t>
      </w:r>
    </w:p>
    <w:p>
      <w:pPr>
        <w:spacing w:after="0" w:line="143"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information technology, systems, infrastructure and data.</w:t>
      </w:r>
    </w:p>
    <w:p>
      <w:pPr>
        <w:spacing w:after="0" w:line="223" w:lineRule="exact"/>
        <w:rPr>
          <w:sz w:val="20"/>
          <w:szCs w:val="20"/>
          <w:color w:val="auto"/>
        </w:rPr>
      </w:pPr>
    </w:p>
    <w:p>
      <w:pPr>
        <w:ind w:right="80" w:firstLine="466"/>
        <w:spacing w:after="0" w:line="263" w:lineRule="auto"/>
        <w:rPr>
          <w:sz w:val="20"/>
          <w:szCs w:val="20"/>
          <w:color w:val="auto"/>
        </w:rPr>
      </w:pPr>
      <w:r>
        <w:rPr>
          <w:rFonts w:ascii="Times New Roman" w:cs="Times New Roman" w:eastAsia="Times New Roman" w:hAnsi="Times New Roman"/>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64" w:name="page65"/>
    <w:bookmarkEnd w:id="6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71" w:lineRule="exact"/>
        <w:rPr>
          <w:sz w:val="20"/>
          <w:szCs w:val="20"/>
          <w:color w:val="auto"/>
        </w:rPr>
      </w:pPr>
    </w:p>
    <w:p>
      <w:pPr>
        <w:ind w:right="46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43" w:lineRule="exact"/>
        <w:rPr>
          <w:sz w:val="20"/>
          <w:szCs w:val="20"/>
          <w:color w:val="auto"/>
        </w:rPr>
      </w:pPr>
    </w:p>
    <w:p>
      <w:pPr>
        <w:ind w:right="120" w:firstLine="466"/>
        <w:spacing w:after="0" w:line="257" w:lineRule="auto"/>
        <w:rPr>
          <w:sz w:val="20"/>
          <w:szCs w:val="20"/>
          <w:color w:val="auto"/>
        </w:rPr>
      </w:pPr>
      <w:r>
        <w:rPr>
          <w:rFonts w:ascii="Times New Roman" w:cs="Times New Roman" w:eastAsia="Times New Roman" w:hAnsi="Times New Roman"/>
          <w:sz w:val="17"/>
          <w:szCs w:val="17"/>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1" w:lineRule="exact"/>
        <w:rPr>
          <w:sz w:val="20"/>
          <w:szCs w:val="20"/>
          <w:color w:val="auto"/>
        </w:rPr>
      </w:pPr>
    </w:p>
    <w:p>
      <w:pPr>
        <w:ind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right="40" w:firstLine="466"/>
        <w:spacing w:after="0" w:line="258" w:lineRule="auto"/>
        <w:rPr>
          <w:sz w:val="20"/>
          <w:szCs w:val="20"/>
          <w:color w:val="auto"/>
        </w:rPr>
      </w:pPr>
      <w:r>
        <w:rPr>
          <w:rFonts w:ascii="Times New Roman" w:cs="Times New Roman" w:eastAsia="Times New Roman" w:hAnsi="Times New Roman"/>
          <w:sz w:val="17"/>
          <w:szCs w:val="17"/>
          <w:color w:val="auto"/>
        </w:rPr>
        <w:t>There are numerous other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the size and capabilities of our organization, and we may experience difficulties in managing this growth.</w:t>
      </w:r>
    </w:p>
    <w:p>
      <w:pPr>
        <w:spacing w:after="0" w:line="223" w:lineRule="exact"/>
        <w:rPr>
          <w:sz w:val="20"/>
          <w:szCs w:val="20"/>
          <w:color w:val="auto"/>
        </w:rPr>
      </w:pPr>
    </w:p>
    <w:p>
      <w:pPr>
        <w:ind w:right="140" w:firstLine="466"/>
        <w:spacing w:after="0" w:line="261" w:lineRule="auto"/>
        <w:rPr>
          <w:sz w:val="20"/>
          <w:szCs w:val="20"/>
          <w:color w:val="auto"/>
        </w:rPr>
      </w:pPr>
      <w:r>
        <w:rPr>
          <w:rFonts w:ascii="Times New Roman" w:cs="Times New Roman" w:eastAsia="Times New Roman" w:hAnsi="Times New Roman"/>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65" w:name="page66"/>
    <w:bookmarkEnd w:id="6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7"/>
          <w:szCs w:val="17"/>
          <w:color w:val="auto"/>
        </w:rPr>
        <w:t>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47" w:lineRule="exact"/>
        <w:rPr>
          <w:sz w:val="20"/>
          <w:szCs w:val="20"/>
          <w:color w:val="auto"/>
        </w:rPr>
      </w:pPr>
    </w:p>
    <w:p>
      <w:pPr>
        <w:ind w:left="780" w:hanging="313"/>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maintaining, and motivating additional employees;</w:t>
      </w:r>
    </w:p>
    <w:p>
      <w:pPr>
        <w:spacing w:after="0" w:line="30" w:lineRule="exact"/>
        <w:rPr>
          <w:rFonts w:ascii="Times New Roman" w:cs="Times New Roman" w:eastAsia="Times New Roman" w:hAnsi="Times New Roman"/>
          <w:sz w:val="17"/>
          <w:szCs w:val="17"/>
          <w:color w:val="auto"/>
        </w:rPr>
      </w:pPr>
    </w:p>
    <w:p>
      <w:pPr>
        <w:ind w:left="780" w:right="380" w:hanging="313"/>
        <w:spacing w:after="0" w:line="254" w:lineRule="auto"/>
        <w:tabs>
          <w:tab w:leader="none" w:pos="77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780" w:hanging="313"/>
        <w:spacing w:after="0"/>
        <w:tabs>
          <w:tab w:leader="none" w:pos="7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200" w:lineRule="exact"/>
        <w:rPr>
          <w:sz w:val="20"/>
          <w:szCs w:val="20"/>
          <w:color w:val="auto"/>
        </w:rPr>
      </w:pPr>
    </w:p>
    <w:p>
      <w:pPr>
        <w:ind w:right="60" w:firstLine="466"/>
        <w:spacing w:after="0" w:line="263" w:lineRule="auto"/>
        <w:rPr>
          <w:sz w:val="20"/>
          <w:szCs w:val="20"/>
          <w:color w:val="auto"/>
        </w:rPr>
      </w:pPr>
      <w:r>
        <w:rPr>
          <w:rFonts w:ascii="Times New Roman" w:cs="Times New Roman" w:eastAsia="Times New Roman" w:hAnsi="Times New Roman"/>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June 2016. This lack of long-term experience working together may adversely impact our senior management team’s ability to effectively manage our business and growth.</w:t>
      </w:r>
    </w:p>
    <w:p>
      <w:pPr>
        <w:spacing w:after="0" w:line="172"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75" w:lineRule="exact"/>
        <w:rPr>
          <w:sz w:val="20"/>
          <w:szCs w:val="20"/>
          <w:color w:val="auto"/>
        </w:rPr>
      </w:pPr>
    </w:p>
    <w:p>
      <w:pPr>
        <w:ind w:right="80" w:firstLine="466"/>
        <w:spacing w:after="0" w:line="272"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60" w:lineRule="exact"/>
        <w:rPr>
          <w:sz w:val="20"/>
          <w:szCs w:val="20"/>
          <w:color w:val="auto"/>
        </w:rPr>
      </w:pPr>
    </w:p>
    <w:p>
      <w:pPr>
        <w:ind w:right="2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43" w:lineRule="exact"/>
        <w:rPr>
          <w:sz w:val="20"/>
          <w:szCs w:val="20"/>
          <w:color w:val="auto"/>
        </w:rPr>
      </w:pPr>
    </w:p>
    <w:p>
      <w:pPr>
        <w:ind w:right="300" w:firstLine="466"/>
        <w:spacing w:after="0" w:line="291" w:lineRule="auto"/>
        <w:rPr>
          <w:sz w:val="20"/>
          <w:szCs w:val="20"/>
          <w:color w:val="auto"/>
        </w:rPr>
      </w:pPr>
      <w:r>
        <w:rPr>
          <w:rFonts w:ascii="Times New Roman" w:cs="Times New Roman" w:eastAsia="Times New Roman" w:hAnsi="Times New Roman"/>
          <w:sz w:val="17"/>
          <w:szCs w:val="17"/>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7" w:lineRule="exact"/>
        <w:rPr>
          <w:sz w:val="20"/>
          <w:szCs w:val="20"/>
          <w:color w:val="auto"/>
        </w:rPr>
      </w:pPr>
    </w:p>
    <w:p>
      <w:pPr>
        <w:ind w:left="780" w:hanging="313"/>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expenses and cash requirements;</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additional indebtedness or contingent liabilities;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equity securities;</w:t>
      </w:r>
    </w:p>
    <w:p>
      <w:pPr>
        <w:spacing w:after="0" w:line="11" w:lineRule="exact"/>
        <w:rPr>
          <w:rFonts w:ascii="Times New Roman" w:cs="Times New Roman" w:eastAsia="Times New Roman" w:hAnsi="Times New Roman"/>
          <w:sz w:val="17"/>
          <w:szCs w:val="17"/>
          <w:color w:val="auto"/>
        </w:rPr>
      </w:pPr>
    </w:p>
    <w:p>
      <w:pPr>
        <w:ind w:left="780" w:hanging="313"/>
        <w:spacing w:after="0" w:line="254" w:lineRule="auto"/>
        <w:tabs>
          <w:tab w:leader="none" w:pos="7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intellectual property and products of an acquired company or product, including difficulties associated with integrating new personnel;</w:t>
      </w:r>
    </w:p>
    <w:p>
      <w:pPr>
        <w:ind w:left="780" w:right="80" w:hanging="313"/>
        <w:spacing w:after="0" w:line="254" w:lineRule="auto"/>
        <w:tabs>
          <w:tab w:leader="none" w:pos="7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from our existing product programs and initiatives in pursuing such a strategic merger or acquisition;</w:t>
      </w:r>
    </w:p>
    <w:p>
      <w:pPr>
        <w:ind w:left="780" w:hanging="313"/>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11" w:lineRule="exact"/>
        <w:rPr>
          <w:rFonts w:ascii="Times New Roman" w:cs="Times New Roman" w:eastAsia="Times New Roman" w:hAnsi="Times New Roman"/>
          <w:sz w:val="17"/>
          <w:szCs w:val="17"/>
          <w:color w:val="auto"/>
        </w:rPr>
      </w:pPr>
    </w:p>
    <w:p>
      <w:pPr>
        <w:ind w:left="780" w:right="320" w:hanging="313"/>
        <w:spacing w:after="0" w:line="254" w:lineRule="auto"/>
        <w:tabs>
          <w:tab w:leader="none" w:pos="7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and their existing products or product candidates and regulatory approvals; and</w:t>
      </w:r>
    </w:p>
    <w:p>
      <w:pPr>
        <w:ind w:left="780" w:right="540" w:hanging="313"/>
        <w:spacing w:after="0" w:line="268" w:lineRule="auto"/>
        <w:tabs>
          <w:tab w:leader="none" w:pos="7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66" w:lineRule="exact"/>
        <w:rPr>
          <w:sz w:val="20"/>
          <w:szCs w:val="20"/>
          <w:color w:val="auto"/>
        </w:rPr>
      </w:pPr>
    </w:p>
    <w:p>
      <w:pPr>
        <w:ind w:right="40" w:firstLine="466"/>
        <w:spacing w:after="0" w:line="261" w:lineRule="auto"/>
        <w:rPr>
          <w:sz w:val="20"/>
          <w:szCs w:val="20"/>
          <w:color w:val="auto"/>
        </w:rPr>
      </w:pPr>
      <w:r>
        <w:rPr>
          <w:rFonts w:ascii="Times New Roman" w:cs="Times New Roman" w:eastAsia="Times New Roman" w:hAnsi="Times New Roman"/>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color w:val="auto"/>
        </w:rPr>
        <w:t>acquisition opportunities and this inability could impair our ability to grow or obtain access to technology or products that may be important to the development of our business.</w:t>
      </w:r>
    </w:p>
    <w:p>
      <w:pPr>
        <w:spacing w:after="0" w:line="143" w:lineRule="exact"/>
        <w:rPr>
          <w:sz w:val="20"/>
          <w:szCs w:val="20"/>
          <w:color w:val="auto"/>
        </w:rPr>
      </w:pPr>
    </w:p>
    <w:p>
      <w:pPr>
        <w:ind w:right="20" w:firstLine="466"/>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67"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75" w:lineRule="exact"/>
        <w:rPr>
          <w:sz w:val="20"/>
          <w:szCs w:val="20"/>
          <w:color w:val="auto"/>
        </w:rPr>
      </w:pPr>
    </w:p>
    <w:p>
      <w:pPr>
        <w:ind w:right="120" w:firstLine="466"/>
        <w:spacing w:after="0" w:line="266" w:lineRule="auto"/>
        <w:rPr>
          <w:sz w:val="20"/>
          <w:szCs w:val="20"/>
          <w:color w:val="auto"/>
        </w:rPr>
      </w:pPr>
      <w:r>
        <w:rPr>
          <w:rFonts w:ascii="Times New Roman" w:cs="Times New Roman" w:eastAsia="Times New Roman" w:hAnsi="Times New Roman"/>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9" w:lineRule="exact"/>
        <w:rPr>
          <w:sz w:val="20"/>
          <w:szCs w:val="20"/>
          <w:color w:val="auto"/>
        </w:rPr>
      </w:pPr>
    </w:p>
    <w:p>
      <w:pPr>
        <w:jc w:val="both"/>
        <w:ind w:right="60" w:firstLine="466"/>
        <w:spacing w:after="0" w:line="272" w:lineRule="auto"/>
        <w:rPr>
          <w:sz w:val="20"/>
          <w:szCs w:val="20"/>
          <w:color w:val="auto"/>
        </w:rPr>
      </w:pPr>
      <w:r>
        <w:rPr>
          <w:rFonts w:ascii="Times New Roman" w:cs="Times New Roman" w:eastAsia="Times New Roman" w:hAnsi="Times New Roman"/>
          <w:sz w:val="17"/>
          <w:szCs w:val="17"/>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SEC has issued an administrative order against us that may make it more difficult for us to raise capital in the future.</w:t>
      </w:r>
      <w:r>
        <w:rPr>
          <w:rFonts w:ascii="Times New Roman" w:cs="Times New Roman" w:eastAsia="Times New Roman" w:hAnsi="Times New Roman"/>
          <w:sz w:val="25"/>
          <w:szCs w:val="25"/>
          <w:color w:val="auto"/>
          <w:vertAlign w:val="superscript"/>
        </w:rPr>
        <w:t>*</w:t>
      </w:r>
    </w:p>
    <w:p>
      <w:pPr>
        <w:spacing w:after="0" w:line="131" w:lineRule="exact"/>
        <w:rPr>
          <w:sz w:val="20"/>
          <w:szCs w:val="20"/>
          <w:color w:val="auto"/>
        </w:rPr>
      </w:pPr>
    </w:p>
    <w:p>
      <w:pPr>
        <w:ind w:right="40" w:firstLine="466"/>
        <w:spacing w:after="0" w:line="257" w:lineRule="auto"/>
        <w:rPr>
          <w:sz w:val="20"/>
          <w:szCs w:val="20"/>
          <w:color w:val="auto"/>
        </w:rPr>
      </w:pPr>
      <w:r>
        <w:rPr>
          <w:rFonts w:ascii="Times New Roman" w:cs="Times New Roman" w:eastAsia="Times New Roman" w:hAnsi="Times New Roman"/>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are expected to end in 2020.</w:t>
      </w:r>
    </w:p>
    <w:p>
      <w:pPr>
        <w:spacing w:after="0" w:line="175" w:lineRule="exact"/>
        <w:rPr>
          <w:sz w:val="20"/>
          <w:szCs w:val="20"/>
          <w:color w:val="auto"/>
        </w:rPr>
      </w:pPr>
    </w:p>
    <w:p>
      <w:pPr>
        <w:ind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and in the future may be, subject to Federal or state securities or related legal actions that could adversely affect our results of operations and our business.</w:t>
      </w:r>
      <w:r>
        <w:rPr>
          <w:rFonts w:ascii="Times New Roman" w:cs="Times New Roman" w:eastAsia="Times New Roman" w:hAnsi="Times New Roman"/>
          <w:sz w:val="25"/>
          <w:szCs w:val="25"/>
          <w:color w:val="auto"/>
          <w:vertAlign w:val="superscript"/>
        </w:rPr>
        <w:t>*</w:t>
      </w:r>
    </w:p>
    <w:p>
      <w:pPr>
        <w:spacing w:after="0" w:line="44" w:lineRule="exact"/>
        <w:rPr>
          <w:sz w:val="20"/>
          <w:szCs w:val="20"/>
          <w:color w:val="auto"/>
        </w:rPr>
      </w:pPr>
    </w:p>
    <w:p>
      <w:pPr>
        <w:ind w:right="140" w:firstLine="466"/>
        <w:spacing w:after="0" w:line="260" w:lineRule="auto"/>
        <w:rPr>
          <w:sz w:val="20"/>
          <w:szCs w:val="20"/>
          <w:color w:val="auto"/>
        </w:rPr>
      </w:pPr>
      <w:r>
        <w:rPr>
          <w:rFonts w:ascii="Times New Roman" w:cs="Times New Roman" w:eastAsia="Times New Roman" w:hAnsi="Times New Roman"/>
          <w:sz w:val="17"/>
          <w:szCs w:val="17"/>
          <w:color w:val="auto"/>
        </w:rPr>
        <w:t xml:space="preserve">Shortly after the SEC announced settlements with us, with other public companies, and with unrelated parties in the </w:t>
      </w:r>
      <w:r>
        <w:rPr>
          <w:rFonts w:ascii="Times New Roman" w:cs="Times New Roman" w:eastAsia="Times New Roman" w:hAnsi="Times New Roman"/>
          <w:sz w:val="17"/>
          <w:szCs w:val="17"/>
          <w:i w:val="1"/>
          <w:iCs w:val="1"/>
          <w:color w:val="auto"/>
        </w:rPr>
        <w:t>In the Matter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Certain Stock Promotions </w:t>
      </w:r>
      <w:r>
        <w:rPr>
          <w:rFonts w:ascii="Times New Roman" w:cs="Times New Roman" w:eastAsia="Times New Roman" w:hAnsi="Times New Roman"/>
          <w:sz w:val="17"/>
          <w:szCs w:val="17"/>
          <w:color w:val="auto"/>
        </w:rPr>
        <w:t>investigation, two securities class action complaints were filed in the U.S. District Court for the Northern District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California against our 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Times New Roman" w:cs="Times New Roman" w:eastAsia="Times New Roman" w:hAnsi="Times New Roman"/>
          <w:sz w:val="17"/>
          <w:szCs w:val="17"/>
          <w:i w:val="1"/>
          <w:iCs w:val="1"/>
          <w:color w:val="auto"/>
        </w:rPr>
        <w:t>Jay Rabkin v. Lion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Biotechnologies, Inc., et al., </w:t>
      </w:r>
      <w:r>
        <w:rPr>
          <w:rFonts w:ascii="Times New Roman" w:cs="Times New Roman" w:eastAsia="Times New Roman" w:hAnsi="Times New Roman"/>
          <w:sz w:val="17"/>
          <w:szCs w:val="17"/>
          <w:color w:val="auto"/>
        </w:rPr>
        <w:t>case no. 3:17-cv-0286) against us, two of our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 xml:space="preserve">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The court retains jurisdiction over the parties and class members in the case for the purposes of administration, interpretation, implementation, and enforcement of the settlement, and related matters.</w:t>
      </w:r>
    </w:p>
    <w:p>
      <w:pPr>
        <w:spacing w:after="0" w:line="181" w:lineRule="exact"/>
        <w:rPr>
          <w:sz w:val="20"/>
          <w:szCs w:val="20"/>
          <w:color w:val="auto"/>
        </w:rPr>
      </w:pPr>
    </w:p>
    <w:p>
      <w:pPr>
        <w:ind w:firstLine="466"/>
        <w:spacing w:after="0" w:line="256" w:lineRule="auto"/>
        <w:rPr>
          <w:sz w:val="20"/>
          <w:szCs w:val="20"/>
          <w:color w:val="auto"/>
        </w:rPr>
      </w:pPr>
      <w:r>
        <w:rPr>
          <w:rFonts w:ascii="Times New Roman" w:cs="Times New Roman" w:eastAsia="Times New Roman" w:hAnsi="Times New Roman"/>
          <w:sz w:val="17"/>
          <w:szCs w:val="17"/>
          <w:color w:val="auto"/>
        </w:rPr>
        <w:t xml:space="preserve">On December 15, 2017, a purported stockholder derivative complaint was filed by plaintiff Kevin Fong was filed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Times New Roman" w:cs="Times New Roman" w:eastAsia="Times New Roman" w:hAnsi="Times New Roman"/>
          <w:sz w:val="17"/>
          <w:szCs w:val="17"/>
          <w:i w:val="1"/>
          <w:iCs w:val="1"/>
          <w:color w:val="auto"/>
        </w:rPr>
        <w:t>In the Matter of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Stock Promotions </w:t>
      </w:r>
      <w:r>
        <w:rPr>
          <w:rFonts w:ascii="Times New Roman" w:cs="Times New Roman" w:eastAsia="Times New Roman" w:hAnsi="Times New Roman"/>
          <w:sz w:val="17"/>
          <w:szCs w:val="17"/>
          <w:color w:val="auto"/>
        </w:rPr>
        <w:t>matter and our April 10, 2017 settlement thereof, and seeks unspecified damages on behalf of our company and injunctive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relief. On March 28, 2018, a purported stockholder derivative complaint was filed by plaintiff Nazeer Khaleeluddin on behalf of our company,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Times New Roman" w:cs="Times New Roman" w:eastAsia="Times New Roman" w:hAnsi="Times New Roman"/>
          <w:sz w:val="17"/>
          <w:szCs w:val="17"/>
          <w:i w:val="1"/>
          <w:iCs w:val="1"/>
          <w:color w:val="auto"/>
        </w:rPr>
        <w:t>In the Matter of Certain Stock Promotions</w:t>
      </w:r>
      <w:r>
        <w:rPr>
          <w:rFonts w:ascii="Times New Roman" w:cs="Times New Roman" w:eastAsia="Times New Roman" w:hAnsi="Times New Roman"/>
          <w:sz w:val="17"/>
          <w:szCs w:val="17"/>
          <w:color w:val="auto"/>
        </w:rPr>
        <w:t xml:space="preserve"> investigation and our April 10, 2017 settlement thereof, and seeks unspecified damages on behalf of our company and injunctive relief. We intend to vigorously defend against these complaints. However, based on the very early stage of the litigation matters, it is not possible to estimate the amount or range of possible loss that might result from an adverse judgment or a settlement of these matters. Furthermore, litigation is inherently uncertain, and there is no assurance as to the outcome of these,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217" w:lineRule="exact"/>
        <w:rPr>
          <w:sz w:val="20"/>
          <w:szCs w:val="20"/>
          <w:color w:val="auto"/>
        </w:rPr>
      </w:pPr>
    </w:p>
    <w:p>
      <w:pPr>
        <w:ind w:right="64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FDA regulatory approval process is lengthy and time-consuming, and we may experience significant delays in the clinical development and regulatory approval of our product candidates.</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plan to increase enrollment in our ongoing C-145-04 clinical trial of TIL therapy LN-145 has been expanded to at least 75 patients of the appropriate patient population to address the expected sample size in anticipation of a BLA submission in 2020. Additionally, the patient population is defined per the discussion with FDA as patients who have progressed following initial systemic therapy for recurrent or metastatic disease which include many of the of the more advanced patients enrolled to date. Based on feedback we received from the FDA following our End of Phase 2 meeting, we believe that the study may be sufficient to support a BLA submission in the second half of 2020. However, our current beliefs regarding the registration pathway for the LN-145 product candidate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or other regulatory agency input. The new version of the protocol which further defines the patient population to include more advanced patients in the study, may have an adverse effect on the results reported to date, changes to implement a blinded independent review committee and assay validation and implementation, and the data within this study may not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69" w:lineRule="exact"/>
        <w:rPr>
          <w:sz w:val="20"/>
          <w:szCs w:val="20"/>
          <w:color w:val="auto"/>
        </w:rPr>
      </w:pPr>
    </w:p>
    <w:p>
      <w:pPr>
        <w:ind w:right="20" w:firstLine="466"/>
        <w:spacing w:after="0" w:line="260" w:lineRule="auto"/>
        <w:rPr>
          <w:sz w:val="20"/>
          <w:szCs w:val="20"/>
          <w:color w:val="auto"/>
        </w:rPr>
      </w:pPr>
      <w:r>
        <w:rPr>
          <w:rFonts w:ascii="Times New Roman" w:cs="Times New Roman" w:eastAsia="Times New Roman" w:hAnsi="Times New Roman"/>
          <w:sz w:val="17"/>
          <w:szCs w:val="17"/>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advanced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Accordingly, the regulatory approval pathway for our product candidates may be uncertain, complex, expensive and lengthy, and approval may not be obtained.</w:t>
      </w:r>
    </w:p>
    <w:p>
      <w:pPr>
        <w:spacing w:after="0" w:line="175" w:lineRule="exact"/>
        <w:rPr>
          <w:sz w:val="20"/>
          <w:szCs w:val="20"/>
          <w:color w:val="auto"/>
        </w:rPr>
      </w:pPr>
    </w:p>
    <w:p>
      <w:pPr>
        <w:ind w:right="200" w:firstLine="466"/>
        <w:spacing w:after="0" w:line="291" w:lineRule="auto"/>
        <w:rPr>
          <w:sz w:val="20"/>
          <w:szCs w:val="20"/>
          <w:color w:val="auto"/>
        </w:rPr>
      </w:pPr>
      <w:r>
        <w:rPr>
          <w:rFonts w:ascii="Times New Roman" w:cs="Times New Roman" w:eastAsia="Times New Roman" w:hAnsi="Times New Roman"/>
          <w:sz w:val="17"/>
          <w:szCs w:val="17"/>
          <w:color w:val="auto"/>
        </w:rPr>
        <w:t>We may also experience delays, including delays arising from the need to increase enrollment, in completing planned clinical trials for a variety of reasons, including delays related to:</w:t>
      </w:r>
    </w:p>
    <w:p>
      <w:pPr>
        <w:spacing w:after="0" w:line="147" w:lineRule="exact"/>
        <w:rPr>
          <w:sz w:val="20"/>
          <w:szCs w:val="20"/>
          <w:color w:val="auto"/>
        </w:rPr>
      </w:pPr>
    </w:p>
    <w:p>
      <w:pPr>
        <w:ind w:left="780" w:hanging="313"/>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financial resources to commence and complete the planned trials;</w:t>
      </w:r>
    </w:p>
    <w:p>
      <w:pPr>
        <w:spacing w:after="0" w:line="30" w:lineRule="exact"/>
        <w:rPr>
          <w:rFonts w:ascii="Times New Roman" w:cs="Times New Roman" w:eastAsia="Times New Roman" w:hAnsi="Times New Roman"/>
          <w:sz w:val="17"/>
          <w:szCs w:val="17"/>
          <w:color w:val="auto"/>
        </w:rPr>
      </w:pPr>
    </w:p>
    <w:p>
      <w:pPr>
        <w:ind w:left="780" w:right="80" w:hanging="313"/>
        <w:spacing w:after="0" w:line="254" w:lineRule="auto"/>
        <w:tabs>
          <w:tab w:leader="none" w:pos="7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reaching agreement on acceptable terms with prospective CROs and clinical trial sites, the terms of which can be subject to extensive negotiation and may vary significantly among different CROs and trial sites;</w:t>
      </w:r>
    </w:p>
    <w:p>
      <w:pPr>
        <w:ind w:left="780" w:hanging="313"/>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approval at each clinical trial site by an independent institutional review board, or IRB, or central IRB;</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suitable patients to participate in a trial;</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patients complete a trial or return for post-treatment follow-up;</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 sites deviating from trial protocol or dropping out of a trial;</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new clinical trial sites;</w:t>
      </w:r>
    </w:p>
    <w:p>
      <w:pPr>
        <w:spacing w:after="0" w:line="11" w:lineRule="exact"/>
        <w:rPr>
          <w:rFonts w:ascii="Times New Roman" w:cs="Times New Roman" w:eastAsia="Times New Roman" w:hAnsi="Times New Roman"/>
          <w:sz w:val="17"/>
          <w:szCs w:val="17"/>
          <w:color w:val="auto"/>
        </w:rPr>
      </w:pPr>
    </w:p>
    <w:p>
      <w:pPr>
        <w:ind w:left="780" w:right="340" w:hanging="313"/>
        <w:spacing w:after="0" w:line="254" w:lineRule="auto"/>
        <w:tabs>
          <w:tab w:leader="none" w:pos="7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sufficient quantities of qualified materials under cGMPs and applying them on a subject by subject basis for use in clinical trials; or</w:t>
      </w:r>
    </w:p>
    <w:p>
      <w:pPr>
        <w:ind w:left="780" w:right="300" w:hanging="313"/>
        <w:spacing w:after="0" w:line="268" w:lineRule="auto"/>
        <w:tabs>
          <w:tab w:leader="none" w:pos="7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implementing or validating changes to our manufacturing or quality control processes and methods needed to address FDA feedback.</w:t>
      </w:r>
    </w:p>
    <w:p>
      <w:pPr>
        <w:spacing w:after="0" w:line="166" w:lineRule="exact"/>
        <w:rPr>
          <w:sz w:val="20"/>
          <w:szCs w:val="20"/>
          <w:color w:val="auto"/>
        </w:rPr>
      </w:pPr>
    </w:p>
    <w:p>
      <w:pPr>
        <w:ind w:firstLine="466"/>
        <w:spacing w:after="0" w:line="258" w:lineRule="auto"/>
        <w:rPr>
          <w:sz w:val="20"/>
          <w:szCs w:val="20"/>
          <w:color w:val="auto"/>
        </w:rPr>
      </w:pPr>
      <w:r>
        <w:rPr>
          <w:rFonts w:ascii="Times New Roman" w:cs="Times New Roman" w:eastAsia="Times New Roman" w:hAnsi="Times New Roman"/>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381" w:lineRule="exact"/>
        <w:rPr>
          <w:sz w:val="20"/>
          <w:szCs w:val="20"/>
          <w:color w:val="auto"/>
        </w:rPr>
      </w:pPr>
    </w:p>
    <w:p>
      <w:pPr>
        <w:ind w:right="8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3" w:lineRule="exact"/>
        <w:rPr>
          <w:sz w:val="20"/>
          <w:szCs w:val="20"/>
          <w:color w:val="auto"/>
        </w:rPr>
      </w:pPr>
    </w:p>
    <w:p>
      <w:pPr>
        <w:ind w:right="20" w:firstLine="466"/>
        <w:spacing w:after="0" w:line="258" w:lineRule="auto"/>
        <w:rPr>
          <w:sz w:val="20"/>
          <w:szCs w:val="20"/>
          <w:color w:val="auto"/>
        </w:rPr>
      </w:pPr>
      <w:r>
        <w:rPr>
          <w:rFonts w:ascii="Times New Roman" w:cs="Times New Roman" w:eastAsia="Times New Roman" w:hAnsi="Times New Roman"/>
          <w:sz w:val="17"/>
          <w:szCs w:val="17"/>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64" w:lineRule="exact"/>
        <w:rPr>
          <w:sz w:val="20"/>
          <w:szCs w:val="20"/>
          <w:color w:val="auto"/>
        </w:rPr>
      </w:pPr>
    </w:p>
    <w:p>
      <w:pPr>
        <w:ind w:firstLine="466"/>
        <w:spacing w:after="0" w:line="261" w:lineRule="auto"/>
        <w:rPr>
          <w:sz w:val="20"/>
          <w:szCs w:val="20"/>
          <w:color w:val="auto"/>
        </w:rPr>
      </w:pPr>
      <w:r>
        <w:rPr>
          <w:rFonts w:ascii="Times New Roman" w:cs="Times New Roman" w:eastAsia="Times New Roman" w:hAnsi="Times New Roman"/>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1" w:lineRule="exact"/>
        <w:rPr>
          <w:sz w:val="20"/>
          <w:szCs w:val="20"/>
          <w:color w:val="auto"/>
        </w:rPr>
      </w:pPr>
    </w:p>
    <w:p>
      <w:pPr>
        <w:jc w:val="both"/>
        <w:ind w:right="160" w:firstLine="466"/>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cs="Times New Roman" w:eastAsia="Times New Roman" w:hAnsi="Times New Roman"/>
          <w:sz w:val="25"/>
          <w:szCs w:val="25"/>
          <w:b w:val="1"/>
          <w:bCs w:val="1"/>
          <w:i w:val="1"/>
          <w:iCs w:val="1"/>
          <w:color w:val="auto"/>
          <w:vertAlign w:val="superscript"/>
        </w:rPr>
        <w:t>*</w:t>
      </w:r>
    </w:p>
    <w:p>
      <w:pPr>
        <w:spacing w:after="0" w:line="36" w:lineRule="exact"/>
        <w:rPr>
          <w:sz w:val="20"/>
          <w:szCs w:val="20"/>
          <w:color w:val="auto"/>
        </w:rPr>
      </w:pPr>
    </w:p>
    <w:p>
      <w:pPr>
        <w:ind w:right="160" w:firstLine="466"/>
        <w:spacing w:after="0" w:line="259" w:lineRule="auto"/>
        <w:rPr>
          <w:sz w:val="20"/>
          <w:szCs w:val="20"/>
          <w:color w:val="auto"/>
        </w:rPr>
      </w:pPr>
      <w:r>
        <w:rPr>
          <w:rFonts w:ascii="Times New Roman" w:cs="Times New Roman" w:eastAsia="Times New Roman" w:hAnsi="Times New Roman"/>
          <w:sz w:val="17"/>
          <w:szCs w:val="17"/>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3"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77" w:lineRule="exact"/>
        <w:rPr>
          <w:sz w:val="20"/>
          <w:szCs w:val="20"/>
          <w:color w:val="auto"/>
        </w:rPr>
      </w:pPr>
    </w:p>
    <w:p>
      <w:pPr>
        <w:ind w:right="100" w:firstLine="466"/>
        <w:spacing w:after="0" w:line="272" w:lineRule="auto"/>
        <w:rPr>
          <w:sz w:val="20"/>
          <w:szCs w:val="20"/>
          <w:color w:val="auto"/>
        </w:rPr>
      </w:pPr>
      <w:r>
        <w:rPr>
          <w:rFonts w:ascii="Times New Roman" w:cs="Times New Roman" w:eastAsia="Times New Roman" w:hAnsi="Times New Roman"/>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64" w:lineRule="exact"/>
        <w:rPr>
          <w:sz w:val="20"/>
          <w:szCs w:val="20"/>
          <w:color w:val="auto"/>
        </w:rPr>
      </w:pPr>
    </w:p>
    <w:p>
      <w:pPr>
        <w:ind w:left="780" w:right="80" w:hanging="313"/>
        <w:spacing w:after="0" w:line="265" w:lineRule="auto"/>
        <w:tabs>
          <w:tab w:leader="none" w:pos="7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distribution, or manufacturing of our product candidates, withdrawal of the product from the market, or voluntary or mandatory product recalls;</w:t>
      </w:r>
    </w:p>
    <w:p>
      <w:pPr>
        <w:spacing w:after="0" w:line="1" w:lineRule="exact"/>
        <w:rPr>
          <w:rFonts w:ascii="Times New Roman" w:cs="Times New Roman" w:eastAsia="Times New Roman" w:hAnsi="Times New Roman"/>
          <w:sz w:val="17"/>
          <w:szCs w:val="17"/>
          <w:color w:val="auto"/>
        </w:rPr>
      </w:pPr>
    </w:p>
    <w:p>
      <w:pPr>
        <w:ind w:left="780" w:right="860" w:hanging="313"/>
        <w:spacing w:after="0" w:line="254" w:lineRule="auto"/>
        <w:tabs>
          <w:tab w:leader="none" w:pos="7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labeling of our product candidates, including required additional warnings, such as black box warnings, contraindications, precautions, and restrictions on the approved indication or use;</w:t>
      </w:r>
    </w:p>
    <w:p>
      <w:pPr>
        <w:ind w:left="780" w:hanging="313"/>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modifications to promotional pieces;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product labeling or the way the product is administered;</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harm caused to patients or subjects;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disgorgement, warning letters, untitled letters, or holds on or termination of clinical trials;</w:t>
      </w:r>
    </w:p>
    <w:p>
      <w:pPr>
        <w:spacing w:after="0" w:line="11" w:lineRule="exact"/>
        <w:rPr>
          <w:rFonts w:ascii="Times New Roman" w:cs="Times New Roman" w:eastAsia="Times New Roman" w:hAnsi="Times New Roman"/>
          <w:sz w:val="17"/>
          <w:szCs w:val="17"/>
          <w:color w:val="auto"/>
        </w:rPr>
      </w:pPr>
    </w:p>
    <w:p>
      <w:pPr>
        <w:ind w:left="780" w:right="160" w:hanging="313"/>
        <w:spacing w:after="0" w:line="254" w:lineRule="auto"/>
        <w:tabs>
          <w:tab w:leader="none" w:pos="7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by the FDA to approve pending applications or supplements to approved applications filed by us or suspension or revocation of license approvals;</w:t>
      </w:r>
    </w:p>
    <w:p>
      <w:pPr>
        <w:ind w:left="780" w:hanging="313"/>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our product candidates;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including imprisonment;</w:t>
      </w:r>
    </w:p>
    <w:p>
      <w:pPr>
        <w:spacing w:after="0" w:line="11" w:lineRule="exact"/>
        <w:rPr>
          <w:rFonts w:ascii="Times New Roman" w:cs="Times New Roman" w:eastAsia="Times New Roman" w:hAnsi="Times New Roman"/>
          <w:sz w:val="17"/>
          <w:szCs w:val="17"/>
          <w:color w:val="auto"/>
        </w:rPr>
      </w:pPr>
    </w:p>
    <w:p>
      <w:pPr>
        <w:ind w:left="780" w:right="140" w:hanging="313"/>
        <w:spacing w:after="0" w:line="254" w:lineRule="auto"/>
        <w:tabs>
          <w:tab w:leader="none" w:pos="7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debarment, debarment from government contracts, and refusal of future orders under existing contracts, exclusion from federal healthcare programs, consent decrees, or corporate integrity agreements;</w:t>
      </w:r>
    </w:p>
    <w:p>
      <w:pPr>
        <w:ind w:left="780" w:right="300" w:hanging="313"/>
        <w:spacing w:after="0" w:line="268" w:lineRule="auto"/>
        <w:tabs>
          <w:tab w:leader="none" w:pos="7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authority issuance of safety alerts, Dear Healthcare Provider letters, press releases, or other communications containing warnings or other safety information about the biologic;</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70" w:name="page71"/>
    <w:bookmarkEnd w:id="7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left="780" w:hanging="313"/>
        <w:spacing w:after="0"/>
        <w:tabs>
          <w:tab w:leader="none" w:pos="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harm; or</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becoming less competitive.</w:t>
      </w:r>
    </w:p>
    <w:p>
      <w:pPr>
        <w:spacing w:after="0" w:line="200" w:lineRule="exact"/>
        <w:rPr>
          <w:sz w:val="20"/>
          <w:szCs w:val="20"/>
          <w:color w:val="auto"/>
        </w:rPr>
      </w:pPr>
    </w:p>
    <w:p>
      <w:pPr>
        <w:ind w:right="160" w:firstLine="466"/>
        <w:spacing w:after="0" w:line="291" w:lineRule="auto"/>
        <w:rPr>
          <w:sz w:val="20"/>
          <w:szCs w:val="20"/>
          <w:color w:val="auto"/>
        </w:rPr>
      </w:pPr>
      <w:r>
        <w:rPr>
          <w:rFonts w:ascii="Times New Roman" w:cs="Times New Roman" w:eastAsia="Times New Roman" w:hAnsi="Times New Roman"/>
          <w:sz w:val="17"/>
          <w:szCs w:val="17"/>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47" w:lineRule="exact"/>
        <w:rPr>
          <w:sz w:val="20"/>
          <w:szCs w:val="20"/>
          <w:color w:val="auto"/>
        </w:rPr>
      </w:pPr>
    </w:p>
    <w:p>
      <w:pPr>
        <w:ind w:firstLine="466"/>
        <w:spacing w:after="0" w:line="262"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379" w:lineRule="exact"/>
        <w:rPr>
          <w:sz w:val="20"/>
          <w:szCs w:val="20"/>
          <w:color w:val="auto"/>
        </w:rPr>
      </w:pPr>
    </w:p>
    <w:p>
      <w:pPr>
        <w:ind w:right="200" w:firstLine="466"/>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61"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77" w:lineRule="exact"/>
        <w:rPr>
          <w:sz w:val="20"/>
          <w:szCs w:val="20"/>
          <w:color w:val="auto"/>
        </w:rPr>
      </w:pPr>
    </w:p>
    <w:p>
      <w:pPr>
        <w:ind w:right="40" w:firstLine="466"/>
        <w:spacing w:after="0" w:line="266" w:lineRule="auto"/>
        <w:rPr>
          <w:sz w:val="20"/>
          <w:szCs w:val="20"/>
          <w:color w:val="auto"/>
        </w:rPr>
      </w:pPr>
      <w:r>
        <w:rPr>
          <w:rFonts w:ascii="Times New Roman" w:cs="Times New Roman" w:eastAsia="Times New Roman" w:hAnsi="Times New Roman"/>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69" w:lineRule="exact"/>
        <w:rPr>
          <w:sz w:val="20"/>
          <w:szCs w:val="20"/>
          <w:color w:val="auto"/>
        </w:rPr>
      </w:pPr>
    </w:p>
    <w:p>
      <w:pPr>
        <w:ind w:right="40" w:firstLine="466"/>
        <w:spacing w:after="0" w:line="259" w:lineRule="auto"/>
        <w:rPr>
          <w:sz w:val="20"/>
          <w:szCs w:val="20"/>
          <w:color w:val="auto"/>
        </w:rPr>
      </w:pPr>
      <w:r>
        <w:rPr>
          <w:rFonts w:ascii="Times New Roman" w:cs="Times New Roman" w:eastAsia="Times New Roman" w:hAnsi="Times New Roman"/>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77" w:lineRule="exact"/>
        <w:rPr>
          <w:sz w:val="20"/>
          <w:szCs w:val="20"/>
          <w:color w:val="auto"/>
        </w:rPr>
      </w:pPr>
    </w:p>
    <w:p>
      <w:pPr>
        <w:ind w:right="40" w:firstLine="466"/>
        <w:spacing w:after="0" w:line="258" w:lineRule="auto"/>
        <w:rPr>
          <w:sz w:val="20"/>
          <w:szCs w:val="20"/>
          <w:color w:val="auto"/>
        </w:rPr>
      </w:pPr>
      <w:r>
        <w:rPr>
          <w:rFonts w:ascii="Times New Roman" w:cs="Times New Roman" w:eastAsia="Times New Roman" w:hAnsi="Times New Roman"/>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78" w:lineRule="exact"/>
        <w:rPr>
          <w:sz w:val="20"/>
          <w:szCs w:val="20"/>
          <w:color w:val="auto"/>
        </w:rPr>
      </w:pPr>
    </w:p>
    <w:p>
      <w:pPr>
        <w:ind w:right="220" w:firstLine="466"/>
        <w:spacing w:after="0" w:line="291" w:lineRule="auto"/>
        <w:rPr>
          <w:sz w:val="20"/>
          <w:szCs w:val="20"/>
          <w:color w:val="auto"/>
        </w:rPr>
      </w:pPr>
      <w:r>
        <w:rPr>
          <w:rFonts w:ascii="Times New Roman" w:cs="Times New Roman" w:eastAsia="Times New Roman" w:hAnsi="Times New Roman"/>
          <w:sz w:val="17"/>
          <w:szCs w:val="17"/>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40"/>
          </w:cols>
          <w:pgMar w:left="920" w:top="639" w:right="93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69" w:lineRule="exact"/>
        <w:rPr>
          <w:sz w:val="20"/>
          <w:szCs w:val="20"/>
          <w:color w:val="auto"/>
        </w:rPr>
      </w:pPr>
    </w:p>
    <w:p>
      <w:pPr>
        <w:ind w:right="20" w:firstLine="466"/>
        <w:spacing w:after="0" w:line="261" w:lineRule="auto"/>
        <w:rPr>
          <w:sz w:val="20"/>
          <w:szCs w:val="20"/>
          <w:color w:val="auto"/>
        </w:rPr>
      </w:pPr>
      <w:r>
        <w:rPr>
          <w:rFonts w:ascii="Times New Roman" w:cs="Times New Roman" w:eastAsia="Times New Roman" w:hAnsi="Times New Roman"/>
          <w:sz w:val="17"/>
          <w:szCs w:val="17"/>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75" w:lineRule="exact"/>
        <w:rPr>
          <w:sz w:val="20"/>
          <w:szCs w:val="20"/>
          <w:color w:val="auto"/>
        </w:rPr>
      </w:pPr>
    </w:p>
    <w:p>
      <w:pPr>
        <w:ind w:firstLine="466"/>
        <w:spacing w:after="0" w:line="256" w:lineRule="auto"/>
        <w:rPr>
          <w:sz w:val="20"/>
          <w:szCs w:val="20"/>
          <w:color w:val="auto"/>
        </w:rPr>
      </w:pPr>
      <w:r>
        <w:rPr>
          <w:rFonts w:ascii="Times New Roman" w:cs="Times New Roman" w:eastAsia="Times New Roman" w:hAnsi="Times New Roman"/>
          <w:sz w:val="17"/>
          <w:szCs w:val="17"/>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84" w:lineRule="exact"/>
        <w:rPr>
          <w:sz w:val="20"/>
          <w:szCs w:val="20"/>
          <w:color w:val="auto"/>
        </w:rPr>
      </w:pPr>
    </w:p>
    <w:p>
      <w:pPr>
        <w:ind w:right="20" w:firstLine="466"/>
        <w:spacing w:after="0" w:line="266" w:lineRule="auto"/>
        <w:rPr>
          <w:sz w:val="20"/>
          <w:szCs w:val="20"/>
          <w:color w:val="auto"/>
        </w:rPr>
      </w:pPr>
      <w:r>
        <w:rPr>
          <w:rFonts w:ascii="Times New Roman" w:cs="Times New Roman" w:eastAsia="Times New Roman" w:hAnsi="Times New Roman"/>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5" w:lineRule="exact"/>
        <w:rPr>
          <w:sz w:val="20"/>
          <w:szCs w:val="20"/>
          <w:color w:val="auto"/>
        </w:rPr>
      </w:pPr>
    </w:p>
    <w:p>
      <w:pPr>
        <w:ind w:right="6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Coverage and reimbursement may be limited or unavailable in certain market segments for our product candidates, which could make it difficult for us to sell our product candidates profitably.</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p>
    <w:p>
      <w:pPr>
        <w:ind w:right="140" w:firstLine="466"/>
        <w:spacing w:after="0" w:line="266" w:lineRule="auto"/>
        <w:rPr>
          <w:sz w:val="20"/>
          <w:szCs w:val="20"/>
          <w:color w:val="auto"/>
        </w:rPr>
      </w:pPr>
      <w:r>
        <w:rPr>
          <w:rFonts w:ascii="Times New Roman" w:cs="Times New Roman" w:eastAsia="Times New Roman" w:hAnsi="Times New Roman"/>
          <w:sz w:val="17"/>
          <w:szCs w:val="17"/>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69" w:lineRule="exact"/>
        <w:rPr>
          <w:sz w:val="20"/>
          <w:szCs w:val="20"/>
          <w:color w:val="auto"/>
        </w:rPr>
      </w:pPr>
    </w:p>
    <w:p>
      <w:pPr>
        <w:ind w:right="80" w:firstLine="466"/>
        <w:spacing w:after="0" w:line="272" w:lineRule="auto"/>
        <w:rPr>
          <w:sz w:val="20"/>
          <w:szCs w:val="20"/>
          <w:color w:val="auto"/>
        </w:rPr>
      </w:pPr>
      <w:r>
        <w:rPr>
          <w:rFonts w:ascii="Times New Roman" w:cs="Times New Roman" w:eastAsia="Times New Roman" w:hAnsi="Times New Roman"/>
          <w:sz w:val="17"/>
          <w:szCs w:val="17"/>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64" w:lineRule="exact"/>
        <w:rPr>
          <w:sz w:val="20"/>
          <w:szCs w:val="20"/>
          <w:color w:val="auto"/>
        </w:rPr>
      </w:pPr>
    </w:p>
    <w:p>
      <w:pPr>
        <w:ind w:right="100" w:firstLine="466"/>
        <w:spacing w:after="0" w:line="261" w:lineRule="auto"/>
        <w:rPr>
          <w:sz w:val="20"/>
          <w:szCs w:val="20"/>
          <w:color w:val="auto"/>
        </w:rPr>
      </w:pPr>
      <w:r>
        <w:rPr>
          <w:rFonts w:ascii="Times New Roman" w:cs="Times New Roman" w:eastAsia="Times New Roman" w:hAnsi="Times New Roman"/>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72" w:name="page73"/>
    <w:bookmarkEnd w:id="72"/>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64" w:lineRule="exact"/>
        <w:rPr>
          <w:sz w:val="20"/>
          <w:szCs w:val="20"/>
          <w:color w:val="auto"/>
        </w:rPr>
      </w:pPr>
    </w:p>
    <w:p>
      <w:pPr>
        <w:ind w:left="780" w:hanging="313"/>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 under its health plan;</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200" w:lineRule="exact"/>
        <w:rPr>
          <w:sz w:val="20"/>
          <w:szCs w:val="20"/>
          <w:color w:val="auto"/>
        </w:rPr>
      </w:pPr>
    </w:p>
    <w:p>
      <w:pPr>
        <w:ind w:firstLine="466"/>
        <w:spacing w:after="0" w:line="260" w:lineRule="auto"/>
        <w:rPr>
          <w:sz w:val="20"/>
          <w:szCs w:val="20"/>
          <w:color w:val="auto"/>
        </w:rPr>
      </w:pPr>
      <w:r>
        <w:rPr>
          <w:rFonts w:ascii="Times New Roman" w:cs="Times New Roman" w:eastAsia="Times New Roman" w:hAnsi="Times New Roman"/>
          <w:sz w:val="17"/>
          <w:szCs w:val="17"/>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75" w:lineRule="exact"/>
        <w:rPr>
          <w:sz w:val="20"/>
          <w:szCs w:val="20"/>
          <w:color w:val="auto"/>
        </w:rPr>
      </w:pPr>
    </w:p>
    <w:p>
      <w:pPr>
        <w:ind w:right="100" w:firstLine="466"/>
        <w:spacing w:after="0" w:line="266" w:lineRule="auto"/>
        <w:rPr>
          <w:sz w:val="20"/>
          <w:szCs w:val="20"/>
          <w:color w:val="auto"/>
        </w:rPr>
      </w:pPr>
      <w:r>
        <w:rPr>
          <w:rFonts w:ascii="Times New Roman" w:cs="Times New Roman" w:eastAsia="Times New Roman" w:hAnsi="Times New Roman"/>
          <w:sz w:val="17"/>
          <w:szCs w:val="17"/>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69" w:lineRule="exact"/>
        <w:rPr>
          <w:sz w:val="20"/>
          <w:szCs w:val="20"/>
          <w:color w:val="auto"/>
        </w:rPr>
      </w:pPr>
    </w:p>
    <w:p>
      <w:pPr>
        <w:ind w:right="40" w:firstLine="466"/>
        <w:spacing w:after="0" w:line="263" w:lineRule="auto"/>
        <w:rPr>
          <w:sz w:val="20"/>
          <w:szCs w:val="20"/>
          <w:color w:val="auto"/>
        </w:rPr>
      </w:pPr>
      <w:r>
        <w:rPr>
          <w:rFonts w:ascii="Times New Roman" w:cs="Times New Roman" w:eastAsia="Times New Roman" w:hAnsi="Times New Roman"/>
          <w:sz w:val="17"/>
          <w:szCs w:val="17"/>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72" w:lineRule="exact"/>
        <w:rPr>
          <w:sz w:val="20"/>
          <w:szCs w:val="20"/>
          <w:color w:val="auto"/>
        </w:rPr>
      </w:pPr>
    </w:p>
    <w:p>
      <w:pPr>
        <w:ind w:right="20" w:firstLine="466"/>
        <w:spacing w:after="0" w:line="257" w:lineRule="auto"/>
        <w:rPr>
          <w:sz w:val="20"/>
          <w:szCs w:val="20"/>
          <w:color w:val="auto"/>
        </w:rPr>
      </w:pPr>
      <w:r>
        <w:rPr>
          <w:rFonts w:ascii="Times New Roman" w:cs="Times New Roman" w:eastAsia="Times New Roman" w:hAnsi="Times New Roman"/>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81" w:lineRule="exact"/>
        <w:rPr>
          <w:sz w:val="20"/>
          <w:szCs w:val="20"/>
          <w:color w:val="auto"/>
        </w:rPr>
      </w:pPr>
    </w:p>
    <w:p>
      <w:pPr>
        <w:ind w:right="80" w:firstLine="466"/>
        <w:spacing w:after="0" w:line="259" w:lineRule="auto"/>
        <w:rPr>
          <w:sz w:val="20"/>
          <w:szCs w:val="20"/>
          <w:color w:val="auto"/>
        </w:rPr>
      </w:pPr>
      <w:r>
        <w:rPr>
          <w:rFonts w:ascii="Times New Roman" w:cs="Times New Roman" w:eastAsia="Times New Roman" w:hAnsi="Times New Roman"/>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73" w:name="page74"/>
    <w:bookmarkEnd w:id="73"/>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firstLine="466"/>
        <w:spacing w:after="0" w:line="259" w:lineRule="auto"/>
        <w:rPr>
          <w:sz w:val="20"/>
          <w:szCs w:val="20"/>
          <w:color w:val="auto"/>
        </w:rPr>
      </w:pPr>
      <w:r>
        <w:rPr>
          <w:rFonts w:ascii="Times New Roman" w:cs="Times New Roman" w:eastAsia="Times New Roman" w:hAnsi="Times New Roman"/>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7" w:lineRule="exact"/>
        <w:rPr>
          <w:sz w:val="20"/>
          <w:szCs w:val="20"/>
          <w:color w:val="auto"/>
        </w:rPr>
      </w:pPr>
    </w:p>
    <w:p>
      <w:pPr>
        <w:ind w:right="20" w:firstLine="466"/>
        <w:spacing w:after="0" w:line="266" w:lineRule="auto"/>
        <w:rPr>
          <w:sz w:val="20"/>
          <w:szCs w:val="20"/>
          <w:color w:val="auto"/>
        </w:rPr>
      </w:pPr>
      <w:r>
        <w:rPr>
          <w:rFonts w:ascii="Times New Roman" w:cs="Times New Roman" w:eastAsia="Times New Roman" w:hAnsi="Times New Roman"/>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69" w:lineRule="exact"/>
        <w:rPr>
          <w:sz w:val="20"/>
          <w:szCs w:val="20"/>
          <w:color w:val="auto"/>
        </w:rPr>
      </w:pPr>
    </w:p>
    <w:p>
      <w:pPr>
        <w:ind w:left="780" w:hanging="313"/>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product candidates, if we obtain regulatory approval;</w:t>
      </w:r>
    </w:p>
    <w:p>
      <w:pPr>
        <w:spacing w:after="0" w:line="30"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products;</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 and achieve or maintain profitability;</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taxes that we are required to pay; and</w:t>
      </w:r>
    </w:p>
    <w:p>
      <w:pPr>
        <w:spacing w:after="0" w:line="1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w:t>
      </w:r>
    </w:p>
    <w:p>
      <w:pPr>
        <w:spacing w:after="0" w:line="200" w:lineRule="exact"/>
        <w:rPr>
          <w:sz w:val="20"/>
          <w:szCs w:val="20"/>
          <w:color w:val="auto"/>
        </w:rPr>
      </w:pPr>
    </w:p>
    <w:p>
      <w:pPr>
        <w:ind w:right="60" w:firstLine="472"/>
        <w:spacing w:after="0" w:line="260" w:lineRule="auto"/>
        <w:rPr>
          <w:sz w:val="20"/>
          <w:szCs w:val="20"/>
          <w:color w:val="auto"/>
        </w:rPr>
      </w:pPr>
      <w:r>
        <w:rPr>
          <w:rFonts w:ascii="Times New Roman" w:cs="Times New Roman" w:eastAsia="Times New Roman" w:hAnsi="Times New Roman"/>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71" w:lineRule="exact"/>
        <w:rPr>
          <w:sz w:val="20"/>
          <w:szCs w:val="20"/>
          <w:color w:val="auto"/>
        </w:rPr>
      </w:pPr>
    </w:p>
    <w:p>
      <w:pPr>
        <w:ind w:right="40" w:firstLine="466"/>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p>
    <w:p>
      <w:pPr>
        <w:ind w:right="100" w:firstLine="466"/>
        <w:spacing w:after="0" w:line="263"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72"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on July 9, 2019, the U.S. Court of Appeals for the Fifth Circuit heard arguments on appeal in this matter. It is unclear how the eventual decision from this appeal, subsequent appeals, and other efforts to repeal and replace the ACA will impact the ACA and our business.</w:t>
      </w:r>
    </w:p>
    <w:p>
      <w:pPr>
        <w:spacing w:after="0" w:line="175" w:lineRule="exact"/>
        <w:rPr>
          <w:sz w:val="20"/>
          <w:szCs w:val="20"/>
          <w:color w:val="auto"/>
        </w:rPr>
      </w:pPr>
    </w:p>
    <w:p>
      <w:pPr>
        <w:ind w:right="80" w:firstLine="466"/>
        <w:spacing w:after="0" w:line="261" w:lineRule="auto"/>
        <w:rPr>
          <w:sz w:val="20"/>
          <w:szCs w:val="20"/>
          <w:color w:val="auto"/>
        </w:rPr>
      </w:pPr>
      <w:r>
        <w:rPr>
          <w:rFonts w:ascii="Times New Roman" w:cs="Times New Roman" w:eastAsia="Times New Roman" w:hAnsi="Times New Roman"/>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5" w:lineRule="exact"/>
        <w:rPr>
          <w:sz w:val="20"/>
          <w:szCs w:val="20"/>
          <w:color w:val="auto"/>
        </w:rPr>
      </w:pPr>
    </w:p>
    <w:p>
      <w:pPr>
        <w:ind w:right="60" w:firstLine="466"/>
        <w:spacing w:after="0" w:line="263" w:lineRule="auto"/>
        <w:rPr>
          <w:sz w:val="20"/>
          <w:szCs w:val="20"/>
          <w:color w:val="auto"/>
        </w:rPr>
      </w:pPr>
      <w:r>
        <w:rPr>
          <w:rFonts w:ascii="Times New Roman" w:cs="Times New Roman" w:eastAsia="Times New Roman" w:hAnsi="Times New Roman"/>
          <w:sz w:val="17"/>
          <w:szCs w:val="17"/>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2" w:lineRule="exact"/>
        <w:rPr>
          <w:sz w:val="20"/>
          <w:szCs w:val="20"/>
          <w:color w:val="auto"/>
        </w:rPr>
      </w:pPr>
    </w:p>
    <w:p>
      <w:pPr>
        <w:ind w:right="20" w:firstLine="466"/>
        <w:spacing w:after="0" w:line="258" w:lineRule="auto"/>
        <w:rPr>
          <w:sz w:val="20"/>
          <w:szCs w:val="20"/>
          <w:color w:val="auto"/>
        </w:rPr>
      </w:pPr>
      <w:r>
        <w:rPr>
          <w:rFonts w:ascii="Times New Roman" w:cs="Times New Roman" w:eastAsia="Times New Roman" w:hAnsi="Times New Roman"/>
          <w:sz w:val="17"/>
          <w:szCs w:val="17"/>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 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firstLine="466"/>
        <w:spacing w:after="0" w:line="270" w:lineRule="auto"/>
        <w:rPr>
          <w:sz w:val="20"/>
          <w:szCs w:val="20"/>
          <w:color w:val="auto"/>
        </w:rPr>
      </w:pPr>
      <w:r>
        <w:rPr>
          <w:rFonts w:ascii="Times New Roman" w:cs="Times New Roman" w:eastAsia="Times New Roman" w:hAnsi="Times New Roman"/>
          <w:sz w:val="17"/>
          <w:szCs w:val="17"/>
          <w:color w:val="auto"/>
        </w:rPr>
        <w:t>We are unable to predict the future course of federal or state healthcare legislation in the United States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3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the United States tend to impose strict price controls, which may adversely affect our revenues, if any.</w:t>
      </w:r>
    </w:p>
    <w:p>
      <w:pPr>
        <w:spacing w:after="0" w:line="223"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75" w:name="page76"/>
    <w:bookmarkEnd w:id="75"/>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40" w:firstLine="472"/>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firstLine="466"/>
        <w:spacing w:after="0" w:line="257" w:lineRule="auto"/>
        <w:rPr>
          <w:sz w:val="20"/>
          <w:szCs w:val="20"/>
          <w:color w:val="auto"/>
        </w:rPr>
      </w:pPr>
      <w:r>
        <w:rPr>
          <w:rFonts w:ascii="Times New Roman" w:cs="Times New Roman" w:eastAsia="Times New Roman" w:hAnsi="Times New Roman"/>
          <w:sz w:val="17"/>
          <w:szCs w:val="17"/>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79" w:lineRule="exact"/>
        <w:rPr>
          <w:sz w:val="20"/>
          <w:szCs w:val="20"/>
          <w:color w:val="auto"/>
        </w:rPr>
      </w:pPr>
    </w:p>
    <w:p>
      <w:pPr>
        <w:ind w:right="40" w:firstLine="466"/>
        <w:spacing w:after="0" w:line="257" w:lineRule="auto"/>
        <w:rPr>
          <w:sz w:val="20"/>
          <w:szCs w:val="20"/>
          <w:color w:val="auto"/>
        </w:rPr>
      </w:pPr>
      <w:r>
        <w:rPr>
          <w:rFonts w:ascii="Times New Roman" w:cs="Times New Roman" w:eastAsia="Times New Roman" w:hAnsi="Times New Roman"/>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7" w:lineRule="exact"/>
        <w:rPr>
          <w:sz w:val="20"/>
          <w:szCs w:val="20"/>
          <w:color w:val="auto"/>
        </w:rPr>
      </w:pPr>
    </w:p>
    <w:p>
      <w:pPr>
        <w:ind w:right="16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43" w:lineRule="exact"/>
        <w:rPr>
          <w:sz w:val="20"/>
          <w:szCs w:val="20"/>
          <w:color w:val="auto"/>
        </w:rPr>
      </w:pPr>
    </w:p>
    <w:p>
      <w:pPr>
        <w:ind w:right="40" w:firstLine="466"/>
        <w:spacing w:after="0" w:line="258" w:lineRule="auto"/>
        <w:rPr>
          <w:sz w:val="20"/>
          <w:szCs w:val="20"/>
          <w:color w:val="auto"/>
        </w:rPr>
      </w:pPr>
      <w:r>
        <w:rPr>
          <w:rFonts w:ascii="Times New Roman" w:cs="Times New Roman" w:eastAsia="Times New Roman" w:hAnsi="Times New Roman"/>
          <w:sz w:val="17"/>
          <w:szCs w:val="17"/>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78" w:lineRule="exact"/>
        <w:rPr>
          <w:sz w:val="20"/>
          <w:szCs w:val="20"/>
          <w:color w:val="auto"/>
        </w:rPr>
      </w:pPr>
    </w:p>
    <w:p>
      <w:pPr>
        <w:ind w:right="80" w:firstLine="466"/>
        <w:spacing w:after="0" w:line="261" w:lineRule="auto"/>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00"/>
          </w:cols>
          <w:pgMar w:left="920" w:top="639" w:right="979" w:bottom="1440" w:gutter="0" w:footer="0" w:header="0"/>
        </w:sectPr>
      </w:pPr>
    </w:p>
    <w:bookmarkStart w:id="76" w:name="page77"/>
    <w:bookmarkEnd w:id="7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incur substantial costs as a result of litigation or other proceedings relating to patent and other intellectual property rights.</w:t>
      </w:r>
    </w:p>
    <w:p>
      <w:pPr>
        <w:spacing w:after="0" w:line="223" w:lineRule="exact"/>
        <w:rPr>
          <w:sz w:val="20"/>
          <w:szCs w:val="20"/>
          <w:color w:val="auto"/>
        </w:rPr>
      </w:pPr>
    </w:p>
    <w:p>
      <w:pPr>
        <w:ind w:right="180" w:firstLine="466"/>
        <w:spacing w:after="0" w:line="272" w:lineRule="auto"/>
        <w:rPr>
          <w:sz w:val="20"/>
          <w:szCs w:val="20"/>
          <w:color w:val="auto"/>
        </w:rPr>
      </w:pPr>
      <w:r>
        <w:rPr>
          <w:rFonts w:ascii="Times New Roman" w:cs="Times New Roman" w:eastAsia="Times New Roman" w:hAnsi="Times New Roman"/>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64" w:lineRule="exact"/>
        <w:rPr>
          <w:sz w:val="20"/>
          <w:szCs w:val="20"/>
          <w:color w:val="auto"/>
        </w:rPr>
      </w:pPr>
    </w:p>
    <w:p>
      <w:pPr>
        <w:ind w:right="220" w:firstLine="466"/>
        <w:spacing w:after="0" w:line="263" w:lineRule="auto"/>
        <w:rPr>
          <w:sz w:val="20"/>
          <w:szCs w:val="20"/>
          <w:color w:val="auto"/>
        </w:rPr>
      </w:pPr>
      <w:r>
        <w:rPr>
          <w:rFonts w:ascii="Times New Roman" w:cs="Times New Roman" w:eastAsia="Times New Roman" w:hAnsi="Times New Roman"/>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Issued patents covering our product candidates could be found invalid or unenforceable if challenged in court or the USPTO.</w:t>
      </w:r>
    </w:p>
    <w:p>
      <w:pPr>
        <w:spacing w:after="0" w:line="223" w:lineRule="exact"/>
        <w:rPr>
          <w:sz w:val="20"/>
          <w:szCs w:val="20"/>
          <w:color w:val="auto"/>
        </w:rPr>
      </w:pPr>
    </w:p>
    <w:p>
      <w:pPr>
        <w:ind w:right="40" w:firstLine="466"/>
        <w:spacing w:after="0" w:line="258" w:lineRule="auto"/>
        <w:rPr>
          <w:sz w:val="20"/>
          <w:szCs w:val="20"/>
          <w:color w:val="auto"/>
        </w:rPr>
      </w:pPr>
      <w:r>
        <w:rPr>
          <w:rFonts w:ascii="Times New Roman" w:cs="Times New Roman" w:eastAsia="Times New Roman" w:hAnsi="Times New Roman"/>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proprietary rights, we may not be able to compete effectively or operate profitably.</w:t>
      </w:r>
    </w:p>
    <w:p>
      <w:pPr>
        <w:spacing w:after="0" w:line="223" w:lineRule="exact"/>
        <w:rPr>
          <w:sz w:val="20"/>
          <w:szCs w:val="20"/>
          <w:color w:val="auto"/>
        </w:rPr>
      </w:pPr>
    </w:p>
    <w:p>
      <w:pPr>
        <w:ind w:firstLine="466"/>
        <w:spacing w:after="0" w:line="260" w:lineRule="auto"/>
        <w:rPr>
          <w:sz w:val="20"/>
          <w:szCs w:val="20"/>
          <w:color w:val="auto"/>
        </w:rPr>
      </w:pPr>
      <w:r>
        <w:rPr>
          <w:rFonts w:ascii="Times New Roman" w:cs="Times New Roman" w:eastAsia="Times New Roman" w:hAnsi="Times New Roman"/>
          <w:sz w:val="17"/>
          <w:szCs w:val="17"/>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75" w:lineRule="exact"/>
        <w:rPr>
          <w:sz w:val="20"/>
          <w:szCs w:val="20"/>
          <w:color w:val="auto"/>
        </w:rPr>
      </w:pPr>
    </w:p>
    <w:p>
      <w:pPr>
        <w:ind w:right="20" w:firstLine="466"/>
        <w:spacing w:after="0" w:line="258" w:lineRule="auto"/>
        <w:rPr>
          <w:sz w:val="20"/>
          <w:szCs w:val="20"/>
          <w:color w:val="auto"/>
        </w:rPr>
      </w:pPr>
      <w:r>
        <w:rPr>
          <w:rFonts w:ascii="Times New Roman" w:cs="Times New Roman" w:eastAsia="Times New Roman" w:hAnsi="Times New Roman"/>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77" w:name="page78"/>
    <w:bookmarkEnd w:id="77"/>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color w:val="auto"/>
        </w:rPr>
        <w:t>that, even if the validity of our patents were upheld, a court would refuse to stop the other party on the grounds that its activities are not covered by, that is, do not infringe, our patents.</w:t>
      </w:r>
    </w:p>
    <w:p>
      <w:pPr>
        <w:spacing w:after="0" w:line="147" w:lineRule="exact"/>
        <w:rPr>
          <w:sz w:val="20"/>
          <w:szCs w:val="20"/>
          <w:color w:val="auto"/>
        </w:rPr>
      </w:pPr>
    </w:p>
    <w:p>
      <w:pPr>
        <w:ind w:firstLine="466"/>
        <w:spacing w:after="0" w:line="260" w:lineRule="auto"/>
        <w:rPr>
          <w:sz w:val="20"/>
          <w:szCs w:val="20"/>
          <w:color w:val="auto"/>
        </w:rPr>
      </w:pPr>
      <w:r>
        <w:rPr>
          <w:rFonts w:ascii="Times New Roman" w:cs="Times New Roman" w:eastAsia="Times New Roman" w:hAnsi="Times New Roman"/>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71" w:lineRule="exact"/>
        <w:rPr>
          <w:sz w:val="20"/>
          <w:szCs w:val="20"/>
          <w:color w:val="auto"/>
        </w:rPr>
      </w:pPr>
    </w:p>
    <w:p>
      <w:pPr>
        <w:ind w:right="30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right="100" w:firstLine="466"/>
        <w:spacing w:after="0" w:line="259" w:lineRule="auto"/>
        <w:rPr>
          <w:sz w:val="20"/>
          <w:szCs w:val="20"/>
          <w:color w:val="auto"/>
        </w:rPr>
      </w:pPr>
      <w:r>
        <w:rPr>
          <w:rFonts w:ascii="Times New Roman" w:cs="Times New Roman" w:eastAsia="Times New Roman" w:hAnsi="Times New Roman"/>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3" w:lineRule="exact"/>
        <w:rPr>
          <w:sz w:val="20"/>
          <w:szCs w:val="20"/>
          <w:color w:val="auto"/>
        </w:rPr>
      </w:pPr>
    </w:p>
    <w:p>
      <w:pPr>
        <w:ind w:right="20" w:firstLine="466"/>
        <w:spacing w:after="0" w:line="261" w:lineRule="auto"/>
        <w:rPr>
          <w:sz w:val="20"/>
          <w:szCs w:val="20"/>
          <w:color w:val="auto"/>
        </w:rPr>
      </w:pPr>
      <w:r>
        <w:rPr>
          <w:rFonts w:ascii="Times New Roman" w:cs="Times New Roman" w:eastAsia="Times New Roman" w:hAnsi="Times New Roman"/>
          <w:sz w:val="17"/>
          <w:szCs w:val="17"/>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use of our technologies could potentially conflict with the rights of others.</w:t>
      </w:r>
    </w:p>
    <w:p>
      <w:pPr>
        <w:spacing w:after="0" w:line="223" w:lineRule="exact"/>
        <w:rPr>
          <w:sz w:val="20"/>
          <w:szCs w:val="20"/>
          <w:color w:val="auto"/>
        </w:rPr>
      </w:pPr>
    </w:p>
    <w:p>
      <w:pPr>
        <w:ind w:right="120" w:firstLine="466"/>
        <w:spacing w:after="0" w:line="260" w:lineRule="auto"/>
        <w:rPr>
          <w:sz w:val="20"/>
          <w:szCs w:val="20"/>
          <w:color w:val="auto"/>
        </w:rPr>
      </w:pPr>
      <w:r>
        <w:rPr>
          <w:rFonts w:ascii="Times New Roman" w:cs="Times New Roman" w:eastAsia="Times New Roman" w:hAnsi="Times New Roman"/>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75" w:lineRule="exact"/>
        <w:rPr>
          <w:sz w:val="20"/>
          <w:szCs w:val="20"/>
          <w:color w:val="auto"/>
        </w:rPr>
      </w:pPr>
    </w:p>
    <w:p>
      <w:pPr>
        <w:jc w:val="both"/>
        <w:ind w:right="20" w:firstLine="466"/>
        <w:spacing w:after="0" w:line="261" w:lineRule="auto"/>
        <w:rPr>
          <w:sz w:val="20"/>
          <w:szCs w:val="20"/>
          <w:color w:val="auto"/>
        </w:rPr>
      </w:pPr>
      <w:r>
        <w:rPr>
          <w:rFonts w:ascii="Times New Roman" w:cs="Times New Roman" w:eastAsia="Times New Roman" w:hAnsi="Times New Roman"/>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Changes in U.S. patent law could diminish the value of patents in general, thereby impairing our ability to protect our products.</w:t>
      </w:r>
    </w:p>
    <w:p>
      <w:pPr>
        <w:spacing w:after="0" w:line="223" w:lineRule="exact"/>
        <w:rPr>
          <w:sz w:val="20"/>
          <w:szCs w:val="20"/>
          <w:color w:val="auto"/>
        </w:rPr>
      </w:pPr>
    </w:p>
    <w:p>
      <w:pPr>
        <w:ind w:right="180" w:firstLine="466"/>
        <w:spacing w:after="0" w:line="291" w:lineRule="auto"/>
        <w:rPr>
          <w:sz w:val="20"/>
          <w:szCs w:val="20"/>
          <w:color w:val="auto"/>
        </w:rPr>
      </w:pPr>
      <w:r>
        <w:rPr>
          <w:rFonts w:ascii="Times New Roman" w:cs="Times New Roman" w:eastAsia="Times New Roman" w:hAnsi="Times New Roman"/>
          <w:sz w:val="17"/>
          <w:szCs w:val="17"/>
          <w:color w:val="auto"/>
        </w:rPr>
        <w:t>As is the case with other biopharmaceutical companies, our success is dependent on intellectual property, particularly patents. Obtaining and enforcing patents in the biopharmaceutical industry involve both technological and legal complexity, and is therefore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foreign intellectual property rights and may not be able to protect our intellectual property rights throughout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world.</w:t>
      </w:r>
    </w:p>
    <w:p>
      <w:pPr>
        <w:spacing w:after="0" w:line="200" w:lineRule="exact"/>
        <w:rPr>
          <w:sz w:val="20"/>
          <w:szCs w:val="20"/>
          <w:color w:val="auto"/>
        </w:rPr>
      </w:pPr>
    </w:p>
    <w:p>
      <w:pPr>
        <w:ind w:right="20" w:firstLine="466"/>
        <w:spacing w:after="0" w:line="259" w:lineRule="auto"/>
        <w:rPr>
          <w:sz w:val="20"/>
          <w:szCs w:val="20"/>
          <w:color w:val="auto"/>
        </w:rPr>
      </w:pPr>
      <w:r>
        <w:rPr>
          <w:rFonts w:ascii="Times New Roman" w:cs="Times New Roman" w:eastAsia="Times New Roman" w:hAnsi="Times New Roman"/>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3" w:lineRule="exact"/>
        <w:rPr>
          <w:sz w:val="20"/>
          <w:szCs w:val="20"/>
          <w:color w:val="auto"/>
        </w:rPr>
      </w:pPr>
    </w:p>
    <w:p>
      <w:pPr>
        <w:ind w:firstLine="466"/>
        <w:spacing w:after="0" w:line="25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ind w:right="20" w:firstLine="466"/>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w:t>
      </w:r>
    </w:p>
    <w:p>
      <w:pPr>
        <w:spacing w:after="0" w:line="143" w:lineRule="exact"/>
        <w:rPr>
          <w:sz w:val="20"/>
          <w:szCs w:val="20"/>
          <w:color w:val="auto"/>
        </w:rPr>
      </w:pPr>
    </w:p>
    <w:p>
      <w:pPr>
        <w:ind w:right="40" w:firstLine="472"/>
        <w:spacing w:after="0" w:line="260" w:lineRule="auto"/>
        <w:rPr>
          <w:sz w:val="20"/>
          <w:szCs w:val="20"/>
          <w:color w:val="auto"/>
        </w:rPr>
      </w:pPr>
      <w:r>
        <w:rPr>
          <w:rFonts w:ascii="Times New Roman" w:cs="Times New Roman" w:eastAsia="Times New Roman" w:hAnsi="Times New Roman"/>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w:t>
      </w:r>
    </w:p>
    <w:p>
      <w:pPr>
        <w:spacing w:after="0" w:line="217" w:lineRule="exact"/>
        <w:rPr>
          <w:sz w:val="20"/>
          <w:szCs w:val="20"/>
          <w:color w:val="auto"/>
        </w:rPr>
      </w:pPr>
    </w:p>
    <w:p>
      <w:pPr>
        <w:ind w:right="120"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existing directors and executive officers hold a substantial amount of our common stock and may be able to influence significant corporate decisions.</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p>
    <w:p>
      <w:pPr>
        <w:ind w:right="80" w:firstLine="472"/>
        <w:spacing w:after="0" w:line="272" w:lineRule="auto"/>
        <w:rPr>
          <w:sz w:val="20"/>
          <w:szCs w:val="20"/>
          <w:color w:val="auto"/>
        </w:rPr>
      </w:pPr>
      <w:r>
        <w:rPr>
          <w:rFonts w:ascii="Times New Roman" w:cs="Times New Roman" w:eastAsia="Times New Roman" w:hAnsi="Times New Roman"/>
          <w:sz w:val="17"/>
          <w:szCs w:val="17"/>
          <w:color w:val="auto"/>
        </w:rPr>
        <w:t>As of September 30, 2019, our officers and directors beneficially owned approximately 9.3% of our outstanding common stock. These stockholders, if they act together, may be able to materially affect the outcome of matters presented to our stockholders, including the election of our directors and other corporate actions such as:</w:t>
      </w:r>
    </w:p>
    <w:p>
      <w:pPr>
        <w:spacing w:after="0" w:line="164" w:lineRule="exact"/>
        <w:rPr>
          <w:sz w:val="20"/>
          <w:szCs w:val="20"/>
          <w:color w:val="auto"/>
        </w:rPr>
      </w:pPr>
    </w:p>
    <w:p>
      <w:pPr>
        <w:ind w:left="800" w:hanging="313"/>
        <w:spacing w:after="0"/>
        <w:tabs>
          <w:tab w:leader="none" w:pos="8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with or into another company;</w:t>
      </w:r>
    </w:p>
    <w:p>
      <w:pPr>
        <w:spacing w:after="0" w:line="30"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of substantially all of our assets; and</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our certificate of incorporation.</w:t>
      </w:r>
    </w:p>
    <w:p>
      <w:pPr>
        <w:spacing w:after="0" w:line="200" w:lineRule="exact"/>
        <w:rPr>
          <w:sz w:val="20"/>
          <w:szCs w:val="20"/>
          <w:color w:val="auto"/>
        </w:rPr>
      </w:pPr>
    </w:p>
    <w:p>
      <w:pPr>
        <w:ind w:right="80" w:firstLine="472"/>
        <w:spacing w:after="0" w:line="291" w:lineRule="auto"/>
        <w:rPr>
          <w:sz w:val="20"/>
          <w:szCs w:val="20"/>
          <w:color w:val="auto"/>
        </w:rPr>
      </w:pPr>
      <w:r>
        <w:rPr>
          <w:rFonts w:ascii="Times New Roman" w:cs="Times New Roman" w:eastAsia="Times New Roman" w:hAnsi="Times New Roman"/>
          <w:sz w:val="17"/>
          <w:szCs w:val="17"/>
          <w:color w:val="auto"/>
        </w:rPr>
        <w:t>Additionally, the decisions of these stockholders may conflict with our interests or those of our other stockholders and the market price of our stock may be adversely affected by market volatility.</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stock price may be volatile, and our stockholders' investment in our stock could decline in value.</w:t>
      </w:r>
    </w:p>
    <w:p>
      <w:pPr>
        <w:spacing w:after="0" w:line="219" w:lineRule="exact"/>
        <w:rPr>
          <w:sz w:val="20"/>
          <w:szCs w:val="20"/>
          <w:color w:val="auto"/>
        </w:rPr>
      </w:pPr>
    </w:p>
    <w:p>
      <w:pPr>
        <w:ind w:right="280" w:firstLine="472"/>
        <w:spacing w:after="0" w:line="291" w:lineRule="auto"/>
        <w:rPr>
          <w:sz w:val="20"/>
          <w:szCs w:val="20"/>
          <w:color w:val="auto"/>
        </w:rPr>
      </w:pPr>
      <w:r>
        <w:rPr>
          <w:rFonts w:ascii="Times New Roman" w:cs="Times New Roman" w:eastAsia="Times New Roman" w:hAnsi="Times New Roman"/>
          <w:sz w:val="17"/>
          <w:szCs w:val="17"/>
          <w:color w:val="auto"/>
        </w:rPr>
        <w:t>The market price of our common stock is likely to be volatile and could fluctuate widely in response to many factors, including but not limited to:</w:t>
      </w:r>
    </w:p>
    <w:p>
      <w:pPr>
        <w:spacing w:after="0" w:line="147" w:lineRule="exact"/>
        <w:rPr>
          <w:sz w:val="20"/>
          <w:szCs w:val="20"/>
          <w:color w:val="auto"/>
        </w:rPr>
      </w:pPr>
    </w:p>
    <w:p>
      <w:pPr>
        <w:ind w:left="800" w:right="180" w:hanging="313"/>
        <w:spacing w:after="0" w:line="265" w:lineRule="auto"/>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the results of clinical trials by us, our collaborators, or our competitors, or negative developments with respect to similar products, including those being developed by our collaborators;</w:t>
      </w:r>
    </w:p>
    <w:p>
      <w:pPr>
        <w:spacing w:after="0" w:line="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with respect to patents or proprietary rights;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by us or our competitors;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or new contracts by us or our competitors;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operating results due to the level of development expenses and other factors;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analysts and whether our earnings meet or exceed such estimates;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and trends in the pharmaceutical, biotechnology and other industries;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or lack of receipt, of funding in support of conducing our business;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within, and outside of, the United States;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arbitration;</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volatility in the financial markets;</w:t>
      </w:r>
    </w:p>
    <w:p>
      <w:pPr>
        <w:spacing w:after="0" w:line="11" w:lineRule="exact"/>
        <w:rPr>
          <w:rFonts w:ascii="Times New Roman" w:cs="Times New Roman" w:eastAsia="Times New Roman" w:hAnsi="Times New Roman"/>
          <w:sz w:val="17"/>
          <w:szCs w:val="17"/>
          <w:color w:val="auto"/>
        </w:rPr>
      </w:pPr>
    </w:p>
    <w:p>
      <w:pPr>
        <w:ind w:left="800" w:hanging="313"/>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and market conditions and other factors; and</w:t>
      </w:r>
    </w:p>
    <w:p>
      <w:pPr>
        <w:spacing w:after="0" w:line="11" w:lineRule="exact"/>
        <w:rPr>
          <w:rFonts w:ascii="Times New Roman" w:cs="Times New Roman" w:eastAsia="Times New Roman" w:hAnsi="Times New Roman"/>
          <w:sz w:val="17"/>
          <w:szCs w:val="17"/>
          <w:color w:val="auto"/>
        </w:rPr>
      </w:pPr>
    </w:p>
    <w:p>
      <w:pPr>
        <w:ind w:left="800" w:right="20" w:hanging="313"/>
        <w:spacing w:after="0" w:line="268" w:lineRule="auto"/>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of the risks described in this Quarterly Report on Form 10-Q or our Annual Report on Form 10-K filed with the SEC on February 28, 2019.</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You may experience future dilution as a result of future equity offerings or other equity issuances.</w:t>
      </w:r>
    </w:p>
    <w:p>
      <w:pPr>
        <w:spacing w:after="0" w:line="223" w:lineRule="exact"/>
        <w:rPr>
          <w:sz w:val="20"/>
          <w:szCs w:val="20"/>
          <w:color w:val="auto"/>
        </w:rPr>
      </w:pPr>
    </w:p>
    <w:p>
      <w:pPr>
        <w:ind w:firstLine="472"/>
        <w:spacing w:after="0" w:line="261" w:lineRule="auto"/>
        <w:rPr>
          <w:sz w:val="20"/>
          <w:szCs w:val="20"/>
          <w:color w:val="auto"/>
        </w:rPr>
      </w:pPr>
      <w:r>
        <w:rPr>
          <w:rFonts w:ascii="Times New Roman" w:cs="Times New Roman" w:eastAsia="Times New Roman" w:hAnsi="Times New Roman"/>
          <w:sz w:val="17"/>
          <w:szCs w:val="17"/>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in the public market could cause our stock price to fall.</w:t>
      </w:r>
      <w:r>
        <w:rPr>
          <w:rFonts w:ascii="Times New Roman" w:cs="Times New Roman" w:eastAsia="Times New Roman" w:hAnsi="Times New Roman"/>
          <w:sz w:val="25"/>
          <w:szCs w:val="25"/>
          <w:b w:val="1"/>
          <w:bCs w:val="1"/>
          <w:i w:val="1"/>
          <w:iCs w:val="1"/>
          <w:color w:val="auto"/>
          <w:vertAlign w:val="superscript"/>
        </w:rPr>
        <w:t>*</w:t>
      </w:r>
    </w:p>
    <w:p>
      <w:pPr>
        <w:spacing w:after="0" w:line="131" w:lineRule="exact"/>
        <w:rPr>
          <w:sz w:val="20"/>
          <w:szCs w:val="20"/>
          <w:color w:val="auto"/>
        </w:rPr>
      </w:pPr>
    </w:p>
    <w:p>
      <w:pPr>
        <w:jc w:val="both"/>
        <w:ind w:right="100" w:firstLine="472"/>
        <w:spacing w:after="0" w:line="272" w:lineRule="auto"/>
        <w:rPr>
          <w:sz w:val="20"/>
          <w:szCs w:val="20"/>
          <w:color w:val="auto"/>
        </w:rPr>
      </w:pPr>
      <w:r>
        <w:rPr>
          <w:rFonts w:ascii="Times New Roman" w:cs="Times New Roman" w:eastAsia="Times New Roman" w:hAnsi="Times New Roman"/>
          <w:sz w:val="17"/>
          <w:szCs w:val="17"/>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64" w:lineRule="exact"/>
        <w:rPr>
          <w:sz w:val="20"/>
          <w:szCs w:val="20"/>
          <w:color w:val="auto"/>
        </w:rPr>
      </w:pPr>
    </w:p>
    <w:p>
      <w:pPr>
        <w:ind w:right="40" w:firstLine="621"/>
        <w:spacing w:after="0" w:line="291" w:lineRule="auto"/>
        <w:rPr>
          <w:sz w:val="20"/>
          <w:szCs w:val="20"/>
          <w:color w:val="auto"/>
        </w:rPr>
      </w:pPr>
      <w:r>
        <w:rPr>
          <w:rFonts w:ascii="Times New Roman" w:cs="Times New Roman" w:eastAsia="Times New Roman" w:hAnsi="Times New Roman"/>
          <w:sz w:val="17"/>
          <w:szCs w:val="17"/>
          <w:color w:val="auto"/>
        </w:rPr>
        <w:t>As of September 30, 2019, we had 126,192,990 shares of common stock outstanding. In addition, we had 13,207,212 shares of common stock equivalents that would increase the number of common stock outstanding if these instruments were exercised or</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80" w:name="page81"/>
    <w:bookmarkEnd w:id="80"/>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converted, including stock options and restricted stock units to purchase common stock based on vesting requirements and common stock issuable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at our 2019 Annual Meeting of Stockholders held on June 10, 2019. However, no additional shares have been issued to date.</w:t>
      </w:r>
    </w:p>
    <w:p>
      <w:pPr>
        <w:spacing w:after="0" w:line="172" w:lineRule="exact"/>
        <w:rPr>
          <w:sz w:val="20"/>
          <w:szCs w:val="20"/>
          <w:color w:val="auto"/>
        </w:rPr>
      </w:pPr>
    </w:p>
    <w:p>
      <w:pPr>
        <w:ind w:right="180" w:firstLine="621"/>
        <w:spacing w:after="0" w:line="261" w:lineRule="auto"/>
        <w:rPr>
          <w:sz w:val="20"/>
          <w:szCs w:val="20"/>
          <w:color w:val="auto"/>
        </w:rPr>
      </w:pPr>
      <w:r>
        <w:rPr>
          <w:rFonts w:ascii="Times New Roman" w:cs="Times New Roman" w:eastAsia="Times New Roman" w:hAnsi="Times New Roman"/>
          <w:sz w:val="17"/>
          <w:szCs w:val="17"/>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September 2019, we filed a shelf registration statement with the SEC for the issuance of common stock, preferred stock, warrants, rights, debt securities and units up to an aggregate amount of $400 million. Such issuances could result in substantial dilution to our existing stockholders and could cause our stock price to decline.</w:t>
      </w:r>
    </w:p>
    <w:p>
      <w:pPr>
        <w:spacing w:after="0" w:line="171" w:lineRule="exact"/>
        <w:rPr>
          <w:sz w:val="20"/>
          <w:szCs w:val="20"/>
          <w:color w:val="auto"/>
        </w:rPr>
      </w:pPr>
    </w:p>
    <w:p>
      <w:pPr>
        <w:ind w:right="60" w:firstLine="472"/>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43" w:lineRule="exact"/>
        <w:rPr>
          <w:sz w:val="20"/>
          <w:szCs w:val="20"/>
          <w:color w:val="auto"/>
        </w:rPr>
      </w:pPr>
    </w:p>
    <w:p>
      <w:pPr>
        <w:ind w:right="80" w:firstLine="472"/>
        <w:spacing w:after="0" w:line="263" w:lineRule="auto"/>
        <w:rPr>
          <w:sz w:val="20"/>
          <w:szCs w:val="20"/>
          <w:color w:val="auto"/>
        </w:rPr>
      </w:pPr>
      <w:r>
        <w:rPr>
          <w:rFonts w:ascii="Times New Roman" w:cs="Times New Roman" w:eastAsia="Times New Roman" w:hAnsi="Times New Roman"/>
          <w:sz w:val="17"/>
          <w:szCs w:val="17"/>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68" w:lineRule="exact"/>
        <w:rPr>
          <w:sz w:val="20"/>
          <w:szCs w:val="20"/>
          <w:color w:val="auto"/>
        </w:rPr>
      </w:pPr>
    </w:p>
    <w:p>
      <w:pPr>
        <w:ind w:right="220" w:firstLine="472"/>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61" w:lineRule="exact"/>
        <w:rPr>
          <w:sz w:val="20"/>
          <w:szCs w:val="20"/>
          <w:color w:val="auto"/>
        </w:rPr>
      </w:pPr>
    </w:p>
    <w:p>
      <w:pPr>
        <w:ind w:right="80" w:firstLine="472"/>
        <w:spacing w:after="0" w:line="259" w:lineRule="auto"/>
        <w:rPr>
          <w:sz w:val="20"/>
          <w:szCs w:val="20"/>
          <w:color w:val="auto"/>
        </w:rPr>
      </w:pPr>
      <w:r>
        <w:rPr>
          <w:rFonts w:ascii="Times New Roman" w:cs="Times New Roman" w:eastAsia="Times New Roman" w:hAnsi="Times New Roman"/>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73" w:lineRule="exact"/>
        <w:rPr>
          <w:sz w:val="20"/>
          <w:szCs w:val="20"/>
          <w:color w:val="auto"/>
        </w:rPr>
      </w:pPr>
    </w:p>
    <w:p>
      <w:pPr>
        <w:ind w:right="340" w:firstLine="47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Board of Directors could issue one or more additional series of preferred stock without stockholder approval with the effect of diluting existing stockholders and impairing their voting and other rights.</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p>
    <w:p>
      <w:pPr>
        <w:ind w:right="100" w:firstLine="472"/>
        <w:spacing w:after="0" w:line="259" w:lineRule="auto"/>
        <w:rPr>
          <w:sz w:val="20"/>
          <w:szCs w:val="20"/>
          <w:color w:val="auto"/>
        </w:rPr>
      </w:pPr>
      <w:r>
        <w:rPr>
          <w:rFonts w:ascii="Times New Roman" w:cs="Times New Roman" w:eastAsia="Times New Roman" w:hAnsi="Times New Roman"/>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73" w:lineRule="exact"/>
        <w:rPr>
          <w:sz w:val="20"/>
          <w:szCs w:val="20"/>
          <w:color w:val="auto"/>
        </w:rPr>
      </w:pPr>
    </w:p>
    <w:p>
      <w:pPr>
        <w:ind w:right="120" w:firstLine="472"/>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do not anticipate paying cash dividends for the foreseeable future, and therefore investors should not buy our stock if they wish to receive cash dividends.</w:t>
      </w:r>
    </w:p>
    <w:p>
      <w:pPr>
        <w:spacing w:after="0" w:line="143" w:lineRule="exact"/>
        <w:rPr>
          <w:sz w:val="20"/>
          <w:szCs w:val="20"/>
          <w:color w:val="auto"/>
        </w:rPr>
      </w:pPr>
    </w:p>
    <w:p>
      <w:pPr>
        <w:ind w:firstLine="472"/>
        <w:spacing w:after="0" w:line="272" w:lineRule="auto"/>
        <w:rPr>
          <w:sz w:val="20"/>
          <w:szCs w:val="20"/>
          <w:color w:val="auto"/>
        </w:rPr>
      </w:pPr>
      <w:r>
        <w:rPr>
          <w:rFonts w:ascii="Times New Roman" w:cs="Times New Roman" w:eastAsia="Times New Roman" w:hAnsi="Times New Roman"/>
          <w:sz w:val="17"/>
          <w:szCs w:val="17"/>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81" w:name="page82"/>
    <w:bookmarkEnd w:id="81"/>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472"/>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365" w:lineRule="exact"/>
        <w:rPr>
          <w:sz w:val="20"/>
          <w:szCs w:val="20"/>
          <w:color w:val="auto"/>
        </w:rPr>
      </w:pPr>
    </w:p>
    <w:p>
      <w:pPr>
        <w:ind w:firstLine="472"/>
        <w:spacing w:after="0" w:line="260" w:lineRule="auto"/>
        <w:rPr>
          <w:sz w:val="20"/>
          <w:szCs w:val="20"/>
          <w:color w:val="auto"/>
        </w:rPr>
      </w:pPr>
      <w:r>
        <w:rPr>
          <w:rFonts w:ascii="Times New Roman" w:cs="Times New Roman" w:eastAsia="Times New Roman" w:hAnsi="Times New Roman"/>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5" w:lineRule="exact"/>
        <w:rPr>
          <w:sz w:val="20"/>
          <w:szCs w:val="20"/>
          <w:color w:val="auto"/>
        </w:rPr>
      </w:pPr>
    </w:p>
    <w:p>
      <w:pPr>
        <w:ind w:right="200" w:firstLine="472"/>
        <w:spacing w:after="0" w:line="261" w:lineRule="auto"/>
        <w:rPr>
          <w:sz w:val="20"/>
          <w:szCs w:val="20"/>
          <w:color w:val="auto"/>
        </w:rPr>
      </w:pPr>
      <w:r>
        <w:rPr>
          <w:rFonts w:ascii="Times New Roman" w:cs="Times New Roman" w:eastAsia="Times New Roman" w:hAnsi="Times New Roman"/>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1" w:lineRule="exact"/>
        <w:rPr>
          <w:sz w:val="20"/>
          <w:szCs w:val="20"/>
          <w:color w:val="auto"/>
        </w:rPr>
      </w:pPr>
    </w:p>
    <w:p>
      <w:pPr>
        <w:ind w:right="280" w:firstLine="472"/>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Times New Roman" w:cs="Times New Roman" w:eastAsia="Times New Roman" w:hAnsi="Times New Roman"/>
          <w:sz w:val="25"/>
          <w:szCs w:val="25"/>
          <w:color w:val="auto"/>
          <w:vertAlign w:val="superscript"/>
        </w:rPr>
        <w:t>*</w:t>
      </w:r>
    </w:p>
    <w:p>
      <w:pPr>
        <w:spacing w:after="0" w:line="36" w:lineRule="exact"/>
        <w:rPr>
          <w:sz w:val="20"/>
          <w:szCs w:val="20"/>
          <w:color w:val="auto"/>
        </w:rPr>
      </w:pPr>
    </w:p>
    <w:p>
      <w:pPr>
        <w:ind w:firstLine="621"/>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3" w:lineRule="exact"/>
        <w:rPr>
          <w:sz w:val="20"/>
          <w:szCs w:val="20"/>
          <w:color w:val="auto"/>
        </w:rPr>
      </w:pPr>
    </w:p>
    <w:p>
      <w:pPr>
        <w:ind w:right="280" w:firstLine="621"/>
        <w:spacing w:after="0" w:line="266" w:lineRule="auto"/>
        <w:rPr>
          <w:sz w:val="20"/>
          <w:szCs w:val="20"/>
          <w:color w:val="auto"/>
        </w:rPr>
      </w:pPr>
      <w:r>
        <w:rPr>
          <w:rFonts w:ascii="Times New Roman" w:cs="Times New Roman" w:eastAsia="Times New Roman" w:hAnsi="Times New Roman"/>
          <w:sz w:val="17"/>
          <w:szCs w:val="17"/>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82" w:name="page83"/>
    <w:bookmarkEnd w:id="82"/>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380" w:firstLine="472"/>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for rescission or damages in connection with certain sales of shares of our common stock in the open market.</w:t>
      </w:r>
    </w:p>
    <w:p>
      <w:pPr>
        <w:spacing w:after="0" w:line="143" w:lineRule="exact"/>
        <w:rPr>
          <w:sz w:val="20"/>
          <w:szCs w:val="20"/>
          <w:color w:val="auto"/>
        </w:rPr>
      </w:pPr>
    </w:p>
    <w:p>
      <w:pPr>
        <w:ind w:firstLine="472"/>
        <w:spacing w:after="0" w:line="260" w:lineRule="auto"/>
        <w:rPr>
          <w:sz w:val="20"/>
          <w:szCs w:val="20"/>
          <w:color w:val="auto"/>
        </w:rPr>
      </w:pPr>
      <w:r>
        <w:rPr>
          <w:rFonts w:ascii="Times New Roman" w:cs="Times New Roman" w:eastAsia="Times New Roman" w:hAnsi="Times New Roman"/>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382" w:lineRule="exact"/>
        <w:rPr>
          <w:sz w:val="20"/>
          <w:szCs w:val="20"/>
          <w:color w:val="auto"/>
        </w:rPr>
      </w:pPr>
    </w:p>
    <w:p>
      <w:pPr>
        <w:ind w:right="40" w:firstLine="472"/>
        <w:spacing w:after="0" w:line="260" w:lineRule="auto"/>
        <w:rPr>
          <w:sz w:val="20"/>
          <w:szCs w:val="20"/>
          <w:color w:val="auto"/>
        </w:rPr>
      </w:pPr>
      <w:r>
        <w:rPr>
          <w:rFonts w:ascii="Times New Roman" w:cs="Times New Roman" w:eastAsia="Times New Roman" w:hAnsi="Times New Roman"/>
          <w:sz w:val="17"/>
          <w:szCs w:val="17"/>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Securities and Use of Proceeds.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Nothing to report.</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Nothing to report.</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Nothing to report.</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639" w:right="919" w:bottom="1440" w:gutter="0" w:footer="0" w:header="0"/>
        </w:sectPr>
      </w:pPr>
    </w:p>
    <w:bookmarkStart w:id="83" w:name="page84"/>
    <w:bookmarkEnd w:id="83"/>
    <w:p>
      <w:pPr>
        <w:ind w:left="5"/>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9300" w:type="dxa"/>
            <w:vAlign w:val="bottom"/>
            <w:gridSpan w:val="14"/>
          </w:tcPr>
          <w:p>
            <w:pPr>
              <w:ind w:left="14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41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20" w:type="dxa"/>
            <w:vAlign w:val="bottom"/>
            <w:gridSpan w:val="10"/>
          </w:tcPr>
          <w:p>
            <w:pPr>
              <w:ind w:left="220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27"/>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10"/>
          </w:tcPr>
          <w:p>
            <w:pPr>
              <w:ind w:left="29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1"/>
        </w:trPr>
        <w:tc>
          <w:tcPr>
            <w:tcW w:w="20" w:type="dxa"/>
            <w:vAlign w:val="bottom"/>
          </w:tcPr>
          <w:p>
            <w:pPr>
              <w:spacing w:after="0"/>
              <w:rPr>
                <w:sz w:val="14"/>
                <w:szCs w:val="14"/>
                <w:color w:val="auto"/>
              </w:rPr>
            </w:pPr>
          </w:p>
        </w:tc>
        <w:tc>
          <w:tcPr>
            <w:tcW w:w="76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10.1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820" w:type="dxa"/>
            <w:vAlign w:val="bottom"/>
            <w:tcBorders>
              <w:bottom w:val="single" w:sz="8" w:color="0000EE"/>
            </w:tcBorders>
            <w:gridSpan w:val="9"/>
          </w:tcPr>
          <w:p>
            <w:pPr>
              <w:spacing w:after="0" w:line="162" w:lineRule="exact"/>
              <w:rPr>
                <w:rFonts w:ascii="Times New Roman" w:cs="Times New Roman" w:eastAsia="Times New Roman" w:hAnsi="Times New Roman"/>
                <w:sz w:val="17"/>
                <w:szCs w:val="17"/>
                <w:color w:val="0000EE"/>
              </w:rPr>
            </w:pPr>
            <w:hyperlink w:anchor="page86">
              <w:r>
                <w:rPr>
                  <w:rFonts w:ascii="Times New Roman" w:cs="Times New Roman" w:eastAsia="Times New Roman" w:hAnsi="Times New Roman"/>
                  <w:sz w:val="17"/>
                  <w:szCs w:val="17"/>
                  <w:color w:val="0000EE"/>
                </w:rPr>
                <w:t>First Amendment to the Office Lease, effective as of June 19, 2019, between Iovance Biotherapeutics, Inc. and Hudson Skyway</w:t>
              </w:r>
            </w:hyperlink>
          </w:p>
        </w:tc>
        <w:tc>
          <w:tcPr>
            <w:tcW w:w="260" w:type="dxa"/>
            <w:vAlign w:val="bottom"/>
            <w:gridSpan w:val="3"/>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bottom w:val="single" w:sz="8" w:color="0000EE"/>
            </w:tcBorders>
            <w:gridSpan w:val="2"/>
          </w:tcPr>
          <w:p>
            <w:pPr>
              <w:spacing w:after="0" w:line="187" w:lineRule="exact"/>
              <w:rPr>
                <w:rFonts w:ascii="Times New Roman" w:cs="Times New Roman" w:eastAsia="Times New Roman" w:hAnsi="Times New Roman"/>
                <w:sz w:val="17"/>
                <w:szCs w:val="17"/>
                <w:color w:val="0000EE"/>
              </w:rPr>
            </w:pPr>
            <w:hyperlink w:anchor="page86">
              <w:r>
                <w:rPr>
                  <w:rFonts w:ascii="Times New Roman" w:cs="Times New Roman" w:eastAsia="Times New Roman" w:hAnsi="Times New Roman"/>
                  <w:sz w:val="17"/>
                  <w:szCs w:val="17"/>
                  <w:color w:val="0000EE"/>
                </w:rPr>
                <w:t>Landing, LLC.</w:t>
              </w:r>
            </w:hyperlink>
          </w:p>
        </w:tc>
        <w:tc>
          <w:tcPr>
            <w:tcW w:w="8060" w:type="dxa"/>
            <w:vAlign w:val="bottom"/>
            <w:gridSpan w:val="11"/>
          </w:tcPr>
          <w:p>
            <w:pPr>
              <w:spacing w:after="0"/>
              <w:rPr>
                <w:sz w:val="16"/>
                <w:szCs w:val="16"/>
                <w:color w:val="auto"/>
              </w:rPr>
            </w:pPr>
          </w:p>
        </w:tc>
      </w:tr>
      <w:tr>
        <w:trPr>
          <w:trHeight w:val="187"/>
        </w:trPr>
        <w:tc>
          <w:tcPr>
            <w:tcW w:w="7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10.2</w:t>
            </w:r>
          </w:p>
        </w:tc>
        <w:tc>
          <w:tcPr>
            <w:tcW w:w="200" w:type="dxa"/>
            <w:vAlign w:val="bottom"/>
          </w:tcPr>
          <w:p>
            <w:pPr>
              <w:spacing w:after="0"/>
              <w:rPr>
                <w:sz w:val="16"/>
                <w:szCs w:val="16"/>
                <w:color w:val="auto"/>
              </w:rPr>
            </w:pPr>
          </w:p>
        </w:tc>
        <w:tc>
          <w:tcPr>
            <w:tcW w:w="9100" w:type="dxa"/>
            <w:vAlign w:val="bottom"/>
            <w:gridSpan w:val="13"/>
          </w:tcPr>
          <w:p>
            <w:pPr>
              <w:spacing w:after="0" w:line="187" w:lineRule="exact"/>
              <w:rPr>
                <w:rFonts w:ascii="Times New Roman" w:cs="Times New Roman" w:eastAsia="Times New Roman" w:hAnsi="Times New Roman"/>
                <w:sz w:val="17"/>
                <w:szCs w:val="17"/>
                <w:color w:val="0000EE"/>
              </w:rPr>
            </w:pPr>
            <w:hyperlink w:anchor="page93">
              <w:r>
                <w:rPr>
                  <w:rFonts w:ascii="Times New Roman" w:cs="Times New Roman" w:eastAsia="Times New Roman" w:hAnsi="Times New Roman"/>
                  <w:sz w:val="17"/>
                  <w:szCs w:val="17"/>
                  <w:color w:val="0000EE"/>
                </w:rPr>
                <w:t>First Amendment to the Lease Agreement, effective as of August 20, 2019, between Iovance Biotherapeutics, Inc. and 300 Rouse</w:t>
              </w:r>
            </w:hyperlink>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3"/>
          </w:tcPr>
          <w:p>
            <w:pPr>
              <w:spacing w:after="0" w:line="187" w:lineRule="exact"/>
              <w:rPr>
                <w:rFonts w:ascii="Times New Roman" w:cs="Times New Roman" w:eastAsia="Times New Roman" w:hAnsi="Times New Roman"/>
                <w:sz w:val="17"/>
                <w:szCs w:val="17"/>
                <w:color w:val="0000EE"/>
              </w:rPr>
            </w:pPr>
            <w:hyperlink w:anchor="page93">
              <w:r>
                <w:rPr>
                  <w:rFonts w:ascii="Times New Roman" w:cs="Times New Roman" w:eastAsia="Times New Roman" w:hAnsi="Times New Roman"/>
                  <w:sz w:val="17"/>
                  <w:szCs w:val="17"/>
                  <w:color w:val="0000EE"/>
                </w:rPr>
                <w:t>Boulevard, LLC.</w:t>
              </w:r>
            </w:hyperlink>
          </w:p>
        </w:tc>
        <w:tc>
          <w:tcPr>
            <w:tcW w:w="7760" w:type="dxa"/>
            <w:vAlign w:val="bottom"/>
            <w:tcBorders>
              <w:top w:val="single" w:sz="8" w:color="0000EE"/>
            </w:tcBorders>
            <w:gridSpan w:val="8"/>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187"/>
        </w:trPr>
        <w:tc>
          <w:tcPr>
            <w:tcW w:w="7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10.3</w:t>
            </w:r>
          </w:p>
        </w:tc>
        <w:tc>
          <w:tcPr>
            <w:tcW w:w="200" w:type="dxa"/>
            <w:vAlign w:val="bottom"/>
          </w:tcPr>
          <w:p>
            <w:pPr>
              <w:spacing w:after="0"/>
              <w:rPr>
                <w:sz w:val="16"/>
                <w:szCs w:val="16"/>
                <w:color w:val="auto"/>
              </w:rPr>
            </w:pPr>
          </w:p>
        </w:tc>
        <w:tc>
          <w:tcPr>
            <w:tcW w:w="8700" w:type="dxa"/>
            <w:vAlign w:val="bottom"/>
            <w:tcBorders>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Executive Employment Agreement effective as of July 18, 2019, by and between Iovance Biotherapeutics, Inc. and Friedrich-</w:t>
              </w:r>
            </w:hyperlink>
          </w:p>
        </w:tc>
        <w:tc>
          <w:tcPr>
            <w:tcW w:w="400" w:type="dxa"/>
            <w:vAlign w:val="bottom"/>
            <w:gridSpan w:val="4"/>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100" w:type="dxa"/>
            <w:vAlign w:val="bottom"/>
            <w:gridSpan w:val="13"/>
          </w:tcPr>
          <w:p>
            <w:pPr>
              <w:spacing w:after="0" w:line="187"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Reinhard Graf Finck von Finckenstein, M.D. (incorporated herein by reference to Exhibit 10.1 to the Registrant's Quarterly Report</w:t>
              </w:r>
            </w:hyperlink>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20" w:type="dxa"/>
            <w:vAlign w:val="bottom"/>
            <w:tcBorders>
              <w:top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on Form 10-Q filed with the Commission on August 1, 2019).</w:t>
              </w:r>
            </w:hyperlink>
          </w:p>
        </w:tc>
        <w:tc>
          <w:tcPr>
            <w:tcW w:w="80" w:type="dxa"/>
            <w:vAlign w:val="bottom"/>
          </w:tcPr>
          <w:p>
            <w:pPr>
              <w:spacing w:after="0"/>
              <w:rPr>
                <w:sz w:val="16"/>
                <w:szCs w:val="16"/>
                <w:color w:val="auto"/>
              </w:rPr>
            </w:pPr>
          </w:p>
        </w:tc>
      </w:tr>
      <w:tr>
        <w:trPr>
          <w:trHeight w:val="20"/>
        </w:trPr>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r>
      <w:tr>
        <w:trPr>
          <w:trHeight w:val="187"/>
        </w:trPr>
        <w:tc>
          <w:tcPr>
            <w:tcW w:w="7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31.1</w:t>
            </w:r>
          </w:p>
        </w:tc>
        <w:tc>
          <w:tcPr>
            <w:tcW w:w="200" w:type="dxa"/>
            <w:vAlign w:val="bottom"/>
          </w:tcPr>
          <w:p>
            <w:pPr>
              <w:spacing w:after="0"/>
              <w:rPr>
                <w:sz w:val="16"/>
                <w:szCs w:val="16"/>
                <w:color w:val="auto"/>
              </w:rPr>
            </w:pPr>
          </w:p>
        </w:tc>
        <w:tc>
          <w:tcPr>
            <w:tcW w:w="9100" w:type="dxa"/>
            <w:vAlign w:val="bottom"/>
            <w:gridSpan w:val="13"/>
          </w:tcPr>
          <w:p>
            <w:pPr>
              <w:spacing w:after="0" w:line="187" w:lineRule="exact"/>
              <w:rPr>
                <w:rFonts w:ascii="Times New Roman" w:cs="Times New Roman" w:eastAsia="Times New Roman" w:hAnsi="Times New Roman"/>
                <w:sz w:val="17"/>
                <w:szCs w:val="17"/>
                <w:color w:val="0000EE"/>
              </w:rPr>
            </w:pPr>
            <w:hyperlink w:anchor="page97">
              <w:r>
                <w:rPr>
                  <w:rFonts w:ascii="Times New Roman" w:cs="Times New Roman" w:eastAsia="Times New Roman" w:hAnsi="Times New Roman"/>
                  <w:sz w:val="17"/>
                  <w:szCs w:val="17"/>
                  <w:color w:val="0000EE"/>
                </w:rPr>
                <w:t>Rule 13a-14(a)/15d-14(a) Certification of Chief Executive Officer.</w:t>
              </w:r>
            </w:hyperlink>
          </w:p>
        </w:tc>
      </w:tr>
      <w:tr>
        <w:trPr>
          <w:trHeight w:val="187"/>
        </w:trPr>
        <w:tc>
          <w:tcPr>
            <w:tcW w:w="7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31.2</w:t>
            </w:r>
          </w:p>
        </w:tc>
        <w:tc>
          <w:tcPr>
            <w:tcW w:w="200" w:type="dxa"/>
            <w:vAlign w:val="bottom"/>
          </w:tcPr>
          <w:p>
            <w:pPr>
              <w:spacing w:after="0"/>
              <w:rPr>
                <w:sz w:val="16"/>
                <w:szCs w:val="16"/>
                <w:color w:val="auto"/>
              </w:rPr>
            </w:pPr>
          </w:p>
        </w:tc>
        <w:tc>
          <w:tcPr>
            <w:tcW w:w="4560" w:type="dxa"/>
            <w:vAlign w:val="bottom"/>
            <w:tcBorders>
              <w:top w:val="single" w:sz="8" w:color="0000EE"/>
              <w:bottom w:val="single" w:sz="8" w:color="0000EE"/>
            </w:tcBorders>
            <w:gridSpan w:val="5"/>
          </w:tcPr>
          <w:p>
            <w:pPr>
              <w:spacing w:after="0" w:line="187" w:lineRule="exact"/>
              <w:rPr>
                <w:rFonts w:ascii="Times New Roman" w:cs="Times New Roman" w:eastAsia="Times New Roman" w:hAnsi="Times New Roman"/>
                <w:sz w:val="17"/>
                <w:szCs w:val="17"/>
                <w:color w:val="0000EE"/>
              </w:rPr>
            </w:pPr>
            <w:hyperlink w:anchor="page98">
              <w:r>
                <w:rPr>
                  <w:rFonts w:ascii="Times New Roman" w:cs="Times New Roman" w:eastAsia="Times New Roman" w:hAnsi="Times New Roman"/>
                  <w:sz w:val="17"/>
                  <w:szCs w:val="17"/>
                  <w:color w:val="0000EE"/>
                </w:rPr>
                <w:t>Rule 13a-14(a)/15d-14(a) Certification of Chief Financial Officer.</w:t>
              </w:r>
            </w:hyperlink>
          </w:p>
        </w:tc>
        <w:tc>
          <w:tcPr>
            <w:tcW w:w="40" w:type="dxa"/>
            <w:vAlign w:val="bottom"/>
            <w:tcBorders>
              <w:top w:val="single" w:sz="8" w:color="0000EE"/>
            </w:tcBorders>
          </w:tcPr>
          <w:p>
            <w:pPr>
              <w:spacing w:after="0"/>
              <w:rPr>
                <w:sz w:val="16"/>
                <w:szCs w:val="16"/>
                <w:color w:val="auto"/>
              </w:rPr>
            </w:pPr>
          </w:p>
        </w:tc>
        <w:tc>
          <w:tcPr>
            <w:tcW w:w="4500" w:type="dxa"/>
            <w:vAlign w:val="bottom"/>
            <w:gridSpan w:val="7"/>
          </w:tcPr>
          <w:p>
            <w:pPr>
              <w:spacing w:after="0"/>
              <w:rPr>
                <w:sz w:val="16"/>
                <w:szCs w:val="16"/>
                <w:color w:val="auto"/>
              </w:rPr>
            </w:pPr>
          </w:p>
        </w:tc>
      </w:tr>
      <w:tr>
        <w:trPr>
          <w:trHeight w:val="187"/>
        </w:trPr>
        <w:tc>
          <w:tcPr>
            <w:tcW w:w="7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32.1</w:t>
            </w:r>
          </w:p>
        </w:tc>
        <w:tc>
          <w:tcPr>
            <w:tcW w:w="200" w:type="dxa"/>
            <w:vAlign w:val="bottom"/>
          </w:tcPr>
          <w:p>
            <w:pPr>
              <w:spacing w:after="0"/>
              <w:rPr>
                <w:sz w:val="16"/>
                <w:szCs w:val="16"/>
                <w:color w:val="auto"/>
              </w:rPr>
            </w:pPr>
          </w:p>
        </w:tc>
        <w:tc>
          <w:tcPr>
            <w:tcW w:w="9100" w:type="dxa"/>
            <w:vAlign w:val="bottom"/>
            <w:gridSpan w:val="13"/>
          </w:tcPr>
          <w:p>
            <w:pPr>
              <w:spacing w:after="0" w:line="187" w:lineRule="exact"/>
              <w:rPr>
                <w:rFonts w:ascii="Times New Roman" w:cs="Times New Roman" w:eastAsia="Times New Roman" w:hAnsi="Times New Roman"/>
                <w:sz w:val="17"/>
                <w:szCs w:val="17"/>
                <w:color w:val="0000EE"/>
              </w:rPr>
            </w:pPr>
            <w:hyperlink w:anchor="page99">
              <w:r>
                <w:rPr>
                  <w:rFonts w:ascii="Times New Roman" w:cs="Times New Roman" w:eastAsia="Times New Roman" w:hAnsi="Times New Roman"/>
                  <w:sz w:val="17"/>
                  <w:szCs w:val="17"/>
                  <w:color w:val="0000EE"/>
                </w:rPr>
                <w:t>Section 1350 Certification of Chief Executive Officer (furnished herewith).</w:t>
              </w:r>
            </w:hyperlink>
          </w:p>
        </w:tc>
      </w:tr>
      <w:tr>
        <w:trPr>
          <w:trHeight w:val="187"/>
        </w:trPr>
        <w:tc>
          <w:tcPr>
            <w:tcW w:w="7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32.2</w:t>
            </w:r>
          </w:p>
        </w:tc>
        <w:tc>
          <w:tcPr>
            <w:tcW w:w="200" w:type="dxa"/>
            <w:vAlign w:val="bottom"/>
          </w:tcPr>
          <w:p>
            <w:pPr>
              <w:spacing w:after="0"/>
              <w:rPr>
                <w:sz w:val="16"/>
                <w:szCs w:val="16"/>
                <w:color w:val="auto"/>
              </w:rPr>
            </w:pPr>
          </w:p>
        </w:tc>
        <w:tc>
          <w:tcPr>
            <w:tcW w:w="516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w:anchor="page100">
              <w:r>
                <w:rPr>
                  <w:rFonts w:ascii="Times New Roman" w:cs="Times New Roman" w:eastAsia="Times New Roman" w:hAnsi="Times New Roman"/>
                  <w:sz w:val="17"/>
                  <w:szCs w:val="17"/>
                  <w:color w:val="0000EE"/>
                </w:rPr>
                <w:t>Section 1350 Certification of Chief Financial Officer (furnished herewith).</w:t>
              </w:r>
            </w:hyperlink>
          </w:p>
        </w:tc>
        <w:tc>
          <w:tcPr>
            <w:tcW w:w="40" w:type="dxa"/>
            <w:vAlign w:val="bottom"/>
            <w:tcBorders>
              <w:top w:val="single" w:sz="8" w:color="0000EE"/>
            </w:tcBorders>
          </w:tcPr>
          <w:p>
            <w:pPr>
              <w:spacing w:after="0"/>
              <w:rPr>
                <w:sz w:val="16"/>
                <w:szCs w:val="16"/>
                <w:color w:val="auto"/>
              </w:rPr>
            </w:pPr>
          </w:p>
        </w:tc>
        <w:tc>
          <w:tcPr>
            <w:tcW w:w="3900" w:type="dxa"/>
            <w:vAlign w:val="bottom"/>
            <w:gridSpan w:val="5"/>
          </w:tcPr>
          <w:p>
            <w:pPr>
              <w:spacing w:after="0"/>
              <w:rPr>
                <w:sz w:val="16"/>
                <w:szCs w:val="16"/>
                <w:color w:val="auto"/>
              </w:rPr>
            </w:pPr>
          </w:p>
        </w:tc>
      </w:tr>
    </w:tbl>
    <w:p>
      <w:pPr>
        <w:spacing w:after="0" w:line="7" w:lineRule="exact"/>
        <w:rPr>
          <w:sz w:val="20"/>
          <w:szCs w:val="20"/>
          <w:color w:val="auto"/>
        </w:rPr>
      </w:pPr>
    </w:p>
    <w:p>
      <w:pPr>
        <w:ind w:left="985" w:right="60" w:hanging="983"/>
        <w:spacing w:after="0" w:line="260" w:lineRule="auto"/>
        <w:tabs>
          <w:tab w:leader="none" w:pos="98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Quarterly Report on Form 10-Q of Iovance Biotherapeutics, Inc. for the quarter ended September 30, 2019, formatted in XBRL (eXtensible Business Reporting Language): (1) Condensed Consolidated Balance Sheets as of September 30, 2019 and 2018; (2) Condensed Consolidated Statements of Operations for the three and nine months ended September 30, 2019 and 2018; (3) Condensed Consolidated Statements of Comprehensive Loss for the three and nine months ended September 30, 2019 and 2018; (4) Condensed Consolidated Statements of Stockholders’ Equity as of September 30, 2019 and December 31, 2018; (5) Condensed Consolidated Statements of Cash Flows for the nine months ended September 30, 2019 and 2018; and (6) Notes to Condensed Consolidated Financial Statements.</w:t>
      </w:r>
    </w:p>
    <w:p>
      <w:pPr>
        <w:spacing w:after="0" w:line="187" w:lineRule="exact"/>
        <w:rPr>
          <w:rFonts w:ascii="Times New Roman" w:cs="Times New Roman" w:eastAsia="Times New Roman" w:hAnsi="Times New Roman"/>
          <w:sz w:val="17"/>
          <w:szCs w:val="17"/>
          <w:color w:val="auto"/>
        </w:rPr>
      </w:pPr>
    </w:p>
    <w:p>
      <w:pPr>
        <w:ind w:left="705" w:right="20" w:hanging="712"/>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sz w:val="20"/>
          <w:szCs w:val="20"/>
          <w:color w:val="auto"/>
        </w:rPr>
      </w:pPr>
    </w:p>
    <w:p>
      <w:pPr>
        <w:ind w:left="705" w:hanging="705"/>
        <w:spacing w:after="0"/>
        <w:tabs>
          <w:tab w:leader="none" w:pos="70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or arrangement.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4" w:lineRule="exact"/>
        <w:rPr>
          <w:rFonts w:ascii="Times New Roman" w:cs="Times New Roman" w:eastAsia="Times New Roman" w:hAnsi="Times New Roman"/>
          <w:sz w:val="17"/>
          <w:szCs w:val="17"/>
          <w:color w:val="auto"/>
        </w:rPr>
      </w:pPr>
    </w:p>
    <w:p>
      <w:pPr>
        <w:ind w:left="49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5"/>
          </w:cols>
          <w:pgMar w:left="915" w:top="639" w:right="899" w:bottom="1440" w:gutter="0" w:footer="0" w:header="0"/>
        </w:sectPr>
      </w:pPr>
    </w:p>
    <w:bookmarkStart w:id="84" w:name="page85"/>
    <w:bookmarkEnd w:id="84"/>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20" w:firstLine="466"/>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Iovance Biotherapeutics, Inc.</w:t>
            </w:r>
          </w:p>
        </w:tc>
      </w:tr>
      <w:tr>
        <w:trPr>
          <w:trHeight w:val="433"/>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November 4, 2019</w:t>
            </w:r>
          </w:p>
        </w:tc>
        <w:tc>
          <w:tcPr>
            <w:tcW w:w="1920" w:type="dxa"/>
            <w:vAlign w:val="bottom"/>
          </w:tcPr>
          <w:p>
            <w:pPr>
              <w:spacing w:after="0"/>
              <w:rPr>
                <w:sz w:val="24"/>
                <w:szCs w:val="24"/>
                <w:color w:val="auto"/>
              </w:rPr>
            </w:pPr>
          </w:p>
        </w:tc>
        <w:tc>
          <w:tcPr>
            <w:tcW w:w="2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By: /s/ Maria Fardis</w:t>
            </w:r>
          </w:p>
        </w:tc>
        <w:tc>
          <w:tcPr>
            <w:tcW w:w="2900" w:type="dxa"/>
            <w:vAlign w:val="bottom"/>
          </w:tcPr>
          <w:p>
            <w:pPr>
              <w:spacing w:after="0"/>
              <w:rPr>
                <w:sz w:val="24"/>
                <w:szCs w:val="24"/>
                <w:color w:val="auto"/>
              </w:rPr>
            </w:pPr>
          </w:p>
        </w:tc>
      </w:tr>
      <w:tr>
        <w:trPr>
          <w:trHeight w:val="182"/>
        </w:trPr>
        <w:tc>
          <w:tcPr>
            <w:tcW w:w="3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7"/>
                <w:szCs w:val="17"/>
                <w:color w:val="auto"/>
              </w:rPr>
              <w:t>Maria Fardis</w:t>
            </w:r>
          </w:p>
        </w:tc>
      </w:tr>
      <w:tr>
        <w:trPr>
          <w:trHeight w:val="226"/>
        </w:trPr>
        <w:tc>
          <w:tcPr>
            <w:tcW w:w="3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November 4, 2019</w:t>
            </w:r>
          </w:p>
        </w:tc>
        <w:tc>
          <w:tcPr>
            <w:tcW w:w="192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Timothy E. Morris</w:t>
            </w:r>
          </w:p>
        </w:tc>
      </w:tr>
      <w:tr>
        <w:trPr>
          <w:trHeight w:val="182"/>
        </w:trPr>
        <w:tc>
          <w:tcPr>
            <w:tcW w:w="3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7"/>
                <w:szCs w:val="17"/>
                <w:color w:val="auto"/>
              </w:rPr>
              <w:t>Timothy E. Morris</w:t>
            </w:r>
          </w:p>
        </w:tc>
      </w:tr>
      <w:tr>
        <w:trPr>
          <w:trHeight w:val="226"/>
        </w:trPr>
        <w:tc>
          <w:tcPr>
            <w:tcW w:w="3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r>
        <w:trPr>
          <w:trHeight w:val="842"/>
        </w:trPr>
        <w:tc>
          <w:tcPr>
            <w:tcW w:w="3120" w:type="dxa"/>
            <w:vAlign w:val="bottom"/>
          </w:tcPr>
          <w:p>
            <w:pPr>
              <w:spacing w:after="0"/>
              <w:rPr>
                <w:sz w:val="24"/>
                <w:szCs w:val="24"/>
                <w:color w:val="auto"/>
              </w:rPr>
            </w:pPr>
          </w:p>
        </w:tc>
        <w:tc>
          <w:tcPr>
            <w:tcW w:w="22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85</w:t>
            </w:r>
          </w:p>
        </w:tc>
        <w:tc>
          <w:tcPr>
            <w:tcW w:w="18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537"/>
        </w:trPr>
        <w:tc>
          <w:tcPr>
            <w:tcW w:w="3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9" w:right="89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AMENDMENT</w:t>
      </w:r>
    </w:p>
    <w:p>
      <w:pPr>
        <w:spacing w:after="0" w:line="198"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THIS FIRST AMENDMENT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is made and entered into on June 19</w:t>
      </w:r>
      <w:r>
        <w:rPr>
          <w:rFonts w:ascii="Times New Roman" w:cs="Times New Roman" w:eastAsia="Times New Roman" w:hAnsi="Times New Roman"/>
          <w:sz w:val="10"/>
          <w:szCs w:val="10"/>
          <w:color w:val="auto"/>
        </w:rPr>
        <w:t>th</w:t>
      </w:r>
      <w:r>
        <w:rPr>
          <w:rFonts w:ascii="Times New Roman" w:cs="Times New Roman" w:eastAsia="Times New Roman" w:hAnsi="Times New Roman"/>
          <w:sz w:val="19"/>
          <w:szCs w:val="19"/>
          <w:color w:val="auto"/>
        </w:rPr>
        <w:t>, 2019, by and between</w:t>
      </w:r>
      <w:r>
        <w:rPr>
          <w:rFonts w:ascii="Times New Roman" w:cs="Times New Roman" w:eastAsia="Times New Roman" w:hAnsi="Times New Roman"/>
          <w:sz w:val="19"/>
          <w:szCs w:val="19"/>
          <w:b w:val="1"/>
          <w:bCs w:val="1"/>
          <w:color w:val="auto"/>
        </w:rPr>
        <w:t xml:space="preserve"> HUDSON SKYWAY LANDING, LLC, a Delaware limited liability company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Landlord</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color w:val="auto"/>
        </w:rPr>
        <w:t xml:space="preserve"> IOVANCE BIOTHERAPEUTICS, INC., a Delaware corporation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Tenant</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22" w:lineRule="exact"/>
        <w:rPr>
          <w:sz w:val="20"/>
          <w:szCs w:val="20"/>
          <w:color w:val="auto"/>
        </w:rPr>
      </w:pPr>
    </w:p>
    <w:p>
      <w:pPr>
        <w:jc w:val="both"/>
        <w:ind w:left="620" w:hanging="613"/>
        <w:spacing w:after="0" w:line="253" w:lineRule="auto"/>
        <w:tabs>
          <w:tab w:leader="none" w:pos="67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are parties to that certain lease dated October 19, 2018 (the “</w:t>
      </w:r>
      <w:r>
        <w:rPr>
          <w:rFonts w:ascii="Times New Roman" w:cs="Times New Roman" w:eastAsia="Times New Roman" w:hAnsi="Times New Roman"/>
          <w:sz w:val="19"/>
          <w:szCs w:val="19"/>
          <w:b w:val="1"/>
          <w:bCs w:val="1"/>
          <w:color w:val="auto"/>
        </w:rPr>
        <w:t>Lease</w:t>
      </w:r>
      <w:r>
        <w:rPr>
          <w:rFonts w:ascii="Times New Roman" w:cs="Times New Roman" w:eastAsia="Times New Roman" w:hAnsi="Times New Roman"/>
          <w:sz w:val="19"/>
          <w:szCs w:val="19"/>
          <w:color w:val="auto"/>
        </w:rPr>
        <w:t xml:space="preserve">”). Pursuant to the Lease, Landlord has leased to Tenant space currently containing approximately </w:t>
      </w:r>
      <w:r>
        <w:rPr>
          <w:rFonts w:ascii="Times New Roman" w:cs="Times New Roman" w:eastAsia="Times New Roman" w:hAnsi="Times New Roman"/>
          <w:sz w:val="19"/>
          <w:szCs w:val="19"/>
          <w:b w:val="1"/>
          <w:bCs w:val="1"/>
          <w:color w:val="auto"/>
        </w:rPr>
        <w:t>12,322</w:t>
      </w:r>
      <w:r>
        <w:rPr>
          <w:rFonts w:ascii="Times New Roman" w:cs="Times New Roman" w:eastAsia="Times New Roman" w:hAnsi="Times New Roman"/>
          <w:sz w:val="19"/>
          <w:szCs w:val="19"/>
          <w:color w:val="auto"/>
        </w:rPr>
        <w:t xml:space="preserve"> rentable square feet (the “</w:t>
      </w:r>
      <w:r>
        <w:rPr>
          <w:rFonts w:ascii="Times New Roman" w:cs="Times New Roman" w:eastAsia="Times New Roman" w:hAnsi="Times New Roman"/>
          <w:sz w:val="19"/>
          <w:szCs w:val="19"/>
          <w:b w:val="1"/>
          <w:bCs w:val="1"/>
          <w:color w:val="auto"/>
        </w:rPr>
        <w:t>Existing Premises</w:t>
      </w:r>
      <w:r>
        <w:rPr>
          <w:rFonts w:ascii="Times New Roman" w:cs="Times New Roman" w:eastAsia="Times New Roman" w:hAnsi="Times New Roman"/>
          <w:sz w:val="19"/>
          <w:szCs w:val="19"/>
          <w:color w:val="auto"/>
        </w:rPr>
        <w:t>”) described as Suite 125 on the first floor of the building commonly known as Skyway Landing II located at 999 Skyway Road, San Carlos, California (the “</w:t>
      </w:r>
      <w:r>
        <w:rPr>
          <w:rFonts w:ascii="Times New Roman" w:cs="Times New Roman" w:eastAsia="Times New Roman" w:hAnsi="Times New Roman"/>
          <w:sz w:val="19"/>
          <w:szCs w:val="19"/>
          <w:b w:val="1"/>
          <w:bCs w:val="1"/>
          <w:color w:val="auto"/>
        </w:rPr>
        <w:t>Building</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jc w:val="both"/>
        <w:ind w:left="620" w:hanging="613"/>
        <w:spacing w:after="0" w:line="259" w:lineRule="auto"/>
        <w:tabs>
          <w:tab w:leader="none" w:pos="797"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wish to expand the Premises (defined in the Lease) to include additional space, containing approximately </w:t>
      </w:r>
      <w:r>
        <w:rPr>
          <w:rFonts w:ascii="Times New Roman" w:cs="Times New Roman" w:eastAsia="Times New Roman" w:hAnsi="Times New Roman"/>
          <w:sz w:val="19"/>
          <w:szCs w:val="19"/>
          <w:b w:val="1"/>
          <w:bCs w:val="1"/>
          <w:color w:val="auto"/>
        </w:rPr>
        <w:t>8,110</w:t>
      </w:r>
      <w:r>
        <w:rPr>
          <w:rFonts w:ascii="Times New Roman" w:cs="Times New Roman" w:eastAsia="Times New Roman" w:hAnsi="Times New Roman"/>
          <w:sz w:val="19"/>
          <w:szCs w:val="19"/>
          <w:color w:val="auto"/>
        </w:rPr>
        <w:t xml:space="preserve"> rentable square feet described as Suite 100 on the first floor of the Building and shown on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19"/>
          <w:szCs w:val="19"/>
          <w:b w:val="1"/>
          <w:bCs w:val="1"/>
          <w:color w:val="auto"/>
        </w:rPr>
        <w:t>Expansion Space</w:t>
      </w:r>
      <w:r>
        <w:rPr>
          <w:rFonts w:ascii="Times New Roman" w:cs="Times New Roman" w:eastAsia="Times New Roman" w:hAnsi="Times New Roman"/>
          <w:sz w:val="19"/>
          <w:szCs w:val="19"/>
          <w:color w:val="auto"/>
        </w:rPr>
        <w:t>”), on the following terms and conditions.</w:t>
      </w:r>
    </w:p>
    <w:p>
      <w:pPr>
        <w:spacing w:after="0" w:line="173"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above recitals which by this reference are incorporated herein, the mutual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covenants and conditions contained herein and other valuable consideration, the receipt and sufficiency of which are hereby acknowledged, Landlord and Tenant agree as follows:</w:t>
      </w:r>
    </w:p>
    <w:p>
      <w:pPr>
        <w:spacing w:after="0" w:line="173" w:lineRule="exact"/>
        <w:rPr>
          <w:sz w:val="20"/>
          <w:szCs w:val="20"/>
          <w:color w:val="auto"/>
        </w:rPr>
      </w:pPr>
    </w:p>
    <w:p>
      <w:pPr>
        <w:ind w:left="620" w:hanging="613"/>
        <w:spacing w:after="0"/>
        <w:tabs>
          <w:tab w:leader="none" w:pos="62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Expansion</w:t>
      </w:r>
      <w:r>
        <w:rPr>
          <w:rFonts w:ascii="Times New Roman" w:cs="Times New Roman" w:eastAsia="Times New Roman" w:hAnsi="Times New Roman"/>
          <w:sz w:val="19"/>
          <w:szCs w:val="19"/>
          <w:b w:val="1"/>
          <w:bCs w:val="1"/>
          <w:color w:val="auto"/>
        </w:rPr>
        <w:t>.</w:t>
      </w:r>
    </w:p>
    <w:p>
      <w:pPr>
        <w:spacing w:after="0" w:line="221" w:lineRule="exact"/>
        <w:rPr>
          <w:rFonts w:ascii="Times New Roman" w:cs="Times New Roman" w:eastAsia="Times New Roman" w:hAnsi="Times New Roman"/>
          <w:sz w:val="19"/>
          <w:szCs w:val="19"/>
          <w:color w:val="auto"/>
        </w:rPr>
      </w:pPr>
    </w:p>
    <w:p>
      <w:pPr>
        <w:ind w:left="1260" w:hanging="621"/>
        <w:spacing w:after="0" w:line="24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b w:val="1"/>
          <w:bCs w:val="1"/>
          <w:color w:val="auto"/>
        </w:rPr>
        <w:t>Effect of Expansion.</w:t>
      </w:r>
      <w:r>
        <w:rPr>
          <w:rFonts w:ascii="Times New Roman" w:cs="Times New Roman" w:eastAsia="Times New Roman" w:hAnsi="Times New Roman"/>
          <w:sz w:val="19"/>
          <w:szCs w:val="19"/>
          <w:color w:val="auto"/>
        </w:rPr>
        <w:t xml:space="preserve"> Effective as of the Expansion Effective Date (defined in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below), the Premises shall be increased from 12,322 rentable square feet on the first floor to </w:t>
      </w:r>
      <w:r>
        <w:rPr>
          <w:rFonts w:ascii="Times New Roman" w:cs="Times New Roman" w:eastAsia="Times New Roman" w:hAnsi="Times New Roman"/>
          <w:sz w:val="19"/>
          <w:szCs w:val="19"/>
          <w:b w:val="1"/>
          <w:bCs w:val="1"/>
          <w:color w:val="auto"/>
        </w:rPr>
        <w:t>20,432</w:t>
      </w:r>
      <w:r>
        <w:rPr>
          <w:rFonts w:ascii="Times New Roman" w:cs="Times New Roman" w:eastAsia="Times New Roman" w:hAnsi="Times New Roman"/>
          <w:sz w:val="19"/>
          <w:szCs w:val="19"/>
          <w:color w:val="auto"/>
        </w:rPr>
        <w:t xml:space="preserve"> rentable square feet on the first floor by the addition of the Expansion Space, and, from and after the Expansion Effective Date, the Existing Premises and the Expansion Space shall collectively be deemed the Premises. The term of the Lease for the Expansion Space (the “</w:t>
      </w:r>
      <w:r>
        <w:rPr>
          <w:rFonts w:ascii="Times New Roman" w:cs="Times New Roman" w:eastAsia="Times New Roman" w:hAnsi="Times New Roman"/>
          <w:sz w:val="19"/>
          <w:szCs w:val="19"/>
          <w:b w:val="1"/>
          <w:bCs w:val="1"/>
          <w:color w:val="auto"/>
        </w:rPr>
        <w:t>Expansion Term</w:t>
      </w:r>
      <w:r>
        <w:rPr>
          <w:rFonts w:ascii="Times New Roman" w:cs="Times New Roman" w:eastAsia="Times New Roman" w:hAnsi="Times New Roman"/>
          <w:sz w:val="19"/>
          <w:szCs w:val="19"/>
          <w:color w:val="auto"/>
        </w:rPr>
        <w:t>”) shall commence on the Expansion Effective Date and, unless sooner terminated in accordance with the Lease, end on the Expiration Date (which the parties acknowledge is April 30, 2021). From and after the Expansion Effective Date, the Expansion Space shall be subject to all the terms and conditions of the Lease except as provided herein. Except as may be expressly provided herein, (a) Tenant shall not be entitled to receive, with respect to the Expansion Space, any allowance, free rent or other financial concession granted with respect to the Existing Premises, and (b) no representation or warranty made by Landlord with respect to the Existing Premises shall apply to the Expansion Space.</w:t>
      </w:r>
    </w:p>
    <w:p>
      <w:pPr>
        <w:spacing w:after="0" w:line="188" w:lineRule="exact"/>
        <w:rPr>
          <w:rFonts w:ascii="Times New Roman" w:cs="Times New Roman" w:eastAsia="Times New Roman" w:hAnsi="Times New Roman"/>
          <w:sz w:val="19"/>
          <w:szCs w:val="19"/>
          <w:color w:val="auto"/>
        </w:rPr>
      </w:pPr>
    </w:p>
    <w:p>
      <w:pPr>
        <w:ind w:left="1260" w:hanging="621"/>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color w:val="auto"/>
        </w:rPr>
        <w:t>Expansion Effective Date.</w:t>
      </w:r>
      <w:r>
        <w:rPr>
          <w:rFonts w:ascii="Times New Roman" w:cs="Times New Roman" w:eastAsia="Times New Roman" w:hAnsi="Times New Roman"/>
          <w:sz w:val="19"/>
          <w:szCs w:val="19"/>
          <w:color w:val="auto"/>
        </w:rPr>
        <w:t xml:space="preserve"> As used herein, “</w:t>
      </w:r>
      <w:r>
        <w:rPr>
          <w:rFonts w:ascii="Times New Roman" w:cs="Times New Roman" w:eastAsia="Times New Roman" w:hAnsi="Times New Roman"/>
          <w:sz w:val="19"/>
          <w:szCs w:val="19"/>
          <w:b w:val="1"/>
          <w:bCs w:val="1"/>
          <w:color w:val="auto"/>
        </w:rPr>
        <w:t>Expansion Effective Date</w:t>
      </w:r>
      <w:r>
        <w:rPr>
          <w:rFonts w:ascii="Times New Roman" w:cs="Times New Roman" w:eastAsia="Times New Roman" w:hAnsi="Times New Roman"/>
          <w:sz w:val="19"/>
          <w:szCs w:val="19"/>
          <w:color w:val="auto"/>
        </w:rPr>
        <w:t>” means the date on which Landlord delivers to Tenant the Expansion Space in broom clean condition (which date is anticipated to be June 1, 2019). Any delay in the Expansion Effective Date shall not subject Landlord to any liability for any loss or damage resulting therefrom. If the Expansion Effective Date is delayed, the Expiration shall not be similarly extended.</w:t>
      </w:r>
    </w:p>
    <w:p>
      <w:pPr>
        <w:spacing w:after="0" w:line="179" w:lineRule="exact"/>
        <w:rPr>
          <w:rFonts w:ascii="Times New Roman" w:cs="Times New Roman" w:eastAsia="Times New Roman" w:hAnsi="Times New Roman"/>
          <w:sz w:val="19"/>
          <w:szCs w:val="19"/>
          <w:color w:val="auto"/>
        </w:rPr>
      </w:pPr>
    </w:p>
    <w:p>
      <w:pPr>
        <w:ind w:left="1260" w:hanging="621"/>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w:t>
      </w:r>
      <w:r>
        <w:rPr>
          <w:rFonts w:ascii="Times New Roman" w:cs="Times New Roman" w:eastAsia="Times New Roman" w:hAnsi="Times New Roman"/>
          <w:sz w:val="19"/>
          <w:szCs w:val="19"/>
          <w:b w:val="1"/>
          <w:bCs w:val="1"/>
          <w:color w:val="auto"/>
        </w:rPr>
        <w:t xml:space="preserve">Confirmation Letter. </w:t>
      </w:r>
      <w:r>
        <w:rPr>
          <w:rFonts w:ascii="Times New Roman" w:cs="Times New Roman" w:eastAsia="Times New Roman" w:hAnsi="Times New Roman"/>
          <w:sz w:val="19"/>
          <w:szCs w:val="19"/>
          <w:color w:val="auto"/>
        </w:rPr>
        <w:t>At any time after the Expansion Effective Date, Landlord may deliver to Tenant a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substantially in the form of </w:t>
      </w:r>
      <w:r>
        <w:rPr>
          <w:rFonts w:ascii="Times New Roman" w:cs="Times New Roman" w:eastAsia="Times New Roman" w:hAnsi="Times New Roman"/>
          <w:sz w:val="19"/>
          <w:szCs w:val="19"/>
          <w:b w:val="1"/>
          <w:bCs w:val="1"/>
          <w:u w:val="single" w:color="auto"/>
          <w:color w:val="auto"/>
        </w:rPr>
        <w:t>Exhibit C</w:t>
      </w:r>
      <w:r>
        <w:rPr>
          <w:rFonts w:ascii="Times New Roman" w:cs="Times New Roman" w:eastAsia="Times New Roman" w:hAnsi="Times New Roman"/>
          <w:sz w:val="19"/>
          <w:szCs w:val="19"/>
          <w:color w:val="auto"/>
        </w:rPr>
        <w:t xml:space="preserve"> attached hereto, as a confirmation of the information set forth therein. Tenant shall execute and return (or, by written notice to Landlord, reasonably object to) such notice within five (5) days after receiving it.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61098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610985" cy="24765"/>
                    </a:xfrm>
                    <a:prstGeom prst="rect">
                      <a:avLst/>
                    </a:prstGeom>
                    <a:noFill/>
                  </pic:spPr>
                </pic:pic>
              </a:graphicData>
            </a:graphic>
          </wp:anchor>
        </w:drawing>
      </w:r>
    </w:p>
    <w:p>
      <w:pPr>
        <w:sectPr>
          <w:pgSz w:w="11900" w:h="16838" w:orient="portrait"/>
          <w:cols w:equalWidth="0" w:num="1">
            <w:col w:w="10420"/>
          </w:cols>
          <w:pgMar w:left="740" w:top="114" w:right="739" w:bottom="1440" w:gutter="0" w:footer="0" w:header="0"/>
        </w:sectPr>
      </w:pPr>
    </w:p>
    <w:bookmarkStart w:id="86" w:name="page87"/>
    <w:bookmarkEnd w:id="86"/>
    <w:p>
      <w:pPr>
        <w:ind w:left="620" w:hanging="613"/>
        <w:spacing w:after="0"/>
        <w:tabs>
          <w:tab w:leader="none" w:pos="6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Base Rent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Expansion Space during the Expansion Term, the schedule of Base Rent shall be as follows:</w:t>
      </w:r>
    </w:p>
    <w:p>
      <w:pPr>
        <w:spacing w:after="0" w:line="202" w:lineRule="exact"/>
        <w:rPr>
          <w:sz w:val="20"/>
          <w:szCs w:val="20"/>
          <w:color w:val="auto"/>
        </w:rPr>
      </w:pPr>
    </w:p>
    <w:tbl>
      <w:tblPr>
        <w:tblLayout w:type="fixed"/>
        <w:tblInd w:w="650" w:type="dxa"/>
        <w:tblCellMar>
          <w:top w:w="0" w:type="dxa"/>
          <w:left w:w="0" w:type="dxa"/>
          <w:bottom w:w="0" w:type="dxa"/>
          <w:right w:w="0" w:type="dxa"/>
        </w:tblCellMar>
      </w:tblPr>
      <w:tr>
        <w:trPr>
          <w:trHeight w:val="221"/>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Period During Expansion</w:t>
            </w:r>
          </w:p>
        </w:tc>
        <w:tc>
          <w:tcPr>
            <w:tcW w:w="3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Annual Rate Per Square</w:t>
            </w:r>
          </w:p>
        </w:tc>
        <w:tc>
          <w:tcPr>
            <w:tcW w:w="3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Monthly Base Rent</w:t>
            </w:r>
          </w:p>
        </w:tc>
      </w:tr>
      <w:tr>
        <w:trPr>
          <w:trHeight w:val="220"/>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Term</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Foot (rounded to the</w:t>
            </w:r>
          </w:p>
        </w:tc>
        <w:tc>
          <w:tcPr>
            <w:tcW w:w="3300" w:type="dxa"/>
            <w:vAlign w:val="bottom"/>
            <w:tcBorders>
              <w:right w:val="single" w:sz="8" w:color="auto"/>
            </w:tcBorders>
          </w:tcPr>
          <w:p>
            <w:pPr>
              <w:spacing w:after="0"/>
              <w:rPr>
                <w:sz w:val="19"/>
                <w:szCs w:val="19"/>
                <w:color w:val="auto"/>
              </w:rPr>
            </w:pPr>
          </w:p>
        </w:tc>
      </w:tr>
      <w:tr>
        <w:trPr>
          <w:trHeight w:val="251"/>
        </w:trPr>
        <w:tc>
          <w:tcPr>
            <w:tcW w:w="3300" w:type="dxa"/>
            <w:vAlign w:val="bottom"/>
            <w:tcBorders>
              <w:left w:val="single" w:sz="8" w:color="auto"/>
              <w:bottom w:val="single" w:sz="8" w:color="auto"/>
              <w:right w:val="single" w:sz="8" w:color="auto"/>
            </w:tcBorders>
          </w:tcPr>
          <w:p>
            <w:pPr>
              <w:spacing w:after="0"/>
              <w:rPr>
                <w:sz w:val="21"/>
                <w:szCs w:val="21"/>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nearest 100</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9"/>
                <w:szCs w:val="19"/>
                <w:b w:val="1"/>
                <w:bCs w:val="1"/>
                <w:color w:val="auto"/>
              </w:rPr>
              <w:t xml:space="preserve"> of a dollar)</w:t>
            </w:r>
          </w:p>
        </w:tc>
        <w:tc>
          <w:tcPr>
            <w:tcW w:w="3300" w:type="dxa"/>
            <w:vAlign w:val="bottom"/>
            <w:tcBorders>
              <w:bottom w:val="single" w:sz="8" w:color="auto"/>
              <w:right w:val="single" w:sz="8" w:color="auto"/>
            </w:tcBorders>
          </w:tcPr>
          <w:p>
            <w:pPr>
              <w:spacing w:after="0"/>
              <w:rPr>
                <w:sz w:val="21"/>
                <w:szCs w:val="21"/>
                <w:color w:val="auto"/>
              </w:rPr>
            </w:pPr>
          </w:p>
        </w:tc>
      </w:tr>
      <w:tr>
        <w:trPr>
          <w:trHeight w:val="197"/>
        </w:trPr>
        <w:tc>
          <w:tcPr>
            <w:tcW w:w="3300" w:type="dxa"/>
            <w:vAlign w:val="bottom"/>
            <w:tcBorders>
              <w:left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9"/>
                <w:szCs w:val="19"/>
                <w:color w:val="auto"/>
                <w:w w:val="99"/>
              </w:rPr>
              <w:t>Expansion Effective Date through last</w:t>
            </w:r>
          </w:p>
        </w:tc>
        <w:tc>
          <w:tcPr>
            <w:tcW w:w="32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9"/>
                <w:szCs w:val="19"/>
                <w:color w:val="auto"/>
                <w:w w:val="99"/>
              </w:rPr>
              <w:t>$57.00</w:t>
            </w:r>
          </w:p>
        </w:tc>
        <w:tc>
          <w:tcPr>
            <w:tcW w:w="33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9"/>
                <w:szCs w:val="19"/>
                <w:color w:val="auto"/>
                <w:w w:val="98"/>
              </w:rPr>
              <w:t>$38,522.50</w:t>
            </w:r>
          </w:p>
        </w:tc>
      </w:tr>
      <w:tr>
        <w:trPr>
          <w:trHeight w:val="220"/>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day of 12th full calendar month of</w:t>
            </w:r>
          </w:p>
        </w:tc>
        <w:tc>
          <w:tcPr>
            <w:tcW w:w="328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r>
      <w:tr>
        <w:trPr>
          <w:trHeight w:val="24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Expansion Term</w:t>
            </w:r>
          </w:p>
        </w:tc>
        <w:tc>
          <w:tcPr>
            <w:tcW w:w="3280" w:type="dxa"/>
            <w:vAlign w:val="bottom"/>
            <w:tcBorders>
              <w:bottom w:val="single" w:sz="8" w:color="auto"/>
              <w:right w:val="single" w:sz="8" w:color="auto"/>
            </w:tcBorders>
          </w:tcPr>
          <w:p>
            <w:pPr>
              <w:spacing w:after="0"/>
              <w:rPr>
                <w:sz w:val="21"/>
                <w:szCs w:val="21"/>
                <w:color w:val="auto"/>
              </w:rPr>
            </w:pPr>
          </w:p>
        </w:tc>
        <w:tc>
          <w:tcPr>
            <w:tcW w:w="3300" w:type="dxa"/>
            <w:vAlign w:val="bottom"/>
            <w:tcBorders>
              <w:bottom w:val="single" w:sz="8" w:color="auto"/>
              <w:right w:val="single" w:sz="8" w:color="auto"/>
            </w:tcBorders>
          </w:tcPr>
          <w:p>
            <w:pPr>
              <w:spacing w:after="0"/>
              <w:rPr>
                <w:sz w:val="21"/>
                <w:szCs w:val="21"/>
                <w:color w:val="auto"/>
              </w:rPr>
            </w:pPr>
          </w:p>
        </w:tc>
      </w:tr>
      <w:tr>
        <w:trPr>
          <w:trHeight w:val="190"/>
        </w:trPr>
        <w:tc>
          <w:tcPr>
            <w:tcW w:w="33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9"/>
                <w:szCs w:val="19"/>
                <w:color w:val="auto"/>
                <w:w w:val="99"/>
              </w:rPr>
              <w:t>13th full calendar month of Expansion</w:t>
            </w:r>
          </w:p>
        </w:tc>
        <w:tc>
          <w:tcPr>
            <w:tcW w:w="3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9"/>
                <w:szCs w:val="19"/>
                <w:color w:val="auto"/>
                <w:w w:val="99"/>
              </w:rPr>
              <w:t>$58.71</w:t>
            </w:r>
          </w:p>
        </w:tc>
        <w:tc>
          <w:tcPr>
            <w:tcW w:w="3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9"/>
                <w:szCs w:val="19"/>
                <w:color w:val="auto"/>
                <w:w w:val="98"/>
              </w:rPr>
              <w:t>$39,678.18</w:t>
            </w:r>
          </w:p>
        </w:tc>
      </w:tr>
      <w:tr>
        <w:trPr>
          <w:trHeight w:val="220"/>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Term through last day of Expansion</w:t>
            </w:r>
          </w:p>
        </w:tc>
        <w:tc>
          <w:tcPr>
            <w:tcW w:w="328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r>
      <w:tr>
        <w:trPr>
          <w:trHeight w:val="24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Term</w:t>
            </w:r>
          </w:p>
        </w:tc>
        <w:tc>
          <w:tcPr>
            <w:tcW w:w="3280" w:type="dxa"/>
            <w:vAlign w:val="bottom"/>
            <w:tcBorders>
              <w:bottom w:val="single" w:sz="8" w:color="auto"/>
              <w:right w:val="single" w:sz="8" w:color="auto"/>
            </w:tcBorders>
          </w:tcPr>
          <w:p>
            <w:pPr>
              <w:spacing w:after="0"/>
              <w:rPr>
                <w:sz w:val="21"/>
                <w:szCs w:val="21"/>
                <w:color w:val="auto"/>
              </w:rPr>
            </w:pPr>
          </w:p>
        </w:tc>
        <w:tc>
          <w:tcPr>
            <w:tcW w:w="3300" w:type="dxa"/>
            <w:vAlign w:val="bottom"/>
            <w:tcBorders>
              <w:bottom w:val="single" w:sz="8" w:color="auto"/>
              <w:right w:val="single" w:sz="8" w:color="auto"/>
            </w:tcBorders>
          </w:tcPr>
          <w:p>
            <w:pPr>
              <w:spacing w:after="0"/>
              <w:rPr>
                <w:sz w:val="21"/>
                <w:szCs w:val="21"/>
                <w:color w:val="auto"/>
              </w:rPr>
            </w:pPr>
          </w:p>
        </w:tc>
      </w:tr>
    </w:tbl>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All such Base Rent shall be payable by Tenant in accordance with the terms of the Lease.</w:t>
      </w:r>
    </w:p>
    <w:p>
      <w:pPr>
        <w:spacing w:after="0" w:line="194" w:lineRule="exact"/>
        <w:rPr>
          <w:sz w:val="20"/>
          <w:szCs w:val="20"/>
          <w:color w:val="auto"/>
        </w:rPr>
      </w:pPr>
    </w:p>
    <w:p>
      <w:pPr>
        <w:ind w:left="620" w:hanging="613"/>
        <w:spacing w:after="0"/>
        <w:tabs>
          <w:tab w:leader="none" w:pos="6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Additional Security Deposit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additional Security Deposit shall be required in connection with this Amendment.</w:t>
      </w:r>
    </w:p>
    <w:p>
      <w:pPr>
        <w:spacing w:after="0" w:line="195" w:lineRule="exact"/>
        <w:rPr>
          <w:rFonts w:ascii="Times New Roman" w:cs="Times New Roman" w:eastAsia="Times New Roman" w:hAnsi="Times New Roman"/>
          <w:sz w:val="19"/>
          <w:szCs w:val="19"/>
          <w:color w:val="auto"/>
        </w:rPr>
      </w:pPr>
    </w:p>
    <w:p>
      <w:pPr>
        <w:ind w:left="620" w:hanging="613"/>
        <w:spacing w:after="0"/>
        <w:tabs>
          <w:tab w:leader="none" w:pos="6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Tenant’s Share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Expansion Space during the Expansion Term, Tenant’s</w:t>
      </w:r>
      <w:r>
        <w:rPr>
          <w:rFonts w:ascii="Times New Roman" w:cs="Times New Roman" w:eastAsia="Times New Roman" w:hAnsi="Times New Roman"/>
          <w:sz w:val="19"/>
          <w:szCs w:val="19"/>
          <w:b w:val="1"/>
          <w:bCs w:val="1"/>
          <w:color w:val="auto"/>
        </w:rPr>
        <w:t xml:space="preserve"> Share </w:t>
      </w:r>
      <w:r>
        <w:rPr>
          <w:rFonts w:ascii="Times New Roman" w:cs="Times New Roman" w:eastAsia="Times New Roman" w:hAnsi="Times New Roman"/>
          <w:sz w:val="19"/>
          <w:szCs w:val="19"/>
          <w:color w:val="auto"/>
        </w:rPr>
        <w:t>shall be 6.8441%.</w:t>
      </w:r>
    </w:p>
    <w:p>
      <w:pPr>
        <w:spacing w:after="0" w:line="195" w:lineRule="exact"/>
        <w:rPr>
          <w:rFonts w:ascii="Times New Roman" w:cs="Times New Roman" w:eastAsia="Times New Roman" w:hAnsi="Times New Roman"/>
          <w:sz w:val="19"/>
          <w:szCs w:val="19"/>
          <w:color w:val="auto"/>
        </w:rPr>
      </w:pPr>
    </w:p>
    <w:p>
      <w:pPr>
        <w:ind w:left="620" w:right="100" w:hanging="613"/>
        <w:spacing w:after="0" w:line="277" w:lineRule="auto"/>
        <w:tabs>
          <w:tab w:leader="none" w:pos="65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Expenses and Taxes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Expansion Space during the Expansion Term, Tenant shall pay for Tenant’s Share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Expenses and Taxes in accordance with the terms of the Lease.</w:t>
      </w:r>
    </w:p>
    <w:p>
      <w:pPr>
        <w:spacing w:after="0" w:line="130" w:lineRule="exact"/>
        <w:rPr>
          <w:rFonts w:ascii="Times New Roman" w:cs="Times New Roman" w:eastAsia="Times New Roman" w:hAnsi="Times New Roman"/>
          <w:sz w:val="19"/>
          <w:szCs w:val="19"/>
          <w:color w:val="auto"/>
        </w:rPr>
      </w:pPr>
    </w:p>
    <w:p>
      <w:pPr>
        <w:ind w:left="620" w:hanging="613"/>
        <w:spacing w:after="0"/>
        <w:tabs>
          <w:tab w:leader="none" w:pos="6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Improvements to Expansion Space</w:t>
      </w:r>
      <w:r>
        <w:rPr>
          <w:rFonts w:ascii="Times New Roman" w:cs="Times New Roman" w:eastAsia="Times New Roman" w:hAnsi="Times New Roman"/>
          <w:sz w:val="19"/>
          <w:szCs w:val="19"/>
          <w:b w:val="1"/>
          <w:bCs w:val="1"/>
          <w:color w:val="auto"/>
        </w:rPr>
        <w:t>.</w:t>
      </w:r>
    </w:p>
    <w:p>
      <w:pPr>
        <w:spacing w:after="0" w:line="195" w:lineRule="exact"/>
        <w:rPr>
          <w:rFonts w:ascii="Times New Roman" w:cs="Times New Roman" w:eastAsia="Times New Roman" w:hAnsi="Times New Roman"/>
          <w:sz w:val="19"/>
          <w:szCs w:val="19"/>
          <w:color w:val="auto"/>
        </w:rPr>
      </w:pPr>
    </w:p>
    <w:p>
      <w:pPr>
        <w:ind w:left="1260" w:right="100" w:hanging="621"/>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6.1.</w:t>
      </w:r>
      <w:r>
        <w:rPr>
          <w:rFonts w:ascii="Times New Roman" w:cs="Times New Roman" w:eastAsia="Times New Roman" w:hAnsi="Times New Roman"/>
          <w:sz w:val="19"/>
          <w:szCs w:val="19"/>
          <w:b w:val="1"/>
          <w:bCs w:val="1"/>
          <w:color w:val="auto"/>
        </w:rPr>
        <w:t xml:space="preserve">Configuration and Condition of Expansion Space. </w:t>
      </w:r>
      <w:r>
        <w:rPr>
          <w:rFonts w:ascii="Times New Roman" w:cs="Times New Roman" w:eastAsia="Times New Roman" w:hAnsi="Times New Roman"/>
          <w:sz w:val="19"/>
          <w:szCs w:val="19"/>
          <w:color w:val="auto"/>
        </w:rPr>
        <w:t>Tenant acknowledges that it has inspected the Expansion Space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agrees to accept it in its existing configuration and condition (or in such other configuration and condition as any existing tenant of the Expansion Space may cause to exist in accordance with its lease), without any representation by Landlord regarding its configuration or condition and without any obligation on the part of Landlord to perform or pay for any alteration or improvement, except as may be otherwise expressly provided in this Amendment.</w:t>
      </w:r>
    </w:p>
    <w:p>
      <w:pPr>
        <w:spacing w:after="0" w:line="156" w:lineRule="exact"/>
        <w:rPr>
          <w:rFonts w:ascii="Times New Roman" w:cs="Times New Roman" w:eastAsia="Times New Roman" w:hAnsi="Times New Roman"/>
          <w:sz w:val="19"/>
          <w:szCs w:val="19"/>
          <w:color w:val="auto"/>
        </w:rPr>
      </w:pPr>
    </w:p>
    <w:p>
      <w:pPr>
        <w:ind w:left="1260" w:right="100" w:hanging="621"/>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6.2.</w:t>
      </w:r>
      <w:r>
        <w:rPr>
          <w:rFonts w:ascii="Times New Roman" w:cs="Times New Roman" w:eastAsia="Times New Roman" w:hAnsi="Times New Roman"/>
          <w:sz w:val="19"/>
          <w:szCs w:val="19"/>
          <w:b w:val="1"/>
          <w:bCs w:val="1"/>
          <w:color w:val="auto"/>
        </w:rPr>
        <w:t xml:space="preserve">Responsibility for Improvements to Expansion Space. </w:t>
      </w:r>
      <w:r>
        <w:rPr>
          <w:rFonts w:ascii="Times New Roman" w:cs="Times New Roman" w:eastAsia="Times New Roman" w:hAnsi="Times New Roman"/>
          <w:sz w:val="19"/>
          <w:szCs w:val="19"/>
          <w:color w:val="auto"/>
        </w:rPr>
        <w:t>Any improvements to the Expansion Space performed by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on behalf of Tenant on or after the Expansion Effective Date shall be paid for by Tenant (subject to the Allowance described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u w:val="single" w:color="auto"/>
          <w:color w:val="auto"/>
        </w:rPr>
        <w:t>Exhibit B-1</w:t>
      </w:r>
      <w:r>
        <w:rPr>
          <w:rFonts w:ascii="Times New Roman" w:cs="Times New Roman" w:eastAsia="Times New Roman" w:hAnsi="Times New Roman"/>
          <w:sz w:val="19"/>
          <w:szCs w:val="19"/>
          <w:color w:val="auto"/>
        </w:rPr>
        <w:t xml:space="preserve"> to the Lease as incorporated herein by this reference) and performed in accordance with the terms of the Lease (including, without limitation, </w:t>
      </w:r>
      <w:r>
        <w:rPr>
          <w:rFonts w:ascii="Times New Roman" w:cs="Times New Roman" w:eastAsia="Times New Roman" w:hAnsi="Times New Roman"/>
          <w:sz w:val="19"/>
          <w:szCs w:val="19"/>
          <w:b w:val="1"/>
          <w:bCs w:val="1"/>
          <w:u w:val="single" w:color="auto"/>
          <w:color w:val="auto"/>
        </w:rPr>
        <w:t>Exhibit B-1</w:t>
      </w:r>
      <w:r>
        <w:rPr>
          <w:rFonts w:ascii="Times New Roman" w:cs="Times New Roman" w:eastAsia="Times New Roman" w:hAnsi="Times New Roman"/>
          <w:sz w:val="19"/>
          <w:szCs w:val="19"/>
          <w:color w:val="auto"/>
        </w:rPr>
        <w:t xml:space="preserve"> thereto, as amended hereby). The parties further acknowledge and agree that each reference to “Premises” in </w:t>
      </w:r>
      <w:r>
        <w:rPr>
          <w:rFonts w:ascii="Times New Roman" w:cs="Times New Roman" w:eastAsia="Times New Roman" w:hAnsi="Times New Roman"/>
          <w:sz w:val="19"/>
          <w:szCs w:val="19"/>
          <w:b w:val="1"/>
          <w:bCs w:val="1"/>
          <w:u w:val="single" w:color="auto"/>
          <w:color w:val="auto"/>
        </w:rPr>
        <w:t>Exhibit B-1</w:t>
      </w:r>
      <w:r>
        <w:rPr>
          <w:rFonts w:ascii="Times New Roman" w:cs="Times New Roman" w:eastAsia="Times New Roman" w:hAnsi="Times New Roman"/>
          <w:sz w:val="19"/>
          <w:szCs w:val="19"/>
          <w:color w:val="auto"/>
        </w:rPr>
        <w:t xml:space="preserve"> to the Lease shall be deemed to mean both (a) the Existing Premises and (b) the Expansion Space (from and after the Expansion Effective Date). Landlord hereby acknowledges that, as of the date hereof, the current amount of the Allowance available for application towards the cost of Tenant Improvement Work in the Existing Premises and the Expansion Space pursuant to </w:t>
      </w:r>
      <w:r>
        <w:rPr>
          <w:rFonts w:ascii="Times New Roman" w:cs="Times New Roman" w:eastAsia="Times New Roman" w:hAnsi="Times New Roman"/>
          <w:sz w:val="19"/>
          <w:szCs w:val="19"/>
          <w:b w:val="1"/>
          <w:bCs w:val="1"/>
          <w:u w:val="single" w:color="auto"/>
          <w:color w:val="auto"/>
        </w:rPr>
        <w:t>Exhibit B-1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Lease (as amended hereby) is $147,864.00.</w:t>
      </w:r>
    </w:p>
    <w:p>
      <w:pPr>
        <w:spacing w:after="0" w:line="185" w:lineRule="exact"/>
        <w:rPr>
          <w:rFonts w:ascii="Times New Roman" w:cs="Times New Roman" w:eastAsia="Times New Roman" w:hAnsi="Times New Roman"/>
          <w:sz w:val="19"/>
          <w:szCs w:val="19"/>
          <w:color w:val="auto"/>
        </w:rPr>
      </w:pPr>
    </w:p>
    <w:p>
      <w:pPr>
        <w:ind w:left="620" w:right="120" w:hanging="613"/>
        <w:spacing w:after="0" w:line="277" w:lineRule="auto"/>
        <w:tabs>
          <w:tab w:leader="none" w:pos="783"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Pertinent Provisions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Landlord and Tenant agree that, effective as of the date of this Amendment (unless different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date(s) is/are specifically referenced in this Section), the Lease shall be amended in the following additional respects:</w:t>
      </w:r>
    </w:p>
    <w:p>
      <w:pPr>
        <w:spacing w:after="0" w:line="130" w:lineRule="exact"/>
        <w:rPr>
          <w:sz w:val="20"/>
          <w:szCs w:val="20"/>
          <w:color w:val="auto"/>
        </w:rPr>
      </w:pPr>
    </w:p>
    <w:p>
      <w:pPr>
        <w:jc w:val="both"/>
        <w:ind w:left="1260" w:right="100" w:hanging="620"/>
        <w:spacing w:after="0" w:line="277" w:lineRule="auto"/>
        <w:tabs>
          <w:tab w:leader="none" w:pos="124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9"/>
          <w:szCs w:val="19"/>
          <w:b w:val="1"/>
          <w:bCs w:val="1"/>
          <w:color w:val="auto"/>
        </w:rPr>
        <w:t>Parking</w:t>
      </w:r>
      <w:r>
        <w:rPr>
          <w:rFonts w:ascii="Times New Roman" w:cs="Times New Roman" w:eastAsia="Times New Roman" w:hAnsi="Times New Roman"/>
          <w:sz w:val="19"/>
          <w:szCs w:val="19"/>
          <w:color w:val="auto"/>
        </w:rPr>
        <w:t>. Effective as of the Expansion Effective Date, the reference to “40 unreserved parking spaces” in Section 1.9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Lease is hereby amended and restated as “67 unreserved parking spaces”.</w:t>
      </w:r>
    </w:p>
    <w:p>
      <w:pPr>
        <w:spacing w:after="0" w:line="130" w:lineRule="exact"/>
        <w:rPr>
          <w:sz w:val="20"/>
          <w:szCs w:val="20"/>
          <w:color w:val="auto"/>
        </w:rPr>
      </w:pPr>
    </w:p>
    <w:p>
      <w:pPr>
        <w:jc w:val="both"/>
        <w:ind w:left="1260" w:right="120" w:hanging="620"/>
        <w:spacing w:after="0" w:line="259" w:lineRule="auto"/>
        <w:tabs>
          <w:tab w:leader="none" w:pos="124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9"/>
          <w:szCs w:val="19"/>
          <w:b w:val="1"/>
          <w:bCs w:val="1"/>
          <w:color w:val="auto"/>
        </w:rPr>
        <w:t xml:space="preserve">California Civil Code Section 1938. </w:t>
      </w:r>
      <w:r>
        <w:rPr>
          <w:rFonts w:ascii="Times New Roman" w:cs="Times New Roman" w:eastAsia="Times New Roman" w:hAnsi="Times New Roman"/>
          <w:sz w:val="19"/>
          <w:szCs w:val="19"/>
          <w:color w:val="auto"/>
        </w:rPr>
        <w:t>Pursuant to California Civil Code § 1938, Landlord hereby states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Expansion Space has not undergone inspection by a Certified Access Specialist (CASp) (defined in California Civil Code § 55.52).</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Accordingly, pursuant to California Civil Code § 1938(e), Landlord hereby further</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61098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610985" cy="24765"/>
                    </a:xfrm>
                    <a:prstGeom prst="rect">
                      <a:avLst/>
                    </a:prstGeom>
                    <a:noFill/>
                  </pic:spPr>
                </pic:pic>
              </a:graphicData>
            </a:graphic>
          </wp:anchor>
        </w:drawing>
      </w:r>
    </w:p>
    <w:p>
      <w:pPr>
        <w:sectPr>
          <w:pgSz w:w="11900" w:h="16838" w:orient="portrait"/>
          <w:cols w:equalWidth="0" w:num="1">
            <w:col w:w="10520"/>
          </w:cols>
          <w:pgMar w:left="740" w:top="114" w:right="639" w:bottom="1440" w:gutter="0" w:footer="0" w:header="0"/>
        </w:sectPr>
      </w:pPr>
    </w:p>
    <w:bookmarkStart w:id="87" w:name="page88"/>
    <w:bookmarkEnd w:id="87"/>
    <w:p>
      <w:pPr>
        <w:jc w:val="both"/>
        <w:ind w:left="1260"/>
        <w:spacing w:after="0" w:line="246" w:lineRule="auto"/>
        <w:rPr>
          <w:sz w:val="20"/>
          <w:szCs w:val="20"/>
          <w:color w:val="auto"/>
        </w:rPr>
      </w:pPr>
      <w:r>
        <w:rPr>
          <w:rFonts w:ascii="Times New Roman" w:cs="Times New Roman" w:eastAsia="Times New Roman" w:hAnsi="Times New Roman"/>
          <w:sz w:val="19"/>
          <w:szCs w:val="19"/>
          <w:color w:val="auto"/>
        </w:rPr>
        <w:t>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9" w:lineRule="exact"/>
        <w:rPr>
          <w:sz w:val="20"/>
          <w:szCs w:val="20"/>
          <w:color w:val="auto"/>
        </w:rPr>
      </w:pPr>
    </w:p>
    <w:p>
      <w:pPr>
        <w:jc w:val="both"/>
        <w:ind w:left="1260"/>
        <w:spacing w:after="0" w:line="253" w:lineRule="auto"/>
        <w:rPr>
          <w:sz w:val="20"/>
          <w:szCs w:val="20"/>
          <w:color w:val="auto"/>
        </w:rPr>
      </w:pPr>
      <w:r>
        <w:rPr>
          <w:rFonts w:ascii="Times New Roman" w:cs="Times New Roman" w:eastAsia="Times New Roman" w:hAnsi="Times New Roman"/>
          <w:sz w:val="19"/>
          <w:szCs w:val="19"/>
          <w:color w:val="auto"/>
        </w:rPr>
        <w:t xml:space="preserve">In accordance with the foregoing, Landlord and Tenant agree that if Tenant requests a CASp inspection of the Expansion Space, then (i) Tenant shall pay the fee for such inspection, and (ii) the cost of making any repairs necessary to correct violations of construction-related accessibility standards within the Expansion Space shall be governed by the applicable terms of the Lease (including, without limitation,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thereof).</w:t>
      </w:r>
    </w:p>
    <w:p>
      <w:pPr>
        <w:spacing w:after="0" w:line="177" w:lineRule="exact"/>
        <w:rPr>
          <w:sz w:val="20"/>
          <w:szCs w:val="20"/>
          <w:color w:val="auto"/>
        </w:rPr>
      </w:pPr>
    </w:p>
    <w:p>
      <w:pPr>
        <w:ind w:left="1260" w:hanging="620"/>
        <w:spacing w:after="0" w:line="277" w:lineRule="auto"/>
        <w:tabs>
          <w:tab w:leader="none" w:pos="1240" w:val="left"/>
        </w:tabs>
        <w:rPr>
          <w:sz w:val="20"/>
          <w:szCs w:val="20"/>
          <w:color w:val="auto"/>
        </w:rPr>
      </w:pPr>
      <w:r>
        <w:rPr>
          <w:rFonts w:ascii="Times New Roman" w:cs="Times New Roman" w:eastAsia="Times New Roman" w:hAnsi="Times New Roman"/>
          <w:sz w:val="19"/>
          <w:szCs w:val="19"/>
          <w:color w:val="auto"/>
        </w:rPr>
        <w:t>7.3.</w:t>
      </w:r>
      <w:r>
        <w:rPr>
          <w:sz w:val="20"/>
          <w:szCs w:val="20"/>
          <w:color w:val="auto"/>
        </w:rPr>
        <w:tab/>
      </w:r>
      <w:r>
        <w:rPr>
          <w:rFonts w:ascii="Times New Roman" w:cs="Times New Roman" w:eastAsia="Times New Roman" w:hAnsi="Times New Roman"/>
          <w:sz w:val="19"/>
          <w:szCs w:val="19"/>
          <w:b w:val="1"/>
          <w:bCs w:val="1"/>
          <w:color w:val="auto"/>
        </w:rPr>
        <w:t>Right of First Offer</w:t>
      </w:r>
      <w:r>
        <w:rPr>
          <w:rFonts w:ascii="Times New Roman" w:cs="Times New Roman" w:eastAsia="Times New Roman" w:hAnsi="Times New Roman"/>
          <w:sz w:val="19"/>
          <w:szCs w:val="19"/>
          <w:color w:val="auto"/>
        </w:rPr>
        <w:t>. The following provisions of the Lease are of no further force and effect: Section 3.1.A (2)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Exhibit F to the Lease and the second diagram on Exhibit G to the Lease.</w:t>
      </w:r>
    </w:p>
    <w:p>
      <w:pPr>
        <w:spacing w:after="0" w:line="156" w:lineRule="exact"/>
        <w:rPr>
          <w:sz w:val="20"/>
          <w:szCs w:val="20"/>
          <w:color w:val="auto"/>
        </w:rPr>
      </w:pPr>
    </w:p>
    <w:p>
      <w:pPr>
        <w:ind w:left="620" w:hanging="613"/>
        <w:spacing w:after="0"/>
        <w:tabs>
          <w:tab w:leader="none" w:pos="62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b w:val="1"/>
          <w:bCs w:val="1"/>
          <w:color w:val="auto"/>
        </w:rPr>
        <w:t>.</w:t>
      </w:r>
    </w:p>
    <w:p>
      <w:pPr>
        <w:spacing w:after="0" w:line="223" w:lineRule="exact"/>
        <w:rPr>
          <w:rFonts w:ascii="Times New Roman" w:cs="Times New Roman" w:eastAsia="Times New Roman" w:hAnsi="Times New Roman"/>
          <w:sz w:val="19"/>
          <w:szCs w:val="19"/>
          <w:color w:val="auto"/>
        </w:rPr>
      </w:pPr>
    </w:p>
    <w:p>
      <w:pPr>
        <w:ind w:left="1260" w:hanging="621"/>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8.1.This Amendment sets forth the entire agreement between the parties with respect to the matters set forth herein. There have been no additional oral or written representations or agreements. Tenant shall not be entitled, in connection with entering into this Amendment, to any free rent, allowance, alteration, improvement or similar economic incentive to which Tenant may have been entitled in connection with entering into the Lease, except as may be otherwise expressly provided in this Amendment.</w:t>
      </w:r>
    </w:p>
    <w:p>
      <w:pPr>
        <w:spacing w:after="0" w:line="182" w:lineRule="exact"/>
        <w:rPr>
          <w:rFonts w:ascii="Times New Roman" w:cs="Times New Roman" w:eastAsia="Times New Roman" w:hAnsi="Times New Roman"/>
          <w:sz w:val="19"/>
          <w:szCs w:val="19"/>
          <w:color w:val="auto"/>
        </w:rPr>
      </w:pPr>
    </w:p>
    <w:p>
      <w:pPr>
        <w:ind w:left="1260" w:hanging="621"/>
        <w:spacing w:after="0" w:line="27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8.2.Except as herein modified or amended, the provisions, conditions and terms of the Lease shall remain unchanged and in full force and effect.</w:t>
      </w:r>
    </w:p>
    <w:p>
      <w:pPr>
        <w:spacing w:after="0" w:line="159" w:lineRule="exact"/>
        <w:rPr>
          <w:rFonts w:ascii="Times New Roman" w:cs="Times New Roman" w:eastAsia="Times New Roman" w:hAnsi="Times New Roman"/>
          <w:sz w:val="19"/>
          <w:szCs w:val="19"/>
          <w:color w:val="auto"/>
        </w:rPr>
      </w:pPr>
    </w:p>
    <w:p>
      <w:pPr>
        <w:ind w:left="1260" w:hanging="621"/>
        <w:spacing w:after="0" w:line="27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8.3.In the case of any inconsistency between the provisions of the Lease and this Amendment, the provisions of this Amendment shall govern and control.</w:t>
      </w:r>
    </w:p>
    <w:p>
      <w:pPr>
        <w:spacing w:after="0" w:line="159" w:lineRule="exact"/>
        <w:rPr>
          <w:rFonts w:ascii="Times New Roman" w:cs="Times New Roman" w:eastAsia="Times New Roman" w:hAnsi="Times New Roman"/>
          <w:sz w:val="19"/>
          <w:szCs w:val="19"/>
          <w:color w:val="auto"/>
        </w:rPr>
      </w:pPr>
    </w:p>
    <w:p>
      <w:pPr>
        <w:ind w:left="1260" w:hanging="621"/>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8.4.Submission of this Amendment by Landlord is not an offer to enter into this Amendment but rather is a solicitation for such an offer by Tenant. Landlord shall not be bound by this Amendment until Landlord has executed and delivered it to Tenant.</w:t>
      </w:r>
    </w:p>
    <w:p>
      <w:pPr>
        <w:spacing w:after="0" w:line="175"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8.5.    Capitalized terms used but not defined in this Amendment shall have the meanings given in the Lease.</w:t>
      </w:r>
    </w:p>
    <w:p>
      <w:pPr>
        <w:spacing w:after="0" w:line="221" w:lineRule="exact"/>
        <w:rPr>
          <w:rFonts w:ascii="Times New Roman" w:cs="Times New Roman" w:eastAsia="Times New Roman" w:hAnsi="Times New Roman"/>
          <w:sz w:val="19"/>
          <w:szCs w:val="19"/>
          <w:color w:val="auto"/>
        </w:rPr>
      </w:pPr>
    </w:p>
    <w:p>
      <w:pPr>
        <w:ind w:left="1260" w:hanging="621"/>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8.6.Tenant shall indemnify and hold Landlord, its trustees, members, principals, beneficiaries, partners, officers, directors, employees, mortgagee(s) and agents, and the respective principals and members of any such agents harmless from all claims of any brokers claiming to have represented Tenant in connection with this Amendment. Landlord shall indemnify and hold Tenant, its trustees, members, principals, beneficiaries, partners, officers, directors, employees, and agents, and the respective principals and members of any such agents harmless from all claims of any brokers claiming to have represented Landlord in connection with this Amendment. Tenant acknowledges that any assistance rendered by any agent or employee of any affiliate of Landlord in connection with this Amendment has been made as an accommodation to Tenant solely in furtherance of consummating the transaction on behalf of Landlord, and not as agent for Tenant.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 ARE ON FOLLOWING PAGE]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61098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610985" cy="24765"/>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88" w:name="page89"/>
    <w:bookmarkEnd w:id="88"/>
    <w:p>
      <w:pPr>
        <w:ind w:left="62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Landlord and Tenant have duly executed this Amendment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written.</w:t>
      </w:r>
    </w:p>
    <w:p>
      <w:pPr>
        <w:spacing w:after="0" w:line="2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LANDLORD:</w:t>
      </w: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HUDSON SKYWAY LANDING, LLC, a Delaware limited</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liability company</w:t>
      </w:r>
    </w:p>
    <w:p>
      <w:pPr>
        <w:sectPr>
          <w:pgSz w:w="11900" w:h="16838" w:orient="portrait"/>
          <w:cols w:equalWidth="0" w:num="1">
            <w:col w:w="10420"/>
          </w:cols>
          <w:pgMar w:left="740" w:top="114" w:right="739" w:bottom="1440" w:gutter="0" w:footer="0" w:header="0"/>
        </w:sectPr>
      </w:pPr>
    </w:p>
    <w:p>
      <w:pPr>
        <w:spacing w:after="0" w:line="20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Hudson Pacific Properties, L.P.,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Maryland limited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ectPr>
          <w:pgSz w:w="11900" w:h="16838" w:orient="portrait"/>
          <w:cols w:equalWidth="0" w:num="2">
            <w:col w:w="5260" w:space="360"/>
            <w:col w:w="4800"/>
          </w:cols>
          <w:pgMar w:left="740" w:top="114" w:right="7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Hudson Pacific Properties, Inc.,</w:t>
      </w:r>
    </w:p>
    <w:p>
      <w:pPr>
        <w:spacing w:after="0" w:line="31" w:lineRule="exact"/>
        <w:rPr>
          <w:sz w:val="20"/>
          <w:szCs w:val="20"/>
          <w:color w:val="auto"/>
        </w:rPr>
      </w:pPr>
    </w:p>
    <w:p>
      <w:pPr>
        <w:sectPr>
          <w:pgSz w:w="11900" w:h="16838" w:orient="portrait"/>
          <w:cols w:equalWidth="0" w:num="2">
            <w:col w:w="5880" w:space="380"/>
            <w:col w:w="4160"/>
          </w:cols>
          <w:pgMar w:left="740" w:top="114" w:right="739" w:bottom="1440" w:gutter="0" w:footer="0" w:header="0"/>
          <w:type w:val="continuous"/>
        </w:sectPr>
      </w:pPr>
    </w:p>
    <w:p>
      <w:pPr>
        <w:ind w:left="624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9"/>
          <w:szCs w:val="19"/>
          <w:color w:val="auto"/>
        </w:rPr>
        <w:t>its general partner</w:t>
      </w:r>
    </w:p>
    <w:p>
      <w:pPr>
        <w:sectPr>
          <w:pgSz w:w="11900" w:h="16838" w:orient="portrait"/>
          <w:cols w:equalWidth="0" w:num="1">
            <w:col w:w="10420"/>
          </w:cols>
          <w:pgMar w:left="740" w:top="114" w:right="739" w:bottom="1440" w:gutter="0" w:footer="0" w:header="0"/>
          <w:type w:val="continuous"/>
        </w:sectPr>
      </w:pPr>
    </w:p>
    <w:p>
      <w:pPr>
        <w:spacing w:after="0" w:line="20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9"/>
          <w:szCs w:val="19"/>
          <w:color w:val="auto"/>
        </w:rPr>
        <w:t>By:</w:t>
      </w:r>
    </w:p>
    <w:p>
      <w:pPr>
        <w:spacing w:after="0" w:line="2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w:t>
      </w:r>
    </w:p>
    <w:p>
      <w:pPr>
        <w:spacing w:after="0" w:line="1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Derric DuBourdieu</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Derric DuBourdieu</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Leasing____</w:t>
      </w:r>
    </w:p>
    <w:p>
      <w:pPr>
        <w:spacing w:after="0" w:line="211" w:lineRule="exact"/>
        <w:rPr>
          <w:sz w:val="20"/>
          <w:szCs w:val="20"/>
          <w:color w:val="auto"/>
        </w:rPr>
      </w:pPr>
    </w:p>
    <w:p>
      <w:pPr>
        <w:sectPr>
          <w:pgSz w:w="11900" w:h="16838" w:orient="portrait"/>
          <w:cols w:equalWidth="0" w:num="2">
            <w:col w:w="6740" w:space="140"/>
            <w:col w:w="3540"/>
          </w:cols>
          <w:pgMar w:left="740" w:top="114" w:right="7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TENANT:</w:t>
      </w: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IOVANCE BIOTHERAPEUTICS, INC., a Delaware corporation</w:t>
      </w:r>
    </w:p>
    <w:p>
      <w:pPr>
        <w:spacing w:after="0" w:line="235" w:lineRule="exact"/>
        <w:rPr>
          <w:sz w:val="20"/>
          <w:szCs w:val="20"/>
          <w:color w:val="auto"/>
        </w:rPr>
      </w:pPr>
    </w:p>
    <w:p>
      <w:pPr>
        <w:ind w:left="4980"/>
        <w:spacing w:after="0"/>
        <w:tabs>
          <w:tab w:leader="none" w:pos="56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Maria Fardis</w:t>
      </w:r>
    </w:p>
    <w:p>
      <w:pPr>
        <w:spacing w:after="0" w:line="2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Name:  Maria Fardis, Ph.D., M.B.A.</w:t>
      </w:r>
    </w:p>
    <w:p>
      <w:pPr>
        <w:spacing w:after="0" w:line="2" w:lineRule="exact"/>
        <w:rPr>
          <w:sz w:val="20"/>
          <w:szCs w:val="20"/>
          <w:color w:val="auto"/>
        </w:rPr>
      </w:pPr>
    </w:p>
    <w:p>
      <w:pPr>
        <w:ind w:left="4980"/>
        <w:spacing w:after="0"/>
        <w:tabs>
          <w:tab w:leader="none" w:pos="5620" w:val="left"/>
        </w:tabs>
        <w:rPr>
          <w:sz w:val="20"/>
          <w:szCs w:val="20"/>
          <w:color w:val="auto"/>
        </w:rPr>
      </w:pPr>
      <w:r>
        <w:rPr>
          <w:rFonts w:ascii="Times New Roman" w:cs="Times New Roman" w:eastAsia="Times New Roman" w:hAnsi="Times New Roman"/>
          <w:sz w:val="19"/>
          <w:szCs w:val="19"/>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61098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610985" cy="24765"/>
                    </a:xfrm>
                    <a:prstGeom prst="rect">
                      <a:avLst/>
                    </a:prstGeom>
                    <a:noFill/>
                  </pic:spPr>
                </pic:pic>
              </a:graphicData>
            </a:graphic>
          </wp:anchor>
        </w:drawing>
      </w:r>
    </w:p>
    <w:p>
      <w:pPr>
        <w:sectPr>
          <w:pgSz w:w="11900" w:h="16838" w:orient="portrait"/>
          <w:cols w:equalWidth="0" w:num="1">
            <w:col w:w="10420"/>
          </w:cols>
          <w:pgMar w:left="740" w:top="114" w:right="739" w:bottom="1440" w:gutter="0" w:footer="0" w:header="0"/>
          <w:type w:val="continuous"/>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OUTLINE AND LOCATION OF 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163830</wp:posOffset>
            </wp:positionV>
            <wp:extent cx="5114290" cy="2507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114290" cy="250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340995</wp:posOffset>
            </wp:positionV>
            <wp:extent cx="6610985"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6109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WORK LETTER</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340995</wp:posOffset>
            </wp:positionV>
            <wp:extent cx="661098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610985" cy="2476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LEASE TERM DATES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 20__</w:t>
      </w:r>
    </w:p>
    <w:p>
      <w:pPr>
        <w:sectPr>
          <w:pgSz w:w="11900" w:h="16838" w:orient="portrait"/>
          <w:cols w:equalWidth="0" w:num="1">
            <w:col w:w="10420"/>
          </w:cols>
          <w:pgMar w:left="740" w:top="335" w:right="739" w:bottom="1440" w:gutter="0" w:footer="0" w:header="0"/>
        </w:sectPr>
      </w:pP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w:t>
      </w:r>
    </w:p>
    <w:p>
      <w:pPr>
        <w:spacing w:after="0" w:line="185" w:lineRule="exact"/>
        <w:rPr>
          <w:sz w:val="20"/>
          <w:szCs w:val="20"/>
          <w:color w:val="auto"/>
        </w:rPr>
      </w:pPr>
    </w:p>
    <w:p>
      <w:pPr>
        <w:sectPr>
          <w:pgSz w:w="11900" w:h="16838" w:orient="portrait"/>
          <w:cols w:equalWidth="0" w:num="2">
            <w:col w:w="260" w:space="360"/>
            <w:col w:w="9800"/>
          </w:cols>
          <w:pgMar w:left="740" w:top="335" w:right="7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First Amendment (the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dated ______________, 2019, to a lease agreement dated October 19, 2018, between</w:t>
      </w:r>
    </w:p>
    <w:p>
      <w:pPr>
        <w:spacing w:after="0" w:line="33" w:lineRule="exact"/>
        <w:rPr>
          <w:sz w:val="20"/>
          <w:szCs w:val="20"/>
          <w:color w:val="auto"/>
        </w:rPr>
      </w:pPr>
    </w:p>
    <w:p>
      <w:pPr>
        <w:sectPr>
          <w:pgSz w:w="11900" w:h="16838" w:orient="portrait"/>
          <w:cols w:equalWidth="0" w:num="2">
            <w:col w:w="280" w:space="460"/>
            <w:col w:w="9680"/>
          </w:cols>
          <w:pgMar w:left="740" w:top="335" w:right="739" w:bottom="1440" w:gutter="0" w:footer="0" w:header="0"/>
          <w:type w:val="continuous"/>
        </w:sectPr>
      </w:pPr>
    </w:p>
    <w:p>
      <w:pPr>
        <w:jc w:val="both"/>
        <w:ind w:left="620"/>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HUDSON SKYWAY LANDING, LLC, a Delaware limited liability company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Landlord</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color w:val="auto"/>
        </w:rPr>
        <w:t xml:space="preserve"> IOVANCE BIOTHERAPEUTICS, INC., a Delaware corporation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Tenant</w:t>
      </w:r>
      <w:r>
        <w:rPr>
          <w:rFonts w:ascii="Times New Roman" w:cs="Times New Roman" w:eastAsia="Times New Roman" w:hAnsi="Times New Roman"/>
          <w:sz w:val="19"/>
          <w:szCs w:val="19"/>
          <w:color w:val="auto"/>
        </w:rPr>
        <w:t>”), concerning Suite 100 on the first floor of the building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located at 999 Skyway Landing, San Carlos, California (the “</w:t>
      </w:r>
      <w:r>
        <w:rPr>
          <w:rFonts w:ascii="Times New Roman" w:cs="Times New Roman" w:eastAsia="Times New Roman" w:hAnsi="Times New Roman"/>
          <w:sz w:val="19"/>
          <w:szCs w:val="19"/>
          <w:b w:val="1"/>
          <w:bCs w:val="1"/>
          <w:color w:val="auto"/>
        </w:rPr>
        <w:t>Expansion Space</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_________________:</w:t>
      </w:r>
    </w:p>
    <w:p>
      <w:pPr>
        <w:spacing w:after="0" w:line="209" w:lineRule="exact"/>
        <w:rPr>
          <w:sz w:val="20"/>
          <w:szCs w:val="20"/>
          <w:color w:val="auto"/>
        </w:rPr>
      </w:pPr>
    </w:p>
    <w:p>
      <w:pPr>
        <w:jc w:val="both"/>
        <w:ind w:right="20" w:firstLine="622"/>
        <w:spacing w:after="0" w:line="275" w:lineRule="auto"/>
        <w:rPr>
          <w:sz w:val="20"/>
          <w:szCs w:val="20"/>
          <w:color w:val="auto"/>
        </w:rPr>
      </w:pPr>
      <w:r>
        <w:rPr>
          <w:rFonts w:ascii="Times New Roman" w:cs="Times New Roman" w:eastAsia="Times New Roman" w:hAnsi="Times New Roman"/>
          <w:sz w:val="19"/>
          <w:szCs w:val="19"/>
          <w:color w:val="auto"/>
        </w:rPr>
        <w:t>In accordance with the Amendment, Tenant accepts possession of the Expansion Space and confirms that the Expansion Effective Date is _____________, 20___.</w:t>
      </w:r>
    </w:p>
    <w:p>
      <w:pPr>
        <w:spacing w:after="0" w:line="147"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9"/>
          <w:szCs w:val="19"/>
          <w:color w:val="auto"/>
        </w:rPr>
        <w:t xml:space="preserve">Please acknowledge the foregoing by signing all three (3) counterparts of this letter in the space provided below and returning two (2) fully executed counterparts to my attention. Please note that, under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of the Amendment, Tenant is required to execute and return (or reasonably object in writing to) this letter within five (5) days after receiving it.</w:t>
      </w:r>
    </w:p>
    <w:p>
      <w:pPr>
        <w:spacing w:after="0" w:line="17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“Landlord”:</w:t>
      </w:r>
    </w:p>
    <w:p>
      <w:pPr>
        <w:spacing w:after="0" w:line="222" w:lineRule="exact"/>
        <w:rPr>
          <w:sz w:val="20"/>
          <w:szCs w:val="20"/>
          <w:color w:val="auto"/>
        </w:rPr>
      </w:pPr>
    </w:p>
    <w:p>
      <w:pPr>
        <w:ind w:left="4760" w:right="260"/>
        <w:spacing w:after="0" w:line="277" w:lineRule="auto"/>
        <w:rPr>
          <w:sz w:val="20"/>
          <w:szCs w:val="20"/>
          <w:color w:val="auto"/>
        </w:rPr>
      </w:pPr>
      <w:r>
        <w:rPr>
          <w:rFonts w:ascii="Times New Roman" w:cs="Times New Roman" w:eastAsia="Times New Roman" w:hAnsi="Times New Roman"/>
          <w:sz w:val="19"/>
          <w:szCs w:val="19"/>
          <w:b w:val="1"/>
          <w:bCs w:val="1"/>
          <w:color w:val="auto"/>
        </w:rPr>
        <w:t>HUDSON SKYWAY LANDING, LLC, a Delaware limited liability company</w:t>
      </w:r>
    </w:p>
    <w:p>
      <w:pPr>
        <w:sectPr>
          <w:pgSz w:w="11900" w:h="16838" w:orient="portrait"/>
          <w:cols w:equalWidth="0" w:num="1">
            <w:col w:w="10420"/>
          </w:cols>
          <w:pgMar w:left="740" w:top="335" w:right="739" w:bottom="1440" w:gutter="0" w:footer="0" w:header="0"/>
          <w:type w:val="continuous"/>
        </w:sectPr>
      </w:pPr>
    </w:p>
    <w:p>
      <w:pPr>
        <w:spacing w:after="0" w:line="1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Hudson Pacific Properties, L.P.,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Maryland limited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ectPr>
          <w:pgSz w:w="11900" w:h="16838" w:orient="portrait"/>
          <w:cols w:equalWidth="0" w:num="2">
            <w:col w:w="5040" w:space="340"/>
            <w:col w:w="5040"/>
          </w:cols>
          <w:pgMar w:left="740" w:top="335" w:right="739" w:bottom="1440" w:gutter="0" w:footer="0" w:header="0"/>
          <w:type w:val="continuous"/>
        </w:sectPr>
      </w:pPr>
    </w:p>
    <w:p>
      <w:pPr>
        <w:ind w:left="5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Hudson Pacific Properties, Inc.,</w:t>
      </w:r>
    </w:p>
    <w:p>
      <w:pPr>
        <w:spacing w:after="0" w:line="31" w:lineRule="exact"/>
        <w:rPr>
          <w:sz w:val="20"/>
          <w:szCs w:val="20"/>
          <w:color w:val="auto"/>
        </w:rPr>
      </w:pPr>
    </w:p>
    <w:p>
      <w:pPr>
        <w:sectPr>
          <w:pgSz w:w="11900" w:h="16838" w:orient="portrait"/>
          <w:cols w:equalWidth="0" w:num="2">
            <w:col w:w="5660" w:space="180"/>
            <w:col w:w="4580"/>
          </w:cols>
          <w:pgMar w:left="740" w:top="335" w:right="73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20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9"/>
          <w:szCs w:val="19"/>
          <w:color w:val="auto"/>
        </w:rPr>
        <w:t>By:</w:t>
      </w:r>
    </w:p>
    <w:p>
      <w:pPr>
        <w:spacing w:after="0" w:line="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-137795</wp:posOffset>
            </wp:positionV>
            <wp:extent cx="24993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13335</wp:posOffset>
            </wp:positionV>
            <wp:extent cx="24993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499360" cy="8255"/>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-133985</wp:posOffset>
            </wp:positionV>
            <wp:extent cx="24993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Agreed and Accepted as</w:t>
      </w: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line="206" w:lineRule="exact"/>
              <w:rPr>
                <w:sz w:val="20"/>
                <w:szCs w:val="20"/>
                <w:color w:val="auto"/>
              </w:rPr>
            </w:pPr>
            <w:r>
              <w:rPr>
                <w:rFonts w:ascii="Times New Roman" w:cs="Times New Roman" w:eastAsia="Times New Roman" w:hAnsi="Times New Roman"/>
                <w:sz w:val="19"/>
                <w:szCs w:val="19"/>
                <w:color w:val="auto"/>
              </w:rPr>
              <w:t>of</w:t>
            </w:r>
          </w:p>
        </w:tc>
        <w:tc>
          <w:tcPr>
            <w:tcW w:w="1140" w:type="dxa"/>
            <w:vAlign w:val="bottom"/>
            <w:gridSpan w:val="4"/>
          </w:tcPr>
          <w:p>
            <w:pPr>
              <w:jc w:val="right"/>
              <w:spacing w:after="0" w:line="206" w:lineRule="exact"/>
              <w:rPr>
                <w:sz w:val="20"/>
                <w:szCs w:val="20"/>
                <w:color w:val="auto"/>
              </w:rPr>
            </w:pPr>
            <w:r>
              <w:rPr>
                <w:rFonts w:ascii="Times New Roman" w:cs="Times New Roman" w:eastAsia="Times New Roman" w:hAnsi="Times New Roman"/>
                <w:sz w:val="19"/>
                <w:szCs w:val="19"/>
                <w:color w:val="auto"/>
              </w:rPr>
              <w:t>, 20  .</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“Tenant”:</w:t>
      </w:r>
    </w:p>
    <w:p>
      <w:pPr>
        <w:spacing w:after="0" w:line="209" w:lineRule="exact"/>
        <w:rPr>
          <w:sz w:val="20"/>
          <w:szCs w:val="20"/>
          <w:color w:val="auto"/>
        </w:rPr>
      </w:pPr>
    </w:p>
    <w:p>
      <w:pPr>
        <w:spacing w:after="0"/>
        <w:tabs>
          <w:tab w:leader="none" w:pos="1040" w:val="left"/>
          <w:tab w:leader="none" w:pos="3100" w:val="left"/>
          <w:tab w:leader="none" w:pos="3700" w:val="left"/>
          <w:tab w:leader="none" w:pos="3980" w:val="left"/>
        </w:tabs>
        <w:rPr>
          <w:sz w:val="20"/>
          <w:szCs w:val="20"/>
          <w:color w:val="auto"/>
        </w:rPr>
      </w:pPr>
      <w:r>
        <w:rPr>
          <w:rFonts w:ascii="Times New Roman" w:cs="Times New Roman" w:eastAsia="Times New Roman" w:hAnsi="Times New Roman"/>
          <w:sz w:val="19"/>
          <w:szCs w:val="19"/>
          <w:b w:val="1"/>
          <w:bCs w:val="1"/>
          <w:color w:val="auto"/>
        </w:rPr>
        <w:t>IOVANCE</w:t>
        <w:tab/>
        <w:t>BIOTHERAPEUTICS,</w:t>
        <w:tab/>
        <w:t>INC.,</w:t>
        <w:tab/>
        <w:t>a</w:t>
      </w:r>
      <w:r>
        <w:rPr>
          <w:sz w:val="20"/>
          <w:szCs w:val="20"/>
          <w:color w:val="auto"/>
        </w:rPr>
        <w:tab/>
      </w:r>
      <w:r>
        <w:rPr>
          <w:rFonts w:ascii="Times New Roman" w:cs="Times New Roman" w:eastAsia="Times New Roman" w:hAnsi="Times New Roman"/>
          <w:sz w:val="18"/>
          <w:szCs w:val="18"/>
          <w:b w:val="1"/>
          <w:bCs w:val="1"/>
          <w:color w:val="auto"/>
        </w:rPr>
        <w:t>Delaware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-137795</wp:posOffset>
            </wp:positionV>
            <wp:extent cx="26396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13335</wp:posOffset>
            </wp:positionV>
            <wp:extent cx="2639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63969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-133985</wp:posOffset>
            </wp:positionV>
            <wp:extent cx="26396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6396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745490</wp:posOffset>
            </wp:positionV>
            <wp:extent cx="661098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610985" cy="24765"/>
                    </a:xfrm>
                    <a:prstGeom prst="rect">
                      <a:avLst/>
                    </a:prstGeom>
                    <a:noFill/>
                  </pic:spPr>
                </pic:pic>
              </a:graphicData>
            </a:graphic>
          </wp:anchor>
        </w:drawing>
      </w:r>
    </w:p>
    <w:p>
      <w:pPr>
        <w:sectPr>
          <w:pgSz w:w="11900" w:h="16838" w:orient="portrait"/>
          <w:cols w:equalWidth="0" w:num="1">
            <w:col w:w="10420"/>
          </w:cols>
          <w:pgMar w:left="740" w:top="335" w:right="7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19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0"/>
          <w:szCs w:val="20"/>
          <w:b w:val="1"/>
          <w:bCs w:val="1"/>
          <w:color w:val="auto"/>
        </w:rPr>
        <w:t>FIRST AMENDMENT TO LEASE AGREEMENT</w:t>
      </w:r>
    </w:p>
    <w:p>
      <w:pPr>
        <w:sectPr>
          <w:pgSz w:w="11900" w:h="16838" w:orient="portrait"/>
          <w:cols w:equalWidth="0" w:num="1">
            <w:col w:w="10085"/>
          </w:cols>
          <w:pgMar w:left="915" w:top="110" w:right="899" w:bottom="1440" w:gutter="0" w:footer="0" w:header="0"/>
        </w:sectPr>
      </w:pPr>
    </w:p>
    <w:p>
      <w:pPr>
        <w:spacing w:after="0" w:line="210" w:lineRule="exact"/>
        <w:rPr>
          <w:sz w:val="20"/>
          <w:szCs w:val="20"/>
          <w:color w:val="auto"/>
        </w:rPr>
      </w:pPr>
    </w:p>
    <w:p>
      <w:pPr>
        <w:ind w:left="5" w:firstLine="621"/>
        <w:spacing w:after="0" w:line="265"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 TO LEASE AGREEMENT</w:t>
      </w:r>
      <w:r>
        <w:rPr>
          <w:rFonts w:ascii="Times New Roman" w:cs="Times New Roman" w:eastAsia="Times New Roman" w:hAnsi="Times New Roman"/>
          <w:sz w:val="20"/>
          <w:szCs w:val="20"/>
          <w:color w:val="auto"/>
        </w:rPr>
        <w:t xml:space="preserve"> between 300 Rouse Boulevard, LLC, a Delaware limited </w:t>
      </w:r>
      <w:r>
        <w:rPr>
          <w:rFonts w:ascii="Times New Roman" w:cs="Times New Roman" w:eastAsia="Times New Roman" w:hAnsi="Times New Roman"/>
          <w:sz w:val="20"/>
          <w:szCs w:val="20"/>
          <w:b w:val="1"/>
          <w:bCs w:val="1"/>
          <w:color w:val="auto"/>
        </w:rPr>
        <w:t>BIOTHERAPEUTICS,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0" w:firstLine="70"/>
        <w:spacing w:after="0" w:line="260" w:lineRule="auto"/>
        <w:rPr>
          <w:sz w:val="20"/>
          <w:szCs w:val="20"/>
          <w:color w:val="auto"/>
        </w:rPr>
      </w:pPr>
      <w:r>
        <w:rPr>
          <w:rFonts w:ascii="Times New Roman" w:cs="Times New Roman" w:eastAsia="Times New Roman" w:hAnsi="Times New Roman"/>
          <w:sz w:val="21"/>
          <w:szCs w:val="21"/>
          <w:color w:val="auto"/>
        </w:rPr>
        <w:t>is dated as of the 20</w:t>
      </w:r>
      <w:r>
        <w:rPr>
          <w:rFonts w:ascii="Times New Roman" w:cs="Times New Roman" w:eastAsia="Times New Roman" w:hAnsi="Times New Roman"/>
          <w:sz w:val="10"/>
          <w:szCs w:val="10"/>
          <w:color w:val="auto"/>
        </w:rPr>
        <w:t>th</w:t>
      </w:r>
      <w:r>
        <w:rPr>
          <w:rFonts w:ascii="Times New Roman" w:cs="Times New Roman" w:eastAsia="Times New Roman" w:hAnsi="Times New Roman"/>
          <w:sz w:val="21"/>
          <w:szCs w:val="21"/>
          <w:color w:val="auto"/>
        </w:rPr>
        <w:t xml:space="preserve"> day of August, 2019, by and liability company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IOVANCE</w:t>
      </w:r>
    </w:p>
    <w:p>
      <w:pPr>
        <w:spacing w:after="0" w:line="381" w:lineRule="exact"/>
        <w:rPr>
          <w:sz w:val="20"/>
          <w:szCs w:val="20"/>
          <w:color w:val="auto"/>
        </w:rPr>
      </w:pPr>
    </w:p>
    <w:p>
      <w:pPr>
        <w:sectPr>
          <w:pgSz w:w="11900" w:h="16838" w:orient="portrait"/>
          <w:cols w:equalWidth="0" w:num="2">
            <w:col w:w="5665" w:space="20"/>
            <w:col w:w="4400"/>
          </w:cols>
          <w:pgMar w:left="915" w:top="110" w:right="899" w:bottom="1440" w:gutter="0" w:footer="0" w:header="0"/>
          <w:type w:val="continuous"/>
        </w:sectPr>
      </w:pPr>
    </w:p>
    <w:p>
      <w:pPr>
        <w:jc w:val="both"/>
        <w:ind w:left="5" w:firstLine="621"/>
        <w:spacing w:after="0" w:line="24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Landlord and Tenant are parties to that certain Lease Agreement dated May 28, 2019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respecting certain premises located at 300 Rouse Boulevard, Philadelphia, Pennsylvania, as more particularly described in the Lease; and</w:t>
      </w:r>
    </w:p>
    <w:p>
      <w:pPr>
        <w:spacing w:after="0" w:line="161"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Landlord and Tenant now desire to amend the Lease as more particularly set forth below.</w:t>
      </w:r>
    </w:p>
    <w:p>
      <w:pPr>
        <w:spacing w:after="0" w:line="199" w:lineRule="exact"/>
        <w:rPr>
          <w:sz w:val="20"/>
          <w:szCs w:val="20"/>
          <w:color w:val="auto"/>
        </w:rPr>
      </w:pPr>
    </w:p>
    <w:p>
      <w:pPr>
        <w:jc w:val="both"/>
        <w:ind w:left="5" w:right="20" w:firstLine="621"/>
        <w:spacing w:after="0" w:line="26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good and valuable consideration, the receipt and sufficiency of which are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acknowledged, and intending to be legally bound, the parties hereby amend the Lease as follows:</w:t>
      </w:r>
    </w:p>
    <w:p>
      <w:pPr>
        <w:spacing w:after="0" w:line="148" w:lineRule="exact"/>
        <w:rPr>
          <w:sz w:val="20"/>
          <w:szCs w:val="20"/>
          <w:color w:val="auto"/>
        </w:rPr>
      </w:pPr>
    </w:p>
    <w:p>
      <w:pPr>
        <w:ind w:left="625" w:right="20" w:hanging="625"/>
        <w:spacing w:after="0" w:line="260" w:lineRule="auto"/>
        <w:tabs>
          <w:tab w:leader="none" w:pos="70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to Key Man Provision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of the Lease is hereby deleted and replaced in its entirety with the following:</w:t>
      </w:r>
    </w:p>
    <w:p>
      <w:pPr>
        <w:spacing w:after="0" w:line="148" w:lineRule="exact"/>
        <w:rPr>
          <w:sz w:val="20"/>
          <w:szCs w:val="20"/>
          <w:color w:val="auto"/>
        </w:rPr>
      </w:pPr>
    </w:p>
    <w:p>
      <w:pPr>
        <w:jc w:val="both"/>
        <w:ind w:left="925"/>
        <w:spacing w:after="0" w:line="236"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b w:val="1"/>
          <w:bCs w:val="1"/>
          <w:u w:val="single" w:color="auto"/>
          <w:color w:val="auto"/>
        </w:rPr>
        <w:t>Key Man Provision</w:t>
      </w:r>
      <w:r>
        <w:rPr>
          <w:rFonts w:ascii="Times New Roman" w:cs="Times New Roman" w:eastAsia="Times New Roman" w:hAnsi="Times New Roman"/>
          <w:sz w:val="21"/>
          <w:szCs w:val="21"/>
          <w:color w:val="auto"/>
        </w:rPr>
        <w:t>. Landlord acknowledges that GDP 300 Rouse Boulevard Manager, LLC (“GDP”) holds an indirect ownership interest in Landlord and serves as the indirect managing member of Landlord, and that John S. Gattuso (“</w:t>
      </w:r>
      <w:r>
        <w:rPr>
          <w:rFonts w:ascii="Times New Roman" w:cs="Times New Roman" w:eastAsia="Times New Roman" w:hAnsi="Times New Roman"/>
          <w:sz w:val="21"/>
          <w:szCs w:val="21"/>
          <w:u w:val="single" w:color="auto"/>
          <w:color w:val="auto"/>
        </w:rPr>
        <w:t>Gattuso</w:t>
      </w:r>
      <w:r>
        <w:rPr>
          <w:rFonts w:ascii="Times New Roman" w:cs="Times New Roman" w:eastAsia="Times New Roman" w:hAnsi="Times New Roman"/>
          <w:sz w:val="21"/>
          <w:szCs w:val="21"/>
          <w:color w:val="auto"/>
        </w:rPr>
        <w:t>”) is a principal in GDP. Landlord agrees that for a period of not less than eighteen (18) months after the Commencement Date (i) GDP shall continue to hold an indirect ownership interest in Landlord, (ii) Gattuso shall continue to be a principal in GDP, and (iii) GDP shall continue to be the indirect managing member of Landlord. The forgoing provisions shall be subject to (and not apply in the event of) the death or incapacity of Gattuso, or the removal of GDP as the indirect managing member of Landlord for cause.”</w:t>
      </w:r>
    </w:p>
    <w:p>
      <w:pPr>
        <w:spacing w:after="0" w:line="174" w:lineRule="exact"/>
        <w:rPr>
          <w:sz w:val="20"/>
          <w:szCs w:val="20"/>
          <w:color w:val="auto"/>
        </w:rPr>
      </w:pPr>
    </w:p>
    <w:p>
      <w:pPr>
        <w:ind w:left="625" w:right="20" w:hanging="625"/>
        <w:spacing w:after="0" w:line="260" w:lineRule="auto"/>
        <w:tabs>
          <w:tab w:leader="none" w:pos="70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Additional Rent</w:t>
      </w:r>
      <w:r>
        <w:rPr>
          <w:rFonts w:ascii="Times New Roman" w:cs="Times New Roman" w:eastAsia="Times New Roman" w:hAnsi="Times New Roman"/>
          <w:sz w:val="21"/>
          <w:szCs w:val="21"/>
          <w:color w:val="auto"/>
        </w:rPr>
        <w:t>. As used in the Lease, the term “Additional Rent” means all amounts payable by Tenant to Landlord under the Lease, other than Minimum Annual Rent.</w:t>
      </w:r>
    </w:p>
    <w:p>
      <w:pPr>
        <w:spacing w:after="0" w:line="150" w:lineRule="exact"/>
        <w:rPr>
          <w:rFonts w:ascii="Times New Roman" w:cs="Times New Roman" w:eastAsia="Times New Roman" w:hAnsi="Times New Roman"/>
          <w:sz w:val="21"/>
          <w:szCs w:val="21"/>
          <w:color w:val="auto"/>
        </w:rPr>
      </w:pPr>
    </w:p>
    <w:p>
      <w:pPr>
        <w:ind w:left="625" w:hanging="625"/>
        <w:spacing w:after="0"/>
        <w:tabs>
          <w:tab w:leader="none" w:pos="62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to Section 33</w:t>
      </w:r>
      <w:r>
        <w:rPr>
          <w:rFonts w:ascii="Times New Roman" w:cs="Times New Roman" w:eastAsia="Times New Roman" w:hAnsi="Times New Roman"/>
          <w:sz w:val="21"/>
          <w:szCs w:val="21"/>
          <w:color w:val="auto"/>
        </w:rPr>
        <w:t xml:space="preserve">. The following sentence is added to the end of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the Lease:</w:t>
      </w:r>
    </w:p>
    <w:p>
      <w:pPr>
        <w:spacing w:after="0" w:line="199" w:lineRule="exact"/>
        <w:rPr>
          <w:sz w:val="20"/>
          <w:szCs w:val="20"/>
          <w:color w:val="auto"/>
        </w:rPr>
      </w:pPr>
    </w:p>
    <w:p>
      <w:pPr>
        <w:jc w:val="both"/>
        <w:ind w:left="925"/>
        <w:spacing w:after="0" w:line="241" w:lineRule="auto"/>
        <w:rPr>
          <w:sz w:val="20"/>
          <w:szCs w:val="20"/>
          <w:color w:val="auto"/>
        </w:rPr>
      </w:pPr>
      <w:r>
        <w:rPr>
          <w:rFonts w:ascii="Times New Roman" w:cs="Times New Roman" w:eastAsia="Times New Roman" w:hAnsi="Times New Roman"/>
          <w:sz w:val="21"/>
          <w:szCs w:val="21"/>
          <w:color w:val="auto"/>
        </w:rPr>
        <w:t>“Landlord shall work cooperatively with Tenant to assist Tenant in making such filings and taking such other actions as may be necessary for Tenant to take full advantage, to the extent provided by Law, of the Keystone Opportunity Improvement Zone. Tenant agrees to reimburse Landlord for Landlord’s reasonable and actual pre-approved third party expenses incurred by Landlord in providing such assistance.”</w:t>
      </w:r>
    </w:p>
    <w:p>
      <w:pPr>
        <w:spacing w:after="0" w:line="170" w:lineRule="exact"/>
        <w:rPr>
          <w:sz w:val="20"/>
          <w:szCs w:val="20"/>
          <w:color w:val="auto"/>
        </w:rPr>
      </w:pPr>
    </w:p>
    <w:p>
      <w:pPr>
        <w:ind w:left="625" w:right="20" w:hanging="625"/>
        <w:spacing w:after="0" w:line="260" w:lineRule="auto"/>
        <w:tabs>
          <w:tab w:leader="none" w:pos="75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Confirmation of Lease Term</w:t>
      </w:r>
      <w:r>
        <w:rPr>
          <w:rFonts w:ascii="Times New Roman" w:cs="Times New Roman" w:eastAsia="Times New Roman" w:hAnsi="Times New Roman"/>
          <w:sz w:val="21"/>
          <w:szCs w:val="21"/>
          <w:color w:val="auto"/>
        </w:rPr>
        <w:t>. On or after the Commencement Date, Tenant agrees, upon the written notice of Landlord in conformity with the notice requirements of the Lease,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309880</wp:posOffset>
            </wp:positionV>
            <wp:extent cx="6396990"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5"/>
          </w:cols>
          <w:pgMar w:left="915" w:top="110" w:right="899" w:bottom="1440" w:gutter="0" w:footer="0" w:header="0"/>
          <w:type w:val="continuous"/>
        </w:sectPr>
      </w:pPr>
    </w:p>
    <w:bookmarkStart w:id="93" w:name="page94"/>
    <w:bookmarkEnd w:id="93"/>
    <w:p>
      <w:pPr>
        <w:jc w:val="both"/>
        <w:ind w:left="625" w:right="20"/>
        <w:spacing w:after="0" w:line="241" w:lineRule="auto"/>
        <w:rPr>
          <w:sz w:val="20"/>
          <w:szCs w:val="20"/>
          <w:color w:val="auto"/>
        </w:rPr>
      </w:pPr>
      <w:r>
        <w:rPr>
          <w:rFonts w:ascii="Times New Roman" w:cs="Times New Roman" w:eastAsia="Times New Roman" w:hAnsi="Times New Roman"/>
          <w:sz w:val="21"/>
          <w:szCs w:val="21"/>
          <w:color w:val="auto"/>
        </w:rPr>
        <w:t>confirm in writing the Commencement Date, the Expiration Date, that Tenant has taken possession of the Premises (subject, if applicable, to any ongoing Tenant’s Work), and such other matters directly related thereto as Landlord may reasonably request, provided that such written confirmation shall not in any way be deemed to alter, waive or amend Tenant’s rights or remedies under the Lease.</w:t>
      </w:r>
    </w:p>
    <w:p>
      <w:pPr>
        <w:spacing w:after="0" w:line="170" w:lineRule="exact"/>
        <w:rPr>
          <w:sz w:val="20"/>
          <w:szCs w:val="20"/>
          <w:color w:val="auto"/>
        </w:rPr>
      </w:pPr>
    </w:p>
    <w:p>
      <w:pPr>
        <w:jc w:val="both"/>
        <w:ind w:left="625" w:hanging="625"/>
        <w:spacing w:after="0" w:line="246" w:lineRule="auto"/>
        <w:tabs>
          <w:tab w:leader="none" w:pos="66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Ratification of Certain Remedies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 Lease provides, under certain circumstances, for the remedy of confession of judgment against the Tenant for ejectment. In order to confirm and ratify such remedy, Tenant restates the same in its entirety as follows:</w:t>
      </w:r>
    </w:p>
    <w:p>
      <w:pPr>
        <w:spacing w:after="0" w:line="161" w:lineRule="exact"/>
        <w:rPr>
          <w:rFonts w:ascii="Times New Roman" w:cs="Times New Roman" w:eastAsia="Times New Roman" w:hAnsi="Times New Roman"/>
          <w:sz w:val="21"/>
          <w:szCs w:val="21"/>
          <w:color w:val="auto"/>
        </w:rPr>
      </w:pPr>
    </w:p>
    <w:p>
      <w:pPr>
        <w:jc w:val="both"/>
        <w:ind w:left="925" w:firstLine="8"/>
        <w:spacing w:after="0" w:line="246" w:lineRule="auto"/>
        <w:tabs>
          <w:tab w:leader="none" w:pos="1266" w:val="left"/>
        </w:tabs>
        <w:numPr>
          <w:ilvl w:val="1"/>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THIS LEASE AND THE TERM OR ANY EXTENSION THEREOF SHALL HAVE BEEN TERMINATED ON ACCOUNT OF ANY DEFAULT BY TENANT, OR WHEN THE TERM OR ANY EXTENSION THEREOF SHALL HAVE EXPIRED, TENANT HEREBY AUTHORIZES ANY ATTORNEY OF ANY COURT OF RECORD OF THE COMMONWEALTH OF PENNSYLVANIA TO APPEAR FOR TENANT AND FOR ANYONE CLAIMING BY, THROUGH OR UNDER TENANT AND TO CONFESS JUDGMENT AGAINST ALL SUCH PARTIES, AND IN FAVOR OF LANDLORD, IN EJECTMENT AND FOR THE RECOVERY OF POSSESSION OF THE PREMISES, FOR WHICH THIS LEASE OR A TRUE AND CORRECT COPY HEREOF SHALL BE GOOD AND SUFFICIENT WARRANT. AFTER THE ENTRY OF ANY SUCH JUDGMENT A WRIT OF POSSESSION MAY BE ISSUED THEREON WITHOUT FURTHER NOTICE TO TENANT AND WITHOUT A HEARING. IF FOR ANY REASON AFTER SUCH ACTION SHALL HAVE BEEN COMMENCED IT SHALL BE DETERMINED AND POSSESSION OF THE PREMISES REMAIN IN OR BE RESTORED TO TENANT, LANDLORD SHALL HAVE THE RIGHT FOR THE SAME DEFAULT AND UPON ANY SUBSEQUENT DEFAULT(S) OR UPON THE TERMINATION OF THIS LEASE OR TENANT'S RIGHT OF POSSESSION AS HEREIN SET FORTH, TO AGAIN CONFESS JUDGMENT AS HEREIN PROVIDED, FOR WHICH THIS LEASE OR A TRUE AND CORRECT COPY HEREOF SHALL BE GOOD AND SUFFICIENT WARRANT.</w:t>
      </w:r>
    </w:p>
    <w:p>
      <w:pPr>
        <w:spacing w:after="0" w:line="162" w:lineRule="exact"/>
        <w:rPr>
          <w:sz w:val="20"/>
          <w:szCs w:val="20"/>
          <w:color w:val="auto"/>
        </w:rPr>
      </w:pPr>
    </w:p>
    <w:p>
      <w:pPr>
        <w:ind w:left="7165"/>
        <w:spacing w:after="0"/>
        <w:rPr>
          <w:sz w:val="20"/>
          <w:szCs w:val="20"/>
          <w:color w:val="auto"/>
        </w:rPr>
      </w:pPr>
      <w:r>
        <w:rPr>
          <w:rFonts w:ascii="Times New Roman" w:cs="Times New Roman" w:eastAsia="Times New Roman" w:hAnsi="Times New Roman"/>
          <w:sz w:val="20"/>
          <w:szCs w:val="20"/>
          <w:b w:val="1"/>
          <w:bCs w:val="1"/>
          <w:color w:val="auto"/>
        </w:rPr>
        <w:t xml:space="preserve">Initials on behalf of Tenant: </w:t>
      </w:r>
      <w:r>
        <w:rPr>
          <w:rFonts w:ascii="Times New Roman" w:cs="Times New Roman" w:eastAsia="Times New Roman" w:hAnsi="Times New Roman"/>
          <w:sz w:val="20"/>
          <w:szCs w:val="20"/>
          <w:b w:val="1"/>
          <w:bCs w:val="1"/>
          <w:u w:val="single" w:color="auto"/>
          <w:color w:val="auto"/>
        </w:rPr>
        <w:t>____</w:t>
      </w:r>
    </w:p>
    <w:p>
      <w:pPr>
        <w:spacing w:after="0" w:line="210" w:lineRule="exact"/>
        <w:rPr>
          <w:sz w:val="20"/>
          <w:szCs w:val="20"/>
          <w:color w:val="auto"/>
        </w:rPr>
      </w:pPr>
    </w:p>
    <w:p>
      <w:pPr>
        <w:jc w:val="both"/>
        <w:ind w:left="925" w:firstLine="8"/>
        <w:spacing w:after="0" w:line="239" w:lineRule="auto"/>
        <w:tabs>
          <w:tab w:leader="none" w:pos="1347"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WARRANT TO CONFESS JUDGMENT SET FORTH ABOVE SHALL CONTINUE IN FULL FORCE AND EFFECT AND BE UNAFFECTED BY AMENDMENTS TO THIS LEASE OR OTHER AGREEMENTS BETWEEN LANDLORD AND TENANT EVEN IF ANY SUCH AMENDMENTS OR OTHER AGREEMENTS INCREASE TENANT'S OBLIGATIONS OR EXPAND THE SIZE OF THE PREMISES.</w:t>
      </w:r>
    </w:p>
    <w:p>
      <w:pPr>
        <w:spacing w:after="0" w:line="38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5"/>
          </w:cols>
          <w:pgMar w:left="915" w:top="319" w:right="899" w:bottom="1440" w:gutter="0" w:footer="0" w:header="0"/>
        </w:sectPr>
      </w:pPr>
    </w:p>
    <w:bookmarkStart w:id="94" w:name="page95"/>
    <w:bookmarkEnd w:id="94"/>
    <w:p>
      <w:pPr>
        <w:jc w:val="both"/>
        <w:ind w:left="925" w:firstLine="8"/>
        <w:spacing w:after="0" w:line="236" w:lineRule="auto"/>
        <w:tabs>
          <w:tab w:leader="none" w:pos="1273"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TENANT EXPRESSLY AND ABSOLUTELY KNOWINGLY WAIVES AND RELEASES (i) ANY RIGHT, INCLUDING, WITHOUT LIMITATION, UNDER ANY APPLICABLE STATUTE, WHICH TENANT MAY HAVE TO RECEIVE A NOTICE TO QUIT PRIOR TO LANDLORD COMMENCING AN ACTION FOR REPOSSESSION OF THE PREMISES AND (ii) ANY RIGHT WHICH TENANT MAY HAVE TO NOTICE AND TO HEARING PRIOR TO A LEVY UPON OR ATTACHMENT OF TENANT'S PROPERTY OR THEREAFTER AND (iii) ANY PROCEDURAL ERRORS IN CONNECTION WITH THE ENTRY OF ANY SUCH JUDGMENT OR IN THE ISSUANCE OF ANY ONE OR MORE WRITS OF POSSESSION OR EXECUTION OR GARNISHMENT THEREON.</w:t>
      </w:r>
    </w:p>
    <w:p>
      <w:pPr>
        <w:spacing w:after="0" w:line="168" w:lineRule="exact"/>
        <w:rPr>
          <w:sz w:val="20"/>
          <w:szCs w:val="20"/>
          <w:color w:val="auto"/>
        </w:rPr>
      </w:pPr>
    </w:p>
    <w:p>
      <w:pPr>
        <w:ind w:left="7205"/>
        <w:spacing w:after="0"/>
        <w:rPr>
          <w:sz w:val="20"/>
          <w:szCs w:val="20"/>
          <w:color w:val="auto"/>
        </w:rPr>
      </w:pPr>
      <w:r>
        <w:rPr>
          <w:rFonts w:ascii="Times New Roman" w:cs="Times New Roman" w:eastAsia="Times New Roman" w:hAnsi="Times New Roman"/>
          <w:sz w:val="20"/>
          <w:szCs w:val="20"/>
          <w:b w:val="1"/>
          <w:bCs w:val="1"/>
          <w:color w:val="auto"/>
        </w:rPr>
        <w:t>Initials on behalf of Tenant:</w:t>
      </w:r>
      <w:r>
        <w:rPr>
          <w:rFonts w:ascii="Times New Roman" w:cs="Times New Roman" w:eastAsia="Times New Roman" w:hAnsi="Times New Roman"/>
          <w:sz w:val="20"/>
          <w:szCs w:val="20"/>
          <w:b w:val="1"/>
          <w:bCs w:val="1"/>
          <w:u w:val="single" w:color="auto"/>
          <w:color w:val="auto"/>
        </w:rPr>
        <w:t>____</w:t>
      </w:r>
    </w:p>
    <w:p>
      <w:pPr>
        <w:spacing w:after="0" w:line="212" w:lineRule="exact"/>
        <w:rPr>
          <w:sz w:val="20"/>
          <w:szCs w:val="20"/>
          <w:color w:val="auto"/>
        </w:rPr>
      </w:pPr>
    </w:p>
    <w:p>
      <w:pPr>
        <w:ind w:left="625" w:hanging="625"/>
        <w:spacing w:after="0"/>
        <w:tabs>
          <w:tab w:leader="none" w:pos="62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98" w:lineRule="exact"/>
        <w:rPr>
          <w:rFonts w:ascii="Times New Roman" w:cs="Times New Roman" w:eastAsia="Times New Roman" w:hAnsi="Times New Roman"/>
          <w:sz w:val="21"/>
          <w:szCs w:val="21"/>
          <w:color w:val="auto"/>
        </w:rPr>
      </w:pPr>
    </w:p>
    <w:p>
      <w:pPr>
        <w:ind w:left="1245" w:right="20" w:hanging="623"/>
        <w:spacing w:after="0" w:line="260" w:lineRule="auto"/>
        <w:tabs>
          <w:tab w:leader="none" w:pos="138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modified herein, the Lease shall continue unmodified and remain in full force and effect in accordance with its terms.</w:t>
      </w:r>
    </w:p>
    <w:p>
      <w:pPr>
        <w:spacing w:after="0" w:line="150" w:lineRule="exact"/>
        <w:rPr>
          <w:rFonts w:ascii="Times New Roman" w:cs="Times New Roman" w:eastAsia="Times New Roman" w:hAnsi="Times New Roman"/>
          <w:sz w:val="21"/>
          <w:szCs w:val="21"/>
          <w:color w:val="auto"/>
        </w:rPr>
      </w:pPr>
    </w:p>
    <w:p>
      <w:pPr>
        <w:ind w:left="1245" w:right="20" w:hanging="623"/>
        <w:spacing w:after="0" w:line="260" w:lineRule="auto"/>
        <w:tabs>
          <w:tab w:leader="none" w:pos="1357"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respective rights and obligations provided in this Amendment shall bind and inure to the benefit of the parties hereto, their permitted successors and assigns under the Lease.</w:t>
      </w:r>
    </w:p>
    <w:p>
      <w:pPr>
        <w:spacing w:after="0" w:line="150" w:lineRule="exact"/>
        <w:rPr>
          <w:rFonts w:ascii="Times New Roman" w:cs="Times New Roman" w:eastAsia="Times New Roman" w:hAnsi="Times New Roman"/>
          <w:sz w:val="21"/>
          <w:szCs w:val="21"/>
          <w:color w:val="auto"/>
        </w:rPr>
      </w:pPr>
    </w:p>
    <w:p>
      <w:pPr>
        <w:ind w:left="1245" w:right="20" w:hanging="623"/>
        <w:spacing w:after="0" w:line="260" w:lineRule="auto"/>
        <w:tabs>
          <w:tab w:leader="none" w:pos="1578"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construed, governed, and enforced in accordance with the laws of the Commonwealth of Pennsylvania, without regard to principles relating to conflicts of law.</w:t>
      </w:r>
    </w:p>
    <w:p>
      <w:pPr>
        <w:spacing w:after="0" w:line="150" w:lineRule="exact"/>
        <w:rPr>
          <w:rFonts w:ascii="Times New Roman" w:cs="Times New Roman" w:eastAsia="Times New Roman" w:hAnsi="Times New Roman"/>
          <w:sz w:val="21"/>
          <w:szCs w:val="21"/>
          <w:color w:val="auto"/>
        </w:rPr>
      </w:pPr>
    </w:p>
    <w:p>
      <w:pPr>
        <w:jc w:val="both"/>
        <w:ind w:left="1245" w:hanging="623"/>
        <w:spacing w:after="0" w:line="237" w:lineRule="auto"/>
        <w:tabs>
          <w:tab w:leader="none" w:pos="139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each of which when taken together shall be deemed to be one and the same instrument. The parties acknowledge and agree that notwithstanding any law or presumption to the contrary a facsimile or electronically delivered Portable Document Format (.pdf) (or similar electronic format) signature of either party whether upon this Amendment shall be deemed valid and binding and admissible by either party against the other as if the same were an original ink signature.</w:t>
      </w:r>
    </w:p>
    <w:p>
      <w:pPr>
        <w:spacing w:after="0" w:line="175"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21"/>
          <w:szCs w:val="21"/>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5"/>
          </w:cols>
          <w:pgMar w:left="915" w:top="421" w:right="899" w:bottom="1440" w:gutter="0" w:footer="0" w:header="0"/>
        </w:sectPr>
      </w:pPr>
    </w:p>
    <w:bookmarkStart w:id="95" w:name="page96"/>
    <w:bookmarkEnd w:id="95"/>
    <w:p>
      <w:pPr>
        <w:ind w:firstLine="621"/>
        <w:spacing w:after="0" w:line="26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intending to be legally bound, Landlord and Tenant have executed this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to Lease Agreement as of the date first above written.</w:t>
      </w:r>
    </w:p>
    <w:p>
      <w:pPr>
        <w:spacing w:after="0" w:line="1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u w:val="single" w:color="auto"/>
          <w:color w:val="auto"/>
        </w:rPr>
        <w:t>Landlord</w:t>
      </w:r>
      <w:r>
        <w:rPr>
          <w:rFonts w:ascii="Times New Roman" w:cs="Times New Roman" w:eastAsia="Times New Roman" w:hAnsi="Times New Roman"/>
          <w:sz w:val="21"/>
          <w:szCs w:val="21"/>
          <w:b w:val="1"/>
          <w:bCs w:val="1"/>
          <w:color w:val="auto"/>
        </w:rPr>
        <w:t>:</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300 ROUSE BOULEVARD, LLC</w:t>
      </w:r>
    </w:p>
    <w:p>
      <w:pPr>
        <w:spacing w:after="0" w:line="200" w:lineRule="exact"/>
        <w:rPr>
          <w:sz w:val="20"/>
          <w:szCs w:val="20"/>
          <w:color w:val="auto"/>
        </w:rPr>
      </w:pPr>
    </w:p>
    <w:p>
      <w:pPr>
        <w:spacing w:after="0" w:line="26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By: /s/ John S. Gattuso</w:t>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Name: John S. Gattuso</w:t>
      </w:r>
    </w:p>
    <w:p>
      <w:pPr>
        <w:ind w:left="504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u w:val="single" w:color="auto"/>
          <w:color w:val="auto"/>
        </w:rPr>
        <w:t>Tenant</w:t>
      </w:r>
      <w:r>
        <w:rPr>
          <w:rFonts w:ascii="Times New Roman" w:cs="Times New Roman" w:eastAsia="Times New Roman" w:hAnsi="Times New Roman"/>
          <w:sz w:val="21"/>
          <w:szCs w:val="21"/>
          <w:color w:val="auto"/>
        </w:rPr>
        <w:t>:</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IOVANCE BIOTHERAPEUTICS, INC.</w:t>
      </w:r>
    </w:p>
    <w:p>
      <w:pPr>
        <w:spacing w:after="0" w:line="200" w:lineRule="exact"/>
        <w:rPr>
          <w:sz w:val="20"/>
          <w:szCs w:val="20"/>
          <w:color w:val="auto"/>
        </w:rPr>
      </w:pPr>
    </w:p>
    <w:p>
      <w:pPr>
        <w:spacing w:after="0" w:line="26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By: /s/ Frederick G. Vogt</w:t>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Name: Frederick G. Vogt</w:t>
      </w:r>
    </w:p>
    <w:p>
      <w:pPr>
        <w:ind w:left="5040"/>
        <w:spacing w:after="0"/>
        <w:rPr>
          <w:sz w:val="20"/>
          <w:szCs w:val="20"/>
          <w:color w:val="auto"/>
        </w:rPr>
      </w:pPr>
      <w:r>
        <w:rPr>
          <w:rFonts w:ascii="Times New Roman" w:cs="Times New Roman" w:eastAsia="Times New Roman" w:hAnsi="Times New Roman"/>
          <w:sz w:val="21"/>
          <w:szCs w:val="21"/>
          <w:color w:val="auto"/>
        </w:rPr>
        <w:t>Title: General Counsel and Corporate Secretary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347980</wp:posOffset>
            </wp:positionV>
            <wp:extent cx="6396990"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60"/>
          </w:cols>
          <w:pgMar w:left="920" w:top="317" w:right="9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color w:val="auto"/>
        </w:rPr>
        <w:t>I, Maria Fardis, Chief Executive Officer of Iovance Biotherapeutics, Inc., certify that:</w:t>
      </w:r>
    </w:p>
    <w:p>
      <w:pPr>
        <w:spacing w:after="0" w:line="219" w:lineRule="exact"/>
        <w:rPr>
          <w:sz w:val="20"/>
          <w:szCs w:val="20"/>
          <w:color w:val="auto"/>
        </w:rPr>
      </w:pPr>
    </w:p>
    <w:p>
      <w:pPr>
        <w:ind w:left="645" w:hanging="645"/>
        <w:spacing w:after="0"/>
        <w:tabs>
          <w:tab w:leader="none" w:pos="64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Iovance Biotherapeutics, Inc.;</w:t>
      </w:r>
    </w:p>
    <w:p>
      <w:pPr>
        <w:spacing w:after="0" w:line="218" w:lineRule="exact"/>
        <w:rPr>
          <w:rFonts w:ascii="Times New Roman" w:cs="Times New Roman" w:eastAsia="Times New Roman" w:hAnsi="Times New Roman"/>
          <w:sz w:val="17"/>
          <w:szCs w:val="17"/>
          <w:color w:val="auto"/>
        </w:rPr>
      </w:pPr>
    </w:p>
    <w:p>
      <w:pPr>
        <w:ind w:left="645" w:right="60" w:hanging="645"/>
        <w:spacing w:after="0" w:line="272" w:lineRule="auto"/>
        <w:tabs>
          <w:tab w:leader="none" w:pos="65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7"/>
          <w:szCs w:val="17"/>
          <w:color w:val="auto"/>
        </w:rPr>
      </w:pPr>
    </w:p>
    <w:p>
      <w:pPr>
        <w:ind w:left="645" w:right="140" w:hanging="645"/>
        <w:spacing w:after="0" w:line="291" w:lineRule="auto"/>
        <w:tabs>
          <w:tab w:leader="none" w:pos="65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645" w:right="140" w:hanging="645"/>
        <w:spacing w:after="0" w:line="272" w:lineRule="auto"/>
        <w:tabs>
          <w:tab w:leader="none" w:pos="65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7"/>
          <w:szCs w:val="17"/>
          <w:color w:val="auto"/>
        </w:rPr>
      </w:pPr>
    </w:p>
    <w:p>
      <w:pPr>
        <w:ind w:left="1285" w:right="80" w:hanging="646"/>
        <w:spacing w:after="0" w:line="272" w:lineRule="auto"/>
        <w:tabs>
          <w:tab w:leader="none" w:pos="13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7"/>
          <w:szCs w:val="17"/>
          <w:color w:val="auto"/>
        </w:rPr>
      </w:pPr>
    </w:p>
    <w:p>
      <w:pPr>
        <w:ind w:left="1285" w:right="80" w:hanging="646"/>
        <w:spacing w:after="0" w:line="272" w:lineRule="auto"/>
        <w:tabs>
          <w:tab w:leader="none" w:pos="131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7"/>
          <w:szCs w:val="17"/>
          <w:color w:val="auto"/>
        </w:rPr>
      </w:pPr>
    </w:p>
    <w:p>
      <w:pPr>
        <w:ind w:left="1285" w:right="180" w:hanging="646"/>
        <w:spacing w:after="0" w:line="272" w:lineRule="auto"/>
        <w:tabs>
          <w:tab w:leader="none" w:pos="13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7"/>
          <w:szCs w:val="17"/>
          <w:color w:val="auto"/>
        </w:rPr>
      </w:pPr>
    </w:p>
    <w:p>
      <w:pPr>
        <w:ind w:left="1285" w:right="260" w:hanging="646"/>
        <w:spacing w:after="0" w:line="272" w:lineRule="auto"/>
        <w:tabs>
          <w:tab w:leader="none" w:pos="131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7"/>
          <w:szCs w:val="17"/>
          <w:color w:val="auto"/>
        </w:rPr>
      </w:pPr>
    </w:p>
    <w:p>
      <w:pPr>
        <w:ind w:left="645" w:right="360" w:hanging="645"/>
        <w:spacing w:after="0" w:line="291" w:lineRule="auto"/>
        <w:tabs>
          <w:tab w:leader="none" w:pos="65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1285" w:right="420" w:hanging="646"/>
        <w:spacing w:after="0" w:line="272" w:lineRule="auto"/>
        <w:tabs>
          <w:tab w:leader="none" w:pos="129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7"/>
          <w:szCs w:val="17"/>
          <w:color w:val="auto"/>
        </w:rPr>
      </w:pPr>
    </w:p>
    <w:p>
      <w:pPr>
        <w:ind w:left="1285" w:right="780" w:hanging="646"/>
        <w:spacing w:after="0" w:line="291" w:lineRule="auto"/>
        <w:tabs>
          <w:tab w:leader="none" w:pos="13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4, 2019</w:t>
            </w:r>
          </w:p>
        </w:tc>
        <w:tc>
          <w:tcPr>
            <w:tcW w:w="692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By:   /s/ Maria Fardis</w:t>
            </w:r>
          </w:p>
        </w:tc>
      </w:tr>
      <w:tr>
        <w:trPr>
          <w:trHeight w:val="182"/>
        </w:trPr>
        <w:tc>
          <w:tcPr>
            <w:tcW w:w="3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Maria Fardis</w:t>
            </w:r>
          </w:p>
        </w:tc>
      </w:tr>
      <w:tr>
        <w:trPr>
          <w:trHeight w:val="226"/>
        </w:trPr>
        <w:tc>
          <w:tcPr>
            <w:tcW w:w="3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003"/>
        </w:trPr>
        <w:tc>
          <w:tcPr>
            <w:tcW w:w="3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0085"/>
          </w:cols>
          <w:pgMar w:left="915" w:top="119" w:right="89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7"/>
          <w:szCs w:val="17"/>
          <w:color w:val="auto"/>
        </w:rPr>
        <w:t>I, Timothy E. Morris, Chief Financial Officer of Iovance Biotherapeutics, Inc., certify that:</w:t>
      </w:r>
    </w:p>
    <w:p>
      <w:pPr>
        <w:spacing w:after="0" w:line="219" w:lineRule="exact"/>
        <w:rPr>
          <w:sz w:val="20"/>
          <w:szCs w:val="20"/>
          <w:color w:val="auto"/>
        </w:rPr>
      </w:pPr>
    </w:p>
    <w:p>
      <w:pPr>
        <w:ind w:left="645" w:hanging="645"/>
        <w:spacing w:after="0"/>
        <w:tabs>
          <w:tab w:leader="none" w:pos="64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Iovance Biotherapeutics, Inc.;</w:t>
      </w:r>
    </w:p>
    <w:p>
      <w:pPr>
        <w:spacing w:after="0" w:line="218" w:lineRule="exact"/>
        <w:rPr>
          <w:rFonts w:ascii="Times New Roman" w:cs="Times New Roman" w:eastAsia="Times New Roman" w:hAnsi="Times New Roman"/>
          <w:sz w:val="17"/>
          <w:szCs w:val="17"/>
          <w:color w:val="auto"/>
        </w:rPr>
      </w:pPr>
    </w:p>
    <w:p>
      <w:pPr>
        <w:ind w:left="645" w:right="60" w:hanging="645"/>
        <w:spacing w:after="0" w:line="272" w:lineRule="auto"/>
        <w:tabs>
          <w:tab w:leader="none" w:pos="65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7"/>
          <w:szCs w:val="17"/>
          <w:color w:val="auto"/>
        </w:rPr>
      </w:pPr>
    </w:p>
    <w:p>
      <w:pPr>
        <w:ind w:left="645" w:right="140" w:hanging="645"/>
        <w:spacing w:after="0" w:line="291" w:lineRule="auto"/>
        <w:tabs>
          <w:tab w:leader="none" w:pos="65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645" w:right="140" w:hanging="645"/>
        <w:spacing w:after="0" w:line="272" w:lineRule="auto"/>
        <w:tabs>
          <w:tab w:leader="none" w:pos="65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7"/>
          <w:szCs w:val="17"/>
          <w:color w:val="auto"/>
        </w:rPr>
      </w:pPr>
    </w:p>
    <w:p>
      <w:pPr>
        <w:ind w:left="1285" w:right="80" w:hanging="646"/>
        <w:spacing w:after="0" w:line="272" w:lineRule="auto"/>
        <w:tabs>
          <w:tab w:leader="none" w:pos="13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7"/>
          <w:szCs w:val="17"/>
          <w:color w:val="auto"/>
        </w:rPr>
      </w:pPr>
    </w:p>
    <w:p>
      <w:pPr>
        <w:ind w:left="1285" w:right="80" w:hanging="646"/>
        <w:spacing w:after="0" w:line="272" w:lineRule="auto"/>
        <w:tabs>
          <w:tab w:leader="none" w:pos="131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7"/>
          <w:szCs w:val="17"/>
          <w:color w:val="auto"/>
        </w:rPr>
      </w:pPr>
    </w:p>
    <w:p>
      <w:pPr>
        <w:ind w:left="1285" w:right="180" w:hanging="646"/>
        <w:spacing w:after="0" w:line="272" w:lineRule="auto"/>
        <w:tabs>
          <w:tab w:leader="none" w:pos="13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7"/>
          <w:szCs w:val="17"/>
          <w:color w:val="auto"/>
        </w:rPr>
      </w:pPr>
    </w:p>
    <w:p>
      <w:pPr>
        <w:ind w:left="1285" w:right="260" w:hanging="646"/>
        <w:spacing w:after="0" w:line="272" w:lineRule="auto"/>
        <w:tabs>
          <w:tab w:leader="none" w:pos="131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7"/>
          <w:szCs w:val="17"/>
          <w:color w:val="auto"/>
        </w:rPr>
      </w:pPr>
    </w:p>
    <w:p>
      <w:pPr>
        <w:ind w:left="645" w:right="360" w:hanging="645"/>
        <w:spacing w:after="0" w:line="291" w:lineRule="auto"/>
        <w:tabs>
          <w:tab w:leader="none" w:pos="65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1285" w:right="420" w:hanging="646"/>
        <w:spacing w:after="0" w:line="272" w:lineRule="auto"/>
        <w:tabs>
          <w:tab w:leader="none" w:pos="129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7"/>
          <w:szCs w:val="17"/>
          <w:color w:val="auto"/>
        </w:rPr>
      </w:pPr>
    </w:p>
    <w:p>
      <w:pPr>
        <w:ind w:left="1285" w:right="780" w:hanging="646"/>
        <w:spacing w:after="0" w:line="291" w:lineRule="auto"/>
        <w:tabs>
          <w:tab w:leader="none" w:pos="13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4, 2019</w:t>
            </w:r>
          </w:p>
        </w:tc>
        <w:tc>
          <w:tcPr>
            <w:tcW w:w="192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Timothy E. Morris</w:t>
            </w:r>
          </w:p>
        </w:tc>
      </w:tr>
      <w:tr>
        <w:trPr>
          <w:trHeight w:val="182"/>
        </w:trPr>
        <w:tc>
          <w:tcPr>
            <w:tcW w:w="3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0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Timothy E. Morris</w:t>
            </w:r>
          </w:p>
        </w:tc>
      </w:tr>
      <w:tr>
        <w:trPr>
          <w:trHeight w:val="226"/>
        </w:trPr>
        <w:tc>
          <w:tcPr>
            <w:tcW w:w="3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r>
        <w:trPr>
          <w:trHeight w:val="744"/>
        </w:trPr>
        <w:tc>
          <w:tcPr>
            <w:tcW w:w="3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0085"/>
          </w:cols>
          <w:pgMar w:left="915" w:top="119" w:right="8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left="5" w:right="20" w:firstLine="621"/>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of Iovance Biotherapeutics, Inc. (the “Company”) for the quarter ended September 30, 2019,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64" w:lineRule="exact"/>
        <w:rPr>
          <w:sz w:val="20"/>
          <w:szCs w:val="20"/>
          <w:color w:val="auto"/>
        </w:rPr>
      </w:pPr>
    </w:p>
    <w:p>
      <w:pPr>
        <w:ind w:left="305" w:hanging="305"/>
        <w:spacing w:after="0"/>
        <w:tabs>
          <w:tab w:leader="none" w:pos="30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7"/>
          <w:szCs w:val="17"/>
          <w:color w:val="auto"/>
        </w:rPr>
      </w:pPr>
    </w:p>
    <w:p>
      <w:pPr>
        <w:ind w:left="305" w:right="20" w:hanging="305"/>
        <w:spacing w:after="0" w:line="291" w:lineRule="auto"/>
        <w:tabs>
          <w:tab w:leader="none" w:pos="30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4, 2019</w:t>
            </w:r>
          </w:p>
        </w:tc>
        <w:tc>
          <w:tcPr>
            <w:tcW w:w="6660" w:type="dxa"/>
            <w:vAlign w:val="bottom"/>
            <w:gridSpan w:val="2"/>
          </w:tcPr>
          <w:p>
            <w:pPr>
              <w:ind w:left="1620"/>
              <w:spacing w:after="0"/>
              <w:rPr>
                <w:sz w:val="20"/>
                <w:szCs w:val="20"/>
                <w:color w:val="auto"/>
              </w:rPr>
            </w:pPr>
            <w:r>
              <w:rPr>
                <w:rFonts w:ascii="Times New Roman" w:cs="Times New Roman" w:eastAsia="Times New Roman" w:hAnsi="Times New Roman"/>
                <w:sz w:val="17"/>
                <w:szCs w:val="17"/>
                <w:color w:val="auto"/>
              </w:rPr>
              <w:t>By:   /s/ Maria Fardis</w:t>
            </w:r>
          </w:p>
        </w:tc>
      </w:tr>
      <w:tr>
        <w:trPr>
          <w:trHeight w:val="182"/>
        </w:trPr>
        <w:tc>
          <w:tcPr>
            <w:tcW w:w="3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5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7"/>
                <w:szCs w:val="17"/>
                <w:color w:val="auto"/>
              </w:rPr>
              <w:t>Maria Fardis</w:t>
            </w:r>
          </w:p>
        </w:tc>
      </w:tr>
      <w:tr>
        <w:trPr>
          <w:trHeight w:val="226"/>
        </w:trPr>
        <w:tc>
          <w:tcPr>
            <w:tcW w:w="3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9" w:lineRule="exact"/>
        <w:rPr>
          <w:sz w:val="20"/>
          <w:szCs w:val="20"/>
          <w:color w:val="auto"/>
        </w:rPr>
      </w:pPr>
    </w:p>
    <w:p>
      <w:pPr>
        <w:jc w:val="both"/>
        <w:ind w:left="5" w:right="20"/>
        <w:spacing w:after="0" w:line="291"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450850</wp:posOffset>
            </wp:positionV>
            <wp:extent cx="639699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p>
      <w:pPr>
        <w:sectPr>
          <w:pgSz w:w="11900" w:h="16838" w:orient="portrait"/>
          <w:cols w:equalWidth="0" w:num="1">
            <w:col w:w="10085"/>
          </w:cols>
          <w:pgMar w:left="915" w:top="119" w:right="8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left="5" w:right="20" w:firstLine="621"/>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of Iovance Biotherapeutics, Inc. (the “Company”) for the quarter ended September 30, 2019,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64" w:lineRule="exact"/>
        <w:rPr>
          <w:sz w:val="20"/>
          <w:szCs w:val="20"/>
          <w:color w:val="auto"/>
        </w:rPr>
      </w:pPr>
    </w:p>
    <w:p>
      <w:pPr>
        <w:ind w:left="325" w:hanging="325"/>
        <w:spacing w:after="0"/>
        <w:tabs>
          <w:tab w:leader="none" w:pos="32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8" w:lineRule="exact"/>
        <w:rPr>
          <w:rFonts w:ascii="Times New Roman" w:cs="Times New Roman" w:eastAsia="Times New Roman" w:hAnsi="Times New Roman"/>
          <w:sz w:val="17"/>
          <w:szCs w:val="17"/>
          <w:color w:val="auto"/>
        </w:rPr>
      </w:pPr>
    </w:p>
    <w:p>
      <w:pPr>
        <w:ind w:left="5" w:hanging="5"/>
        <w:spacing w:after="0" w:line="291" w:lineRule="auto"/>
        <w:tabs>
          <w:tab w:leader="none" w:pos="39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4, 2019</w:t>
            </w:r>
          </w:p>
        </w:tc>
        <w:tc>
          <w:tcPr>
            <w:tcW w:w="22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Timothy E. Morris</w:t>
            </w:r>
          </w:p>
        </w:tc>
      </w:tr>
      <w:tr>
        <w:trPr>
          <w:trHeight w:val="182"/>
        </w:trPr>
        <w:tc>
          <w:tcPr>
            <w:tcW w:w="3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4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Timothy E. Morris</w:t>
            </w:r>
          </w:p>
        </w:tc>
      </w:tr>
      <w:tr>
        <w:trPr>
          <w:trHeight w:val="226"/>
        </w:trPr>
        <w:tc>
          <w:tcPr>
            <w:tcW w:w="3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pacing w:after="0" w:line="214" w:lineRule="exact"/>
        <w:rPr>
          <w:sz w:val="20"/>
          <w:szCs w:val="20"/>
          <w:color w:val="auto"/>
        </w:rPr>
      </w:pPr>
    </w:p>
    <w:p>
      <w:pPr>
        <w:jc w:val="both"/>
        <w:ind w:left="5" w:right="20"/>
        <w:spacing w:after="0" w:line="291"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450850</wp:posOffset>
            </wp:positionV>
            <wp:extent cx="6396990"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396990" cy="24765"/>
                    </a:xfrm>
                    <a:prstGeom prst="rect">
                      <a:avLst/>
                    </a:prstGeom>
                    <a:noFill/>
                  </pic:spPr>
                </pic:pic>
              </a:graphicData>
            </a:graphic>
          </wp:anchor>
        </w:drawing>
      </w:r>
    </w:p>
    <w:sectPr>
      <w:pgSz w:w="11900" w:h="16838" w:orient="portrait"/>
      <w:cols w:equalWidth="0" w:num="1">
        <w:col w:w="10085"/>
      </w:cols>
      <w:pgMar w:left="915" w:top="119"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Roman"/>
      <w:start w:val="2"/>
    </w:lvl>
  </w:abstractNum>
  <w:abstractNum w:abstractNumId="3">
    <w:nsid w:val="B03E0C6"/>
    <w:multiLevelType w:val="hybridMultilevel"/>
    <w:lvl w:ilvl="0">
      <w:lvlJc w:val="left"/>
      <w:lvlText w:val="(%1)"/>
      <w:numFmt w:val="lowerRoman"/>
      <w:start w:val="2"/>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Roman"/>
      <w:start w:val="3"/>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lvl w:ilvl="1">
      <w:lvlJc w:val="left"/>
      <w:lvlText w:val="%2"/>
      <w:numFmt w:val="decimal"/>
      <w:start w:val="10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upperLetter"/>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2"/>
    </w:lvl>
  </w:abstractNum>
  <w:abstractNum w:abstractNumId="35">
    <w:nsid w:val="70A64E2A"/>
    <w:multiLevelType w:val="hybridMultilevel"/>
    <w:lvl w:ilvl="0">
      <w:lvlJc w:val="left"/>
      <w:lvlText w:val="%1."/>
      <w:numFmt w:val="decimal"/>
      <w:start w:val="3"/>
    </w:lvl>
    <w:lvl w:ilvl="1">
      <w:lvlJc w:val="left"/>
      <w:lvlText w:val="%2"/>
      <w:numFmt w:val="decimal"/>
      <w:start w:val="1"/>
    </w:lvl>
  </w:abstractNum>
  <w:abstractNum w:abstractNumId="36">
    <w:nsid w:val="6A2342EC"/>
    <w:multiLevelType w:val="hybridMultilevel"/>
    <w:lvl w:ilvl="0">
      <w:lvlJc w:val="left"/>
      <w:lvlText w:val="%1."/>
      <w:numFmt w:val="decimal"/>
      <w:start w:val="8"/>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2"/>
    </w:lvl>
  </w:abstractNum>
  <w:abstractNum w:abstractNumId="39">
    <w:nsid w:val="725A06FB"/>
    <w:multiLevelType w:val="hybridMultilevel"/>
    <w:lvl w:ilvl="0">
      <w:lvlJc w:val="left"/>
      <w:lvlText w:val="%1."/>
      <w:numFmt w:val="decimal"/>
      <w:start w:val="4"/>
    </w:lvl>
  </w:abstractNum>
  <w:abstractNum w:abstractNumId="40">
    <w:nsid w:val="2CD89A32"/>
    <w:multiLevelType w:val="hybridMultilevel"/>
    <w:lvl w:ilvl="0">
      <w:lvlJc w:val="left"/>
      <w:lvlText w:val="%1."/>
      <w:numFmt w:val="decimal"/>
      <w:start w:val="5"/>
    </w:lvl>
    <w:lvl w:ilvl="1">
      <w:lvlJc w:val="left"/>
      <w:lvlText w:val="(%2)"/>
      <w:numFmt w:val="lowerLetter"/>
      <w:start w:val="1"/>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lowerLetter"/>
      <w:start w:val="3"/>
    </w:lvl>
  </w:abstractNum>
  <w:abstractNum w:abstractNumId="43">
    <w:nsid w:val="4B588F54"/>
    <w:multiLevelType w:val="hybridMultilevel"/>
    <w:lvl w:ilvl="0">
      <w:lvlJc w:val="left"/>
      <w:lvlText w:val="%1."/>
      <w:numFmt w:val="decimal"/>
      <w:start w:val="6"/>
    </w:lvl>
    <w:lvl w:ilvl="1">
      <w:lvlJc w:val="left"/>
      <w:lvlText w:val="(%2)"/>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jpe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51" Type="http://schemas.openxmlformats.org/officeDocument/2006/relationships/hyperlink" Target="http://www.sec.gov/Archives/edgar/data/1425205/000114420419010702/tv513795_10k.htm" TargetMode="External"/><Relationship Id="rId96" Type="http://schemas.openxmlformats.org/officeDocument/2006/relationships/hyperlink" Target="http://www.sec.gov/Archives/edgar/data/1425205/000114420419037248/iova-20190630ex1010a68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2019-12-28T03:15:28Z</dcterms:created>
  <dcterms:modified xsi:type="dcterms:W3CDTF">2019-12-28T03:15:28Z</dcterms:modified>
</cp:coreProperties>
</file>