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100" w:hanging="3992"/>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2018</w:t>
      </w:r>
    </w:p>
    <w:p>
      <w:pPr>
        <w:spacing w:after="0" w:line="170" w:lineRule="exact"/>
        <w:rPr>
          <w:sz w:val="24"/>
          <w:szCs w:val="24"/>
          <w:color w:val="auto"/>
        </w:rPr>
      </w:pPr>
    </w:p>
    <w:p>
      <w:pPr>
        <w:ind w:left="3900" w:right="2060" w:hanging="3892"/>
        <w:spacing w:after="0" w:line="277" w:lineRule="auto"/>
        <w:tabs>
          <w:tab w:leader="none" w:pos="65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 to _______.</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89"/>
              </w:rPr>
              <w:t>Delaware</w:t>
            </w:r>
          </w:p>
        </w:tc>
        <w:tc>
          <w:tcPr>
            <w:tcW w:w="3540" w:type="dxa"/>
            <w:vAlign w:val="bottom"/>
          </w:tcPr>
          <w:p>
            <w:pPr>
              <w:jc w:val="center"/>
              <w:ind w:left="1810"/>
              <w:spacing w:after="0"/>
              <w:rPr>
                <w:sz w:val="20"/>
                <w:szCs w:val="20"/>
                <w:color w:val="auto"/>
              </w:rPr>
            </w:pPr>
            <w:r>
              <w:rPr>
                <w:rFonts w:ascii="Arial" w:cs="Arial" w:eastAsia="Arial" w:hAnsi="Arial"/>
                <w:sz w:val="18"/>
                <w:szCs w:val="18"/>
                <w:color w:val="auto"/>
                <w:w w:val="91"/>
              </w:rPr>
              <w:t>75-3254381</w:t>
            </w:r>
          </w:p>
        </w:tc>
      </w:tr>
      <w:tr>
        <w:trPr>
          <w:trHeight w:val="216"/>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left="1810"/>
              <w:spacing w:after="0"/>
              <w:rPr>
                <w:sz w:val="20"/>
                <w:szCs w:val="20"/>
                <w:color w:val="auto"/>
              </w:rPr>
            </w:pPr>
            <w:r>
              <w:rPr>
                <w:rFonts w:ascii="Arial" w:cs="Arial" w:eastAsia="Arial" w:hAnsi="Arial"/>
                <w:sz w:val="18"/>
                <w:szCs w:val="18"/>
                <w:color w:val="auto"/>
                <w:w w:val="92"/>
              </w:rPr>
              <w:t>(I.R.S. employer</w:t>
            </w:r>
          </w:p>
        </w:tc>
      </w:tr>
      <w:tr>
        <w:trPr>
          <w:trHeight w:val="230"/>
        </w:trPr>
        <w:tc>
          <w:tcPr>
            <w:tcW w:w="4060" w:type="dxa"/>
            <w:vAlign w:val="bottom"/>
          </w:tcPr>
          <w:p>
            <w:pPr>
              <w:jc w:val="center"/>
              <w:ind w:right="181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left="183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ind w:left="382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13" w:right="239" w:bottom="1440" w:gutter="0" w:footer="0" w:header="0"/>
        </w:sectPr>
      </w:pPr>
    </w:p>
    <w:p>
      <w:pPr>
        <w:spacing w:after="0" w:line="181" w:lineRule="exact"/>
        <w:rPr>
          <w:sz w:val="24"/>
          <w:szCs w:val="24"/>
          <w:color w:val="auto"/>
        </w:rPr>
      </w:pPr>
    </w:p>
    <w:p>
      <w:pPr>
        <w:ind w:left="3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 Do not check if a smaller reporting company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1940" w:space="60"/>
            <w:col w:w="5060" w:space="720"/>
            <w:col w:w="3640"/>
          </w:cols>
          <w:pgMar w:left="240" w:top="513"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April 30, 2018, the issuer had 89,642,915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gridSpan w:val="4"/>
          </w:tcPr>
          <w:p>
            <w:pPr>
              <w:jc w:val="right"/>
              <w:ind w:righ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640" w:type="dxa"/>
            <w:vAlign w:val="bottom"/>
            <w:gridSpan w:val="3"/>
            <w:shd w:val="clear" w:color="auto" w:fill="CCEEFF"/>
          </w:tcPr>
          <w:p>
            <w:pPr>
              <w:spacing w:after="0"/>
              <w:rPr>
                <w:sz w:val="15"/>
                <w:szCs w:val="15"/>
                <w:color w:val="auto"/>
              </w:rPr>
            </w:pP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2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1.</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2.</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Item 4.</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17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7"/>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5.</w:t>
              </w:r>
            </w:hyperlink>
          </w:p>
        </w:tc>
        <w:tc>
          <w:tcPr>
            <w:tcW w:w="7980" w:type="dxa"/>
            <w:vAlign w:val="bottom"/>
            <w:gridSpan w:val="1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2260" w:type="dxa"/>
            <w:vAlign w:val="bottom"/>
            <w:gridSpan w:val="3"/>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Item 6.</w:t>
              </w:r>
            </w:hyperlink>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Exhibits</w:t>
              </w:r>
            </w:hyperlink>
          </w:p>
        </w:tc>
        <w:tc>
          <w:tcPr>
            <w:tcW w:w="7380" w:type="dxa"/>
            <w:vAlign w:val="bottom"/>
            <w:tcBorders>
              <w:bottom w:val="single" w:sz="8" w:color="CCEEFF"/>
            </w:tcBorders>
            <w:gridSpan w:val="13"/>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SIGNATURES</w:t>
              </w:r>
            </w:hyperlink>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60" w:type="dxa"/>
            <w:vAlign w:val="bottom"/>
            <w:gridSpan w:val="3"/>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520"/>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tcPr>
          <w:p>
            <w:pPr>
              <w:ind w:left="324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20" w:type="dxa"/>
            <w:vAlign w:val="bottom"/>
          </w:tcPr>
          <w:p>
            <w:pPr>
              <w:ind w:left="3240"/>
              <w:spacing w:after="0"/>
              <w:rPr>
                <w:sz w:val="20"/>
                <w:szCs w:val="20"/>
                <w:color w:val="auto"/>
              </w:rPr>
            </w:pPr>
            <w:r>
              <w:rPr>
                <w:rFonts w:ascii="Arial" w:cs="Arial" w:eastAsia="Arial" w:hAnsi="Arial"/>
                <w:sz w:val="18"/>
                <w:szCs w:val="18"/>
                <w:b w:val="1"/>
                <w:bCs w:val="1"/>
                <w:color w:val="auto"/>
              </w:rPr>
              <w:t>IOVANCE BIOTHERAPEUTICS, INC.</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ind w:left="3220"/>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tcPr>
          <w:p>
            <w:pPr>
              <w:ind w:left="3220"/>
              <w:spacing w:after="0"/>
              <w:rPr>
                <w:sz w:val="20"/>
                <w:szCs w:val="20"/>
                <w:color w:val="auto"/>
              </w:rPr>
            </w:pPr>
            <w:r>
              <w:rPr>
                <w:rFonts w:ascii="Arial" w:cs="Arial" w:eastAsia="Arial" w:hAnsi="Arial"/>
                <w:sz w:val="18"/>
                <w:szCs w:val="18"/>
                <w:b w:val="1"/>
                <w:bCs w:val="1"/>
                <w:color w:val="auto"/>
              </w:rPr>
              <w:t>(in thousands, except share information)</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297,082</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Total Assets</w:t>
            </w:r>
          </w:p>
        </w:tc>
        <w:tc>
          <w:tcPr>
            <w:tcW w:w="7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6,576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stock, $0.001 par value; 17,000 shares authorized, 1,694 shares issued and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March 31, 2018 and December 31, 2017 (aggregate liquidation value of $1,694)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tcPr>
          <w:p>
            <w:pPr>
              <w:spacing w:after="0" w:line="201" w:lineRule="exact"/>
              <w:rPr>
                <w:sz w:val="20"/>
                <w:szCs w:val="20"/>
                <w:color w:val="auto"/>
              </w:rPr>
            </w:pPr>
            <w:r>
              <w:rPr>
                <w:rFonts w:ascii="Arial" w:cs="Arial" w:eastAsia="Arial" w:hAnsi="Arial"/>
                <w:sz w:val="18"/>
                <w:szCs w:val="18"/>
                <w:color w:val="auto"/>
                <w:w w:val="91"/>
              </w:rPr>
              <w:t>Series B Convertible Preferred stock, $0.001 par value; 11,500,000 shares authorized, 7,378,241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spacing w:after="0"/>
              <w:rPr>
                <w:sz w:val="20"/>
                <w:szCs w:val="20"/>
                <w:color w:val="auto"/>
              </w:rPr>
            </w:pPr>
            <w:r>
              <w:rPr>
                <w:rFonts w:ascii="Arial" w:cs="Arial" w:eastAsia="Arial" w:hAnsi="Arial"/>
                <w:sz w:val="18"/>
                <w:szCs w:val="18"/>
                <w:color w:val="auto"/>
              </w:rPr>
              <w:t>outstanding as of March 31, 2018 and December 31, 2017 (aggregate liquidation value of $35,047)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$0.000041666 par value; 150,000,000 shares authorized, 89,615,417 and 73,164,914 shares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and outstanding as of March 31, 2018 and December 31, 2017, respectively</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568,243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394,651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292,558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40" w:type="dxa"/>
            <w:vAlign w:val="bottom"/>
            <w:gridSpan w:val="5"/>
          </w:tcPr>
          <w:p>
            <w:pPr>
              <w:jc w:val="right"/>
              <w:ind w:right="145"/>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65"/>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19,912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14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26,877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20,882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(26,877)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(20,882)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(26,515)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(20,684)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Net Loss Per Common Share, Basic and Diluted</w:t>
            </w: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 Basic and Diluted</w:t>
            </w:r>
          </w:p>
        </w:tc>
        <w:tc>
          <w:tcPr>
            <w:tcW w:w="1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84,350</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62,286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4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3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(26,515)</w:t>
            </w:r>
          </w:p>
        </w:tc>
        <w:tc>
          <w:tcPr>
            <w:tcW w:w="920" w:type="dxa"/>
            <w:vAlign w:val="bottom"/>
            <w:gridSpan w:val="2"/>
            <w:shd w:val="clear" w:color="auto" w:fill="CCEEFF"/>
          </w:tcPr>
          <w:p>
            <w:pPr>
              <w:jc w:val="right"/>
              <w:ind w:right="790"/>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2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44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(26,515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900" w:type="dxa"/>
            <w:vAlign w:val="bottom"/>
            <w:tcBorders>
              <w:top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(20,711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4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238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9"/>
              </w:rPr>
              <w:t>(26,515)</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(20,684)</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Amortization of discount on investments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16"/>
        </w:trPr>
        <w:tc>
          <w:tcPr>
            <w:tcW w:w="6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5,239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1,466</w:t>
            </w: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10"/>
        </w:trPr>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(17,849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(18,803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6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Maturities of short- 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700" w:hanging="1256"/>
        <w:spacing w:after="0"/>
        <w:tabs>
          <w:tab w:leader="none" w:pos="2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19,600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(798)</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18,802</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net</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162,186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169,580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145,373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Unrealized loss on short-term investments</w:t>
            </w:r>
          </w:p>
        </w:tc>
        <w:tc>
          <w:tcPr>
            <w:tcW w:w="18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property and equipment under accounts payable</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160"/>
              <w:spacing w:after="0"/>
              <w:rPr>
                <w:sz w:val="20"/>
                <w:szCs w:val="20"/>
                <w:color w:val="auto"/>
              </w:rPr>
            </w:pPr>
            <w:r>
              <w:rPr>
                <w:rFonts w:ascii="Arial" w:cs="Arial" w:eastAsia="Arial" w:hAnsi="Arial"/>
                <w:sz w:val="18"/>
                <w:szCs w:val="18"/>
                <w:color w:val="auto"/>
              </w:rPr>
              <w:t>Offering costs included in accounts payable</w:t>
            </w: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Iovance Biotherapeutics, Inc. (the “Company,” “we,” “us” or “our”) is a biopharmaceutical company focused on the development and commercialization of novel cancer immunotherapy products designed to harness the power of a patient’s own immune system to eradicate cancer cells. Our lead product candidate,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 On June 1, 2017, the Company reincorporated to become a Company governed by Delaware corporation laws. On June 27, 2017, we changed our name to Iovance Biotherapeutics, Inc from Lion Biotechnologies,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months ended March 31, 2018 and 2017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2017, was derived from the audited financial statements included in the Company's financial statements as of and for the year ended December 31, 2017 included in the Company’s Annual Report on Form 10-K filed with the Securities and Exchange Commission (the “SEC”) on March 12, 2018.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$26.5 million for the three months ended March 31, 2018 and used $17.8 million of cash in our operating activities during the three months ended March 31, 2018. As of March 31, 2018, we had $297.1 million of cash and cash equivalents. 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$172.5 million, with net proceeds to the Company of approximately $162.0 million.</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expects to further increase its research and development activities, which will increase the amount of cash used during the remainder of 2018 and beyond. Specifically, the Company expects continued spending on clinical trials, continued and expansion of manufacturing activities, higher payroll expenses as the Company increases its professional and scientific staff and research and development activities. Based on the funds the Company has available as of the date these financial statements are issued, the Company believes that it has sufficient capital to fund its anticipated operating expenses for at least 24 months from the date that these financial statements are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short-term investments are classified as “available-for-sale”. The Company includes these investments in current assets and carries them at fair value. Unrealized gains and losses on available-for-sale securities are included in accumulated other comprehensive income. The amortized cost of debt securities is adjusted for the amortization of premiums and accretion of discounts to maturity. Such amortization is included in interest income. Gains and losses on securities sold are recorded based on the specific identification method and are included in interest income in the statement of operations. We have not incurred any realized gains or losses from sales of securities to date. At March 31, 2018 and December 31, 2017, the Company held no short-term investments.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 average number of common shares outstanding during the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share is computed by dividing the net loss attributable to common stockholders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March 31, 2018 and 2017,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70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5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6,951,067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6,748,302</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Warrants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5,570,835</w:t>
            </w: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6,503,716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847,000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847,000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7,378,241</w:t>
            </w: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7,946,673</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103,123</w:t>
            </w:r>
          </w:p>
        </w:tc>
        <w:tc>
          <w:tcPr>
            <w:tcW w:w="3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550,000</w:t>
            </w:r>
          </w:p>
        </w:tc>
      </w:tr>
      <w:tr>
        <w:trPr>
          <w:trHeight w:val="210"/>
        </w:trPr>
        <w:tc>
          <w:tcPr>
            <w:tcW w:w="6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20,850,266</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22,600,691</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fair valued assets we held and have held are generally assessed under Level 2 were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third-party pricing service providers. We review independent auditor’s reports from our third-party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The Company does not have fair valued assets classified under Level 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fair valued assets classified under Level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and December 31, 2017, there were no financial assets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(which we did not hold at quarter end), the useful lives of property and equipment, accounting for potential liabilities, the valuation allowance associated with the Company’s deferred tax assets, and the assumptions made in valuing stock instruments issued for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subsidiary, Iovance Biotherapeutics GmbH (formerly Lion Biotechnologies GmbH). All intercompany accounts and transactions have been eliminated. The U.S. dollar is the functional currency for all the Company's consolidated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jc w:val="both"/>
        <w:ind w:firstLine="8"/>
        <w:spacing w:after="0" w:line="254" w:lineRule="auto"/>
        <w:tabs>
          <w:tab w:leader="none" w:pos="1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stock-based compensation expense related to all our stock-based awards was recorded on the statements of operations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2,104</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2,046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4,104</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Restricted stock award expense</w:t>
            </w: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w:t>
            </w:r>
          </w:p>
        </w:tc>
        <w:tc>
          <w:tcPr>
            <w:tcW w:w="18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0" w:type="dxa"/>
            <w:vAlign w:val="bottom"/>
          </w:tcPr>
          <w:p>
            <w:pPr>
              <w:spacing w:after="0"/>
              <w:rPr>
                <w:sz w:val="18"/>
                <w:szCs w:val="18"/>
                <w:color w:val="auto"/>
              </w:rPr>
            </w:pPr>
          </w:p>
        </w:tc>
        <w:tc>
          <w:tcPr>
            <w:tcW w:w="780" w:type="dxa"/>
            <w:vAlign w:val="bottom"/>
            <w:tcBorders>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4,104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3,296</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which establishes a new lease accounting model for lessees. The updated guidance requires an entity to recognize assets and liabilities arising from a lease for both financing and operating leases, along with additional qualitative and quantitative disclosures. The amended guidance is effective for fiscal years, and interim periods within those years, beginning after December 15, 2018, with early adoption permitted. The Company plans to adopt this ASU on January 1, 2019. The Company is currently evaluating the impact of the adoption of this standard on its financial statements. However, the Company expects the adoption of this accounting guidance to result in an increase in lease assets and a corresponding increase in lease liabilities on its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Management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amounts within the statements of operations for the prior periods have been reclassified to conform with the current period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impact on the Company's previously reported financial position or cash flows for any of the periods presented.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NOTE 3. CASH AND CASH EQUIVALENTS</w:t>
            </w: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120" w:type="dxa"/>
            <w:vAlign w:val="bottom"/>
            <w:gridSpan w:val="2"/>
          </w:tcPr>
          <w:p>
            <w:pPr>
              <w:ind w:left="660"/>
              <w:spacing w:after="0"/>
              <w:rPr>
                <w:sz w:val="20"/>
                <w:szCs w:val="20"/>
                <w:color w:val="auto"/>
              </w:rPr>
            </w:pPr>
            <w:r>
              <w:rPr>
                <w:rFonts w:ascii="Arial" w:cs="Arial" w:eastAsia="Arial" w:hAnsi="Arial"/>
                <w:sz w:val="18"/>
                <w:szCs w:val="18"/>
                <w:color w:val="auto"/>
              </w:rPr>
              <w:t>Cash and cash equivalents consist of the following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3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560" w:type="dxa"/>
            <w:vAlign w:val="bottom"/>
            <w:tcBorders>
              <w:bottom w:val="single" w:sz="8" w:color="CCEEFF"/>
            </w:tcBorders>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Demand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54,092</w:t>
            </w:r>
          </w:p>
        </w:tc>
        <w:tc>
          <w:tcPr>
            <w:tcW w:w="100" w:type="dxa"/>
            <w:vAlign w:val="bottom"/>
            <w:shd w:val="clear" w:color="auto" w:fill="CCEEFF"/>
          </w:tcPr>
          <w:p>
            <w:pPr>
              <w:spacing w:after="0"/>
              <w:rPr>
                <w:sz w:val="18"/>
                <w:szCs w:val="18"/>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Cash equivalents - Money market funds</w:t>
            </w: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91,520</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91,281</w:t>
            </w:r>
          </w:p>
        </w:tc>
      </w:tr>
      <w:tr>
        <w:trPr>
          <w:trHeight w:val="210"/>
        </w:trPr>
        <w:tc>
          <w:tcPr>
            <w:tcW w:w="81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 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and fair value of cash equivalents at March 31, 2018 and December 31, 2017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As of March 31, 2018</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91,520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91,281</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0"/>
              </w:rPr>
              <w:t>91,281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340" w:type="dxa"/>
            <w:vAlign w:val="bottom"/>
          </w:tcPr>
          <w:p>
            <w:pPr>
              <w:spacing w:after="0"/>
              <w:rPr>
                <w:sz w:val="24"/>
                <w:szCs w:val="24"/>
                <w:color w:val="auto"/>
              </w:rPr>
            </w:pPr>
          </w:p>
        </w:tc>
        <w:tc>
          <w:tcPr>
            <w:tcW w:w="7680" w:type="dxa"/>
            <w:vAlign w:val="bottom"/>
            <w:gridSpan w:val="9"/>
          </w:tcPr>
          <w:p>
            <w:pPr>
              <w:ind w:left="360"/>
              <w:spacing w:after="0"/>
              <w:rPr>
                <w:sz w:val="20"/>
                <w:szCs w:val="20"/>
                <w:color w:val="auto"/>
              </w:rPr>
            </w:pPr>
            <w:r>
              <w:rPr>
                <w:rFonts w:ascii="Arial" w:cs="Arial" w:eastAsia="Arial" w:hAnsi="Arial"/>
                <w:sz w:val="18"/>
                <w:szCs w:val="18"/>
                <w:color w:val="auto"/>
                <w:w w:val="92"/>
              </w:rPr>
              <w:t>At March 31, 2018 and December 31, 2017, the Company did not have any short-term investments.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NOTE 4. BALANCE SHEET COMPONENTS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4980" w:type="dxa"/>
            <w:vAlign w:val="bottom"/>
            <w:gridSpan w:val="3"/>
          </w:tcPr>
          <w:p>
            <w:pPr>
              <w:ind w:left="320"/>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2,613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Legal and related services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34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3,310</w:t>
            </w:r>
          </w:p>
        </w:tc>
      </w:tr>
      <w:tr>
        <w:trPr>
          <w:trHeight w:val="216"/>
        </w:trPr>
        <w:tc>
          <w:tcPr>
            <w:tcW w:w="34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Manufacturing related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340" w:type="dxa"/>
            <w:vAlign w:val="bottom"/>
          </w:tcPr>
          <w:p>
            <w:pPr>
              <w:spacing w:after="0"/>
              <w:rPr>
                <w:sz w:val="18"/>
                <w:szCs w:val="18"/>
                <w:color w:val="auto"/>
              </w:rPr>
            </w:pPr>
          </w:p>
        </w:tc>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30"/>
        </w:trPr>
        <w:tc>
          <w:tcPr>
            <w:tcW w:w="340" w:type="dxa"/>
            <w:vAlign w:val="bottom"/>
          </w:tcPr>
          <w:p>
            <w:pPr>
              <w:spacing w:after="0"/>
              <w:rPr>
                <w:sz w:val="19"/>
                <w:szCs w:val="19"/>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Accrued other</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496</w:t>
            </w:r>
          </w:p>
        </w:tc>
      </w:tr>
      <w:tr>
        <w:trPr>
          <w:trHeight w:val="210"/>
        </w:trPr>
        <w:tc>
          <w:tcPr>
            <w:tcW w:w="34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8,660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are $172.5 million, with net proceeds to the Company of $162.0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certificate of incorporation authorizes the issuance of up to 50,000,000 shares of “blank check” preferred stock. At March 31, 2018 and December 31, 2017, 17,000 shares have been designated as Series A Convertible Preferred Stock and 11,500,000 designated as Series B Convertible Preferred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Series A 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total of 17,000 shares of Series A Convertible Preferred Stock (“Series A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Preferred Stock may, at the option of each investor, be converted into fully paid and non-assessable shares of common stock. The holders of shares of Series A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 The common shares issued were determined on a formula basis of 500 common shares for each share of Series A Preferred Stock converted.</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2018, no shares of Series A Preferred stock were converted into common stock. At March 31, 2018, 1,694 shares of Series A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total of 11,500,000 shares of Series B Preferred Stock are authorized for issuance under the Company’s Series B Certificate of Designation of Rights, Preferences and Privileges of Series B Preferred Stock. The shares of Series B Preferred Stock have a stated value of $4.75 per share and are convertible into shares of the Company’s common stock at an initial conversion price of $4.75 per share.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Holders of the Series B Preferred Stock are entitled to dividends on an as-if-converted basis in the same form as any dividends actually paid on shares of the Company’s Series A Preferred Stock or the Company’s common stock. So long as any Series B Preferred Stock remains outstanding, the Company may not redeem, purchase or otherwise acquire any material amount of our Series A Preferred Stock or any securities junior to the Series B Preferred Stock.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2018 and 2017, no Series B Preferred Stock was converted into common stock. At March 31, 2018, 7,378,241 shares of Series B Preferred Stock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warrant activity for the three months ended March 31, 2018:</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Under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Intrinsic</w:t>
            </w: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Warrants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3"/>
              </w:rPr>
              <w:t>Life</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6,301,216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Issued</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(730,381)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5,570,835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0.6 years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80,220,024</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reflects the total pretax intrinsic value (the difference between the Company’s closing stock price on the last day of the quarter ended March 31, 2018 and the exercise price of the warrants, multiplied by the number of in-the-money warrants) that would have been received by the warrant holders had all warrant holders exercised their warrants on March 31, 2018. The intrinsic value of the Company’s warrants changes based on the closing price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March 31, 2018, 542,490 shares were available for future grant under the 2011 Plan.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29"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color w:val="auto"/>
        </w:rPr>
        <w:t>On September 19, 2014, the Company’s Board of Directors (the “Board”) adopted the Iovance Biotherapeutics, Inc. 2014 Equity Incentive Plan (the “2014 Plan”). The 2014 Plan was approved by the Company’s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16, 2016, the Company’s stockholders approved the increase of the total number of shares that can be issued under the 2014 Plan from 4,000,000 shares to 9,000,000 shares of the Company’s common stock. At March 31, 2018, 985,222 shares were available for grant under the Company’s 2014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June 1, 2016, the Company entered into a restricted stock unit agreement with the Company’s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vest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March 31, 2018, 103,123 restricted stock units remained unvested.</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Stock-based compensation expense for restricted stock units is measured based on the closing fair market value of the Company's common stock on the date of grant. The stock based compensation expense relating to restricted stock units was $0.1 million and $0.6 million for the three months ended March 31, 2018 and 2017, respectively, and recorded as part of research and development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2018, there is $0.6 million of total unrecognized compensation expense related to the non-vested restricted stock units to be recognized over a weighted average period of 2.17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options activity for the three months ended March 31, 2018:</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of</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Contract Life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6,072,368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1,637,020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15.83</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(703,071)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8.01</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Expired/Forfeited</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(55,250)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7.97</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6,951,067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w:t>
            </w:r>
          </w:p>
        </w:tc>
        <w:tc>
          <w:tcPr>
            <w:tcW w:w="14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w:t>
            </w: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54,934,273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2018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2,556,831</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24,088,155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recorded stock-based compensation costs related to options of $4.1 million and $2.7 million for the three months ended March 31, 2018 and 2017, respectively. As of March 31, 2018, there was $40.7 million of total unrecognized compensation expense related to the options to be recognized over a weighted average period of 2.3 years.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grant date fair value per share of options granted under the 2011 and 2014 Plan was $15.52 and $7.36 for the three months ended March 31, 2018 and 2017,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Options for 703,071 shares and 40,257 shares of our common stock were exercised during the three months ended March 31, 2018 and 2017, with an intrinsic value of $6.3 million and $0.1 million,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59" w:lineRule="auto"/>
        <w:rPr>
          <w:sz w:val="20"/>
          <w:szCs w:val="20"/>
          <w:color w:val="auto"/>
        </w:rPr>
      </w:pPr>
      <w:r>
        <w:rPr>
          <w:rFonts w:ascii="Arial" w:cs="Arial" w:eastAsia="Arial" w:hAnsi="Arial"/>
          <w:sz w:val="18"/>
          <w:szCs w:val="18"/>
          <w:color w:val="auto"/>
        </w:rPr>
        <w:t>The aggregate intrinsic value in the table reflects the total pretax intrinsic value (the difference between the Company’s closing stock price on the last trading day of the quarter ended March 31, 2018 and the exercise price of the options, multiplied by the number of in-the-money stock options) that would have been received by the option holders had all option holders exercised their options on March 31, 2018. The intrinsic value of the Company’s stock options changes based on the closing price of the Company’s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issued during the three months ended March 31, 2018 and 2017 was estimated at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The weighted average assumptions used in the Black-Scholes calculation are presented below:</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3960" w:type="dxa"/>
            <w:vAlign w:val="bottom"/>
            <w:gridSpan w:val="5"/>
          </w:tcPr>
          <w:p>
            <w:pPr>
              <w:ind w:left="760"/>
              <w:spacing w:after="0"/>
              <w:rPr>
                <w:sz w:val="20"/>
                <w:szCs w:val="20"/>
                <w:color w:val="auto"/>
              </w:rPr>
            </w:pPr>
            <w:r>
              <w:rPr>
                <w:rFonts w:ascii="Arial" w:cs="Arial" w:eastAsia="Arial" w:hAnsi="Arial"/>
                <w:sz w:val="18"/>
                <w:szCs w:val="18"/>
                <w:b w:val="1"/>
                <w:bCs w:val="1"/>
                <w:color w:val="auto"/>
              </w:rPr>
              <w:t>Three months ended March 31,</w:t>
            </w:r>
          </w:p>
        </w:tc>
      </w:tr>
      <w:tr>
        <w:trPr>
          <w:trHeight w:val="234"/>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Assumptions:</w:t>
            </w:r>
          </w:p>
        </w:tc>
        <w:tc>
          <w:tcPr>
            <w:tcW w:w="192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2017</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5.13 – 6.50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5.44 – 6.50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jc w:val="right"/>
              <w:spacing w:after="0"/>
              <w:rPr>
                <w:sz w:val="20"/>
                <w:szCs w:val="20"/>
                <w:color w:val="auto"/>
              </w:rPr>
            </w:pPr>
            <w:r>
              <w:rPr>
                <w:rFonts w:ascii="Arial" w:cs="Arial" w:eastAsia="Arial" w:hAnsi="Arial"/>
                <w:sz w:val="18"/>
                <w:szCs w:val="18"/>
                <w:color w:val="auto"/>
              </w:rPr>
              <w:t>170.85%</w:t>
            </w:r>
          </w:p>
        </w:tc>
        <w:tc>
          <w:tcPr>
            <w:tcW w:w="1020" w:type="dxa"/>
            <w:vAlign w:val="bottom"/>
          </w:tcPr>
          <w:p>
            <w:pPr>
              <w:ind w:left="20"/>
              <w:spacing w:after="0"/>
              <w:rPr>
                <w:sz w:val="20"/>
                <w:szCs w:val="20"/>
                <w:color w:val="auto"/>
              </w:rPr>
            </w:pPr>
            <w:r>
              <w:rPr>
                <w:rFonts w:ascii="Arial" w:cs="Arial" w:eastAsia="Arial" w:hAnsi="Arial"/>
                <w:sz w:val="18"/>
                <w:szCs w:val="18"/>
                <w:color w:val="auto"/>
              </w:rPr>
              <w:t>- 200.28%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190.46%</w:t>
            </w:r>
          </w:p>
        </w:tc>
        <w:tc>
          <w:tcPr>
            <w:tcW w:w="1040" w:type="dxa"/>
            <w:vAlign w:val="bottom"/>
          </w:tcPr>
          <w:p>
            <w:pPr>
              <w:ind w:left="40"/>
              <w:spacing w:after="0"/>
              <w:rPr>
                <w:sz w:val="20"/>
                <w:szCs w:val="20"/>
                <w:color w:val="auto"/>
              </w:rPr>
            </w:pPr>
            <w:r>
              <w:rPr>
                <w:rFonts w:ascii="Arial" w:cs="Arial" w:eastAsia="Arial" w:hAnsi="Arial"/>
                <w:sz w:val="18"/>
                <w:szCs w:val="18"/>
                <w:color w:val="auto"/>
              </w:rPr>
              <w:t>- 206.08%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- 2.34%</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2"/>
          </w:tcPr>
          <w:p>
            <w:pPr>
              <w:jc w:val="right"/>
              <w:ind w:right="75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940" w:type="dxa"/>
            <w:vAlign w:val="bottom"/>
            <w:gridSpan w:val="2"/>
          </w:tcPr>
          <w:p>
            <w:pPr>
              <w:jc w:val="right"/>
              <w:ind w:right="770"/>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terms of the CRADA, we are currently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During the three months ended March 31, 2018 and 2017, the Company recorded costs associated with the CRADA of $0.5 million, respectively, as research and development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(the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Moffitt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 license agreement with Moffitt (the “Moffitt License”), effective as of June 28, 2014, under which the Company received a world-wide license to Moffitt’s rights to patent-pending technologies related to methods for improving TIL for adoptive cell therapy. Unless earlier terminated, the term of the license extends until the earlier of the expiration of the last issued patent related to the licensed technology or 20 years after the effective date of the license agreement. The Company recorded costs associated with Moffitt of $0.6 million and $0.6 million for the three months ended March 31, 2018 and 2017, respectively, as research and development expenses.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 Moffitt License, the Company paid an upfront licensing fee in the amount of $0.1 million. A patent issuance fee will also be payable under the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related to the treatment of any cancers in the United States, Europe and Japan and in other countries designated by the Company in agreement with Moffitt.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reimbursed PolyBioCept up to $0.2 million in expenses related to the transfer of know-how and paid PolyBioCept $0.1 million as a clinical trials management fee. The Company also separately engaged PolyBioCept as a consultant to provide certain product development and research related services in a one-year agreement for up to $0.2 million, subject to the consent of the Karolinska Institute to the services to be performed by its employees thereunder. The PolyBioCept Agreement has an initial term of 30 years, and may be extended for additional five-year periods. During the three months ended March 31, 2018 and 2017 the Company recorded zero and $0.2 million associated with the PolyBioCept Agreement, respectively, as research and development expenses.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Karolinska University Hospital and Karolinska Institute Agreements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The Company agreed to enter into the sponsored research agreement within 90 days after the date of the PolyBioCept Agreement, which date has been extended by amendments to the PolyBioCept Agreement. Failure to enter into the sponsored research agreement or further amend the PolyBioCept Agreement will give PolyBioCept the right to terminate the PolyBioCept Agreement, while the Company will have the right to recoup $2.2 million of the payments it made under the PolyBioCept Agreement. The Company will pay the Karolinska Institute an additional $2.6 million in connection with these other related agreements. In the year ended December 31, 2016, the Company paid Karolinska University Hospital $1.6 million under the clinical trials agreement to conduct the clinical trials. The $1.6 million payment was classified as prepaid expense and is being amortized over the period the related services are rendered. At March 31, 2018, $1.2 million remained as prepaid expense on the consolidated balance sheet. As of April 9, 2018, the Company terminated the clinical trials agreement with the Karolinska University Hospital.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the Company will acquire all rights to inventions resulting from the studies and has been granted a non-exclusive, sub-licensable, royalty-free, and perpetual license to specified background intellectual property of M.D. Anderson reasonably necessary to exploit, including the commercialization thereof. The Company has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 In May 2017, the Company paid $1.4 million under this agreement. This amount was recorded as a long-term prepaid asset at December 31, 2017 on the consolidated balance sheet, and reclassified to short-term at March 31, 2018 based on planned enrollment and other factors. The Company has not recorded any expense associated with the M.D. Anderson SAA for the three months ended March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2015, the Company entered into a collaboration agreement (the “MedImmune Agreement”) with MedImmune, the global biologics research and development arm of AstraZeneca (“MedImmune”), to conduct clinical and preclinical research in immuno-oncology. Under the MedImmune Agreement, the Company will fund and conduct at least one clinical trial combining MedImmune's PD-L1 inhibitor, durvalumab, with TIL for the treatment of patients. MedImmune will supply durvalumab for the clinical trials. The purpose of the studies is to establish a dosing regimen for this combination therapy and assess its safety and efficacy. The Company has not recorded any expense associated with the MedImmune Agreement for the three months ended March 31, 2018 and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2016, the Company entered into a three-year manufacturing and services agreement (“MSA”) with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facility for a late stage/commercial manufacturing cGMP suite requires the Company to pay approximately $5.85 million during the first year of the agreement. The Company and WuXi have extended the term of the related statements of work until May 2020. During the three months ended March 31, 2018 and 2017, the Company recorded costs associated with agreements with WuXi of $2.8 million and $4.2 million, respectively, as research and development expenses.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Class Action Lawsuit and Derivative Lawsuits</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against our company and three of our former officers and directors. On April 19, 2017, a second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SEC investigation. On February 5, 2018, the court entered an order dismissing two of Plaintiff’s six claims.</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on behalf of the Company, against the Company, as nominal defendant, and certain of the Company’s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and our April 10, 2017 settlement thereof, and seeks unspecified damages on behalf of our company and injunctive relief.</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Lion Biotechnologies, Inc. </w:t>
      </w:r>
      <w:r>
        <w:rPr>
          <w:rFonts w:ascii="Arial" w:cs="Arial" w:eastAsia="Arial" w:hAnsi="Arial"/>
          <w:sz w:val="16"/>
          <w:szCs w:val="16"/>
          <w:color w:val="auto"/>
        </w:rPr>
        <w:t>was filed by Solomon Capital, LLC, Solomon Capital 401(k) Trust, Solomon Sharbat and Shelhav Raff against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the Company’s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certain counterclaims by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32"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2014, the Company commenced a five-year non-cancellable operating lease with the University of South Florida Research Foundation for a 5,115-square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November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April 28, 2017, the Company entered into a sublease agreement with Teradata US, Inc., pursuant to which the Company agreed to sublease certain office space located adjacent to the Company's headquarters in San Carlos, California. The space consists of approximately 11,449 rentable square feet in the building located in San Carlos, California and will expire on October 31, 2018. Monthly lease payments are approximately $26,000.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leased office space in New York for a monthly rental of approximately $18,000 a month through July 2017. On June 5, 2017, the Company entered into an agreement whereby the Company will lease office space from August 1, 2017 to July 31, 2018 for approximately $9,000 a month. The Company recognizes rental expense on the facilities on a straight-line basis over the lease term. Differences between the straight-line rent expense and rent payments are classified as deferred rent liability on the balance sheet.</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 of March 31, 2018, the Company's future minimum lease payments under non-cancelable operating leases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r>
      <w:tr>
        <w:trPr>
          <w:trHeight w:val="216"/>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972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Commitments</w:t>
            </w:r>
          </w:p>
        </w:tc>
      </w:tr>
      <w:tr>
        <w:trPr>
          <w:trHeight w:val="210"/>
        </w:trPr>
        <w:tc>
          <w:tcPr>
            <w:tcW w:w="9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nine months)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0"/>
        </w:trPr>
        <w:tc>
          <w:tcPr>
            <w:tcW w:w="9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$0.3 million and $0.2 million for the three months ended March 31,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Sanford J. Hillsberg, one of the Company’s directors, is an attorney at TroyGould PC. TroyGould PC rendered and continues to render legal services to the Company. The Company paid TroyGould PC $0.1 million and $0.2 million for the three months ended March 31, 2018 and 2017, respectively. Mr. Hillsberg did not directly provide any legal services to the Company during the periods noted. As of March 31, 2018, the Company had $0.1 million in liabilities owing to TroyGould PC related to legal services. In 2018, Mr. Hillsberg notified the Company he will not stand for reelection to the Board of Directors at the Annual Meeting of Shareholders.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Company’s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$0.4 million of stock based compensation expenses relating to this consulting agreement for the three months ended March 31,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Iovance Biotherapeutics,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March 31, 2018 and results of operations for the three months ended March 31, 2018 and 2017, should be read in conjunction with management’s discussion and analysis of financial condition and results of operations included in our Annual Report on Form 10-K for the year ended December 31, 2017 which was filed with the SEC on March 12,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2017.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product candidate, LN-144 for metastatic melanoma, is an autologous adoptive cell therapy utilizing tumor-infiltrating lymphocytes, or TIL, which are T cells derived from patients’ tumors. TIL therapy is a platform technology that has already been studied for the treatment of metastatic melanoma and metastatic cervical cancer by the National Cancer Institute, or NCI. We are investigating the effectiveness and safety of TIL therapy for the treatment of metastatic melanoma, squamous cell carcinoma of the head and neck, cervical carcinoma, and metastatic non-small cell lung cancer, as well as other oncology indications.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an on-going Phase 2 clinical trial, C-144-01, of our lead product candidate, LN-144, TIL for the treatment of metastatic melanoma. This multicenter study is enrolling patients with melanoma whose disease has progressed following treatment with at least one systemic therapy, including anti-PD-1 and if BRAF mutated, a BRAF inhibitor. We anticipate initiating patient dosing in Europe during 2018. The purpose of the study is to evaluate the efficacy and safety of our autologous LN-144. We have decided to use our Gen 2 manufacturing process for all ongoing Phase 2 trials and in all future TIL clinical development in trials sponsored by us, and as a result, cohort 1 of the C-144-01 melanoma study is closed to enrollment, and new patients are being enrolled in cohort 2. The planned enrollment in C-144-01 has been increased to 85.</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our ongoing trial in metastatic melanoma, we have initiated clinical trials of LN-145, TIL therapy in cervical, head and neck cancers, and non-small cell lung cancer, or NSCLC. C-145-03 is a Phase 2, multicenter study that will enroll up to 47 patients and will assess the safety and efficacy of LN-145 for the treatment of patients with recurrent and/or metastatic squamous cell carcinoma of the head and neck. In January 2018, we reported preliminary data from C-145-03 which showed that eights patients that were currently evaluable and three patients treated with LN-145 had confirmed partial responses. The trial will therefore continue to enroll patients to the full sample size of 47 per protocol. The study is open for enrollment of patients in the United States. C-145-04 is a Phase 2, multicenter study that will enroll up to 47 patients if the pre-defined criteria for Simon’s two stage design is triggered, and will assess the safety and efficacy of LN-145 for the treatment of patients with recurrent, metastatic or persistent cervical carcinoma. In January 2018, we reported preliminary data from C-145-04 which showed that of the two patients that are currently evaluable, one treated with LN-145 had a confirmed PR and one patient had stable disease. We have amended the protocol so that newly-enrolled patients in both trials can be treated using TIL produced from our Gen 2 manufacturing process.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initiating our clinical development around NSCLC, with two studies. One of the studies is an investigator-sponsored Phase 2 study currently underway H. Lee Moffitt Cancer Center and Research Institute, or Moffitt, and the other will be sponsored by our company. Patient enrollment began in the fourth quarter of 2018 in the investigator-sponsored study in collaboration with researchers at Moffitt, Stand Up To Cancer, and others. Patients who are treatment naïve to prior anti-PD-1/ PD-L1 with stage IV or recurrent NSCLC will be enrolled in a study combining TIL and nivolumab. The Iovance-sponsored Phase 2 study in NSCLC patients who are PD-1 and PD-L1 treatment naïve, will initiate in the first half of 2018, in collaboration with MedImmune, the global biologics research and development arm of AstraZeneca. The study with MedImmune will allow for enrollment with LN-145 alone or in combination with durvalumab.</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ind w:firstLine="648"/>
        <w:spacing w:after="0" w:line="312" w:lineRule="auto"/>
        <w:rPr>
          <w:sz w:val="20"/>
          <w:szCs w:val="20"/>
          <w:color w:val="auto"/>
        </w:rPr>
      </w:pPr>
      <w:r>
        <w:rPr>
          <w:rFonts w:ascii="Arial" w:cs="Arial" w:eastAsia="Arial" w:hAnsi="Arial"/>
          <w:sz w:val="16"/>
          <w:szCs w:val="16"/>
          <w:color w:val="auto"/>
        </w:rPr>
        <w:t>We are also initiating clinical trials as part of our strategic alliance with The University of Texas M.D. Anderson Cancer Center, or M.D. Anderson, in multiple solid tumor cancers using two different TIL manufacturing processes, including our Gen 2 manufacturing process. These multi-arm clinical trials will evaluate the safety and efficacy of TIL therapy in ovarian cancer, various sarcomas, and pancreatic cancer, and are expected to begin enrollment in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product candidate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917565" cy="1166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756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collaboration pipeline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917565" cy="1466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756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studies listed in our collaboration pipeline table, the partner listed above is the sponsor of the clinical trial. Such partner may not use our Gen 2 manufacturing process, and/or the therapeutic dosing may differ from our clinical trials. As a result, such partner data may not be representative of our data. As of April 9, 2018, the Company terminated the clinical trials agreement with the Karolinska University Hospital.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yet generated any revenues from our biotechnology business or otherwise since our formation. We currently do not anticipate that we will generate any revenues during 2018 from the sale or licensing of our products. Our ability to generate revenues in the future will depend on our ability to complete the development of our product candidates and to obtain regulatory approval for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4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9"/>
              </w:rPr>
              <w:t>Three Month Ended March 31,</w:t>
            </w:r>
          </w:p>
        </w:tc>
        <w:tc>
          <w:tcPr>
            <w:tcW w:w="28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included in research and development</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for the three months ended March 31, 2018 increased by $4.3 million, or 28%, compared to the three months ended March 31, 2017. The increase was primarily attributable to a $2.2 million increase in payroll related expenses and consulting fees due to higher head count and dedicated consultants as the Company expanded its research efforts and clinical development programs, and $2.0 million increase attributable to higher clinical trial costs due to an increase in patient enrollment and an increase in the number of clinical sites in the clinical trial of our lead product candidate, LN-144, for the treatment of metastatic melanoma, and the initiation of clinical trials of LN-145 for the treatment of cervical, head and neck cancers in 2017. These increases were partially offset by a $1.0 million decrease in manufacturing costs due to higher costs in 2017 related to technical transfer activities.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the cost to manufacture product and other drugs used in the clinical trial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(in thousands)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4"/>
              </w:rPr>
              <w:t>Three Month Ended March 31,</w:t>
            </w:r>
          </w:p>
        </w:tc>
        <w:tc>
          <w:tcPr>
            <w:tcW w:w="28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3"/>
              </w:rPr>
              <w:t>Stock-based compensation expense included in general and administrative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for the three months ended March 31, 2018 increased by $1.7 million, or 32%, compared to the three months ended March 31, 2017. The increase was primarily attributable to a $0.9 million increase in payroll related expenses due to an increase in head count and a $0.6 million increase in professional service and legal expenses primarily to support the expansion of the Company’s intellectual property portfolio and for matters related to ongoing litigation.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General and administrative expenses include personnel costs for our employees engaged in general and administrative activities, legal fees, audit and tax fees, consultants and professional services, and general corporate expenses. We expect that general and administrative expenses will increase in the future as we support our expansion of research and development activities and incur additional costs associated with being a public company. These public company related increases will likely include, but not be limited to, investor and public relations expenses and legal and accounting related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940" w:type="dxa"/>
            <w:vAlign w:val="bottom"/>
            <w:gridSpan w:val="7"/>
          </w:tcPr>
          <w:p>
            <w:pPr>
              <w:ind w:left="160"/>
              <w:spacing w:after="0"/>
              <w:rPr>
                <w:sz w:val="20"/>
                <w:szCs w:val="20"/>
                <w:color w:val="auto"/>
              </w:rPr>
            </w:pPr>
            <w:r>
              <w:rPr>
                <w:rFonts w:ascii="Arial" w:cs="Arial" w:eastAsia="Arial" w:hAnsi="Arial"/>
                <w:sz w:val="18"/>
                <w:szCs w:val="18"/>
                <w:b w:val="1"/>
                <w:bCs w:val="1"/>
                <w:color w:val="auto"/>
              </w:rPr>
              <w:t>Three Month Ended March 31,</w:t>
            </w:r>
          </w:p>
        </w:tc>
        <w:tc>
          <w:tcPr>
            <w:tcW w:w="2860" w:type="dxa"/>
            <w:vAlign w:val="bottom"/>
            <w:gridSpan w:val="4"/>
          </w:tcPr>
          <w:p>
            <w:pPr>
              <w:ind w:left="60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color w:val="auto"/>
        </w:rPr>
        <w:t>Interest income results from our interest-bearing cash and money-market account. Interest income for the three months ended March 31, 2018 increased due primarily to higher cash balances from the common stock public offering in January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$26.5 million and $20.7 million for the three months ended March 31, 2018 and 2017, respectively. The increase in our net losses in 2018 are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Corporate Capitalization</w:t>
      </w:r>
      <w:r>
        <w:rPr>
          <w:rFonts w:ascii="Arial" w:cs="Arial" w:eastAsia="Arial" w:hAnsi="Arial"/>
          <w:sz w:val="18"/>
          <w:szCs w:val="18"/>
          <w:color w:val="auto"/>
        </w:rPr>
        <w:t>. As of March 31, 2018, we had outstanding 89,615,417 shares of our $0.000041666 par value common stock, 1,694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$0.001 par value Series A Convertible Preferred Stock, and 7,378,241 shares of our $0.001 par value Series B Convertible Preferred Stock. The outstanding shares of Series A Convertible Preferred Stock are currently convertible into 847,000 shares of our common stock, and the outstanding shares of Series B Convertible Preferred Stock are currently convertible into 7,378,241 shares of our common stock. The shares of Series A Convertible Preferred Stock and Series B Convertible Preferred Stock do not have voting rights or accrue dividends.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(both common stock and preferred stock), from option and warrant exercises, and from interest income.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28, 2017, we filed a shelf registration statement with the SEC for the issuance of common stock, preferred stock, warrants, rights, debt securities and units up to an aggregate amount of $250 million, of which $42.5 million consists of unsold securities previously registered under the 2016 Shelf Registration Statement (see below), and which we refer to as the 2017 Shelf Registration Statement. The 2017 Registration Statement was declared effective on January 19, 2018. We completed an offering of common stock in January 2018 utilizing the 2017 Shelf Registration Statement (see below). In the future, we may periodically offer one or more of these securities in amounts, prices and terms to be announced when and if the securities are offered. At the time, any of the securities covered by the 2017 Shelf Registration Statement are offered for sale, a prospectus supplement will be prepared and filed with the SEC containing specific information about the terms of any such offering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2017, we sold 8,846,154 shares of its common stock in an underwritten public offering at a public offering price of $6.50 per share. We received gross proceeds of approximately $57.5 million and net proceeds of approximately $53.8 million, after deducting underwriting discounts and offering expenses.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January 2018, we sold 15,000,000 shares of our common stock at a public offering price of $11.50 per share. We received gross proceeds of approximately $172.5 million and net proceeds of approximately $162.0 million, after deducting underwriting discounts and offering expenses.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2018 from the sale or licensing of any products. We have incurred a net loss of $26.5 million for the three months ended March 31, 2018 and used $17.8 million of cash in our operating activities during the three months ended March 31, 2018. As of March 31, 2018, we had $297.1 million of cash and cash equivalents and stockholders’ equity of $292.6 million and had working capital of $288.0 million.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the remainder of 2018 and beyond. Specifically, we expect increased spending on clinical trials, manufacturing capacity, research and development activities, and higher payroll expenses as we increase our professional and scientific staff. However, based on the funds we have available; we believe that we have sufficient capital to fund our anticipated operating expenses for the next 24 months from the date of filing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2018, we had no obligations that would require disclosure as off-balance sheet arrangements.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86" w:lineRule="auto"/>
        <w:rPr>
          <w:sz w:val="20"/>
          <w:szCs w:val="20"/>
          <w:color w:val="auto"/>
        </w:rPr>
      </w:pPr>
      <w:r>
        <w:rPr>
          <w:rFonts w:ascii="Arial" w:cs="Arial" w:eastAsia="Arial" w:hAnsi="Arial"/>
          <w:sz w:val="17"/>
          <w:szCs w:val="17"/>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and a mutual fund consisting of short-term debt securities issued by the U.S. government. The primary objective of our investment activities is to preserve principal. At March 31, 2018, we do not have any marketable securities, and therefore we believe that we are not exposed to any material market risk. We do not have any derivative financial instruments or foreign currency instruments. If interest rates had varied by 10% in the three months ended March 31, 2018, it would not have had a material effect on our results of operations or cash flows for that period.</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March 31, 2018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u w:val="single" w:color="auto"/>
          <w:color w:val="auto"/>
        </w:rPr>
        <w:t>Class Action Lawsuit and Derivative Lawsuits</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3:17-cv-2086) against our company and three of our former officers and directors. On April 19, 2017, a second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 entered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SEC investigation. On February 5, 2018, the court entered an order dismissing two of Plaintiff’s six claims.</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on behalf of the Company, against the Company, as nominal defendant, and certain of the Company’s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and our April 10, 2017 settlement thereof, and seeks unspecified damages on behalf of our company and injunctive relief.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8"/>
          <w:szCs w:val="18"/>
          <w:i w:val="1"/>
          <w:iCs w:val="1"/>
          <w:color w:val="auto"/>
        </w:rPr>
        <w:t>In the Matter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Stock Promotions </w:t>
      </w:r>
      <w:r>
        <w:rPr>
          <w:rFonts w:ascii="Arial" w:cs="Arial" w:eastAsia="Arial" w:hAnsi="Arial"/>
          <w:sz w:val="18"/>
          <w:szCs w:val="18"/>
          <w:color w:val="auto"/>
        </w:rPr>
        <w:t>investigation and the Company’s April 10, 2017 settlement thereof, and seeks unspecified damages on behalf of our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w:t>
      </w:r>
      <w:r>
        <w:rPr>
          <w:rFonts w:ascii="Arial" w:cs="Arial" w:eastAsia="Arial" w:hAnsi="Arial"/>
          <w:sz w:val="16"/>
          <w:szCs w:val="16"/>
          <w:i w:val="1"/>
          <w:iCs w:val="1"/>
          <w:color w:val="auto"/>
        </w:rPr>
        <w:t>Solomon Capital, LLC, Solomon Capital 401(K) Trust, Solomon Sharbat and Shelhav Raff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Lion Biotechnologies, Inc. </w:t>
      </w:r>
      <w:r>
        <w:rPr>
          <w:rFonts w:ascii="Arial" w:cs="Arial" w:eastAsia="Arial" w:hAnsi="Arial"/>
          <w:sz w:val="16"/>
          <w:szCs w:val="16"/>
          <w:color w:val="auto"/>
        </w:rPr>
        <w:t>was filed by Solomon Capital, LLC, Solomon Capital 401(k) Trust, Solomon Sharbat and Shelhav Raff against the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the Company’s common stock in the restructuring that was effected in May 2013. Based on the foregoing, the plaintiffs allege causes for breach of contract and unjust enrichment and demand judgment against the Company in an unspecified amount exceeding $1.5 million, plus interest and attorneys’ fees.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certain counterclaims by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 Maria Fardis</w:t>
      </w:r>
      <w:r>
        <w:rPr>
          <w:rFonts w:ascii="Arial" w:cs="Arial" w:eastAsia="Arial" w:hAnsi="Arial"/>
          <w:sz w:val="17"/>
          <w:szCs w:val="17"/>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Company materials, prohibiting him from disclosing or using Company materials, and granting expedited discovery.</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vigorously defend against Dr. Fischkoff’s lawsuit and pursue the Company’s counterclaims. Based on the very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Annual Report on Form 10-K for the year ended December 31, 2017 filed on March 12, 2018, including our financial statements and related notes, and our other filings from time to time with the SEC.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marked with an asterisk (*) those risk factors below that reflect a substantive change from the risk factors included in our Annual Report on Form 10-K filed with the SEC on March 12,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March 31, 2018, we had an accumulated deficit of $275.7 million. In addition, during the three months ended March 31, 2018, we incurred a net loss of $26.5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sound business plan and research and development strategy, we have only a limited operating history against which we can test our plans and assumptions, and investors therefore cannot evaluate the likelihood of our success. We face the problems, expenses, difficulties, complications and delays normally associated with a small,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no products approved for commercial distribution. We have invested a significant portion of our efforts and financial resources in the development of our current product candidates, LN-144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380" w:hanging="183"/>
        <w:spacing w:after="0" w:line="258"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hire, train, and deploy a sales force or contract with a third party for a sales force to commercialize product candidates in the United States;</w:t>
      </w:r>
    </w:p>
    <w:p>
      <w:pPr>
        <w:spacing w:after="0" w:line="20" w:lineRule="exact"/>
        <w:rPr>
          <w:rFonts w:ascii="Arial" w:cs="Arial" w:eastAsia="Arial" w:hAnsi="Arial"/>
          <w:sz w:val="17"/>
          <w:szCs w:val="17"/>
          <w:color w:val="auto"/>
        </w:rPr>
      </w:pPr>
    </w:p>
    <w:p>
      <w:pPr>
        <w:ind w:left="380" w:hanging="183"/>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manufacture product candidates in sufficient quantities and at acceptable quality and manufacturing cost to meet commercial demand at launch and thereafter;</w:t>
      </w: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product candidates in foreign markets where we receive marketing approval;</w:t>
      </w: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compete with other therapies or competitors; and maintain a continued acceptable safety profile of our product candidates following launch.</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limited experience as a company conducting clinical trials and face risks due to the need to rely on third parties.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2015, all the preclinical and clinical trials relating to our product candidates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Large-scale trials require significant financial and management resources, and reliance on third-party clinical investigators, CROs, CMOs, or consultants. Relying on third-party clinical investigators, CROs or CMOs may force us to encounter delays and challenges that are outside of our control.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71" w:lineRule="auto"/>
        <w:rPr>
          <w:sz w:val="20"/>
          <w:szCs w:val="20"/>
          <w:color w:val="auto"/>
        </w:rPr>
      </w:pPr>
      <w:r>
        <w:rPr>
          <w:rFonts w:ascii="Arial" w:cs="Arial" w:eastAsia="Arial" w:hAnsi="Arial"/>
          <w:sz w:val="17"/>
          <w:szCs w:val="17"/>
          <w:color w:val="auto"/>
        </w:rPr>
        <w:t>We rely on third party CROs and clinical trial sites to conduct, supervise, and monitor our clinical trials for our product candidates. We expect to continue to rely on third parties, such as CROs, clinical data management organizations, medical institutions,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other third parties to distribute our products for the clinical trials that we conduct. Any performance failure on the part of our distributors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r>
        <w:rPr>
          <w:rFonts w:ascii="Arial" w:cs="Arial" w:eastAsia="Arial" w:hAnsi="Arial"/>
          <w:sz w:val="28"/>
          <w:szCs w:val="28"/>
          <w:b w:val="1"/>
          <w:bCs w:val="1"/>
          <w:i w:val="1"/>
          <w:iCs w:val="1"/>
          <w:color w:val="auto"/>
          <w:vertAlign w:val="superscript"/>
        </w:rPr>
        <w:t>*</w:t>
      </w:r>
    </w:p>
    <w:p>
      <w:pPr>
        <w:spacing w:after="0" w:line="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and head and neck cancers. We plan to initiate trials in new indications. Even as these trials progress, issues may arise that could require us to suspend or terminate such clinical trials.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72" w:gutter="0" w:footer="0" w:header="0"/>
        </w:sectPr>
      </w:pPr>
    </w:p>
    <w:bookmarkStart w:id="29" w:name="page30"/>
    <w:bookmarkEnd w:id="29"/>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25" w:lineRule="exact"/>
        <w:rPr>
          <w:rFonts w:ascii="Arial" w:cs="Arial" w:eastAsia="Arial" w:hAnsi="Arial"/>
          <w:sz w:val="18"/>
          <w:szCs w:val="18"/>
          <w:color w:val="auto"/>
        </w:rPr>
      </w:pPr>
    </w:p>
    <w:p>
      <w:pPr>
        <w:ind w:left="183" w:hanging="183"/>
        <w:spacing w:after="0" w:line="308" w:lineRule="auto"/>
        <w:tabs>
          <w:tab w:leader="none" w:pos="183"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146" w:lineRule="exact"/>
        <w:rPr>
          <w:rFonts w:ascii="Arial" w:cs="Arial" w:eastAsia="Arial" w:hAnsi="Arial"/>
          <w:sz w:val="17"/>
          <w:szCs w:val="17"/>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225"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70"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225" w:lineRule="exact"/>
        <w:rPr>
          <w:rFonts w:ascii="Arial" w:cs="Arial" w:eastAsia="Arial" w:hAnsi="Arial"/>
          <w:sz w:val="18"/>
          <w:szCs w:val="18"/>
          <w:color w:val="auto"/>
        </w:rPr>
      </w:pPr>
    </w:p>
    <w:p>
      <w:pPr>
        <w:ind w:left="183" w:right="20"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70"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of failure to reach an agreement on acceptable terms with prospective CROs and clinical study sites, the terms of which can be subject to extensive negotiation and may vary significantly among different CROs and clinical study sites;</w:t>
      </w:r>
    </w:p>
    <w:p>
      <w:pPr>
        <w:spacing w:after="0" w:line="170"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225" w:lineRule="exact"/>
        <w:rPr>
          <w:rFonts w:ascii="Arial" w:cs="Arial" w:eastAsia="Arial" w:hAnsi="Arial"/>
          <w:sz w:val="18"/>
          <w:szCs w:val="18"/>
          <w:color w:val="auto"/>
        </w:rPr>
      </w:pPr>
    </w:p>
    <w:p>
      <w:pPr>
        <w:jc w:val="both"/>
        <w:ind w:left="183" w:hanging="183"/>
        <w:spacing w:after="0" w:line="259"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86"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225"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adding new investigators or clinical trial sites, or withdrawal of clinical trial sites from a study;</w:t>
      </w:r>
    </w:p>
    <w:p>
      <w:pPr>
        <w:spacing w:after="0" w:line="225"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spacing w:after="0" w:line="170"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cGCPs, requirements, or applicable regulatory guidelines in other countries;</w:t>
      </w:r>
    </w:p>
    <w:p>
      <w:pPr>
        <w:spacing w:after="0" w:line="170" w:lineRule="exact"/>
        <w:rPr>
          <w:rFonts w:ascii="Arial" w:cs="Arial" w:eastAsia="Arial" w:hAnsi="Arial"/>
          <w:sz w:val="18"/>
          <w:szCs w:val="18"/>
          <w:color w:val="auto"/>
        </w:rPr>
      </w:pPr>
    </w:p>
    <w:p>
      <w:pPr>
        <w:ind w:left="183" w:right="20"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w:t>
      </w:r>
    </w:p>
    <w:p>
      <w:pPr>
        <w:spacing w:after="0" w:line="170" w:lineRule="exact"/>
        <w:rPr>
          <w:rFonts w:ascii="Arial" w:cs="Arial" w:eastAsia="Arial" w:hAnsi="Arial"/>
          <w:sz w:val="18"/>
          <w:szCs w:val="18"/>
          <w:color w:val="auto"/>
        </w:rPr>
      </w:pPr>
    </w:p>
    <w:p>
      <w:pPr>
        <w:jc w:val="both"/>
        <w:ind w:left="183" w:right="20" w:hanging="183"/>
        <w:spacing w:after="0" w:line="264"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81"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225"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225"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70"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spacing w:after="0" w:line="170"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25" w:lineRule="exact"/>
        <w:rPr>
          <w:rFonts w:ascii="Arial" w:cs="Arial" w:eastAsia="Arial" w:hAnsi="Arial"/>
          <w:sz w:val="18"/>
          <w:szCs w:val="18"/>
          <w:color w:val="auto"/>
        </w:rPr>
      </w:pPr>
    </w:p>
    <w:p>
      <w:pPr>
        <w:ind w:left="183" w:right="20"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spacing w:after="0" w:line="170" w:lineRule="exact"/>
        <w:rPr>
          <w:rFonts w:ascii="Arial" w:cs="Arial" w:eastAsia="Arial" w:hAnsi="Arial"/>
          <w:sz w:val="18"/>
          <w:szCs w:val="18"/>
          <w:color w:val="auto"/>
        </w:rPr>
      </w:pPr>
    </w:p>
    <w:p>
      <w:pPr>
        <w:jc w:val="both"/>
        <w:ind w:left="183" w:hanging="183"/>
        <w:spacing w:after="0" w:line="286" w:lineRule="auto"/>
        <w:tabs>
          <w:tab w:leader="none" w:pos="183" w:val="left"/>
        </w:tabs>
        <w:numPr>
          <w:ilvl w:val="0"/>
          <w:numId w:val="6"/>
        </w:numPr>
        <w:rPr>
          <w:rFonts w:ascii="Arial" w:cs="Arial" w:eastAsia="Arial" w:hAnsi="Arial"/>
          <w:sz w:val="17"/>
          <w:szCs w:val="17"/>
          <w:color w:val="auto"/>
        </w:rPr>
      </w:pPr>
      <w:r>
        <w:rPr>
          <w:rFonts w:ascii="Arial" w:cs="Arial" w:eastAsia="Arial" w:hAnsi="Arial"/>
          <w:sz w:val="17"/>
          <w:szCs w:val="17"/>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65" w:lineRule="exact"/>
        <w:rPr>
          <w:rFonts w:ascii="Arial" w:cs="Arial" w:eastAsia="Arial" w:hAnsi="Arial"/>
          <w:sz w:val="17"/>
          <w:szCs w:val="17"/>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70" w:lineRule="exact"/>
        <w:rPr>
          <w:rFonts w:ascii="Arial" w:cs="Arial" w:eastAsia="Arial" w:hAnsi="Arial"/>
          <w:sz w:val="18"/>
          <w:szCs w:val="18"/>
          <w:color w:val="auto"/>
        </w:rPr>
      </w:pPr>
    </w:p>
    <w:p>
      <w:pPr>
        <w:ind w:left="183" w:hanging="183"/>
        <w:spacing w:after="0"/>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spacing w:after="0" w:line="225" w:lineRule="exact"/>
        <w:rPr>
          <w:rFonts w:ascii="Arial" w:cs="Arial" w:eastAsia="Arial" w:hAnsi="Arial"/>
          <w:sz w:val="18"/>
          <w:szCs w:val="18"/>
          <w:color w:val="auto"/>
        </w:rPr>
      </w:pPr>
    </w:p>
    <w:p>
      <w:pPr>
        <w:ind w:left="183" w:hanging="183"/>
        <w:spacing w:after="0" w:line="277" w:lineRule="auto"/>
        <w:tabs>
          <w:tab w:leader="none" w:pos="18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200" w:lineRule="exact"/>
        <w:rPr>
          <w:sz w:val="20"/>
          <w:szCs w:val="20"/>
          <w:color w:val="auto"/>
        </w:rPr>
      </w:pPr>
    </w:p>
    <w:p>
      <w:pPr>
        <w:spacing w:after="0" w:line="214"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3"/>
          </w:cols>
          <w:pgMar w:left="437" w:top="908" w:right="239" w:bottom="5" w:gutter="0" w:footer="0" w:header="0"/>
        </w:sectPr>
      </w:pPr>
    </w:p>
    <w:bookmarkStart w:id="30" w:name="page31"/>
    <w:bookmarkEnd w:id="30"/>
    <w:p>
      <w:pPr>
        <w:ind w:left="380" w:hanging="183"/>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w:t>
      </w:r>
    </w:p>
    <w:p>
      <w:pPr>
        <w:spacing w:after="0" w:line="225" w:lineRule="exact"/>
        <w:rPr>
          <w:rFonts w:ascii="Arial" w:cs="Arial" w:eastAsia="Arial" w:hAnsi="Arial"/>
          <w:sz w:val="18"/>
          <w:szCs w:val="18"/>
          <w:color w:val="auto"/>
        </w:rPr>
      </w:pPr>
    </w:p>
    <w:p>
      <w:pPr>
        <w:ind w:left="380" w:hanging="183"/>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 of our manufacturing processes to our contract manufacturers or other larger-scale facilities operated by a CMO and delays or failure by our CMOs or us to make any necessary changes to such manufacturing process; and</w:t>
      </w:r>
    </w:p>
    <w:p>
      <w:pPr>
        <w:spacing w:after="0" w:line="170" w:lineRule="exact"/>
        <w:rPr>
          <w:rFonts w:ascii="Arial" w:cs="Arial" w:eastAsia="Arial" w:hAnsi="Arial"/>
          <w:sz w:val="18"/>
          <w:szCs w:val="18"/>
          <w:color w:val="auto"/>
        </w:rPr>
      </w:pPr>
    </w:p>
    <w:p>
      <w:pPr>
        <w:ind w:left="380" w:hanging="183"/>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may conduct clinical and preclinical research in collaboration with other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By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non-approval of a BLA.</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neither of our product candidates nor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 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72"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encounter difficulties enrolling patients in our clinical trials, our clinical development activities could be delayed or otherwise adversely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affected.</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81" w:lineRule="exact"/>
        <w:rPr>
          <w:sz w:val="20"/>
          <w:szCs w:val="20"/>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225" w:lineRule="exact"/>
        <w:rPr>
          <w:rFonts w:ascii="Arial" w:cs="Arial" w:eastAsia="Arial" w:hAnsi="Arial"/>
          <w:sz w:val="18"/>
          <w:szCs w:val="18"/>
          <w:color w:val="auto"/>
        </w:rPr>
      </w:pPr>
    </w:p>
    <w:p>
      <w:pPr>
        <w:ind w:left="380" w:right="20" w:hanging="183"/>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0" w:lineRule="exact"/>
        <w:rPr>
          <w:rFonts w:ascii="Arial" w:cs="Arial" w:eastAsia="Arial" w:hAnsi="Arial"/>
          <w:sz w:val="18"/>
          <w:szCs w:val="18"/>
          <w:color w:val="auto"/>
        </w:rPr>
      </w:pPr>
    </w:p>
    <w:p>
      <w:pPr>
        <w:ind w:left="380" w:hanging="183"/>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investigators enrolling patients who do not meet the enrollment criteria, requiring the inclusion of additional patients in the clinical trial;</w:t>
      </w:r>
    </w:p>
    <w:p>
      <w:pPr>
        <w:spacing w:after="0" w:line="236" w:lineRule="exact"/>
        <w:rPr>
          <w:rFonts w:ascii="Arial" w:cs="Arial" w:eastAsia="Arial" w:hAnsi="Arial"/>
          <w:sz w:val="17"/>
          <w:szCs w:val="17"/>
          <w:color w:val="auto"/>
        </w:rPr>
      </w:pPr>
    </w:p>
    <w:p>
      <w:pPr>
        <w:ind w:left="380" w:hanging="183"/>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25" w:lineRule="exact"/>
        <w:rPr>
          <w:rFonts w:ascii="Arial" w:cs="Arial" w:eastAsia="Arial" w:hAnsi="Arial"/>
          <w:sz w:val="18"/>
          <w:szCs w:val="18"/>
          <w:color w:val="auto"/>
        </w:rPr>
      </w:pPr>
    </w:p>
    <w:p>
      <w:pPr>
        <w:jc w:val="both"/>
        <w:ind w:left="380" w:hanging="183"/>
        <w:spacing w:after="0" w:line="286"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not complete a clinical trial, return for post-treatment follow-up, or follow the required study procedures. For instance, patients, including patients in our control groups, may withdraw from the clinical trial if they are not experiencing improvement in their underlying disease or condition. Withdrawal of patients from our clinical trials may compromise the quality of our data.</w:t>
      </w:r>
    </w:p>
    <w:p>
      <w:pPr>
        <w:spacing w:after="0" w:line="166" w:lineRule="exact"/>
        <w:rPr>
          <w:sz w:val="20"/>
          <w:szCs w:val="20"/>
          <w:color w:val="auto"/>
        </w:rPr>
      </w:pPr>
    </w:p>
    <w:p>
      <w:pPr>
        <w:jc w:val="both"/>
        <w:ind w:firstLine="712"/>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Results of our trials could reveal a high and unacceptable severity and prevalence of side effects or unexpected characteristics. Undesirable side effects caused by our product candidates could cause us, IRBs,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unacceptable toxicities or side effects arise in the development of our product candidates, we, an IRB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pyrexia, anaemia, neutrophil and platelet count decrease, febrile neutropenia, fatigue, chills, hyponatremia, and hypotension. In addition, these side effects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70"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(formerly PharmaCell),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380" w:hanging="18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23"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380" w:hanging="18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control over the protection of our trade secrets and know-how from misappropriation or inadvertent disclosure;</w:t>
      </w:r>
    </w:p>
    <w:p>
      <w:pPr>
        <w:spacing w:after="0" w:line="9" w:lineRule="exact"/>
        <w:rPr>
          <w:rFonts w:ascii="Arial" w:cs="Arial" w:eastAsia="Arial" w:hAnsi="Arial"/>
          <w:sz w:val="18"/>
          <w:szCs w:val="18"/>
          <w:color w:val="auto"/>
        </w:rPr>
      </w:pPr>
    </w:p>
    <w:p>
      <w:pPr>
        <w:ind w:left="380" w:right="20" w:hanging="183"/>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380" w:hanging="183"/>
        <w:spacing w:after="0" w:line="261"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future, we may seek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88" w:lineRule="auto"/>
        <w:rPr>
          <w:sz w:val="20"/>
          <w:szCs w:val="20"/>
          <w:color w:val="auto"/>
        </w:rPr>
      </w:pPr>
      <w:r>
        <w:rPr>
          <w:rFonts w:ascii="Arial" w:cs="Arial" w:eastAsia="Arial" w:hAnsi="Arial"/>
          <w:sz w:val="16"/>
          <w:szCs w:val="16"/>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 Anderson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380" w:hanging="183"/>
        <w:spacing w:after="0" w:line="258"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380" w:hanging="183"/>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380" w:hanging="183"/>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380" w:hanging="183"/>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380" w:hanging="183"/>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find that our clinical trial design or conduct does not meet the applicable approval requirements.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historical research and development efforts have been to a large extent dependent upon the CRADA.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opened our own research and development laboratory in 2014, we are continuing to fully develop our research and development capabilities. In addition, we conduct a portion of our research and development under the CRADA with the NCI. Under the CRADA, the NCI currently engage in research and development related to the development of improved methods of large scale unmodified TIL generation for the treatment of patients with metastatic melanoma, bladder, lung, breast, and HPV-associated cancers. We are obligated to make annual payments of $2.0 million under the CRADA. In addition, although the CRADA has a five-year term, either party to the CRADA has the right to terminate the CRADA upon 60 days’ notice to the other party. As a result, no assurance can be given that the NCI will not terminate, or that we will renew, the CRADA that expires in August 2021 and that the CRADA will, therefore, remain in effect until we complete our desired research thereunder.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limited control over the nature or timing of the NCI’s clinical trials and limited visibility into their day-to-day activities. The research we are funding constitutes only a small portion of the NCI’s overall research. Other research being conducted by Dr. Rosenberg may at times receive higher priority than research on our programs. These factors could adversely affect the timing of our IND filings and our ability to conduct future planned clinical trials.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CRADA, we have an option to negotiate commercialization licenses from the NIH to intellectual property relating to TIL-based product candidates developed as part of the CRADA research plan. However, we would have to negotiate with the NIH for such a license. There can be no assurance that we would be able to successfully complete such negotiations and ultimately acquire the rights to the intellectual property surrounding the additional product candidates that we may seek to acquire. Further, to the extent we would like to negotiate a license to a patent filed before the CRADA was entered into, another party may object to the NIH granting us a license during a 30-day public notification period, and the NIH may decide not to grant us the license.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r>
        <w:rPr>
          <w:rFonts w:ascii="Arial" w:cs="Arial" w:eastAsia="Arial" w:hAnsi="Arial"/>
          <w:sz w:val="30"/>
          <w:szCs w:val="30"/>
          <w:b w:val="1"/>
          <w:bCs w:val="1"/>
          <w:i w:val="1"/>
          <w:iCs w:val="1"/>
          <w:color w:val="auto"/>
          <w:vertAlign w:val="superscript"/>
        </w:rPr>
        <w:t>*</w:t>
      </w:r>
    </w:p>
    <w:p>
      <w:pPr>
        <w:spacing w:after="0" w:line="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 Anderson and Ohio State University to evaluate several new solid tumor and hematologic indications for TIL therapy in clinical and preclinical studies as well as, in some cases, new TIL manufacturing approaches. In 2016, we entered into a license agreement with PolyBioCept to evaluate a new cytokine cocktail for TIL manufacturing.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the manufacturing methods used to manufacture TIL product, the results of such studies, which we may use as the basis for our conclusions, projections or decisions with respect to our current or future product candidates, may be incorrect or unreliable, Additionally, we may use third party data to analyze, reach conclusions or make predictions or decisions with respect to our product candidates that may be incomplete, inaccurate or otherwise unreliable.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r>
        <w:rPr>
          <w:rFonts w:ascii="Arial" w:cs="Arial" w:eastAsia="Arial" w:hAnsi="Arial"/>
          <w:sz w:val="30"/>
          <w:szCs w:val="30"/>
          <w:b w:val="1"/>
          <w:bCs w:val="1"/>
          <w:i w:val="1"/>
          <w:iCs w:val="1"/>
          <w:color w:val="auto"/>
          <w:vertAlign w:val="superscript"/>
        </w:rPr>
        <w:t>*</w:t>
      </w:r>
    </w:p>
    <w:p>
      <w:pPr>
        <w:spacing w:after="0" w:line="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operations have consumed substantial amounts of cash since inception. From our inception to March 31, 2018, we have an accumulated deficit of $275.7 million. In addition, our research and development and our operating costs have also been substantial and are expected to increase. We expect to continue to spend substantial amounts to continue the clinical development of our product candidates. As of March 31, 2018, we had $297.1 million in cash and cash equivalents. In January 2018, we closed an underwritten public offering of our common stock. The net proceeds from the offering, after deducting the underwriting discounts and commissions and other estimated offering expenses payable by us, were $162.0 million. Accordingly, we believe that our existing cash, cash equivalents and short-term investments will be sufficient to fund our operations for at least the next 24 months from the date this Quarterly Report on Form 10-Q is issued. However,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70" w:lineRule="exact"/>
        <w:rPr>
          <w:sz w:val="20"/>
          <w:szCs w:val="20"/>
          <w:color w:val="auto"/>
        </w:rPr>
      </w:pPr>
    </w:p>
    <w:p>
      <w:pPr>
        <w:ind w:left="380" w:right="20" w:hanging="183"/>
        <w:spacing w:after="0" w:line="25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380" w:hanging="18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380" w:right="20" w:hanging="183"/>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380" w:hanging="183"/>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380" w:hanging="183"/>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380" w:hanging="183"/>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Terms and timing of our current and any potential future collaborations, licensing or other arrangements that we have established or may establish;</w:t>
      </w:r>
    </w:p>
    <w:p>
      <w:pPr>
        <w:spacing w:after="0" w:line="20" w:lineRule="exact"/>
        <w:rPr>
          <w:rFonts w:ascii="Arial" w:cs="Arial" w:eastAsia="Arial" w:hAnsi="Arial"/>
          <w:sz w:val="17"/>
          <w:szCs w:val="17"/>
          <w:color w:val="auto"/>
        </w:rPr>
      </w:pPr>
    </w:p>
    <w:p>
      <w:pPr>
        <w:ind w:left="380" w:hanging="18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380" w:hanging="183"/>
        <w:spacing w:after="0" w:line="261"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72" w:lineRule="auto"/>
        <w:rPr>
          <w:sz w:val="20"/>
          <w:szCs w:val="20"/>
          <w:color w:val="auto"/>
        </w:rPr>
      </w:pPr>
      <w:r>
        <w:rPr>
          <w:rFonts w:ascii="Arial" w:cs="Arial" w:eastAsia="Arial" w:hAnsi="Arial"/>
          <w:sz w:val="17"/>
          <w:szCs w:val="17"/>
          <w:color w:val="auto"/>
        </w:rPr>
        <w:t>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Subject to various spending levels approved by the Board of Directors, our management will have broad discretion in the use of the net proceeds from our capital raises, including our January 2018 and September 2017 public offerings, and may not use them effectively.</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including our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January 2018 and September 2017 public offerings, their ultimate use may vary substantially from their currently intended use. Our failure to apply the net proceeds of our capital raises, including our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January 2018 and September 2017 public offerings. Pending their use, we may invest the net proceeds from our capital raises, including our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March 31, 2018, we had U.S. federal net operating loss carryforwards of approximately $169.8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enacted tax reform legislation in the U.S. could adversely affect our business and financial condition.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22, 2017, the Tax Cuts and Jobs Act of 2017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often approves new therapies initially only for use in patients with relapsed or refractory metastatic disease. We expect to initially seek approval of our product candidates in this setting and are currently studying these patient populations. Subsequently, for those products that prove to be sufficiently beneficial, if any,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LN-144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required to pay substantial royalties and lump sum benchmark payments under our license agreements with the NIH and PolyBioCept, and we must meet certain milestones to maintain our license rights.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licenses. In order to maintain our license rights under the NIH and PolyBioCept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No assurance can be given that the Gen2 manufacturing process we have selected will be, FDA-compliant, more efficient, and lower the cost to manufacture.</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scaled-up, pharmaceutical manufacturing process that we believe can be more efficient and cost effective, and in a more automated manner. The production and control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initiation of investigations by regulators, refusal to approve marketing applications or supplements, and withdrawal or limitation of product approvals;</w:t>
      </w:r>
    </w:p>
    <w:p>
      <w:pPr>
        <w:spacing w:after="0" w:line="248" w:lineRule="exact"/>
        <w:rPr>
          <w:rFonts w:ascii="Arial" w:cs="Arial" w:eastAsia="Arial" w:hAnsi="Arial"/>
          <w:sz w:val="16"/>
          <w:szCs w:val="16"/>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210"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the company;</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225" w:lineRule="exact"/>
        <w:rPr>
          <w:rFonts w:ascii="Arial" w:cs="Arial" w:eastAsia="Arial" w:hAnsi="Arial"/>
          <w:sz w:val="18"/>
          <w:szCs w:val="18"/>
          <w:color w:val="auto"/>
        </w:rPr>
      </w:pPr>
    </w:p>
    <w:p>
      <w:pPr>
        <w:ind w:left="380" w:hanging="183"/>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42" w:name="page43"/>
    <w:bookmarkEnd w:id="42"/>
    <w:p>
      <w:pPr>
        <w:ind w:left="780" w:hanging="19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25" w:lineRule="exact"/>
        <w:rPr>
          <w:rFonts w:ascii="Arial" w:cs="Arial" w:eastAsia="Arial" w:hAnsi="Arial"/>
          <w:sz w:val="18"/>
          <w:szCs w:val="18"/>
          <w:color w:val="auto"/>
        </w:rPr>
      </w:pPr>
    </w:p>
    <w:p>
      <w:pPr>
        <w:ind w:left="780" w:hanging="19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225" w:lineRule="exact"/>
        <w:rPr>
          <w:rFonts w:ascii="Arial" w:cs="Arial" w:eastAsia="Arial" w:hAnsi="Arial"/>
          <w:sz w:val="18"/>
          <w:szCs w:val="18"/>
          <w:color w:val="auto"/>
        </w:rPr>
      </w:pPr>
    </w:p>
    <w:p>
      <w:pPr>
        <w:ind w:left="780" w:hanging="19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225" w:lineRule="exact"/>
        <w:rPr>
          <w:rFonts w:ascii="Arial" w:cs="Arial" w:eastAsia="Arial" w:hAnsi="Arial"/>
          <w:sz w:val="18"/>
          <w:szCs w:val="18"/>
          <w:color w:val="auto"/>
        </w:rPr>
      </w:pPr>
    </w:p>
    <w:p>
      <w:pPr>
        <w:ind w:left="780" w:hanging="19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Potential competitors in the market for treating metastatic melanoma are companies such as Bristol-Myers Squibb, Roche/Genentech, Merck, Amgen, Pfizer, and Novartis, which already have products on the market or in development. Other companies, such as Celgene, Gilead Sciences and Adaptimmune, which are focused on genetically engineered T-cell technologies to treat cancer, may also be competitors.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lead product candidate, LN-144, is a therapy for the treatment of metastatic melanoma. Currently, there are numerous companies that are developing various alternate treatments for melanoma. Accordingly, LN-144 faces significant competition in the melanoma treatment space from multiple companies. Even if we obtain regulatory approval of LN-144,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significant portion of our technology from others and, except for the Gen 2 process which we have developed internally, at this time, we do not own any intellectual properties or technologies.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PolyBioCept, and MedImmune.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right="20" w:firstLine="648"/>
        <w:spacing w:after="0" w:line="264"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1" w:lineRule="exact"/>
        <w:rPr>
          <w:sz w:val="20"/>
          <w:szCs w:val="20"/>
          <w:color w:val="auto"/>
        </w:rPr>
      </w:pPr>
    </w:p>
    <w:p>
      <w:pPr>
        <w:ind w:left="380" w:hanging="18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jc w:val="both"/>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380" w:hanging="18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jc w:val="both"/>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jc w:val="both"/>
        <w:ind w:left="380" w:hanging="183"/>
        <w:spacing w:after="0" w:line="281"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 w:lineRule="exact"/>
        <w:rPr>
          <w:rFonts w:ascii="Arial" w:cs="Arial" w:eastAsia="Arial" w:hAnsi="Arial"/>
          <w:sz w:val="16"/>
          <w:szCs w:val="16"/>
          <w:color w:val="auto"/>
        </w:rPr>
      </w:pPr>
    </w:p>
    <w:p>
      <w:pPr>
        <w:ind w:left="38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380" w:hanging="183"/>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 w:lineRule="exact"/>
        <w:rPr>
          <w:rFonts w:ascii="Arial" w:cs="Arial" w:eastAsia="Arial" w:hAnsi="Arial"/>
          <w:sz w:val="18"/>
          <w:szCs w:val="18"/>
          <w:color w:val="auto"/>
        </w:rPr>
      </w:pPr>
    </w:p>
    <w:p>
      <w:pPr>
        <w:ind w:left="380" w:right="20" w:hanging="183"/>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 may be involved in a business combination, resulting in the decreased emphasis or termination of development or commercialization of any product candidate subject to the collaboration agreement;</w:t>
      </w:r>
    </w:p>
    <w:p>
      <w:pPr>
        <w:ind w:left="380" w:hanging="183"/>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currently developing LN-144 and LN-145 for use along with IL-2. We and our collaborators are also studying TIL therapy along with other products, such as durvalumab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studies could show that any positive study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8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granted Fast Track designation by the FDA for LN-144 in advanced melanoma.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While LN-144 has received orphan drug designation, there is no guarantee that we will be able to maintain this designation, receive this designation for any of our other product candidates, or receive or maintain any corresponding benefits, including periods of exclusivity.</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received orphan drug designation for LN-144 in the United States to treat malignant melanoma stages IIB-IV.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condition of biologic licensing, the FDA is authorized to require that sponsors of approved BLAs implement various post-market requirements, including REMS and Phase 4 studies. By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study,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currently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include:</w:t>
      </w:r>
    </w:p>
    <w:p>
      <w:pPr>
        <w:spacing w:after="0" w:line="189" w:lineRule="exact"/>
        <w:rPr>
          <w:sz w:val="20"/>
          <w:szCs w:val="20"/>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recruit, train, manage, and retain adequate numbers of effective sales and marketing personnel;</w:t>
      </w:r>
    </w:p>
    <w:p>
      <w:pPr>
        <w:spacing w:after="0" w:line="23"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distribution and use restrictions imposed by the FDA or to which we agree as part of a mandatory REMS or voluntary risk management plan;</w:t>
      </w:r>
    </w:p>
    <w:p>
      <w:pPr>
        <w:spacing w:after="0" w:line="20" w:lineRule="exact"/>
        <w:rPr>
          <w:rFonts w:ascii="Arial" w:cs="Arial" w:eastAsia="Arial" w:hAnsi="Arial"/>
          <w:sz w:val="17"/>
          <w:szCs w:val="17"/>
          <w:color w:val="auto"/>
        </w:rPr>
      </w:pPr>
    </w:p>
    <w:p>
      <w:pPr>
        <w:ind w:left="380" w:hanging="183"/>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380" w:hanging="183"/>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or engaging a contract sales organization.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our product candidates do not achieve broad market acceptance, the revenues that we generate from their sales will be limited.</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312"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7" w:lineRule="exact"/>
        <w:rPr>
          <w:sz w:val="20"/>
          <w:szCs w:val="20"/>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approved claims that we may make for the products;</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380" w:right="20" w:hanging="183"/>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380" w:hanging="183"/>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enactment of the Biologics Price Competition and Innovation Act,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study data from completed or ongoing clinical studies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to grow the size and capabilities of our organization, and we may experience difficulties in managing this growth.</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78" w:lineRule="exact"/>
        <w:rPr>
          <w:sz w:val="20"/>
          <w:szCs w:val="20"/>
          <w:color w:val="auto"/>
        </w:rPr>
      </w:pPr>
    </w:p>
    <w:p>
      <w:pPr>
        <w:ind w:left="380" w:hanging="18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380" w:right="60" w:hanging="183"/>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380" w:hanging="18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jc w:val="both"/>
        <w:ind w:firstLine="700"/>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0" w:lineRule="exact"/>
        <w:rPr>
          <w:sz w:val="20"/>
          <w:szCs w:val="20"/>
          <w:color w:val="auto"/>
        </w:rPr>
      </w:pPr>
    </w:p>
    <w:p>
      <w:pPr>
        <w:ind w:left="380" w:hanging="18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integrating new personnel;</w:t>
      </w:r>
    </w:p>
    <w:p>
      <w:pPr>
        <w:spacing w:after="0" w:line="32" w:lineRule="exact"/>
        <w:rPr>
          <w:rFonts w:ascii="Arial" w:cs="Arial" w:eastAsia="Arial" w:hAnsi="Arial"/>
          <w:sz w:val="16"/>
          <w:szCs w:val="16"/>
          <w:color w:val="auto"/>
        </w:rPr>
      </w:pPr>
    </w:p>
    <w:p>
      <w:pPr>
        <w:ind w:left="380" w:hanging="183"/>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product programs and initiatives in pursuing such a strategic merger or acquisition;</w:t>
      </w:r>
    </w:p>
    <w:p>
      <w:pPr>
        <w:spacing w:after="0" w:line="20" w:lineRule="exact"/>
        <w:rPr>
          <w:rFonts w:ascii="Arial" w:cs="Arial" w:eastAsia="Arial" w:hAnsi="Arial"/>
          <w:sz w:val="17"/>
          <w:szCs w:val="17"/>
          <w:color w:val="auto"/>
        </w:rPr>
      </w:pPr>
    </w:p>
    <w:p>
      <w:pPr>
        <w:ind w:left="380" w:hanging="18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380" w:right="20" w:hanging="183"/>
        <w:spacing w:after="0" w:line="25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380" w:hanging="183"/>
        <w:spacing w:after="0" w:line="26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warehousing and inventory control,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SEC has issued an administrative order against us that may make it more difficult for us to raise capital in the future.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u w:val="single" w:color="auto"/>
          <w:color w:val="auto"/>
        </w:rPr>
        <w:t>In the Matter of</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Certain Stock Promotion</w:t>
      </w:r>
      <w:r>
        <w:rPr>
          <w:rFonts w:ascii="Arial" w:cs="Arial" w:eastAsia="Arial" w:hAnsi="Arial"/>
          <w:sz w:val="17"/>
          <w:szCs w:val="17"/>
          <w:color w:val="auto"/>
        </w:rPr>
        <w:t>. The SEC’s investigation, in part, involved the conduct of our former Chief Executive Officer and director, Manish Singh,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right="20" w:firstLine="648"/>
        <w:spacing w:after="0" w:line="280"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Shortly after the SEC announced settlements with us, with other public companies, and with unrelated parties in the </w:t>
      </w:r>
      <w:r>
        <w:rPr>
          <w:rFonts w:ascii="Arial" w:cs="Arial" w:eastAsia="Arial" w:hAnsi="Arial"/>
          <w:sz w:val="16"/>
          <w:szCs w:val="16"/>
          <w:i w:val="1"/>
          <w:iCs w:val="1"/>
          <w:u w:val="single" w:color="auto"/>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Promotion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two securities class action complaints were filed in the U.S. District Court for the Northern District of California against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December 15, 2017, a purported stockholder derivative complaint was filed by plaintiff Kevin Fong on behalf of the Company, against the Company, as nominal defendant, and certain of the Company’s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Securities and Exchange Commission’s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Securities and Exchange Commission’s investigation in the </w:t>
      </w:r>
      <w:r>
        <w:rPr>
          <w:rFonts w:ascii="Arial" w:cs="Arial" w:eastAsia="Arial" w:hAnsi="Arial"/>
          <w:sz w:val="16"/>
          <w:szCs w:val="16"/>
          <w:i w:val="1"/>
          <w:iCs w:val="1"/>
          <w:color w:val="auto"/>
        </w:rPr>
        <w:t>In the Matter of Certain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Promotions </w:t>
      </w:r>
      <w:r>
        <w:rPr>
          <w:rFonts w:ascii="Arial" w:cs="Arial" w:eastAsia="Arial" w:hAnsi="Arial"/>
          <w:sz w:val="16"/>
          <w:szCs w:val="16"/>
          <w:color w:val="auto"/>
        </w:rPr>
        <w:t>investigation and the Company’s April 10, 2017 settlement thereof, and seeks unspecified damages on behalf of our company and injunctive</w:t>
      </w:r>
      <w:r>
        <w:rPr>
          <w:rFonts w:ascii="Arial" w:cs="Arial" w:eastAsia="Arial" w:hAnsi="Arial"/>
          <w:sz w:val="16"/>
          <w:szCs w:val="16"/>
          <w:i w:val="1"/>
          <w:iCs w:val="1"/>
          <w:color w:val="auto"/>
        </w:rPr>
        <w:t xml:space="preserve"> </w:t>
      </w:r>
      <w:r>
        <w:rPr>
          <w:rFonts w:ascii="Arial" w:cs="Arial" w:eastAsia="Arial" w:hAnsi="Arial"/>
          <w:sz w:val="16"/>
          <w:szCs w:val="16"/>
          <w:color w:val="auto"/>
        </w:rPr>
        <w:t>relief. We intend to vigorously defend against these complaints. However, based on the very early stage of the aforementioned litigation, it is not possible to estimate the amount or range of possible loss that might result from an adverse judgment or a settlement of these matters. Furthermore, litigation is inherently uncertain, and there is no assurance as to the outcome of this,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380" w:hanging="18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380" w:hanging="183"/>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380" w:hanging="18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manufacturing sufficient quantities of qualified materials under cGMPs and applying them on a subject by subject basis for use in clinical trials.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Data Monitoring Committees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are, and if we receive regulatory approval of our product candidates,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risk evaluation and mitigation strategy, or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both"/>
        <w:ind w:firstLine="648"/>
        <w:spacing w:after="0" w:line="264" w:lineRule="auto"/>
        <w:rPr>
          <w:sz w:val="20"/>
          <w:szCs w:val="20"/>
          <w:color w:val="auto"/>
        </w:rPr>
      </w:pPr>
      <w:r>
        <w:rPr>
          <w:rFonts w:ascii="Arial" w:cs="Arial" w:eastAsia="Arial" w:hAnsi="Arial"/>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81" w:lineRule="exact"/>
        <w:rPr>
          <w:sz w:val="20"/>
          <w:szCs w:val="20"/>
          <w:color w:val="auto"/>
        </w:rPr>
      </w:pPr>
    </w:p>
    <w:p>
      <w:pPr>
        <w:ind w:left="380" w:hanging="183"/>
        <w:spacing w:after="0" w:line="258"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cyber letters, or holds on or termination of clinical trials;</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380" w:hanging="183"/>
        <w:spacing w:after="0" w:line="25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380" w:hanging="183"/>
        <w:spacing w:after="0" w:line="25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Anti-Kickback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72"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79" w:lineRule="exact"/>
        <w:rPr>
          <w:sz w:val="20"/>
          <w:szCs w:val="20"/>
          <w:color w:val="auto"/>
        </w:rPr>
      </w:pPr>
    </w:p>
    <w:p>
      <w:pPr>
        <w:ind w:left="380" w:hanging="183"/>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380" w:hanging="18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648"/>
        <w:spacing w:after="0" w:line="297" w:lineRule="auto"/>
        <w:rPr>
          <w:sz w:val="20"/>
          <w:szCs w:val="20"/>
          <w:color w:val="auto"/>
        </w:rPr>
      </w:pPr>
      <w:r>
        <w:rPr>
          <w:rFonts w:ascii="Arial" w:cs="Arial" w:eastAsia="Arial" w:hAnsi="Arial"/>
          <w:sz w:val="16"/>
          <w:szCs w:val="16"/>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 Anderson if any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the NCI, Moffitt, M.D. Anderson,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reported that we conducted an extensive freedom-to-operate, or FTO, analysis of the then current patent landscape with respect to our lead product candidate, and based on that analysis, that we believe that we have FTO for our lead TIL product candidate. Because patent applications do not publish for 18 months, and because the claims of patent families can change over time, no FTO analysis can be considered exhaustive. We are undertaking additional FTO analyses of our manufacturing processes, our lead TIL products, and contemplated future processes and products. However, the area of patent and other intellectual property rights in biotechnology remains an evolving area with many risks and uncertainties. As such, we expect our FTO analyses will be ongoing.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896" w:gutter="0" w:footer="0" w:header="0"/>
        </w:sectPr>
      </w:pPr>
    </w:p>
    <w:bookmarkStart w:id="58" w:name="page59"/>
    <w:bookmarkEnd w:id="58"/>
    <w:p>
      <w:pPr>
        <w:ind w:left="66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r>
        <w:rPr>
          <w:rFonts w:ascii="Arial" w:cs="Arial" w:eastAsia="Arial" w:hAnsi="Arial"/>
          <w:sz w:val="30"/>
          <w:szCs w:val="30"/>
          <w:b w:val="1"/>
          <w:bCs w:val="1"/>
          <w:i w:val="1"/>
          <w:iCs w:val="1"/>
          <w:color w:val="auto"/>
          <w:vertAlign w:val="superscript"/>
        </w:rPr>
        <w:t>*</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our officers and directors beneficially owned approximately 11% of our outstanding common stock. These stockholders, if they act together, may be able to materially affect the outcome of matters presented to our stockholders, including the election of our directors and other corporate actions such as: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380" w:hanging="18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is likely to be volatile and could fluctuate widely in response to many factors, including but not limited to:</w:t>
      </w:r>
    </w:p>
    <w:p>
      <w:pPr>
        <w:spacing w:after="0" w:line="237" w:lineRule="exact"/>
        <w:rPr>
          <w:sz w:val="20"/>
          <w:szCs w:val="20"/>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or our competitors;</w:t>
      </w:r>
    </w:p>
    <w:p>
      <w:pPr>
        <w:spacing w:after="0" w:line="23"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380" w:hanging="183"/>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any of the risks described in our Annual Report on Form 10-K filed with the SEC on March 12,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r>
        <w:rPr>
          <w:rFonts w:ascii="Arial" w:cs="Arial" w:eastAsia="Arial" w:hAnsi="Arial"/>
          <w:sz w:val="30"/>
          <w:szCs w:val="30"/>
          <w:b w:val="1"/>
          <w:bCs w:val="1"/>
          <w:i w:val="1"/>
          <w:iCs w:val="1"/>
          <w:color w:val="auto"/>
          <w:vertAlign w:val="superscript"/>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April 16, 2018, we had 89,615,417 shares of common stock outstanding. In addition, we had 20,736,737 shares of common stock equivalents that would increase the number of common stock outstanding if these instruments were exercised or converted, including stock options and restricted stock units to purchase common stock based on vesting requirements, warrants to purchase common stock and common stock issuable upon the conversion of preferred stock. The issuance and subsequent sale of the shares underlying these common stock equivalents could depress the trading price of our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we issued 15,000,000 shares of common stock in connection with an underwritten public offering. Such issuances could result in substantial dilution to our existing stockholders and could cause our stock price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board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certificate of incorporation authorizes the issuance of up to 50,000,000 shares of “blank check” preferred stock (of which only 17,000 have been designated as the Series A Convertible Preferred Stock and 11,500,000 designated as Series B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claims for rescission or damages in connection with certain sales of shares of our common stock in the open market.</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14"/>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60" w:type="dxa"/>
            <w:vAlign w:val="bottom"/>
            <w:gridSpan w:val="5"/>
          </w:tcPr>
          <w:p>
            <w:pPr>
              <w:ind w:left="9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7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160" w:type="dxa"/>
            <w:vAlign w:val="bottom"/>
            <w:gridSpan w:val="13"/>
          </w:tcPr>
          <w:p>
            <w:pPr>
              <w:spacing w:after="0" w:line="190"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Plan of Conversion (incorporated herein by reference to Exhibit 2.1 to Registrant’s Current Report on Form 8-K filed with the Commission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Articles of Conversion (incorporated herein by reference to Exhibit 3.1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Commission on June 2, 2017).</w:t>
              </w:r>
            </w:hyperlink>
          </w:p>
        </w:tc>
        <w:tc>
          <w:tcPr>
            <w:tcW w:w="7940" w:type="dxa"/>
            <w:vAlign w:val="bottom"/>
            <w:tcBorders>
              <w:top w:val="single" w:sz="8" w:color="0000EE"/>
            </w:tcBorders>
            <w:gridSpan w:val="7"/>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8"/>
              </w:rPr>
            </w:pPr>
            <w:hyperlink r:id="rId77">
              <w:r>
                <w:rPr>
                  <w:rFonts w:ascii="Arial" w:cs="Arial" w:eastAsia="Arial" w:hAnsi="Arial"/>
                  <w:sz w:val="18"/>
                  <w:szCs w:val="18"/>
                  <w:color w:val="0000EE"/>
                  <w:w w:val="98"/>
                </w:rPr>
                <w:t>Certificate of Conversion (incorporated herein by reference to Exhibit 3.2 of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Certificate of Incorporation of Registrant (incorporated herein by reference to Exhibit 3.3 of Registrant’s Current Report on Form 8-K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with the Commission on June 2, 2017.)</w:t>
              </w:r>
            </w:hyperlink>
          </w:p>
        </w:tc>
        <w:tc>
          <w:tcPr>
            <w:tcW w:w="7320" w:type="dxa"/>
            <w:vAlign w:val="bottom"/>
            <w:tcBorders>
              <w:top w:val="single" w:sz="8" w:color="0000EE"/>
            </w:tcBorders>
            <w:gridSpan w:val="6"/>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Certificate of Designations of Rights, Preferences and Privileges of Series A Convertible Preferred Stock (incorporated herein by reference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to Exhibit 3.4 of Registrant’s Registration Statement on Form S-3 filed with the Commission on July 31,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Certificate of Designations of Rights, Preferences and Privileges of Series B Preferred Stock (incorporated herein by reference to Exhibit 3.5</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of Registrant’s Registration Statement on Form S-3 filed with the Commission on July 31, 2017.)</w:t>
              </w:r>
            </w:hyperlink>
          </w:p>
        </w:tc>
        <w:tc>
          <w:tcPr>
            <w:tcW w:w="3140" w:type="dxa"/>
            <w:vAlign w:val="bottom"/>
            <w:tcBorders>
              <w:top w:val="single" w:sz="8" w:color="0000EE"/>
            </w:tcBorders>
            <w:gridSpan w:val="3"/>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6"/>
              </w:rPr>
            </w:pPr>
            <w:hyperlink r:id="rId81">
              <w:r>
                <w:rPr>
                  <w:rFonts w:ascii="Arial" w:cs="Arial" w:eastAsia="Arial" w:hAnsi="Arial"/>
                  <w:sz w:val="18"/>
                  <w:szCs w:val="18"/>
                  <w:color w:val="0000EE"/>
                  <w:w w:val="96"/>
                </w:rPr>
                <w:t>Certificate of Amendment of Certificate of Incorporation of Registrant (incorporated herein by reference to Exhibit 3.1 of Registrant’s</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Current Report on Form 8-K filed with the Commission on June 27, 2017.)</w:t>
              </w:r>
            </w:hyperlink>
          </w:p>
        </w:tc>
        <w:tc>
          <w:tcPr>
            <w:tcW w:w="4740" w:type="dxa"/>
            <w:vAlign w:val="bottom"/>
            <w:tcBorders>
              <w:top w:val="single" w:sz="8" w:color="0000EE"/>
            </w:tcBorders>
            <w:gridSpan w:val="4"/>
          </w:tcPr>
          <w:p>
            <w:pPr>
              <w:spacing w:after="0"/>
              <w:rPr>
                <w:sz w:val="17"/>
                <w:szCs w:val="17"/>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Bylaws of Registrant (incorporated herein by reference to the Exhibit 3.4 to Registrant’s Current Report on Form 8-K filed with the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Commission on June 2, 2017).</w:t>
              </w:r>
            </w:hyperlink>
          </w:p>
        </w:tc>
      </w:tr>
      <w:tr>
        <w:trPr>
          <w:trHeight w:val="20"/>
        </w:trPr>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4"/>
              </w:rPr>
            </w:pPr>
            <w:hyperlink r:id="rId83">
              <w:r>
                <w:rPr>
                  <w:rFonts w:ascii="Arial" w:cs="Arial" w:eastAsia="Arial" w:hAnsi="Arial"/>
                  <w:sz w:val="18"/>
                  <w:szCs w:val="18"/>
                  <w:color w:val="0000EE"/>
                  <w:w w:val="94"/>
                </w:rPr>
                <w:t>Amendment to the Bylaws of Registrant (incorporated herein by reference to the Exhibit 3.2 to Registrant’s Current Report on Form 8-K</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filed with the Commission on June 27, 2017).</w:t>
              </w:r>
            </w:hyperlink>
          </w:p>
        </w:tc>
        <w:tc>
          <w:tcPr>
            <w:tcW w:w="6860" w:type="dxa"/>
            <w:vAlign w:val="bottom"/>
            <w:tcBorders>
              <w:top w:val="single" w:sz="8" w:color="0000EE"/>
            </w:tcBorders>
            <w:gridSpan w:val="5"/>
          </w:tcPr>
          <w:p>
            <w:pPr>
              <w:spacing w:after="0"/>
              <w:rPr>
                <w:sz w:val="17"/>
                <w:szCs w:val="17"/>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Certification of Principal Executive Officer pursuant to Rule 13a-14 and Rule 15d-14(a), promulgated under the Securities and Exchange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Act of 1934, as amended.</w:t>
              </w:r>
            </w:hyperlink>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Financial Officer pursuant to Rule 13a-14 and Rule 15d 14(a), promulgated under the Securities and Exchange Act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of 1934, as amended.</w:t>
              </w:r>
            </w:hyperlink>
          </w:p>
        </w:tc>
        <w:tc>
          <w:tcPr>
            <w:tcW w:w="8620" w:type="dxa"/>
            <w:vAlign w:val="bottom"/>
            <w:tcBorders>
              <w:top w:val="single" w:sz="8" w:color="0000EE"/>
            </w:tcBorders>
            <w:gridSpan w:val="10"/>
          </w:tcPr>
          <w:p>
            <w:pPr>
              <w:spacing w:after="0"/>
              <w:rPr>
                <w:sz w:val="17"/>
                <w:szCs w:val="17"/>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pursuant to 18 U.S.C. Section 1350, as adopted pursuant to Section 906 of the Sarbanes-Oxley Act of 2002 (Chief Executive</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Officer).</w:t>
              </w:r>
            </w:hyperlink>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4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pursuant to 18 U.S.C. Section 1350, as adopted pursuant to Section 906 of the Sarbanes-Oxley Act of 2002 (Chief Financial</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Officer).</w:t>
              </w:r>
            </w:hyperlink>
          </w:p>
        </w:tc>
        <w:tc>
          <w:tcPr>
            <w:tcW w:w="20" w:type="dxa"/>
            <w:vAlign w:val="bottom"/>
          </w:tcPr>
          <w:p>
            <w:pPr>
              <w:spacing w:after="0"/>
              <w:rPr>
                <w:sz w:val="17"/>
                <w:szCs w:val="17"/>
                <w:color w:val="auto"/>
              </w:rPr>
            </w:pPr>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540" w:type="dxa"/>
            <w:vAlign w:val="bottom"/>
            <w:gridSpan w:val="12"/>
          </w:tcPr>
          <w:p>
            <w:pPr>
              <w:spacing w:after="0" w:line="20" w:lineRule="exact"/>
              <w:rPr>
                <w:sz w:val="1"/>
                <w:szCs w:val="1"/>
                <w:color w:val="auto"/>
              </w:rPr>
            </w:pPr>
          </w:p>
        </w:tc>
      </w:tr>
      <w:tr>
        <w:trPr>
          <w:trHeight w:val="222"/>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19"/>
                <w:szCs w:val="19"/>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8"/>
                <w:szCs w:val="18"/>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18"/>
                <w:szCs w:val="18"/>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8"/>
                <w:szCs w:val="18"/>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18"/>
                <w:szCs w:val="18"/>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0"/>
                <w:szCs w:val="20"/>
                <w:color w:val="auto"/>
              </w:rPr>
            </w:pPr>
          </w:p>
        </w:tc>
        <w:tc>
          <w:tcPr>
            <w:tcW w:w="101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64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10"/>
          </w:tcPr>
          <w:p>
            <w:pPr>
              <w:jc w:val="right"/>
              <w:ind w:right="770"/>
              <w:spacing w:after="0"/>
              <w:rPr>
                <w:sz w:val="20"/>
                <w:szCs w:val="20"/>
                <w:color w:val="auto"/>
              </w:rPr>
            </w:pPr>
            <w:r>
              <w:rPr>
                <w:rFonts w:ascii="Arial" w:cs="Arial" w:eastAsia="Arial" w:hAnsi="Arial"/>
                <w:sz w:val="18"/>
                <w:szCs w:val="18"/>
                <w:color w:val="auto"/>
              </w:rPr>
              <w:t>62</w:t>
            </w:r>
          </w:p>
        </w:tc>
        <w:tc>
          <w:tcPr>
            <w:tcW w:w="1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3280" w:type="dxa"/>
            <w:vAlign w:val="bottom"/>
          </w:tcPr>
          <w:p>
            <w:pPr>
              <w:spacing w:after="0"/>
              <w:rPr>
                <w:sz w:val="20"/>
                <w:szCs w:val="20"/>
                <w:color w:val="auto"/>
              </w:rPr>
            </w:pPr>
            <w:r>
              <w:rPr>
                <w:rFonts w:ascii="Arial" w:cs="Arial" w:eastAsia="Arial" w:hAnsi="Arial"/>
                <w:sz w:val="18"/>
                <w:szCs w:val="18"/>
                <w:color w:val="auto"/>
              </w:rPr>
              <w:t>May 9, 2018</w:t>
            </w:r>
          </w:p>
        </w:tc>
        <w:tc>
          <w:tcPr>
            <w:tcW w:w="2440" w:type="dxa"/>
            <w:vAlign w:val="bottom"/>
          </w:tcPr>
          <w:p>
            <w:pPr>
              <w:spacing w:after="0"/>
              <w:rPr>
                <w:sz w:val="24"/>
                <w:szCs w:val="2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3460" w:type="dxa"/>
            <w:vAlign w:val="bottom"/>
            <w:tcBorders>
              <w:bottom w:val="single" w:sz="8" w:color="auto"/>
            </w:tcBorders>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9, 2018</w:t>
            </w:r>
          </w:p>
        </w:tc>
        <w:tc>
          <w:tcPr>
            <w:tcW w:w="24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48"/>
        </w:trPr>
        <w:tc>
          <w:tcPr>
            <w:tcW w:w="3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63</w:t>
            </w:r>
          </w:p>
        </w:tc>
        <w:tc>
          <w:tcPr>
            <w:tcW w:w="1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340" w:right="80" w:hanging="670"/>
        <w:spacing w:after="0" w:line="264"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670"/>
        <w:spacing w:after="0" w:line="342" w:lineRule="auto"/>
        <w:tabs>
          <w:tab w:leader="none" w:pos="1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220" w:hanging="670"/>
        <w:spacing w:after="0" w:line="264"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40" w:right="600" w:hanging="670"/>
        <w:spacing w:after="0" w:line="342" w:lineRule="auto"/>
        <w:tabs>
          <w:tab w:leader="none" w:pos="13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May 9, 2018</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340" w:right="80" w:hanging="670"/>
        <w:spacing w:after="0" w:line="26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670"/>
        <w:spacing w:after="0" w:line="26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670"/>
        <w:spacing w:after="0" w:line="342"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220" w:hanging="670"/>
        <w:spacing w:after="0" w:line="264"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340" w:right="600" w:hanging="670"/>
        <w:spacing w:after="0" w:line="342"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670"/>
        <w:spacing w:after="0" w:line="277" w:lineRule="auto"/>
        <w:tabs>
          <w:tab w:leader="none" w:pos="13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May 9, 2018</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2018,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May 9, 2018</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2018,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May 9, 2018</w:t>
            </w:r>
          </w:p>
        </w:tc>
        <w:tc>
          <w:tcPr>
            <w:tcW w:w="2880" w:type="dxa"/>
            <w:vAlign w:val="bottom"/>
          </w:tcPr>
          <w:p>
            <w:pPr>
              <w:ind w:left="23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E. Morris</w:t>
            </w:r>
          </w:p>
        </w:tc>
      </w:tr>
      <w:tr>
        <w:trPr>
          <w:trHeight w:val="195"/>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7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þ"/>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75" Type="http://schemas.openxmlformats.org/officeDocument/2006/relationships/hyperlink" Target="http://www.sec.gov/Archives/edgar/data/1425205/000114420417030892/v468249_ex2-1.htm" TargetMode="External"/><Relationship Id="rId76" Type="http://schemas.openxmlformats.org/officeDocument/2006/relationships/hyperlink" Target="http://www.sec.gov/Archives/edgar/data/1425205/000114420417030892/v468249_ex3-1.htm" TargetMode="External"/><Relationship Id="rId77" Type="http://schemas.openxmlformats.org/officeDocument/2006/relationships/hyperlink" Target="http://www.sec.gov/Archives/edgar/data/1425205/000114420417030892/v468249_ex3-2.htm" TargetMode="External"/><Relationship Id="rId78" Type="http://schemas.openxmlformats.org/officeDocument/2006/relationships/hyperlink" Target="http://www.sec.gov/Archives/edgar/data/1425205/000114420417030892/v468249_ex3-3.htm" TargetMode="External"/><Relationship Id="rId79" Type="http://schemas.openxmlformats.org/officeDocument/2006/relationships/hyperlink" Target="http://www.sec.gov/Archives/edgar/data/1425205/000114420417039309/v471615_ex3-4.htm" TargetMode="External"/><Relationship Id="rId80" Type="http://schemas.openxmlformats.org/officeDocument/2006/relationships/hyperlink" Target="http://www.sec.gov/Archives/edgar/data/1425205/000114420417039309/v471615_ex3-5.htm" TargetMode="External"/><Relationship Id="rId81" Type="http://schemas.openxmlformats.org/officeDocument/2006/relationships/hyperlink" Target="http://www.sec.gov/Archives/edgar/data/1425205/000114420417034350/v469760_ex3-1.htm" TargetMode="External"/><Relationship Id="rId82" Type="http://schemas.openxmlformats.org/officeDocument/2006/relationships/hyperlink" Target="http://www.sec.gov/Archives/edgar/data/1425205/000114420417030892/v468249_ex3-4.htm" TargetMode="External"/><Relationship Id="rId83" Type="http://schemas.openxmlformats.org/officeDocument/2006/relationships/hyperlink" Target="http://www.sec.gov/Archives/edgar/data/1425205/000114420417034350/v46976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2019-12-28T22:14:33Z</dcterms:created>
  <dcterms:modified xsi:type="dcterms:W3CDTF">2019-12-28T22:14:33Z</dcterms:modified>
</cp:coreProperties>
</file>