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840" w:right="2160" w:hanging="3832"/>
        <w:spacing w:after="0" w:line="277" w:lineRule="auto"/>
        <w:tabs>
          <w:tab w:leader="none" w:pos="58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2018</w:t>
      </w:r>
    </w:p>
    <w:p>
      <w:pPr>
        <w:spacing w:after="0" w:line="170" w:lineRule="exact"/>
        <w:rPr>
          <w:sz w:val="24"/>
          <w:szCs w:val="24"/>
          <w:color w:val="auto"/>
        </w:rPr>
      </w:pPr>
    </w:p>
    <w:p>
      <w:pPr>
        <w:ind w:left="3500" w:right="2140" w:hanging="3492"/>
        <w:spacing w:after="0" w:line="277" w:lineRule="auto"/>
        <w:tabs>
          <w:tab w:leader="none" w:pos="59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 to ___________.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89"/>
              </w:rPr>
              <w:t>Delaware</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89"/>
              </w:rPr>
              <w:t>75-3254381</w:t>
            </w:r>
          </w:p>
        </w:tc>
      </w:t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ind w:left="382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140" w:firstLine="648"/>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þ No </w:t>
      </w:r>
      <w:r>
        <w:rPr>
          <w:rFonts w:ascii="MS PGothic" w:cs="MS PGothic" w:eastAsia="MS PGothic" w:hAnsi="MS PGothic"/>
          <w:sz w:val="16"/>
          <w:szCs w:val="16"/>
          <w:color w:val="auto"/>
        </w:rPr>
        <w:t>☐</w:t>
      </w:r>
    </w:p>
    <w:p>
      <w:pPr>
        <w:spacing w:after="0" w:line="182"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75" w:right="239" w:bottom="1440" w:gutter="0" w:footer="0" w:header="0"/>
        </w:sectPr>
      </w:pPr>
    </w:p>
    <w:p>
      <w:pPr>
        <w:spacing w:after="0" w:line="181"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þ</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780" w:space="40"/>
            <w:col w:w="4540" w:space="720"/>
            <w:col w:w="4340"/>
          </w:cols>
          <w:pgMar w:left="240" w:top="675" w:right="239" w:bottom="1440" w:gutter="0" w:footer="0" w:header="0"/>
          <w:type w:val="continuous"/>
        </w:sectPr>
      </w:pPr>
    </w:p>
    <w:p>
      <w:pPr>
        <w:spacing w:after="0" w:line="3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 October 31, 2018, the issuer had 123,169,528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6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gridSpan w:val="4"/>
          </w:tcPr>
          <w:p>
            <w:pPr>
              <w:ind w:left="1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5"/>
                <w:szCs w:val="15"/>
                <w:color w:val="auto"/>
              </w:rPr>
            </w:pPr>
          </w:p>
        </w:tc>
        <w:tc>
          <w:tcPr>
            <w:tcW w:w="798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22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PART II OTHER INFORMATION</w:t>
              </w:r>
            </w:hyperlink>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1.</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38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Unregistered Sales of Securities and Use of Proceeds</w:t>
              </w:r>
            </w:hyperlink>
          </w:p>
        </w:tc>
        <w:tc>
          <w:tcPr>
            <w:tcW w:w="4160" w:type="dxa"/>
            <w:vAlign w:val="bottom"/>
            <w:tcBorders>
              <w:bottom w:val="single" w:sz="8" w:color="CCEEFF"/>
            </w:tcBorders>
            <w:gridSpan w:val="4"/>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3.</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Defaults Upon Senior Securities</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4.</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Mine Safety Disclosure</w:t>
              </w:r>
            </w:hyperlink>
          </w:p>
        </w:tc>
        <w:tc>
          <w:tcPr>
            <w:tcW w:w="6280" w:type="dxa"/>
            <w:vAlign w:val="bottom"/>
            <w:tcBorders>
              <w:bottom w:val="single" w:sz="8" w:color="CCEEFF"/>
            </w:tcBorders>
            <w:gridSpan w:val="7"/>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5.</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6.</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Exhibits</w:t>
              </w:r>
            </w:hyperlink>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SIGNATURES</w:t>
              </w:r>
            </w:hyperlink>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80" w:type="dxa"/>
            <w:vAlign w:val="bottom"/>
            <w:gridSpan w:val="3"/>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3"/>
          </w:tcPr>
          <w:p>
            <w:pPr>
              <w:ind w:left="452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920" w:type="dxa"/>
            <w:vAlign w:val="bottom"/>
          </w:tcPr>
          <w:p>
            <w:pPr>
              <w:ind w:left="306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Arial" w:cs="Arial" w:eastAsia="Arial" w:hAnsi="Arial"/>
                <w:sz w:val="18"/>
                <w:szCs w:val="18"/>
                <w:b w:val="1"/>
                <w:bCs w:val="1"/>
                <w:color w:val="auto"/>
              </w:rPr>
              <w:t>Item 1.</w:t>
            </w:r>
          </w:p>
        </w:tc>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920" w:type="dxa"/>
            <w:vAlign w:val="bottom"/>
          </w:tcPr>
          <w:p>
            <w:pPr>
              <w:ind w:left="3060"/>
              <w:spacing w:after="0"/>
              <w:rPr>
                <w:sz w:val="20"/>
                <w:szCs w:val="20"/>
                <w:color w:val="auto"/>
              </w:rPr>
            </w:pPr>
            <w:r>
              <w:rPr>
                <w:rFonts w:ascii="Arial" w:cs="Arial" w:eastAsia="Arial" w:hAnsi="Arial"/>
                <w:sz w:val="18"/>
                <w:szCs w:val="18"/>
                <w:b w:val="1"/>
                <w:bCs w:val="1"/>
                <w:color w:val="auto"/>
              </w:rPr>
              <w:t>IOVANCE BIOTHERAPEUTICS,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20" w:type="dxa"/>
            <w:vAlign w:val="bottom"/>
          </w:tcPr>
          <w:p>
            <w:pPr>
              <w:ind w:left="3040"/>
              <w:spacing w:after="0"/>
              <w:rPr>
                <w:sz w:val="20"/>
                <w:szCs w:val="20"/>
                <w:color w:val="auto"/>
              </w:rPr>
            </w:pPr>
            <w:r>
              <w:rPr>
                <w:rFonts w:ascii="Arial" w:cs="Arial" w:eastAsia="Arial" w:hAnsi="Arial"/>
                <w:sz w:val="18"/>
                <w:szCs w:val="18"/>
                <w:b w:val="1"/>
                <w:bCs w:val="1"/>
                <w:color w:val="auto"/>
              </w:rPr>
              <w:t>Condensed Consolidated Balance Sheets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920" w:type="dxa"/>
            <w:vAlign w:val="bottom"/>
          </w:tcPr>
          <w:p>
            <w:pPr>
              <w:ind w:left="3040"/>
              <w:spacing w:after="0"/>
              <w:rPr>
                <w:sz w:val="20"/>
                <w:szCs w:val="20"/>
                <w:color w:val="auto"/>
              </w:rPr>
            </w:pPr>
            <w:r>
              <w:rPr>
                <w:rFonts w:ascii="Arial" w:cs="Arial" w:eastAsia="Arial" w:hAnsi="Arial"/>
                <w:sz w:val="18"/>
                <w:szCs w:val="18"/>
                <w:b w:val="1"/>
                <w:bCs w:val="1"/>
                <w:color w:val="auto"/>
              </w:rPr>
              <w:t>(in thousands, except share information)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unaudited</w:t>
            </w:r>
            <w:r>
              <w:rPr>
                <w:rFonts w:ascii="Arial" w:cs="Arial" w:eastAsia="Arial" w:hAnsi="Arial"/>
                <w:sz w:val="18"/>
                <w:szCs w:val="18"/>
                <w:color w:val="auto"/>
                <w:w w:val="91"/>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80,738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145,373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5,863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265,863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2,640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assets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w w:val="85"/>
              </w:rPr>
              <w:t>Total Assets</w:t>
            </w:r>
          </w:p>
        </w:tc>
        <w:tc>
          <w:tcPr>
            <w:tcW w:w="6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270,834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6,014</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Series A Convertible Preferred Stock, $0.001 par value; 17,000 shares authorized, 194 shares issued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outstanding as of September 30, 2018; 1,694 shares issued and outstanding December 31, 2017 (aggregate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liquidation value of $194)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Series B Convertible Preferred Stock, $0.001 par value; 11,500,000 shares authorized; 5,854,845 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w w:val="91"/>
              </w:rPr>
              <w:t>issued and outstanding as of September 30, 2018; 7,378,241 shares issued and outstanding 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2017 (aggregate liquidation value of $27,811);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$0.000041666 par value; 150,000,000 shares authorized, 97,425,721 and 73,164,914 shares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issued and outstanding as of September 30, 2018 and December 31, 2017, respectively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594,455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(340,185)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(249,180)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254,160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270,834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Research and development expenses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General and administrative expenses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costs and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 net</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3560"/>
        <w:spacing w:after="0"/>
        <w:rPr>
          <w:sz w:val="20"/>
          <w:szCs w:val="20"/>
          <w:color w:val="auto"/>
        </w:rPr>
      </w:pPr>
      <w:r>
        <w:rPr>
          <w:rFonts w:ascii="Arial" w:cs="Arial" w:eastAsia="Arial" w:hAnsi="Arial"/>
          <w:sz w:val="16"/>
          <w:szCs w:val="16"/>
          <w:b w:val="1"/>
          <w:bCs w:val="1"/>
          <w:color w:val="auto"/>
        </w:rPr>
        <w:t>(unaudited; in thousands, except per share information)</w:t>
      </w:r>
    </w:p>
    <w:p>
      <w:pPr>
        <w:spacing w:after="0" w:line="230"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000" w:type="dxa"/>
            <w:vAlign w:val="bottom"/>
            <w:gridSpan w:val="6"/>
          </w:tcPr>
          <w:p>
            <w:pPr>
              <w:jc w:val="center"/>
              <w:ind w:right="760"/>
              <w:spacing w:after="0"/>
              <w:rPr>
                <w:sz w:val="20"/>
                <w:szCs w:val="20"/>
                <w:color w:val="auto"/>
              </w:rPr>
            </w:pPr>
            <w:r>
              <w:rPr>
                <w:rFonts w:ascii="Arial" w:cs="Arial" w:eastAsia="Arial" w:hAnsi="Arial"/>
                <w:sz w:val="18"/>
                <w:szCs w:val="18"/>
                <w:b w:val="1"/>
                <w:bCs w:val="1"/>
                <w:color w:val="auto"/>
                <w:w w:val="92"/>
              </w:rPr>
              <w:t>Three Months Ended</w:t>
            </w: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60" w:type="dxa"/>
            <w:vAlign w:val="bottom"/>
          </w:tcPr>
          <w:p>
            <w:pPr>
              <w:spacing w:after="0"/>
              <w:rPr>
                <w:sz w:val="19"/>
                <w:szCs w:val="19"/>
                <w:color w:val="auto"/>
              </w:rPr>
            </w:pPr>
          </w:p>
        </w:tc>
      </w:tr>
      <w:tr>
        <w:trPr>
          <w:trHeight w:val="439"/>
        </w:trPr>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   $</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w:t>
            </w:r>
          </w:p>
        </w:tc>
        <w:tc>
          <w:tcPr>
            <w:tcW w:w="16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1"/>
        </w:trPr>
        <w:tc>
          <w:tcPr>
            <w:tcW w:w="2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27,947</w:t>
            </w:r>
          </w:p>
        </w:tc>
        <w:tc>
          <w:tcPr>
            <w:tcW w:w="4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16,679</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72,410</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50,919</w:t>
            </w:r>
          </w:p>
        </w:tc>
        <w:tc>
          <w:tcPr>
            <w:tcW w:w="60" w:type="dxa"/>
            <w:vAlign w:val="bottom"/>
          </w:tcPr>
          <w:p>
            <w:pPr>
              <w:spacing w:after="0"/>
              <w:rPr>
                <w:sz w:val="24"/>
                <w:szCs w:val="24"/>
                <w:color w:val="auto"/>
              </w:rPr>
            </w:pPr>
          </w:p>
        </w:tc>
      </w:tr>
      <w:tr>
        <w:trPr>
          <w:trHeight w:val="230"/>
        </w:trPr>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7,113</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5,664</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20,905</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15,887</w:t>
            </w:r>
          </w:p>
        </w:tc>
        <w:tc>
          <w:tcPr>
            <w:tcW w:w="60" w:type="dxa"/>
            <w:vAlign w:val="bottom"/>
          </w:tcPr>
          <w:p>
            <w:pPr>
              <w:spacing w:after="0"/>
              <w:rPr>
                <w:sz w:val="20"/>
                <w:szCs w:val="20"/>
                <w:color w:val="auto"/>
              </w:rPr>
            </w:pP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35,060</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22,343</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93,315</w:t>
            </w: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66,806</w:t>
            </w:r>
          </w:p>
        </w:tc>
        <w:tc>
          <w:tcPr>
            <w:tcW w:w="60" w:type="dxa"/>
            <w:vAlign w:val="bottom"/>
          </w:tcPr>
          <w:p>
            <w:pPr>
              <w:spacing w:after="0"/>
              <w:rPr>
                <w:sz w:val="18"/>
                <w:szCs w:val="18"/>
                <w:color w:val="auto"/>
              </w:rPr>
            </w:pPr>
          </w:p>
        </w:tc>
      </w:tr>
      <w:tr>
        <w:trPr>
          <w:trHeight w:val="426"/>
        </w:trPr>
        <w:tc>
          <w:tcPr>
            <w:tcW w:w="26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(35,060)</w:t>
            </w:r>
          </w:p>
        </w:tc>
        <w:tc>
          <w:tcPr>
            <w:tcW w:w="4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(22,343)</w:t>
            </w:r>
          </w:p>
        </w:tc>
        <w:tc>
          <w:tcPr>
            <w:tcW w:w="2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(93,315)</w:t>
            </w:r>
          </w:p>
        </w:tc>
        <w:tc>
          <w:tcPr>
            <w:tcW w:w="4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(66,806)</w:t>
            </w:r>
          </w:p>
        </w:tc>
      </w:tr>
      <w:tr>
        <w:trPr>
          <w:trHeight w:val="444"/>
        </w:trPr>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2,310</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-1421765</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-1130300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-855980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-563880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-281305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40" w:space="720"/>
            <w:col w:w="786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(33,830)</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(22,149)</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(91,005)</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(66,210)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Loss Per Common Share, Basic and Diluted</w:t>
            </w: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Weighted Average Common Shares Outstanding, Basic and Diluted</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95,077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63,332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89,927</w:t>
            </w: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(33,830)</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(91,005)</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short-term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(91,125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(91,005)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Accretion and amortization of discounts and premiums on investments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14,842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4,782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short-term investments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Purchase of short-term investments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(178,994)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15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(179,897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14,684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net</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162,093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184,962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145,373</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short-term investments</w:t>
            </w:r>
          </w:p>
        </w:tc>
        <w:tc>
          <w:tcPr>
            <w:tcW w:w="1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 costs under accounts payable and accrued expenses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Conversion of convertible preferred stock to common stock</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Iovance Biotherapeutics, Inc. (the “Company,” “we,” “us” or “our”) is a clinical-stage biopharmaceutical company focused on the development and commercialization of novel cancer immunotherapy products designed to harness the power of a patient’s own immune system to eradicate cancer cells. Our lead product candidate, lifileucel (LN-144) for metastatic melanoma, is an autologous adoptive cell therapy utilizing tumor-infiltrating lymphocytes, or TIL, which are T cells derived from patients’ tumors. TIL therapy is a platform technology that has already been studied for the treatment of metastatic melanoma and metastatic cervical cancer by the National Cancer Institute, or NCI. We are investigating the effectiveness and safety of TIL therapy for the treatment of metastatic melanoma, squamous cell carcinoma of the head and neck, cervical carcinoma, and metastatic non-small cell lung cancer, as well as other oncology indications. On June 1, 2017, the Company reincorporated to become a company governed by Delaware corporation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unaudited condensed consolidated financial statements of the Company for the three and nine months ended September 30, 2018 and 2017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2017, was derived from the audited financial statements included in the Company's financial statements as of and for the year ended December 31, 2017 included in the Company’s Annual Report on Form 10-K filed with the Securities and Exchange Commission (the “SEC”) on March 12, 2018. These financial statements should be read in conjunction with that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$91.0 million for the nine months ended September 30, 2018 and used $69.7 million of cash in our operating activities during the nine months ended September 30, 2018. 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$172.5 million, with net proceeds to the Company of approximately $162.0 million. For the nine months ended September 30, 2018, the Company received $23.1 million from the exercise of stock options and warrants to purchase common stock. As of September 30, 2018, we had $80.7 million of cash and cash equivalents and $179.3 million in short-term investments.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are $252.2 million, with estimated net proceeds to the Company of approximately $236.6 million.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expects to further increase its research and development activities, which will increase the amount of cash used during the remainder of 2018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increased research and development activities and initiation of pre-commercial activities. Based on the funds the Company has available as of the date these financial statements are issued, the Company believes that it has sufficient capital to fund its anticipated operating expenses for at least the next twelve months from the date that these financial statements are issued.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credit risk from our portfolio of cash equivalents and short-term investments. Under our investment policy, we limit amounts invested in such securities by credit rating, maturity, industry group, investment type and issuer, except for securities issued by the U.S. government. We are not exposed to any significant concentrations of credit risk from these financial instruments. The goals of our investment policy, in order of priority, are as follows: safety and preservation of principal and diversification of risk; liquidity of investments sufficient to meet cash flow requirements; and a competitive after-tax rate of return.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loss. The cost of debt securities is adjusted for the amortization of premiums and accretion of discounts to maturity. Such amortization and accretion are included in interest expense and income. Gains and losses on securities sold are recorded based on the specific identification method and are included in interest income in the condensed consolidated statement of operations. We have not incurred any realized gains or losses from sales of securities to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net loss per share is computed by dividing the net loss by the weighted average number of common shares outstanding during the period.</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 (ii) vesting of restricted stock units and restricted stock awards, and (iii) conversion of preferred stock, are only included in the calculation of diluted net loss per share when their effect is dilutive.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2018 and 2017,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400" w:type="dxa"/>
            <w:vAlign w:val="bottom"/>
            <w:gridSpan w:val="4"/>
          </w:tcPr>
          <w:p>
            <w:pPr>
              <w:ind w:left="6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6,912,932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6,706,964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427,800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6,411,216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5,854,845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7,946,673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80,200</w:t>
            </w: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126,041</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13,372,777</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22,038,728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on an as-converted basis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dilutive effect of potentially dilutive securities is reflected in diluted earnings per common share by application of the treasury stock method. Under the treasury stock method, an increase in the fair market value of the Company's common stock can result in a greater dilutive effect from potentially dilutive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648"/>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fair valued assets we held are generally assessed under Level 2 were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third-party pricing service providers. We review independent auditor’s reports from our third-party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fair valued assets classified under Level 2 as of September 30, 2018.</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fair valued assets classified under Level 3 as of September 30, 2018.</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2018, financial assets measured at fair value on a recurring basis are categorized in the table below based upon the lowest level of significant input to the valuations (in thousands):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ind w:right="5"/>
              <w:spacing w:after="0"/>
              <w:rPr>
                <w:sz w:val="20"/>
                <w:szCs w:val="20"/>
                <w:color w:val="auto"/>
              </w:rPr>
            </w:pPr>
            <w:r>
              <w:rPr>
                <w:rFonts w:ascii="Arial" w:cs="Arial" w:eastAsia="Arial" w:hAnsi="Arial"/>
                <w:sz w:val="18"/>
                <w:szCs w:val="18"/>
                <w:b w:val="1"/>
                <w:bCs w:val="1"/>
                <w:color w:val="auto"/>
              </w:rPr>
              <w:t>Assets at Fair Value as of September 30, 2018</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149,600</w:t>
            </w:r>
          </w:p>
        </w:tc>
        <w:tc>
          <w:tcPr>
            <w:tcW w:w="120" w:type="dxa"/>
            <w:vAlign w:val="bottom"/>
            <w:shd w:val="clear" w:color="auto" w:fill="CCEEFF"/>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120" w:type="dxa"/>
            <w:vAlign w:val="bottom"/>
            <w:tcBorders>
              <w:bottom w:val="single" w:sz="8" w:color="CCEEFF"/>
            </w:tcBorders>
          </w:tcPr>
          <w:p>
            <w:pPr>
              <w:spacing w:after="0"/>
              <w:rPr>
                <w:sz w:val="19"/>
                <w:szCs w:val="19"/>
                <w:color w:val="auto"/>
              </w:rPr>
            </w:pPr>
          </w:p>
        </w:tc>
      </w:tr>
      <w:tr>
        <w:trPr>
          <w:trHeight w:val="223"/>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179,262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179,262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the Company had no financial assets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the useful lives of property and equipment, accounting for potential liabilities, the valuation allowance associated with the Company’s deferred tax assets, and the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subsidiary, Iovance Biotherapeutics GmbH. All intercompany accounts and transactions have been eliminated in consolidation. The U.S. dollar is the functional currency for all the Company's consolidated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periodically grants stock options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The Company accounts for stock option grants to non-employees in accordance with the authoritative guidance of the FASB where the value of the stock compensation is determined based upon the measurement date at either</w:t>
      </w:r>
    </w:p>
    <w:p>
      <w:pPr>
        <w:spacing w:after="0" w:line="2" w:lineRule="exact"/>
        <w:rPr>
          <w:sz w:val="20"/>
          <w:szCs w:val="20"/>
          <w:color w:val="auto"/>
        </w:rPr>
      </w:pPr>
    </w:p>
    <w:p>
      <w:pPr>
        <w:jc w:val="both"/>
        <w:ind w:firstLine="8"/>
        <w:spacing w:after="0" w:line="254"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and is recognized as expense over the period which an employee is required to provide services in exchange for the award.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restricted stock units is based on the closing price of the Company’s common stock on the grant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stock-based compensation expenses related to all our stock-based awards were recorded on the statements of operations as follows (in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2,255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3,261</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8,206</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5,335</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5,516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expenses broken down based on each individual instrument were as follows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expenses</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5,448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Restricted stock award expenses</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r>
      <w:tr>
        <w:trPr>
          <w:trHeight w:val="263"/>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stock-based compensation expenses</w:t>
            </w:r>
          </w:p>
        </w:tc>
        <w:tc>
          <w:tcPr>
            <w:tcW w:w="1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5,516</w:t>
            </w:r>
          </w:p>
        </w:tc>
        <w:tc>
          <w:tcPr>
            <w:tcW w:w="22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2,619</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14,842</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9,208</w:t>
            </w:r>
          </w:p>
        </w:tc>
        <w:tc>
          <w:tcPr>
            <w:tcW w:w="100" w:type="dxa"/>
            <w:vAlign w:val="bottom"/>
            <w:tcBorders>
              <w:bottom w:val="single" w:sz="8" w:color="CCEEFF"/>
            </w:tcBorders>
          </w:tcPr>
          <w:p>
            <w:pPr>
              <w:spacing w:after="0"/>
              <w:rPr>
                <w:sz w:val="22"/>
                <w:szCs w:val="22"/>
                <w:color w:val="auto"/>
              </w:rPr>
            </w:pPr>
          </w:p>
        </w:tc>
      </w:tr>
      <w:tr>
        <w:trPr>
          <w:trHeight w:val="197"/>
        </w:trPr>
        <w:tc>
          <w:tcPr>
            <w:tcW w:w="4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per certain criteria. The criteria includes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342" w:lineRule="auto"/>
        <w:rPr>
          <w:sz w:val="20"/>
          <w:szCs w:val="20"/>
          <w:color w:val="auto"/>
        </w:rPr>
      </w:pPr>
      <w:r>
        <w:rPr>
          <w:rFonts w:ascii="Arial" w:cs="Arial" w:eastAsia="Arial" w:hAnsi="Arial"/>
          <w:sz w:val="16"/>
          <w:szCs w:val="16"/>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 Not Yet Adopted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2016, the FASB issued ASU No. 2016-02, Leases (Topic 842), which establishes a new lease accounting model for lessees. The updated guidance requires an entity to recognize assets and liabilities arising from a lease for both financing and operating leases, along with additional qualitative and quantitative disclosures. In June 2018, the FASB issued ASU No. 2018-10, Codification Improvements to Topic 842, Leases, which further clarifies how to apply certain aspects of the new lease standard. Both of the guidance are effective for fiscal years, and interim periods within those years, beginning after December 15, 2018, with early adoption permitted. The Company plans to adopt this ASU on January 1, 2019. The Company is currently evaluating the impact of the adoption of this standard on its financial statements. However, the Company expects the adoption of this accounting guidance to result in an increase in lease assets and a corresponding increase in lease liabilities on its balance sheets.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2018, the FASB issued ASU No. 2018-07, Compensation- Stock Compensation (Topic 718): Improvements to Nonemployee Share-Based Payment Accounting, which eliminates the separate accounting model for nonemployee share-based payment awards and generally requires companies to account for share-based payment transactions with nonemployees in the same way as share-based payment transactions with employees. The amended guidance is effective for fiscal years beginning after December 15, 2018, with early adoption permitted. The Company plans to adopt this ASU on January 1, 2019. The Company is currently evaluating the impact of the adoption of this standard on its financial statements.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Changes to the Disclosure Requirements for Fair Value Measurement, which eliminates disclosure requirement regarding transfers between level 1 and level 2 of the fair value of hierarchy, however, adds disclosure requirements on the range and weighted average used to develop significant unobservable inputs for level 3 fair value measurements. The guidance is effective for fiscal years beginning after December 15, 2019 and for interim periods within those fiscal years, with early adoption permitted. The Company plans to adopt this ASU on January 1, 2020. The Company expects the impact of the adoption of this standard on its financial statements to be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evaluates events that have occurred after the balance sheet date but before the financial statements are issued. See Note 11 Subsequent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amounts within the statements of operations for the prior periods have been reclassified to conform with the current period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impact on the Company's previously reported financial position or cash flows for any of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AND SHORT-TERM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and short-term investments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30,</w:t>
            </w: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3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Cash equivalents - US government agency securities</w:t>
            </w: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13,983</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 total</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20" w:type="dxa"/>
            <w:vAlign w:val="bottom"/>
            <w:vMerge w:val="restart"/>
          </w:tcPr>
          <w:p>
            <w:pPr>
              <w:jc w:val="right"/>
              <w:ind w:right="223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jc w:val="both"/>
        <w:ind w:right="20" w:firstLine="648"/>
        <w:spacing w:after="0" w:line="277" w:lineRule="auto"/>
        <w:rPr>
          <w:sz w:val="20"/>
          <w:szCs w:val="20"/>
          <w:color w:val="auto"/>
        </w:rPr>
      </w:pPr>
      <w:r>
        <w:rPr>
          <w:rFonts w:ascii="Arial" w:cs="Arial" w:eastAsia="Arial" w:hAnsi="Arial"/>
          <w:sz w:val="18"/>
          <w:szCs w:val="18"/>
          <w:color w:val="auto"/>
        </w:rPr>
        <w:t>Cash equivalents in the tables above exclude cash demand deposits of $54.4 million and $54.1 million as of September 30, 2018 and December 31, 2017,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19"/>
                <w:szCs w:val="19"/>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30,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8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149,600</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r>
      <w:tr>
        <w:trPr>
          <w:trHeight w:val="23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29,662</w:t>
            </w:r>
          </w:p>
        </w:tc>
        <w:tc>
          <w:tcPr>
            <w:tcW w:w="11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r>
      <w:tr>
        <w:trPr>
          <w:trHeight w:val="223"/>
        </w:trPr>
        <w:tc>
          <w:tcPr>
            <w:tcW w:w="8140" w:type="dxa"/>
            <w:vAlign w:val="bottom"/>
          </w:tcPr>
          <w:p>
            <w:pPr>
              <w:ind w:left="180"/>
              <w:spacing w:after="0"/>
              <w:rPr>
                <w:sz w:val="20"/>
                <w:szCs w:val="20"/>
                <w:color w:val="auto"/>
              </w:rPr>
            </w:pPr>
            <w:r>
              <w:rPr>
                <w:rFonts w:ascii="Arial" w:cs="Arial" w:eastAsia="Arial" w:hAnsi="Arial"/>
                <w:sz w:val="18"/>
                <w:szCs w:val="18"/>
                <w:color w:val="auto"/>
              </w:rPr>
              <w:t>Short-term investments total</w:t>
            </w: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179,262</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and fair value of cash equivalents and short-term investments at September 30, 2018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left="56"/>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left="56"/>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 2018</w:t>
            </w:r>
          </w:p>
        </w:tc>
        <w:tc>
          <w:tcPr>
            <w:tcW w:w="28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Accretion</w:t>
            </w:r>
          </w:p>
        </w:tc>
        <w:tc>
          <w:tcPr>
            <w:tcW w:w="1100" w:type="dxa"/>
            <w:vAlign w:val="bottom"/>
          </w:tcPr>
          <w:p>
            <w:pPr>
              <w:jc w:val="center"/>
              <w:ind w:left="36"/>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0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29,625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1100" w:type="dxa"/>
            <w:vAlign w:val="bottom"/>
          </w:tcPr>
          <w:p>
            <w:pPr>
              <w:jc w:val="right"/>
              <w:ind w:right="936"/>
              <w:spacing w:after="0"/>
              <w:rPr>
                <w:sz w:val="20"/>
                <w:szCs w:val="20"/>
                <w:color w:val="auto"/>
              </w:rPr>
            </w:pPr>
            <w:r>
              <w:rPr>
                <w:rFonts w:ascii="Arial" w:cs="Arial" w:eastAsia="Arial" w:hAnsi="Arial"/>
                <w:sz w:val="15"/>
                <w:szCs w:val="15"/>
                <w:color w:val="auto"/>
                <w:w w:val="71"/>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29,662</w:t>
            </w:r>
          </w:p>
        </w:tc>
      </w:tr>
      <w:tr>
        <w:trPr>
          <w:trHeight w:val="223"/>
        </w:trPr>
        <w:tc>
          <w:tcPr>
            <w:tcW w:w="41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178,994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the Company had no short-term investments. Unrealized gains and losses are included in accumulated other comprehensive loss. All short-term investments held by the Company as of September 30, 2018 have a maturity of less than one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300" w:type="dxa"/>
            <w:vAlign w:val="bottom"/>
          </w:tcPr>
          <w:p>
            <w:pPr>
              <w:spacing w:after="0"/>
              <w:rPr>
                <w:sz w:val="24"/>
                <w:szCs w:val="24"/>
                <w:color w:val="auto"/>
              </w:rPr>
            </w:pPr>
          </w:p>
        </w:tc>
        <w:tc>
          <w:tcPr>
            <w:tcW w:w="6320" w:type="dxa"/>
            <w:vAlign w:val="bottom"/>
            <w:gridSpan w:val="2"/>
          </w:tcPr>
          <w:p>
            <w:pPr>
              <w:ind w:left="360"/>
              <w:spacing w:after="0"/>
              <w:rPr>
                <w:sz w:val="20"/>
                <w:szCs w:val="20"/>
                <w:color w:val="auto"/>
              </w:rPr>
            </w:pPr>
            <w:r>
              <w:rPr>
                <w:rFonts w:ascii="Arial" w:cs="Arial" w:eastAsia="Arial" w:hAnsi="Arial"/>
                <w:sz w:val="18"/>
                <w:szCs w:val="18"/>
                <w:color w:val="auto"/>
              </w:rPr>
              <w:t>Accrued expenses consist of the following (in thousands):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2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Legal and related services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Manufacturing related</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other</w:t>
            </w:r>
          </w:p>
        </w:tc>
        <w:tc>
          <w:tcPr>
            <w:tcW w:w="1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are $252.2 million, with estimated net proceeds to the Company of approximately $236.6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certificate of incorporation authorizes the issuance of up to 50,000,000 shares of “blank check” preferred stock. At September 30, 2018 and December 31, 2017, 17,000 shares have been designated as Series A Convertible Preferred Stock and 11,500,000 shares have been designated as Series B Preferred Stock, which are now convertible into common stock (“Series B Convertible Preferred Stock”).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total of 17,000 shares of Series A Convertible Preferred Stock have been authorized for issuance under the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stockholders. In the event of any dissolution or winding up of the Company, proceeds shall be paid pari passu among the holders of the shares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The common shares issued were determined on a formula basis of 500 common shares for each share of Series A Convertible Preferred Stock converted.</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nine months ended September 30, 2018, 1,500 shares of Series A Convertible Preferred Stock were converted into 750,000 shares of common stock. At September 30, 2018, 194 shares of Series A Convertible Preferred Stock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the Series B Convertible Preferred Stock are entitled to dividends on an as-if-converted basis in the same form as any dividends actually paid on shares of the Company’s Series A Convertible Preferred Stock or the Company’s common stock. So long as any Series B Convertible Preferred Stock remains outstanding, the Company may not redeem, purchase or otherwise acquire any material amount of our Series A Convertible Preferred Stock or any securities junior to the Series B Convertible Preferred Stock.</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nine months ended September 30, 2018, 1,523,396 shares of Series B Convertible Preferred Stock were converted into 1,523,396 shares of common stock. At September 30, 2018, 5,854,845 shares of Series B Convertible Preferred Stock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warrant activity for the nine months ended September 30, 2018:</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gridSpan w:val="3"/>
          </w:tcPr>
          <w:p>
            <w:pPr>
              <w:jc w:val="center"/>
              <w:ind w:right="125"/>
              <w:spacing w:after="0"/>
              <w:rPr>
                <w:sz w:val="20"/>
                <w:szCs w:val="20"/>
                <w:color w:val="auto"/>
              </w:rPr>
            </w:pPr>
            <w:r>
              <w:rPr>
                <w:rFonts w:ascii="Arial" w:cs="Arial" w:eastAsia="Arial" w:hAnsi="Arial"/>
                <w:sz w:val="18"/>
                <w:szCs w:val="18"/>
                <w:b w:val="1"/>
                <w:bCs w:val="1"/>
                <w:color w:val="auto"/>
                <w:w w:val="88"/>
              </w:rPr>
              <w:t>Weighted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60" w:type="dxa"/>
            <w:vAlign w:val="bottom"/>
            <w:gridSpan w:val="3"/>
          </w:tcPr>
          <w:p>
            <w:pPr>
              <w:jc w:val="center"/>
              <w:ind w:right="125"/>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Under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60" w:type="dxa"/>
            <w:vAlign w:val="bottom"/>
            <w:gridSpan w:val="3"/>
          </w:tcPr>
          <w:p>
            <w:pPr>
              <w:jc w:val="center"/>
              <w:ind w:right="125"/>
              <w:spacing w:after="0"/>
              <w:rPr>
                <w:sz w:val="20"/>
                <w:szCs w:val="20"/>
                <w:color w:val="auto"/>
              </w:rPr>
            </w:pPr>
            <w:r>
              <w:rPr>
                <w:rFonts w:ascii="Arial" w:cs="Arial" w:eastAsia="Arial" w:hAnsi="Arial"/>
                <w:sz w:val="18"/>
                <w:szCs w:val="18"/>
                <w:b w:val="1"/>
                <w:bCs w:val="1"/>
                <w:color w:val="auto"/>
                <w:w w:val="91"/>
              </w:rPr>
              <w:t>Remaining</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60" w:type="dxa"/>
            <w:vAlign w:val="bottom"/>
            <w:gridSpan w:val="3"/>
          </w:tcPr>
          <w:p>
            <w:pPr>
              <w:jc w:val="center"/>
              <w:ind w:right="125"/>
              <w:spacing w:after="0"/>
              <w:rPr>
                <w:sz w:val="20"/>
                <w:szCs w:val="20"/>
                <w:color w:val="auto"/>
              </w:rPr>
            </w:pPr>
            <w:r>
              <w:rPr>
                <w:rFonts w:ascii="Arial" w:cs="Arial" w:eastAsia="Arial" w:hAnsi="Arial"/>
                <w:sz w:val="18"/>
                <w:szCs w:val="18"/>
                <w:b w:val="1"/>
                <w:bCs w:val="1"/>
                <w:color w:val="auto"/>
                <w:w w:val="99"/>
              </w:rPr>
              <w:t>Life</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6,301,216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34,651,188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Issued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(5,873,416)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years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3,734,500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day of the nine months ended September 30, 2018 and the exercise price of the warrants, multiplied by the number of in-the-money warrants) that would have been received by the warrant holders had all warrant holders exercised their warrants on September 30, 2018. The intrinsic value of the Company’s warrants changes based on the closing price of the Company’s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Company’s Board of Directors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As of September 30, 2018, 376,240 shares were available for future grant under the 2011 Plan.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19, 2014, the Company’s Board of Directors (the “Board”) adopted the Iovance Biotherapeutics, Inc. 2014 Equity Incentive Plan (the “2014 Plan”). The 2014 Plan was approved by the Company’s stockholders at the annual meeting of stockholders held in November 2014. The 2014 Plan as approved by the stockholders authorized the issuance up to an aggregate of 2,350,000 shares of common stock. On April 10, 2015, the Board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16, 2016, the Company’s stockholders approved the increase of the total number of shares that can be issued under the 2014 Plan from 4,000,000 shares to 9,000,000 shares of the Company’s common stock. At September 30, 2018, 810,724 shares were available for grant under the Company’s 2014 Plan.</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April 22, 2018, the Board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At September 30, 2018, 6,000,000 shares of common stock were available for grant under the Company’s 2018 Plan. The Company anticipates granting the remaining shares under the 2011 and 2014 Plans prior to granting shares from the 2018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1, 2016, the Company entered into a restricted stock unit agreement with the Company’s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vest in installments as follows: (i) 137,500 restricted stock units vested upon the first anniversary of the effective date of Dr. Fardis’ employment agreement; (ii) 275,000 restricted stock units vested upon the satisfaction of certain clinical trial milestones; and (iii) 137,500 restricted stock units vest in equal monthly installments over the 36-month period following the first anniversary of the effective date of Dr. Fardis’ employment, provided that Dr. Fardis has been continuously employed with the Company as of such vesting dates. As of September 30, 2018, 80,200 restricted stock units remained unvested.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expenses for restricted stock units are measured based on the closing fair market value of the Company's common stock on the date of grant. The stock-based compensation expenses relating to restricted stock units were $0.1 million and $0.1 million for the three months ended September 30, 2018 and 2017, respectively, and $0.2 million and $1.0 million for the nine months ended September 30, 2018 and 2017, respectively, recorded as part of general and administrative expenses.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2018, there was $0.5 million of total unrecognized compensation expense related to the non-vested restricted stock units to be recognized over a period of 1.67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options activity for the nine months ended September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 Life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6,072,368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2,673,720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15.26</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(1,081,954)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Expired/Forfeited</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(751,202)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6,912,932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18,597,172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Options exercisable at September 30, 2018</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64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3,042,373</w:t>
            </w: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7.68</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11,762,590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279"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The Company recorded stock-based compensation costs related to options of $5.4 million and $2.6 million for the three months ended September 30, 2018 and 2017, respectively and $14.6 million and $8.2 million for the nine months ended September 30, 2018 and 2017 respectively. As of September 30, 2018, there was $38.5 million of total unrecognized compensation expense related to the options to be recognized over a weighted average period of 1.94 years.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weighted-average grant date fair values per share of options granted under the 2011 and 2014 Plan were $15.26 and $6.46 for the nine months ended September 30, 2018 and 2017,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Options for 1,081,954 shares and 484,850 shares were exercised during the nine months ended September 30, 2018 and 2017 with intrinsic value of $3.8 million and $1.2 million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nine months ended September 30, 2018 and the exercise price of the options, multiplied by the number of in-the-money stock options) that would have been received by the option holders had all option holders exercised their options on September 30, 2018. The intrinsic value of the Company’s stock options changes based on the closing price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2015, the Company executed an amendment (the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the terms of the CRADA, we are currently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each of the three months ended September 30, 2018 and 2017, and $1.5 million for each of the nine months ended September 30, 2018 and 2017 as research and development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October 5, 2011, the Company entered into a Patent License Agreement (the “Patent License Agreement”) with the National Institutes of Health, an agency of the United States Public Health Service within the Department of Health and Human Services (NIH), which Patent License Agreement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costs associated with Moffitt of $0.6 million and $2.0 million for the three months ended September 30, 2018 and 2017, respectively, and $2.2 million and $4.3 million for the nine months ended September 30, 2018 and 2017, respectively, as research and development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the Company in agreement with Moffitt.</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Second Moffitt License, the Company paid an upfront licensing fee in the amount of $0.1 million for the nine months ended September 30, 2018. An annual license maintenance fee will be also payable commencing on the first anniversary of the effective date. In addition, the Company agreed to pay an annual commercial use payment for each indication for which a first sale has occurred, which in the aggregate amounts to up to $0.4 million a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PolyBioCept and Karolinska University Hospital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PolyBioCept Exclusive and Co-Exclusive License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one of which has been abandoned. Under the PolyBioCept Agreement, the Company received the exclusive right and license to PolyBioCept’s intellectual property to develop, manufacture, market and genetically engineer TIL produced by expansion, selection and enrichment using a proprietary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 achieved, (ii) certain regulatory approvals have been obtained from the FDA and/or the European Medicines Agency, and (iii) certain product sales targets are achieved. The milestone payments will be payable both in cash (U.S. dollars) and in shares of the Company’s common stock. 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reimbursed PolyBioCept up to $0.2 million in expenses related to the transfer of know-how and paid PolyBioCept $0.1 million as a clinical trials management fee. The PolyBioCept Agreement has an initial term of 30 years and may be extended for additional five-year periods. No expense was recorded during the three and nine months ended September 30, 2018. During the three and nine months period ended September 30, 2017, the Company recorded $0.2 million and $0.4 million associated with the PolyBioCept Agreement, respectively, as research and development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Karolinska University Hospital and Karolinska Institute Agreements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execution of the PolyBioCept Agreement, the Company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In the year ended December 31, 2016, the Company paid Karolinska University Hospital $1.6 million under the clinical trials agreement to conduct the clinical trials. As of April 9, 2018, the Company terminated the clinical trials agreement with the Karolinska University Hospital. In June 2018, the Company received a refund of $1.6 million from Karolinska, which resulted in a reversal of prior period expense and a credit of $0.4 million in the condensed consolidated statement of operations for the nine months ended September 30, 2018. No expense was recorded in the three months ended September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17, 2017, the Company entered into a Strategic Alliance Agreement (the “SAA”) with M.D. Anderson Cancer Center (“M.D. Anderson”) under which the Company and M.D. Anderson agreed to conduct clinical and preclinical research studies. The Company agreed in the SAA to provide total funding not to exceed approximately $14.2 million for the performance of the multi-year studies under the SAA. In return, the Company will acquire all rights to inventions resulting from the studies and has been granted a non-exclusive, sub-licensable, royalty-free, and perpetual license to specified background intellectual property of M.D. Anderson reasonably necessary to exploit, including the commercialization thereof. The Company has also been granted certain rights in clinical data generated by M.D. Anderson outside of the clinical trials to be performed under the SAA. The SAA’s term shall continue in effect until the later of the fourth anniversary of the SAA or the completion or termination of the research and receipt by us of all deliverables due from M.D. Anderson thereunder. In May 2017, the Company paid $1.4 million under this agreement. The Company recorded $0.1 million and $0.2 million associated with the M.D. Anderson SAA for the three and nine months ended September 30, 2018, respectively, as research and development expenses. No costs were recorded for the same periods in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MedImmune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2015, the Company entered into a collaboration agreement (the “MedImmune Agreement”) with MedImmune, the global biologics research and development arm of AstraZeneca (“MedImmune”), to conduct clinical and preclinical research in immuno-oncology. Under the MedImmune Agreement, the Company will fund and conduct at least one clinical trial combining MedImmune's PD-L1 inhibitor, durvalumab, with TIL for the treatment of patients. MedImmune will supply durvalumab for the clinical trials. The purpose of the studies is to establish a dosing regimen for this combination therapy and assess its safety and efficacy.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WuXi Apptech, Inc. (“WuXi”)</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November 2016, the Company entered into a three-year manufacturing and services agreement (“MSA”) with WuXi pursuant to which WuXi agreed to provide manufacturing and other services. Under the agreement, the Company entered into two statements of work for two cGMP manufacturing suites to be established and operated by WuXi for the Company, one of the suites is expected to be capable of being used for the commercial manufacture of our products. The statements of work for each facility include a fixed component to reserve a dedicated suite and a variable component, mainly labor and materials used during the manufacturing process. The fee payable under the first statement of work for the use of one of the manufacturing suites during the first year of the agreement, including the fees for the necessary personnel, was $2.5 million. The second statement of work, under which WuXi agreed to establish and operate a second, dedicated facility for a late stage/commercial manufacturing cGMP suite requires the Company to pay approximately $5.85 million during the first year of the agreement. The Company and WuXi have extended the term of the related statements of work until May 2020. The Company recorded costs associated with agreements with WuXi of $4.5 million and $3.1 million for the three months ended September 30, 2018 and 2017, respectively, and $10.6 million and $10.6 million for the nine months ended September 30, 2018 and 2017, respectively, as research and development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the Company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The Company’s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 Lion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Biotechnologies, Inc., et al., </w:t>
      </w:r>
      <w:r>
        <w:rPr>
          <w:rFonts w:ascii="Arial" w:cs="Arial" w:eastAsia="Arial" w:hAnsi="Arial"/>
          <w:sz w:val="16"/>
          <w:szCs w:val="16"/>
          <w:color w:val="auto"/>
        </w:rPr>
        <w:t>case no. 3:17-cv-2086) against our company and three of our former officers and directors. On April 19, 2017, a second class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6"/>
          <w:szCs w:val="16"/>
          <w:i w:val="1"/>
          <w:iCs w:val="1"/>
          <w:color w:val="auto"/>
        </w:rPr>
        <w:t>In the Matter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 court entered an order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our insurance carrier and would result in no loss to us. A hearing on preliminary approval of the settlement is set for November 9, 2018.</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Derivative Lawsuits.</w:t>
      </w:r>
      <w:r>
        <w:rPr>
          <w:rFonts w:ascii="Arial" w:cs="Arial" w:eastAsia="Arial" w:hAnsi="Arial"/>
          <w:sz w:val="18"/>
          <w:szCs w:val="18"/>
          <w:color w:val="auto"/>
        </w:rPr>
        <w:t xml:space="preserve"> On December 15, 2017, a purported stockholder derivative complaint was filed by plaintiff Kevin Fong on behalf of the Company, against the Company, as nominal defendant, and certain of the Company’s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8"/>
          <w:szCs w:val="18"/>
          <w:i w:val="1"/>
          <w:iCs w:val="1"/>
          <w:color w:val="auto"/>
        </w:rPr>
        <w:t>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 of Certain Stock Promotions </w:t>
      </w:r>
      <w:r>
        <w:rPr>
          <w:rFonts w:ascii="Arial" w:cs="Arial" w:eastAsia="Arial" w:hAnsi="Arial"/>
          <w:sz w:val="18"/>
          <w:szCs w:val="18"/>
          <w:color w:val="auto"/>
        </w:rPr>
        <w:t>investigation and our April 10, 2017 settlement thereof, and seeks unspecified damages on behalf of our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injunctive relief.</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8"/>
          <w:szCs w:val="18"/>
          <w:i w:val="1"/>
          <w:iCs w:val="1"/>
          <w:color w:val="auto"/>
        </w:rPr>
        <w:t>In the Matter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Stock Promotions </w:t>
      </w:r>
      <w:r>
        <w:rPr>
          <w:rFonts w:ascii="Arial" w:cs="Arial" w:eastAsia="Arial" w:hAnsi="Arial"/>
          <w:sz w:val="18"/>
          <w:szCs w:val="18"/>
          <w:color w:val="auto"/>
        </w:rPr>
        <w:t>investigation and the Company’s April 10, 2017 settlement thereof, and seeks unspecified damages on behalf of our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injunctive relief. On May 1, 2018, the court consolidated this case with the aforementioned purported stockholder derivative case filed by plaintiff Kevin Fong.</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intends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w:t>
      </w:r>
      <w:r>
        <w:rPr>
          <w:rFonts w:ascii="Arial" w:cs="Arial" w:eastAsia="Arial" w:hAnsi="Arial"/>
          <w:sz w:val="16"/>
          <w:szCs w:val="16"/>
          <w:i w:val="1"/>
          <w:iCs w:val="1"/>
          <w:color w:val="auto"/>
        </w:rPr>
        <w:t>Solomon Capital, LLC, Solomon Capital 401(K) Trust, Solomon Sharbat and Shelhav Raff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 Lion Biotechnologies, Inc. </w:t>
      </w:r>
      <w:r>
        <w:rPr>
          <w:rFonts w:ascii="Arial" w:cs="Arial" w:eastAsia="Arial" w:hAnsi="Arial"/>
          <w:sz w:val="16"/>
          <w:szCs w:val="16"/>
          <w:color w:val="auto"/>
        </w:rPr>
        <w:t>was filed by Solomon Capital, LLC, Solomon Capital 401(k) Trust, Solomon Sharbat and Shelhav Raff against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the Company’s common stock in the restructuring that was affected in May 2013. Based on the foregoing, the plaintiffs allege causes for breach of contract and unjust enrichment and demand judgment against the Company in an unspecified amount exceeding $1.5 million, plus interest and attorneys’ fees.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the Company’s amended counterclaims and affirmative defense for fraudulent inducement. On August 15, 2018, the court entered an order granting the plaintiff’s motion and dismissed the Company’s amended counterclaims and eleventh affirmative defense for fraudulent inducement without leave to amend. On September 14, 2018, the Company filed a notice of appeal related to this order, and on November 5, 2018, the Company filed its memorandum of law in support of its appeal of the order dismissing the Company’s amended counterclaims and affirmative defense for fraudulent inducement.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Litigation Involving Dr. Steven Fischkoff.</w:t>
      </w:r>
      <w:r>
        <w:rPr>
          <w:rFonts w:ascii="Arial" w:cs="Arial" w:eastAsia="Arial" w:hAnsi="Arial"/>
          <w:sz w:val="16"/>
          <w:szCs w:val="16"/>
          <w:color w:val="auto"/>
        </w:rPr>
        <w:t xml:space="preserve"> On June 13, 2017, in an action titled </w:t>
      </w:r>
      <w:r>
        <w:rPr>
          <w:rFonts w:ascii="Arial" w:cs="Arial" w:eastAsia="Arial" w:hAnsi="Arial"/>
          <w:sz w:val="16"/>
          <w:szCs w:val="16"/>
          <w:i w:val="1"/>
          <w:iCs w:val="1"/>
          <w:color w:val="auto"/>
        </w:rPr>
        <w:t>Steven Fischkoff v. Lion Biotechnologies, Inc. and Maria Fardis</w:t>
      </w:r>
      <w:r>
        <w:rPr>
          <w:rFonts w:ascii="Arial" w:cs="Arial" w:eastAsia="Arial" w:hAnsi="Arial"/>
          <w:sz w:val="16"/>
          <w:szCs w:val="16"/>
          <w:color w:val="auto"/>
        </w:rPr>
        <w:t>, Dr. Steven Fischkoff, our former Vice President and Chief Medical Officer, filed a lawsuit against the Company and Dr. Fardis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Company materials, prohibiting him from disclosing or using Company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us and Dr. Fardis. On October 18, 2018, Dr. Fischkoff amended his complaint to assert a new claim for defamation arising from SEC filings in which the Company provided information about this litigation.</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intends to vigorously defend against Dr. Fischkoff’s lawsuit and pursue the Company’s counterclaims. Based on the very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2014, the Company commenced a five-year non-cancellable operating lease with the University of South Florida Research Foundation for a 5,115-square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The lease expires in November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April 28, 2017, the Company entered into a sublease agreement with Teradata US, Inc., pursuant to which the Company agreed to sublease certain office space located adjacent to the Company's headquarters in San Carlos, California. The space consists of approximately 11,449 rentable square feet in the building located in San Carlos, California. The sublease for this space expired on October 31, 2018. Monthly lease payments were approximately $26,000. On October 19, 2018, the Company entered into a lease agreement with Hudson Skyway Landing, LLC. See Note 11 Subsequent Events.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leased office space in New York for a monthly rental of approximately $18,000 a month through July 2017. On June 5, 2017, the Company entered into an agreement whereby the Company will lease office space from August 1, 2017 to July 31, 2018 for approximately $9,000 a month. On April 20, 2018, the Company entered into an agreement to extend the lease term to January 31, 2019 for approximately $7,000 a month. The Company recognizes rental expense on the facilities on a straight-line basis over the lease term. Differences between the straight-line rent expense and rent payments are classified as deferred rent liability within accrued expenses on the balance sheet.</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2018, the Company's future minimum lease payments under non-cancelable operating leases, excluding the new lease entered subsequent to the quarter ended September 30, 2018,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16"/>
        </w:trPr>
        <w:tc>
          <w:tcPr>
            <w:tcW w:w="9540" w:type="dxa"/>
            <w:vAlign w:val="bottom"/>
            <w:vMerge w:val="restart"/>
          </w:tcPr>
          <w:p>
            <w:pPr>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34"/>
        </w:trPr>
        <w:tc>
          <w:tcPr>
            <w:tcW w:w="9540" w:type="dxa"/>
            <w:vAlign w:val="bottom"/>
            <w:vMerge w:val="continue"/>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Commitments</w:t>
            </w:r>
          </w:p>
        </w:tc>
        <w:tc>
          <w:tcPr>
            <w:tcW w:w="0" w:type="dxa"/>
            <w:vAlign w:val="bottom"/>
          </w:tcPr>
          <w:p>
            <w:pPr>
              <w:spacing w:after="0"/>
              <w:rPr>
                <w:sz w:val="1"/>
                <w:szCs w:val="1"/>
                <w:color w:val="auto"/>
              </w:rPr>
            </w:pPr>
          </w:p>
        </w:tc>
      </w:tr>
      <w:tr>
        <w:trPr>
          <w:trHeight w:val="210"/>
        </w:trPr>
        <w:tc>
          <w:tcPr>
            <w:tcW w:w="9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 (remaining three months)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95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95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Subsequent Events for the revised future minimum lease payments reflecting the new lease entered in October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Rent expense was $0.2 million and $0.3 million for the three months ended September 30, 2018 and 2017, respectively, and was $0.7 million and $0.7 million for each of the nine months ended September 30,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former member of the Company’s board of directors was an attorney at a law firm, TroyGould PC, that rendered legal services to the Company during the period of his directorship until June 6, 2018, but did not provide legal services to the company himself during that period. The Company paid TroyGould PC $0.1 million for the three months ended September 30, 2018 and 2017, respectively, and $0.4 million and $0.5 million for the nine months ended September 2018 and 2017, respectively.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September 14, 2017, the Company entered into a three-year consulting agreement with Iain Dukes, D. Phil, the Chairman of the Company’s Board of Directors.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stock based compensation expenses relating to this consulting agreement of $0.4 million and $0.1 million for the three months ended September 30, 2018 and 2017, respectively, and $1.0 million and $0.1 million for the nine months ended September 30, 2018 and 2017,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2018 Public Financing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17, 2018, the Company completed an underwritten public offering of 25,300,000 shares of its common stock. See Note 5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 The Company’s future minimum lease payments including this lease under non-cancelable operating leases are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Operating</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Year</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Commitments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 (remaining three months)</w:t>
            </w:r>
          </w:p>
        </w:tc>
        <w:tc>
          <w:tcPr>
            <w:tcW w:w="5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2019</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600" w:type="dxa"/>
            <w:vAlign w:val="bottom"/>
            <w:vMerge w:val="restart"/>
          </w:tcPr>
          <w:p>
            <w:pPr>
              <w:jc w:val="right"/>
              <w:ind w:right="363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1" w:name="page22"/>
    <w:bookmarkEnd w:id="21"/>
    <w:p>
      <w:pPr>
        <w:ind w:left="6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section, “we,” “our,” “ours” and “us” refer to Iovance Biotherapeutics, Inc.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This management’s discussion and analysis of financial condition as of September 30, 2018 and results of operations for the three and nine months ended September 30, 2018 and 2017, should be read in conjunction with management’s discussion and analysis of financial condition and results of operations included in our Annual Report on Form 10-K for the year ended December 31, 2017 which was filed with the SEC on March 12,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on Form 10-Q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2017. The identification in this Quarterly Report on Form 10-Q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novel cancer immunotherapy products designed to harness the power of a patient’s own immune system to eradicate cancer cells. Our lead product candidate, lifileucel (LN-144) for metastatic melanoma, is an autologous adoptive cell therapy utilizing tumor-infiltrating lymphocytes, or TIL, which are T cells derived from patients’ tumors. TIL therapy is a platform technology that has already been studied for the treatment of metastatic melanoma and metastatic cervical cancer by the National Cancer Institute, or NCI. We are investigating the effectiveness and safety of TIL therapy for the treatment of metastatic melanoma, squamous cell carcinoma of the head and neck, cervical carcinoma, and metastatic non-small cell lung cancer, as well as other oncology indications.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an ongoing Phase 2 clinical trial, C-144-01, of our lead product candidate, lifileucel, for the treatment of metastatic melanoma. This multicenter study is enrolling patients with unresectable or metastatic melanoma whose disease have progressed following treatment with at least one systemic therapy, including anti-PD-1 antibody and if BRAF mutated, a BRAF inhibitor or BRAF inhibitor with MEK inhibitor. In June 2018, we announced that the first patient in the C-144-01 trial was dosed with lifileucel in Europe at a clinical site in the United Kingdom. The purpose of the study is to evaluate the efficacy and safety of our autologous lifileucel product. We have decided to use our second generation or Gen 2 manufacturing process for all ongoing Phase 2 trials and in all future TIL clinical development in trials sponsored by us, and as a result, cohort 1 of C-144-01, using our first generation or Gen 1 manufacturing process, was closed to enrollment and subsequent patients were enrolled in cohort 2. The planned enrollment in C-144-01, which was increased to 85, was reached in October 2018 and cohort 2 is now closed to enrollment. On November 6, 2018, we announced that updated data from C-144-</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01 for 47 patients will be presented at the Society for Immunotherapy of Cancer, or SITC,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Annual Meeting in Washington D.C. The updated data in 47 patients demonstrated an objective response rate, or ORR, of 38% with median duration of response, or DOR, of 6.4 months, with DORs ranging from 1.3+ to 14+ months. The ORR was determined by response evaluation criteria in solid tumors version 1.1, or RECIST 1.1, as reported by each investigator. The ORR includes one complete response and 17 partial responses, four of which are unconfirmed as of October 25, 2018 and pending patients’ upcoming assessments. All of these patients had prior anti-PD-1 treatment and had a mean of 3.3 prior systemic therapies. The safety findings for C-144-01 remain consistent with previous reports. The most common treatment emergent adverse events were chills, febrile neutropenia, anaemia, decreased platelet counts, pyrexia and hypophosphataemia. Two grade 5 treatment emergent adverse events have been observed to date. We held an End of Phase 2 meeting with the U.S. Food and Drug Administration, or FDA, in September 2018 to discuss the C-144-01 study. In its written minutes to the meeting, FDA acknowledged that conduct of a randomized Phase 3 study may not be feasible in its intended population of advanced melanoma patients, who have been treated with at least one systemic therapy including an anti-PD-1 antibody and if BRAF mutation positive, a BRAF inhibitor or BRAF inhibitor with MEK inhibitor, and that such a study is not required for initial registration of lifileucel. FDA further acknowledged that a single-arm cohort of the C-144-01 trial may be acceptable for registration in this indication. A new cohort, cohort 4, of 80-100 patients, will be enrolled in C-144-01 with a prospective definition of the primary endpoint of ORR to be read out by a Blinded Independent Review Committee, or BIRC, to support registration of lifileucel. FDA strongly recommended that we validate a potency assay prior to starting cohort 4. We plan to initiate cohort 4 in early 2019 in the United States and in Europe and expect it to be fully enrolled by late 2019 or early 2020. BLA submission to FDA including cohort 4 results is expected in the second half of 2020.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firstLine="648"/>
        <w:spacing w:after="0" w:line="279" w:lineRule="auto"/>
        <w:rPr>
          <w:sz w:val="20"/>
          <w:szCs w:val="20"/>
          <w:color w:val="auto"/>
        </w:rPr>
      </w:pPr>
      <w:r>
        <w:rPr>
          <w:rFonts w:ascii="Arial" w:cs="Arial" w:eastAsia="Arial" w:hAnsi="Arial"/>
          <w:sz w:val="17"/>
          <w:szCs w:val="17"/>
          <w:color w:val="auto"/>
        </w:rPr>
        <w:t>We were granted a Regenerative Medicine Advanced Therapy or RMAT designation for lifileucel in advanced melanoma based on data provided to the FDA from our C-144-01 study. RMAT designation is granted for regenerative medicine drugs and allows for increased access to FDA during development. Under this designation, surrogate endpoints can be used to receive approval for a product, accelerated approval may be granted, and a rolling review of Biologics License Application (BLA) may be possible for the Center for Biologics Evaluation and Research (CBER).</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our ongoing trial in metastatic melanoma, we have an ongoing Phase 2, multicenter clinical trial, C-145-03, of our product candidate LN-145, TIL therapy for head and neck. The C-145-03 trial will enroll up to 47 patients and will assess the safety and efficacy of LN-145 for the treatment of patients with recurrent and/or metastatic squamous cell carcinoma of the head and neck. In October 2018, we reported preliminary data from C-145-03 which showed that thirteen patients that were currently evaluable and treated with LN-145 yielded an ORR of 31% with an early look at DOR ranging from 2.8 to 7.6 months. The ORR was determined by RECIST 1.1 as reported by each investigator. We have previously amended the protocol so that newly-enrolled patients can be treated using TIL produced from our Gen 2 manufacturing process. The protocol was recently further amended to limit the number of prior systemic therapies to no more than three. The trial will continue to enroll patients to the full sample size of 47 per protocol. The study is open for enrollment of patients in the United States.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C-145-04 is a Phase 2, multicenter study that will enroll up to 47 patients. Safety and efficacy of LN-145 for the treatment of patients with recurrent, metastatic or persistent cervical carcinoma are endpoints for the study. In October 2018, we reported preliminary data from C-145-04 and noted that the pre-defined criteria for Simon’s two stage design in C-145-04 was triggered. The preliminary data shows a 27% ORR in 15 recurrent, metastatic or persistent cervical carcinoma patients. The ORR was determined by RECIST 1.1 as reported by each investigator. We have previously amended the protocol so that newly-enrolled patients can be treated using TIL produced from our Gen 2 manufacturing process. The protocol was further previously amended to limit prior systemic therapies to no more than three and to exclude patients that have previously been treated with immunotherapy. The study is open for enrollment of patients in the United States and Europe.</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collaboration program with the MD Anderson Cancer Center, or MDACC, we and MDACC initiated one new Phase 2 study. The first trial is currently enrolling and is intended to allow for investigation of LN-145 manufactured by us using our Gen 2 manufacturing process to treat patients with soft tissue sarcoma, osteosarcoma and platinum resistant ovarian cancer. A second study under the collaboration with MDACC is in the startup phase. This study will allow for TIL manufactured by MDACC using urelumab as part of the manufacturing process. We anticipate initiating the second study before the end of 2018 using TIL manufactured by MDACC in ovarian, sarcoma and pancreatic cancers.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initiated our clinical development of TIL therapies for non-small cell lung cancer, or NSCLC, with two studies. One of the studies is an investigator-sponsored Phase 2 study currently underway in collaboration with the H. Lee Moffitt Cancer Center and Research Institute, or Moffitt, Stand Up To Cancer, and others. Patient enrollment began in the fourth quarter of 2017 in this study. Patients who are treatment naïve to prior anti-PD-1/ PD-L1 therapy with stage IV or recurrent NSCLC are being enrolled in this study, which combines TIL and nivolumab. The second study is sponsored by us and is a Phase 2 study in NSCLC patients who are PD-1 and PD-L1 treatment naïve. This study was initiated in the first half of 2018, in collaboration with MedImmune, the global biologics research and development arm of AstraZeneca. The protocol was recently amended to eliminate the TIL alone treatment cohort and allows for treatment with LN-145 in combination with durvalumab.</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initiated our IOV-COM-202 clinical trial, a Phase 2, multicenter study that is composed of three cohorts, to enroll up to 36 patients. In cohort 1, we intend to enroll advanced unresectable or metastatic melanoma patients who have not received prior immunotherapy including checkpoint inhibitors such as anti-PD-1/anti-PD-L1 therapy. The patients in cohort 1 will receive lifileucel in combination with pembrolizumab. In cohort 2, we intend to enroll advanced head and neck squamous cell carcinoma patients who are also naïve to prior immunotherapy including anti-PD-1/anti-PD-L1 therapy. The patients in cohort 2 will receive LN-145 in combination with pembrolizumab. In cohort 3, we intend to enroll non-small cell lung cancer patients who have previously received systemic therapy which could include checkpoint inhibitors. The patients in cohort 3 will receive lifileucel as a single agent. This study is open to patient enrollment, with the first U.S. site activated.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Our current product candidate pipeline is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152400</wp:posOffset>
            </wp:positionV>
            <wp:extent cx="6860540" cy="1697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60540"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collaboration pipeline is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152400</wp:posOffset>
            </wp:positionV>
            <wp:extent cx="6732270" cy="2246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27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studies listed in our collaboration pipeline table, the partner listed above is the sponsor of the clinical trial. Such partner may not use our Gen 2 manufacturing process, and/or the therapeutic dosing may differ from our clinical trials. As a result, such partner data may not be representative of our data. During the second quarter of 2018, the Company terminated the clinical trials agreement with the Karolinska University Hospital.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yet generated any revenues from our biotechnology business or otherwise since our formation. We currently do not anticipate that we will generate any revenues during 2018 from the sale or licensing of our products. Our ability to generate revenues in the future will depend on our ability to complete the development of our product candidates and to obtain regulatory approval for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14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Increase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14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7"/>
              </w:rPr>
              <w:t>Increase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4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(Decrease)</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4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6"/>
              </w:rPr>
              <w:t>(Decrease)</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Research and development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50,919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w w:val="98"/>
              </w:rPr>
              <w:t>Stock-based compensation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900" w:type="dxa"/>
            <w:vAlign w:val="bottom"/>
          </w:tcPr>
          <w:p>
            <w:pPr>
              <w:jc w:val="right"/>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6,636</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3,873</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2,763</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left="850"/>
              <w:spacing w:after="0"/>
              <w:rPr>
                <w:sz w:val="20"/>
                <w:szCs w:val="20"/>
                <w:color w:val="auto"/>
              </w:rPr>
            </w:pPr>
            <w:r>
              <w:rPr>
                <w:rFonts w:ascii="Arial" w:cs="Arial" w:eastAsia="Arial" w:hAnsi="Arial"/>
                <w:sz w:val="18"/>
                <w:szCs w:val="18"/>
                <w:color w:val="auto"/>
                <w:w w:val="89"/>
              </w:rPr>
              <w:t>23</w:t>
            </w: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72" w:lineRule="auto"/>
        <w:rPr>
          <w:sz w:val="20"/>
          <w:szCs w:val="20"/>
          <w:color w:val="auto"/>
        </w:rPr>
      </w:pPr>
      <w:r>
        <w:rPr>
          <w:rFonts w:ascii="Arial" w:cs="Arial" w:eastAsia="Arial" w:hAnsi="Arial"/>
          <w:sz w:val="17"/>
          <w:szCs w:val="17"/>
          <w:color w:val="auto"/>
        </w:rPr>
        <w:t>Research and development expense for the three months ended September 30, 2018 increased by $11.3 million, or 68%, compared to the same period in 2017. The increase was primarily attributable to a $4.8 million increase in clinical trial costs due to; higher patient enrollment and an increase in the number of clinical sites in the clinical trial of lifileucel for the treatment of metastatic melanoma, LN-145 for the treatment of cervical and head and neck cancers and the initiation of clinical trials in 2018 for new indications. Further, payroll and related expenses, including stock-based compensation expenses increased by $4.4 million due to a higher number of full time employees and dedicated consultants as we expanded our internal research efforts and clinical development programs. In addition, research and alliance costs increased by $1.4 million for clinical trials run by our alliance partners and new research initiatives and $0.7 million for our expansion of manufacturing capacity at our CMO.</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 for the nine months ended September 30, 2018 increased by $21.5 million, or 42%, compared to the same period in 2017. The increase was primarily attributable to a $11.9 million increase in our clinical trial costs and a $10.1 million increase in payroll and related expenses, including stock-based compensation expenses, for a higher number of full time employees and expenses for services performed by third parties in support of our clinical studies. Further, research and research alliance costs increased by $1.1 million as we expanded our research efforts and the number of clinical development programs. These increases were partially offset by a $1.5 million decrease in manufacturing costs due to higher costs in 2017 related to technical transfer activities.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number of patients, longer duration and additional data required for registrational clinical trials. We expect our research and development expenses to increase over the next several years as we continue to conduct our clinical trials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duration, costs and timing of our clinical trials and development of our product candidates will depend on a number of factors that include, but are not limited to, the number of patients that enroll in the trial, per patient trial costs, number of sites and geographies included in the trial, discontinuation and screening failure rates of patients, duration of patient follow-up, efficacy and safety profile of the product candidate, the cost to manufacture product and other additional drugs used in the clinical trial and the length of time required to enroll eligible patients. Additionally, the probability of success for our product candidates will depend on a number of factors, including competition for patients expected to be enrolled in our clinical trials, health and expected survival of patients enrolled in our clinical trials, and manufacturing capability at our CMOs.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14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Increase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50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4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(Decrease)</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20,905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15,887</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5,018</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w w:val="98"/>
              </w:rPr>
              <w:t>expense included in general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and administrative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1,738</w:t>
            </w:r>
          </w:p>
        </w:tc>
        <w:tc>
          <w:tcPr>
            <w:tcW w:w="90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8,206</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2,871</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for the three months ended September 30, 2018 increased by $1.4 million, or 26%, compared to the same period in 2017. The increase was primarily attributable to a $1.5 million increase in stock-based compensation expenses due to an increase in the number of full time employees and higher stock prices during the quarter as compared to the same period in 2017.</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 and administrative expense for the nine months ended September 30, 2018 increased by $5.0 million, or 32%, compared to the same period in 2017. The increase was primarily attributable to a $4.3 million increase in payroll and related expenses, including stock-based compensation expenses, due to a higher number of full time employees and higher stock prices during 2018 and a $0.6 million increase in professional service and legal expenses.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 and administrative expenses include personnel costs for our employees engaged in general and administrative activities, legal fees including expenses in support of expansion of our intellectual property, audit and tax fees, consultants and professional services, insurance premiums, and general corporate expenses. We expect that general and administrative expenses will increase in the future as we support our expansion of our clinical development activities. These increases will likely include, but not be limited to, increased expenses in support of patents and intellectual property, increased investor and public relations activities, additional personnel and higher accounting related fees.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260" w:type="dxa"/>
            <w:vAlign w:val="bottom"/>
            <w:gridSpan w:val="3"/>
          </w:tcPr>
          <w:p>
            <w:pPr>
              <w:spacing w:after="0"/>
              <w:rPr>
                <w:sz w:val="20"/>
                <w:szCs w:val="20"/>
                <w:color w:val="auto"/>
              </w:rPr>
            </w:pPr>
            <w:r>
              <w:rPr>
                <w:rFonts w:ascii="Arial" w:cs="Arial" w:eastAsia="Arial" w:hAnsi="Arial"/>
                <w:sz w:val="18"/>
                <w:szCs w:val="18"/>
                <w:i w:val="1"/>
                <w:iCs w:val="1"/>
                <w:color w:val="auto"/>
                <w:w w:val="98"/>
              </w:rPr>
              <w:t>Other Income (in thousands)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14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7"/>
              </w:rPr>
              <w:t>Increase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center"/>
              <w:ind w:right="790"/>
              <w:spacing w:after="0"/>
              <w:rPr>
                <w:sz w:val="20"/>
                <w:szCs w:val="20"/>
                <w:color w:val="auto"/>
              </w:rPr>
            </w:pPr>
            <w:r>
              <w:rPr>
                <w:rFonts w:ascii="Arial" w:cs="Arial" w:eastAsia="Arial" w:hAnsi="Arial"/>
                <w:sz w:val="18"/>
                <w:szCs w:val="18"/>
                <w:b w:val="1"/>
                <w:bCs w:val="1"/>
                <w:color w:val="auto"/>
                <w:w w:val="91"/>
              </w:rPr>
              <w:t>Nine Months Ended</w:t>
            </w: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4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(Decrease)</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534%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w:t>
            </w:r>
          </w:p>
        </w:tc>
        <w:tc>
          <w:tcPr>
            <w:tcW w:w="620" w:type="dxa"/>
            <w:vAlign w:val="bottom"/>
            <w:shd w:val="clear" w:color="auto" w:fill="CCEEFF"/>
          </w:tcPr>
          <w:p>
            <w:pPr>
              <w:jc w:val="right"/>
              <w:ind w:right="45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596</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1,714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income results from our interest-bearing cash and short-term investment accounts. Net interest income increased by $1.0 million and $1.7 million for the three and nine months ended September 30, 2018 compared to the same periods in 2017, respectively, due primarily to higher cash balances from the net proceeds of our common stock public offering in January 2018 and higher interest income earned on invested cash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had a net loss of $33.8 million and $91.0 million for the three and nine months ended September 30, 2018, respectively, compared to $22.1 million and $66.2 million for the same periods in 2017. The increases in our net losses in 2018 are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Corporate Capitalization</w:t>
      </w:r>
      <w:r>
        <w:rPr>
          <w:rFonts w:ascii="Arial" w:cs="Arial" w:eastAsia="Arial" w:hAnsi="Arial"/>
          <w:sz w:val="17"/>
          <w:szCs w:val="17"/>
          <w:color w:val="auto"/>
        </w:rPr>
        <w:t>. As of September 30, 2018, we had outstanding 97,425,721 shares of our $0.000041666 par value common stock, 194</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$0.001 par value Series A Convertible Preferred Stock, and 5,854,845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5,854,845 shares of our common stock. The shares of Series A Convertible Preferred Stock and Series B Convertible Preferred Stock do not have voting rights or accrue dividends.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major sources of funding have been proceeds from various public and private offerings of our equity securities (both common stock and preferred stock), from option and warrant exercises, and from interest income.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2017, we sold 8,846,154 shares of our common stock in an underwritten public offering at a public offering price of $6.50 per share pursuant to an earlier shelf registration statement. We received gross proceeds of approximately $57.5 million and net proceeds of approximately $53.8 million, after deducting underwriting discounts and offering expenses.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approximately $236.6 million, after deducting underwriting discounts and offering expenses.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future, we may periodically offer one or more of these securities in amounts, prices and terms to be announced when and if the securities are offered. If any of the securities covered by the 2018 Shelf Registration Statement are offered for sale, a prospectus supplement will be prepared and filed with the SEC containing specific information about the terms of such offering at that time.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6" w:name="page27"/>
    <w:bookmarkEnd w:id="26"/>
    <w:p>
      <w:pPr>
        <w:jc w:val="both"/>
        <w:ind w:firstLine="648"/>
        <w:spacing w:after="0" w:line="276" w:lineRule="auto"/>
        <w:rPr>
          <w:sz w:val="20"/>
          <w:szCs w:val="20"/>
          <w:color w:val="auto"/>
        </w:rPr>
      </w:pPr>
      <w:r>
        <w:rPr>
          <w:rFonts w:ascii="Arial" w:cs="Arial" w:eastAsia="Arial" w:hAnsi="Arial"/>
          <w:sz w:val="17"/>
          <w:szCs w:val="17"/>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2018 from the sale or licensing of any products. We have incurred a net loss of $91.0 million for the nine months ended September 30, 2018 and used $69.7 million of cash in our operating activities during the nine months ended September 30, 2018. As of September 30, 2018, we had $80.7 million of cash, cash equivalents and $179.3 million of short-term investments and $254.2 million of stockholders’ equity and had working capital of $249.2 million.</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to further increase our research and development activities, which will increase the amount of cash we will use during the remainder of 2018 and beyond. Specifically, we expect increased spending on clinical trials, manufacturing capacity, research and development activities, and higher payroll expenses as we increase our professional and scientific staff. However, based on the funds we have available; we believe that we have sufficient capital to fund our anticipated operating expenses for the next twelve months from the date of filing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2018, we had no obligations that would require disclosure as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accounting estimates and assumptions discussed in this section are those that we consider to be the most critical to an understanding of our financial statements because they inherently involve significant judgments and uncertainties. There were no significant changes to our critical accounting policies from those disclosed in our Annual Report on Form 10-K for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cash accounts and a mutual fund consisting of short-term debt securities issued by the U.S. government. The primary objective of our investment activities is to preserve principal. At September 30, 2018, we had $179.3 million invested in short-term marketable securities with a maturity date of less than one year. We adhere to an investment policy that requires us to limit amounts invested in securities based on credit rating, maturity, industry group and investment type and issuer, except for securities issued by the U.S. government. As such we believe that we are not exposed to any material market risk. We do not have any derivative financial instruments or foreign currency instruments. If interest rates had varied by 10% in the nine months ended September 30, 2018, it would not have had a material effect on our results of operations or cash flows for that period.</w:t>
      </w:r>
    </w:p>
    <w:p>
      <w:pPr>
        <w:spacing w:after="0" w:line="188"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right="20" w:firstLine="49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September 30, 2018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Class Action Lawsuit.</w:t>
      </w:r>
      <w:r>
        <w:rPr>
          <w:rFonts w:ascii="Arial" w:cs="Arial" w:eastAsia="Arial" w:hAnsi="Arial"/>
          <w:sz w:val="17"/>
          <w:szCs w:val="17"/>
          <w:color w:val="auto"/>
        </w:rPr>
        <w:t xml:space="preserve"> On April 10, 2017, the SEC announced settlements with us and with other public companies and unrelated parties in the </w:t>
      </w:r>
      <w:r>
        <w:rPr>
          <w:rFonts w:ascii="Arial" w:cs="Arial" w:eastAsia="Arial" w:hAnsi="Arial"/>
          <w:sz w:val="17"/>
          <w:szCs w:val="17"/>
          <w:i w:val="1"/>
          <w:iCs w:val="1"/>
          <w:color w:val="auto"/>
        </w:rPr>
        <w:t>In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Matter of Certain Stock Promotion </w:t>
      </w:r>
      <w:r>
        <w:rPr>
          <w:rFonts w:ascii="Arial" w:cs="Arial" w:eastAsia="Arial" w:hAnsi="Arial"/>
          <w:sz w:val="17"/>
          <w:szCs w:val="17"/>
          <w:color w:val="auto"/>
        </w:rPr>
        <w:t>investigation. Our settlement with the SEC is consistent with our previous disclosures (including in our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7"/>
          <w:szCs w:val="17"/>
          <w:i w:val="1"/>
          <w:iCs w:val="1"/>
          <w:color w:val="auto"/>
        </w:rPr>
        <w:t>Leonard DeSilvio v. Lion Biotechnologies, Inc., et al.,</w:t>
      </w:r>
      <w:r>
        <w:rPr>
          <w:rFonts w:ascii="Arial" w:cs="Arial" w:eastAsia="Arial" w:hAnsi="Arial"/>
          <w:sz w:val="17"/>
          <w:szCs w:val="17"/>
          <w:color w:val="auto"/>
        </w:rPr>
        <w:t xml:space="preserve"> case no. 3:17-cv-2086) against our company and three of our former officers and directors. On April 19, 2017, a second class action complaint </w:t>
      </w:r>
      <w:r>
        <w:rPr>
          <w:rFonts w:ascii="Arial" w:cs="Arial" w:eastAsia="Arial" w:hAnsi="Arial"/>
          <w:sz w:val="17"/>
          <w:szCs w:val="17"/>
          <w:i w:val="1"/>
          <w:iCs w:val="1"/>
          <w:color w:val="auto"/>
        </w:rPr>
        <w:t>(Amra Kuc vs.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 Biotechnologies, Inc., et al., </w:t>
      </w:r>
      <w:r>
        <w:rPr>
          <w:rFonts w:ascii="Arial" w:cs="Arial" w:eastAsia="Arial" w:hAnsi="Arial"/>
          <w:sz w:val="17"/>
          <w:szCs w:val="17"/>
          <w:color w:val="auto"/>
        </w:rPr>
        <w:t>case no. 3:17-cv-2188) was filed in the same court. Both complaints allege, among other things, that the defendants violated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investigation. On July 20, 2017, the plaintiff in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case filed a notice to voluntarily dismiss that case. The court entered an order dismissing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complaint on July 21, 2017. On July 26, 2017, the court appointed a movant as lead plaintiff. On September 8, 2017, the lead plaintiff filed an amended complaint (</w:t>
      </w:r>
      <w:r>
        <w:rPr>
          <w:rFonts w:ascii="Arial" w:cs="Arial" w:eastAsia="Arial" w:hAnsi="Arial"/>
          <w:sz w:val="17"/>
          <w:szCs w:val="17"/>
          <w:i w:val="1"/>
          <w:iCs w:val="1"/>
          <w:color w:val="auto"/>
        </w:rPr>
        <w:t>Jay Rabkin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 Biotechnologies, Inc., et al., </w:t>
      </w:r>
      <w:r>
        <w:rPr>
          <w:rFonts w:ascii="Arial" w:cs="Arial" w:eastAsia="Arial" w:hAnsi="Arial"/>
          <w:sz w:val="17"/>
          <w:szCs w:val="17"/>
          <w:color w:val="auto"/>
        </w:rPr>
        <w:t>case no. 3:17-cv-2086) seeking class action status that alleges, among other things, that the defendants violated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our insurance carrier and would result in no loss to us. A hearing on preliminary approval of the settlement is set for November 9, 2018.</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Derivative Lawsuits.</w:t>
      </w:r>
      <w:r>
        <w:rPr>
          <w:rFonts w:ascii="Arial" w:cs="Arial" w:eastAsia="Arial" w:hAnsi="Arial"/>
          <w:sz w:val="18"/>
          <w:szCs w:val="18"/>
          <w:color w:val="auto"/>
        </w:rPr>
        <w:t xml:space="preserve"> On December 15, 2017, a purported stockholder derivative complaint was filed by plaintiff Kevin Fong on behalf of the Company, against the Company,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8"/>
          <w:szCs w:val="18"/>
          <w:i w:val="1"/>
          <w:iCs w:val="1"/>
          <w:color w:val="auto"/>
        </w:rPr>
        <w:t>In the Matter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Stock Promotions </w:t>
      </w:r>
      <w:r>
        <w:rPr>
          <w:rFonts w:ascii="Arial" w:cs="Arial" w:eastAsia="Arial" w:hAnsi="Arial"/>
          <w:sz w:val="18"/>
          <w:szCs w:val="18"/>
          <w:color w:val="auto"/>
        </w:rPr>
        <w:t>investigation and our April 10, 2017 settlement thereof, and seeks unspecified damages on behalf of our company and injunctive</w:t>
      </w:r>
      <w:r>
        <w:rPr>
          <w:rFonts w:ascii="Arial" w:cs="Arial" w:eastAsia="Arial" w:hAnsi="Arial"/>
          <w:sz w:val="18"/>
          <w:szCs w:val="18"/>
          <w:i w:val="1"/>
          <w:iCs w:val="1"/>
          <w:color w:val="auto"/>
        </w:rPr>
        <w:t xml:space="preserve"> </w:t>
      </w:r>
      <w:r>
        <w:rPr>
          <w:rFonts w:ascii="Arial" w:cs="Arial" w:eastAsia="Arial" w:hAnsi="Arial"/>
          <w:sz w:val="18"/>
          <w:szCs w:val="18"/>
          <w:color w:val="auto"/>
        </w:rPr>
        <w:t>relief.</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March 28, 2018, a purported stockholder derivative complaint was filed by plaintiff Nazeer Khaleeluddin on behalf of the Company, against the Company,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8"/>
          <w:szCs w:val="18"/>
          <w:i w:val="1"/>
          <w:iCs w:val="1"/>
          <w:color w:val="auto"/>
        </w:rPr>
        <w:t>In the Matter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Stock Promotions </w:t>
      </w:r>
      <w:r>
        <w:rPr>
          <w:rFonts w:ascii="Arial" w:cs="Arial" w:eastAsia="Arial" w:hAnsi="Arial"/>
          <w:sz w:val="18"/>
          <w:szCs w:val="18"/>
          <w:color w:val="auto"/>
        </w:rPr>
        <w:t>investigation and the Company’s April 10, 2017 settlement thereof, and seeks unspecified damages on behalf of our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injunctive relief. On May 1, 2018, the court consolidated this case with the aforementioned purported stockholder derivative case filed by plaintiff Kevin Fong.</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w:t>
      </w:r>
      <w:r>
        <w:rPr>
          <w:rFonts w:ascii="Arial" w:cs="Arial" w:eastAsia="Arial" w:hAnsi="Arial"/>
          <w:sz w:val="17"/>
          <w:szCs w:val="17"/>
          <w:i w:val="1"/>
          <w:iCs w:val="1"/>
          <w:color w:val="auto"/>
        </w:rPr>
        <w:t>Solomon Capital, LLC, Solomon Capital 401(K) Trust, Solomon Sharbat and Shelhav Raff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Lion Biotechnologies, Inc. </w:t>
      </w:r>
      <w:r>
        <w:rPr>
          <w:rFonts w:ascii="Arial" w:cs="Arial" w:eastAsia="Arial" w:hAnsi="Arial"/>
          <w:sz w:val="17"/>
          <w:szCs w:val="17"/>
          <w:color w:val="auto"/>
        </w:rPr>
        <w:t>was filed by Solomon Capital, LLC, Solomon Capital 401(k) Trust, Solomon Sharbat and Shelhav Raff against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Supreme Court of the State of New York, County of New York (index no. 651881/2016). The plaintiffs allege that, between June and November 2012 they provided us with $0.1 million of funds and that they advanced and paid on our behalf an additional $0.2 million. The complaint further alleges that we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our common stock in the restructuring that was effected in May 2013. Based on the foregoing, the plaintiffs allege causes for breach of contract and unjust enrichment and demand judgment against us in an unspecified amount exceeding $1.5 million, plus interest and attorneys’ fees.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June 3, 2016, we filed an answer and counterclaims in the lawsuit. In our counterclaims, we allege that the plaintiffs misrepresented their qualifications to assist us in fundraising and that they failed to disclose that they were under investigation for securities laws violations. We are seeking damages in an amount exceeding $0.5 million and an order rescinding any and all agreements that the plaintiffs contend entitled them to obtain our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72" w:lineRule="auto"/>
        <w:rPr>
          <w:sz w:val="20"/>
          <w:szCs w:val="20"/>
          <w:color w:val="auto"/>
        </w:rPr>
      </w:pPr>
      <w:r>
        <w:rPr>
          <w:rFonts w:ascii="Arial" w:cs="Arial" w:eastAsia="Arial" w:hAnsi="Arial"/>
          <w:sz w:val="17"/>
          <w:szCs w:val="17"/>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our amended counterclaims and affirmative defense for fraudulent inducement. On August 15, 2018, the court entered an order granting the plaintiff’s motion and dismissed the Company’s amended counterclaims and eleventh affirmative defense for fraudulent inducement without leave to amend. On September 14, 2018, we filed a notice of appeal related to this order, and on November 5, 2018, we filed our memorandum of law in support of our appeal of the order dismissing our amended counterclaims and affirmative defense for fraudulent inducement.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vigorously defend the complaint and pursue our counterclaims.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 Maria Fardis</w:t>
      </w:r>
      <w:r>
        <w:rPr>
          <w:rFonts w:ascii="Arial" w:cs="Arial" w:eastAsia="Arial" w:hAnsi="Arial"/>
          <w:sz w:val="17"/>
          <w:szCs w:val="17"/>
          <w:color w:val="auto"/>
        </w:rPr>
        <w:t>, Dr. Steven Fischkoff, our former Vice President and Chief Medical Officer, filed a lawsuit against us and Dr. Fardis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materials, and granting expedited discovery. On June 25, 2018, pursuant to a stipulation between the parties, the court entered a permanent injunction prohibiting Dr. Fischkoff from disclosing, possessing, or using any of our proprietary materials or trade secrets. On July 5, 2018, the court entered an order dismissing two of Dr. Fischkoff’s claims against us and Dr. Fardis. On October 18, 2018, Dr. Fischkoff amended his complaint to assert a new claim for defamation arising from SEC filings in which we provided information about this litigation.</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vigorously defend against Dr. Fischkoff’s lawsuit and pursue our counterclaims. Based on the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of 1933, as amended, or the Securities Act, and the purchasers of those shares may have rescission rights (if they still own the shares) or claims for damages (if they no longer own the shares). The amount of any such liability is uncertain and as such, an accrual for any potential loss has not been made. We believe that any claims brought against it would not result in a material impact to the Company’s financial position or results of operations. We have not accrued a loss for a potential claim associated with this matter as it is unable to estimate any at this time.</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we have not accrued a loss for a potential claim in our financial statements.</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be involved, from time to time, in legal proceedings and claims arising in the ordinary course of its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6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Annual Report on Form 10-K for the year ended December 31, 2017 filed on March 12, 2018, including our financial statements and related notes, and our other filings from time to time with the SEC.</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marked with an asterisk (*) those risk factors below that reflect a substantive change from the risk factors included in our Quarterly Report on Form 10-Q filed with the SEC on August 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We have a history of operating losses; we expect to continue to incur losses and we may never be profitable. </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clinical-stage biotechnology company focused on the development and commercialization of novel cancer immunotherapy products designed to harness the power of a patient's own immune system to eradicate cancer cells. We do not have products approved for commercial sale and have not generated revenue from operations. As of September 30, 2018, we had an accumulated deficit of $340.2 million. In addition, during the nine months ended September 30, 2018, we incurred a net loss of $91.0 million. Since our inception we have not generated any revenues from operations.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limited experience in operating our current business, which makes it difficult to evaluate our business plan and our prospects.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sound business plan and research and development strategy, we have only a limited operating history against which we can test our plans and assumptions, and investors therefore cannot evaluate the likelihood of our success. We face the problems, expenses, difficulties, complications and delays normally associated with a small,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early stage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new business.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firstLine="648"/>
        <w:spacing w:after="0" w:line="312"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previously submitted a Biologics License Application, or BLA, to the FDA, or similar marketing application to comparable foreign authorities, for any product candidate, and we cannot be certain that our current or any future product candidates will be successful in clinical trials or receive regulatory approval.</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70" w:lineRule="exact"/>
        <w:rPr>
          <w:sz w:val="20"/>
          <w:szCs w:val="20"/>
          <w:color w:val="auto"/>
        </w:rPr>
      </w:pPr>
    </w:p>
    <w:p>
      <w:pPr>
        <w:ind w:left="580" w:hanging="315"/>
        <w:spacing w:after="0" w:line="25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 w:lineRule="exact"/>
        <w:rPr>
          <w:rFonts w:ascii="Arial" w:cs="Arial" w:eastAsia="Arial" w:hAnsi="Arial"/>
          <w:sz w:val="18"/>
          <w:szCs w:val="18"/>
          <w:color w:val="auto"/>
        </w:rPr>
      </w:pPr>
    </w:p>
    <w:p>
      <w:pPr>
        <w:ind w:left="580" w:hanging="31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hire, train, and deploy a sales force or contract with a third party for a sales force to commercialize product candidates in the United States;</w:t>
      </w:r>
    </w:p>
    <w:p>
      <w:pPr>
        <w:spacing w:after="0" w:line="20" w:lineRule="exact"/>
        <w:rPr>
          <w:rFonts w:ascii="Arial" w:cs="Arial" w:eastAsia="Arial" w:hAnsi="Arial"/>
          <w:sz w:val="17"/>
          <w:szCs w:val="17"/>
          <w:color w:val="auto"/>
        </w:rPr>
      </w:pPr>
    </w:p>
    <w:p>
      <w:pPr>
        <w:ind w:left="580" w:hanging="315"/>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manufacture product candidates in sufficient quantities and at acceptable quality and manufacturing cost to meet commercial demand at launch and thereafter;</w:t>
      </w:r>
    </w:p>
    <w:p>
      <w:pPr>
        <w:ind w:left="580" w:hanging="315"/>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establish and maintain agreements with wholesalers, distributors, and group purchasing organizations on commercially reasonable terms;</w:t>
      </w:r>
    </w:p>
    <w:p>
      <w:pPr>
        <w:spacing w:after="0" w:line="20" w:lineRule="exact"/>
        <w:rPr>
          <w:rFonts w:ascii="Arial" w:cs="Arial" w:eastAsia="Arial" w:hAnsi="Arial"/>
          <w:sz w:val="17"/>
          <w:szCs w:val="17"/>
          <w:color w:val="auto"/>
        </w:rPr>
      </w:pPr>
    </w:p>
    <w:p>
      <w:pPr>
        <w:ind w:left="580" w:hanging="315"/>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product candidates in foreign markets where we receive marketing approval;</w:t>
      </w:r>
    </w:p>
    <w:p>
      <w:pPr>
        <w:ind w:left="580" w:hanging="31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limited experience as a company conducting clinical trials and face risks due to the need to rely on third parties.</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limited experience conducting pre-clinical and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We have limited experience in designing clinical trials and may be unable to design and execute a clinical trial to support marketing approval.</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2015, all the preclinical and clinical trials relating to our product candidates manufactured using the Gen 1 process had been conducted by the NCI. We have recruited a team that has experience with clinical trials; however, we as a company have limited experience in conducting clinical trials. In part because of this lack of experience, we cannot be certain that our ongoing clinical trials will be completed on time, if at all, will progress according to our plans or expectations, or that our planned clinical trials will be initiated, progress according to our plans or expectations, or be completed on time, if they are completed at all.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Large-scale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For example, as of April 9, 2018, we terminated our clinical trials agreement with the Karolinska University Hospital. If we need to enter into alternative arrangements, that could delay our product development activities and adversely affect our business.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can result in enforcement actions and adverse publicity.</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64" w:lineRule="auto"/>
        <w:rPr>
          <w:sz w:val="20"/>
          <w:szCs w:val="20"/>
          <w:color w:val="auto"/>
        </w:rPr>
      </w:pPr>
      <w:r>
        <w:rPr>
          <w:rFonts w:ascii="Arial" w:cs="Arial" w:eastAsia="Arial" w:hAnsi="Arial"/>
          <w:sz w:val="18"/>
          <w:szCs w:val="18"/>
          <w:color w:val="auto"/>
        </w:rPr>
        <w:t>We also rely on other third parties to distribute our products for the clinical trials that we conduct. Any performance failure on the part of our distributors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 xml:space="preserve">We may encounter substantial delays in our clinical trials or may not be able to conduct our trials on the timelines we expect and we may be required to conduct additional clinical trials or modify current or future clinical trials based on feedback we receive from the FDA. </w:t>
      </w:r>
      <w:r>
        <w:rPr>
          <w:rFonts w:ascii="Arial" w:cs="Arial" w:eastAsia="Arial" w:hAnsi="Arial"/>
          <w:sz w:val="28"/>
          <w:szCs w:val="28"/>
          <w:b w:val="1"/>
          <w:bCs w:val="1"/>
          <w:i w:val="1"/>
          <w:iCs w:val="1"/>
          <w:color w:val="auto"/>
          <w:vertAlign w:val="superscript"/>
        </w:rPr>
        <w:t>*</w:t>
      </w:r>
    </w:p>
    <w:p>
      <w:pPr>
        <w:spacing w:after="0" w:line="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plan to initiate trials in new indications. Even as these trials progress, issues may arise that could require us to suspend or terminate such clinical trials.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78" w:lineRule="exact"/>
        <w:rPr>
          <w:sz w:val="20"/>
          <w:szCs w:val="20"/>
          <w:color w:val="auto"/>
        </w:rPr>
      </w:pPr>
    </w:p>
    <w:p>
      <w:pPr>
        <w:ind w:left="580" w:hanging="31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3" w:lineRule="exact"/>
        <w:rPr>
          <w:rFonts w:ascii="Arial" w:cs="Arial" w:eastAsia="Arial" w:hAnsi="Arial"/>
          <w:sz w:val="18"/>
          <w:szCs w:val="18"/>
          <w:color w:val="auto"/>
        </w:rPr>
      </w:pPr>
    </w:p>
    <w:p>
      <w:pPr>
        <w:ind w:left="580" w:right="20" w:hanging="315"/>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ind w:left="580" w:right="2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 including the design of cohort 4 of our C-144-01 clinical trial;</w:t>
      </w:r>
    </w:p>
    <w:p>
      <w:pPr>
        <w:ind w:left="58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ind w:left="580" w:hanging="31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ind w:left="58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of failure to reach an agreement on acceptable terms with prospective CROs and clinical study sites, the terms of which can be subject to extensive negotiation and may vary significantly among different CROs and clinical study sites;</w:t>
      </w:r>
    </w:p>
    <w:p>
      <w:pPr>
        <w:ind w:left="580" w:hanging="31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jc w:val="both"/>
        <w:ind w:left="58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spacing w:after="0" w:line="1" w:lineRule="exact"/>
        <w:rPr>
          <w:rFonts w:ascii="Arial" w:cs="Arial" w:eastAsia="Arial" w:hAnsi="Arial"/>
          <w:sz w:val="18"/>
          <w:szCs w:val="18"/>
          <w:color w:val="auto"/>
        </w:rPr>
      </w:pPr>
    </w:p>
    <w:p>
      <w:pPr>
        <w:ind w:left="580" w:hanging="31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580" w:right="2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58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cGCPs, requirements, or applicable regulatory guidelines in other countries;</w:t>
      </w:r>
    </w:p>
    <w:p>
      <w:pPr>
        <w:ind w:left="580" w:right="2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w:t>
      </w:r>
    </w:p>
    <w:p>
      <w:pPr>
        <w:jc w:val="both"/>
        <w:ind w:left="580" w:hanging="315"/>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580" w:hanging="31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 w:lineRule="exact"/>
        <w:rPr>
          <w:rFonts w:ascii="Arial" w:cs="Arial" w:eastAsia="Arial" w:hAnsi="Arial"/>
          <w:sz w:val="18"/>
          <w:szCs w:val="18"/>
          <w:color w:val="auto"/>
        </w:rPr>
      </w:pPr>
    </w:p>
    <w:p>
      <w:pPr>
        <w:ind w:left="580" w:hanging="315"/>
        <w:spacing w:after="0" w:line="26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580" w:hanging="315"/>
        <w:spacing w:after="0" w:line="25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1" w:lineRule="exact"/>
        <w:rPr>
          <w:rFonts w:ascii="Arial" w:cs="Arial" w:eastAsia="Arial" w:hAnsi="Arial"/>
          <w:sz w:val="18"/>
          <w:szCs w:val="18"/>
          <w:color w:val="auto"/>
        </w:rPr>
      </w:pPr>
    </w:p>
    <w:p>
      <w:pPr>
        <w:ind w:left="580" w:hanging="315"/>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jc w:val="both"/>
        <w:ind w:left="580" w:hanging="315"/>
        <w:spacing w:after="0" w:line="265"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jc w:val="both"/>
        <w:ind w:left="580" w:hanging="315"/>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1"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580" w:hanging="315"/>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may be changes to the therapeutics or their regulatory status which we are administering in combination with our product candidates;</w:t>
      </w:r>
    </w:p>
    <w:p>
      <w:pPr>
        <w:spacing w:after="0" w:line="20" w:lineRule="exact"/>
        <w:rPr>
          <w:rFonts w:ascii="Arial" w:cs="Arial" w:eastAsia="Arial" w:hAnsi="Arial"/>
          <w:sz w:val="17"/>
          <w:szCs w:val="17"/>
          <w:color w:val="auto"/>
        </w:rPr>
      </w:pPr>
    </w:p>
    <w:p>
      <w:pPr>
        <w:ind w:left="580" w:hanging="315"/>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580" w:hanging="315"/>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to make a decision on our product candidates;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of our manufacturing processes to our contract manufacturers or other larger-scale facilities operated by a CMO and delays or failure by our CMOs or us to make any necessary changes to such manufacturing process;</w:t>
      </w:r>
    </w:p>
    <w:p>
      <w:pPr>
        <w:ind w:left="580" w:hanging="315"/>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ind w:left="580" w:hanging="315"/>
        <w:spacing w:after="0" w:line="290"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may conduct clinical and preclinical research in collaboration with other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By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non-approval of a BLA.</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neither of our product candidates nor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7"/>
          <w:szCs w:val="17"/>
          <w:b w:val="1"/>
          <w:bCs w:val="1"/>
          <w:i w:val="1"/>
          <w:iCs w:val="1"/>
          <w:color w:val="auto"/>
        </w:rPr>
        <w:t xml:space="preserve">It may take longer and cost more to complete our clinical trials than we project, or we may not be able to complete them at all. </w:t>
      </w:r>
      <w:r>
        <w:rPr>
          <w:rFonts w:ascii="Arial" w:cs="Arial" w:eastAsia="Arial" w:hAnsi="Arial"/>
          <w:sz w:val="28"/>
          <w:szCs w:val="28"/>
          <w:b w:val="1"/>
          <w:bCs w:val="1"/>
          <w:i w:val="1"/>
          <w:iCs w:val="1"/>
          <w:color w:val="auto"/>
          <w:vertAlign w:val="superscript"/>
        </w:rPr>
        <w: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opened enrollment of our company-sponsored, Phase 2 clinical trials to establish the feasibility of our product, and to assess its overall safety in patients with metastatic melanoma, cervical, head and neck, and lung cancers. However, we may experience difficulties in patient enrollment in our clinical trials for a variety of reasons. For example, we have nine active clinical sites for the company-sponsored NSCLC study, yet we have not yet been able to infuse any patients. As a further example, KEYTRUDA has recently been approved in cervical cancer patients that are PD-1 positive. We have recently amended the protocol for our cervical cancer study to exclude patients with prior immunotherapy treatment and to limit the number of prior treatments to no more than three. It is difficult to assess the impact, if any, on the recent approval of KEYTRUDA and the amendment of the protocol on the potential enrollment in the cervical cancer study. Our ability to enroll or treat patients in our other studies, or the duration or costs of those studies, could be affected by similar factors. Furthermore,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 We currently anticipate that we will have to rely on our CMOs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Clinical trials are expensive and difficult to design and implement, in part because they are subject to rigorous regulatory requirements. Because our product candidates are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we ultimately screen, resect and enroll in our trials, and the number of trials we may need to conduct, our overall clinical trial costs may be higher than for more conventional treatments.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develop our product candidates for use with other oncology products, the design, implementation, and interpretation of the clinical trials necessary for marketing approval may be more complex than if we were developing our product candidates alone.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78"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8"/>
          <w:szCs w:val="18"/>
          <w:b w:val="1"/>
          <w:bCs w:val="1"/>
          <w:i w:val="1"/>
          <w:iCs w:val="1"/>
          <w:color w:val="auto"/>
        </w:rPr>
        <w:t xml:space="preserve">If we encounter difficulties enrolling patients in our clinical trials, our clinical development activities could be delayed or otherwise adversely affected.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in our clinical trials for a variety of reasons, including:</w:t>
      </w:r>
    </w:p>
    <w:p>
      <w:pPr>
        <w:spacing w:after="0" w:line="181" w:lineRule="exact"/>
        <w:rPr>
          <w:sz w:val="20"/>
          <w:szCs w:val="20"/>
          <w:color w:val="auto"/>
        </w:rPr>
      </w:pPr>
    </w:p>
    <w:p>
      <w:pPr>
        <w:ind w:left="580" w:hanging="31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580" w:hanging="31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ind w:left="580" w:right="20" w:hanging="315"/>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ind w:left="580" w:hanging="315"/>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clinical investigators enrolling patients who do not meet the enrollment criteria, requiring the inclusion of additional patients in the clinical trial;</w:t>
      </w:r>
    </w:p>
    <w:p>
      <w:pPr>
        <w:spacing w:after="0" w:line="20" w:lineRule="exact"/>
        <w:rPr>
          <w:rFonts w:ascii="Arial" w:cs="Arial" w:eastAsia="Arial" w:hAnsi="Arial"/>
          <w:sz w:val="17"/>
          <w:szCs w:val="17"/>
          <w:color w:val="auto"/>
        </w:rPr>
      </w:pPr>
    </w:p>
    <w:p>
      <w:pPr>
        <w:ind w:left="580" w:hanging="31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jc w:val="both"/>
        <w:ind w:left="580" w:hanging="315"/>
        <w:spacing w:after="0" w:line="277"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not complete a clinical trial, return for post-treatment follow-ups, or follow the required study procedures. For instance, patients, including patients in control groups, may withdraw from the clinical trial if they are not experiencing improvement in their underlying disease or condition. Withdrawal of patients from our clinical trials may compromise the quality of our data.</w:t>
      </w:r>
    </w:p>
    <w:p>
      <w:pPr>
        <w:spacing w:after="0" w:line="173" w:lineRule="exact"/>
        <w:rPr>
          <w:sz w:val="20"/>
          <w:szCs w:val="20"/>
          <w:color w:val="auto"/>
        </w:rPr>
      </w:pPr>
    </w:p>
    <w:p>
      <w:pPr>
        <w:jc w:val="both"/>
        <w:ind w:firstLine="712"/>
        <w:spacing w:after="0" w:line="270"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recent amendments we have made to limit the number and type of prior therapies.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8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Our product candidates may cause undesirable side effects or have other properties that could halt their clinical development, prevent their regulatory approval, limit their commercial potential or result in significant negative consequences.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pyrexia, anaemia, neutrophil and platelet count decrease, febrile neutropenia, fatigue, chills, hyponatremia, and hypotension. For example, the recent update from the C-144-01 trials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r>
        <w:rPr>
          <w:rFonts w:ascii="Arial" w:cs="Arial" w:eastAsia="Arial" w:hAnsi="Arial"/>
          <w:sz w:val="30"/>
          <w:szCs w:val="30"/>
          <w:b w:val="1"/>
          <w:bCs w:val="1"/>
          <w:i w:val="1"/>
          <w:iCs w:val="1"/>
          <w:color w:val="auto"/>
          <w:vertAlign w:val="superscript"/>
        </w:rPr>
        <w:t>*</w:t>
      </w:r>
    </w:p>
    <w:p>
      <w:pPr>
        <w:spacing w:after="0" w:line="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products is complex, highly-regulated and subject to multiple risks. The manufacture of our product candidates involves complex processes, including harvesting tumor fragments from patients,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This includes potential risks associated with our inability to validate a potency assay prior to starting cohort 4 of our C-144-01 clinical trial.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(formerly PharmaCell),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70" w:lineRule="exact"/>
        <w:rPr>
          <w:sz w:val="20"/>
          <w:szCs w:val="20"/>
          <w:color w:val="auto"/>
        </w:rPr>
      </w:pPr>
    </w:p>
    <w:p>
      <w:pPr>
        <w:ind w:left="580" w:hanging="315"/>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23" w:lineRule="exact"/>
        <w:rPr>
          <w:rFonts w:ascii="Arial" w:cs="Arial" w:eastAsia="Arial" w:hAnsi="Arial"/>
          <w:sz w:val="18"/>
          <w:szCs w:val="18"/>
          <w:color w:val="auto"/>
        </w:rPr>
      </w:pPr>
    </w:p>
    <w:p>
      <w:pPr>
        <w:ind w:left="580" w:hanging="315"/>
        <w:spacing w:after="0" w:line="261"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580" w:hanging="315"/>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control over the protection of our trade secrets and know-how from misappropriation or inadvertent disclosure;</w:t>
      </w:r>
    </w:p>
    <w:p>
      <w:pPr>
        <w:spacing w:after="0" w:line="23" w:lineRule="exact"/>
        <w:rPr>
          <w:rFonts w:ascii="Arial" w:cs="Arial" w:eastAsia="Arial" w:hAnsi="Arial"/>
          <w:sz w:val="18"/>
          <w:szCs w:val="18"/>
          <w:color w:val="auto"/>
        </w:rPr>
      </w:pPr>
    </w:p>
    <w:p>
      <w:pPr>
        <w:ind w:left="580" w:right="20" w:hanging="315"/>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ind w:left="580" w:hanging="315"/>
        <w:spacing w:after="0" w:line="261"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future, we may seek to establish our own manufacturing capabilities and infrastructure, including a manufacturing facility.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we submit our marketing applications to the agency.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suspension,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TIL based therapy is based on the adoptive cell therapy technology that we licensed from the NIH and that is presently in use as a physician-sponsored investigational therapy for the treatment of Stage IV metastatic melanoma in the United States at the NCI, M.D. Anderson Cancer Center, and Moffit. These current methods of treatment are very labor intensive and expensive, which has limited its widespread application. We have developed new processes that we anticipate will enable more efficient manufacturing of TIL. We may have difficulty demonstrating that the products produced from our new processes are comparable to the existing products. The FDA may require additional clinical testing before permitting a larger clinical trial with the new processes, and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have made to the historical manufacturing process may require additional testing, which may increase costs and timelines associated with these developments.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developing a TIL based therapy on existing ACT technology, we are currently evaluating the desirability of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1" w:lineRule="exact"/>
        <w:rPr>
          <w:sz w:val="20"/>
          <w:szCs w:val="20"/>
          <w:color w:val="auto"/>
        </w:rPr>
      </w:pPr>
    </w:p>
    <w:p>
      <w:pPr>
        <w:ind w:left="580" w:hanging="315"/>
        <w:spacing w:after="0" w:line="25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580" w:hanging="315"/>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580" w:hanging="315"/>
        <w:spacing w:after="0" w:line="25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spacing w:after="0" w:line="1"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580" w:right="20" w:hanging="315"/>
        <w:spacing w:after="0" w:line="250"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580" w:hanging="315"/>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find that our clinical trial design or conduct does not meet the applicable approval requirements.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is very expensive, can take many years, and the outcome is uncertain. It can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historical research and development efforts have been to a large extent dependent upon the CRADA.</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we opened our own research and development laboratory in 2014, we are continuing to fully develop our research and development capabilities. In addition, we conduct a portion of our research and development under the CRADA with the NCI. Under the CRADA, the NCI currently engage in research and development related to the development of improved methods of large scale unmodified TIL generation for the treatment of patients with metastatic melanoma, bladder, lung, breast, and HPV-associated cancers. We are obligated to make annual payments of $2.0 million under the CRADA. In addition, although the CRADA has a five-year term, either party to the CRADA has the right to terminate the CRADA upon 60 days’ notice to the other party. As a result, no assurance can be given that the NCI will not terminate, or that we will renew, the CRADA that expires in August 2021 and that the CRADA will, therefore, remain in effect until we complete our desired research thereunder.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limited control over the nature or timing of the NCI’s clinical trials and limited visibility into their day-to-day activities. The research we are funding constitutes only a small portion of the NCI’s overall research. Other research being conducted by Dr. Rosenberg may at times receive higher priority than research on our programs. These factors could adversely affect the timing of our IND filings and our ability to conduct future planned clinical trials.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CRADA, we have an option to negotiate commercialization licenses from the NIH to intellectual property relating to TIL-based product candidates developed as part of the CRADA research plan. However, we would have to negotiate with the NIH for such a license. There can be no assurance that we would be able to successfully complete such negotiations and ultimately acquire the rights to the intellectual property surrounding the additional product candidates that we may seek to acquire. Further, to the extent we would like to negotiate a license to a patent filed before the CRADA was entered into, another party may object to the NIH granting us a license during a 30-day public notification period, and the NIH may decide not to grant us the license.</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 xml:space="preserve">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 </w:t>
      </w:r>
      <w:r>
        <w:rPr>
          <w:rFonts w:ascii="Arial" w:cs="Arial" w:eastAsia="Arial" w:hAnsi="Arial"/>
          <w:sz w:val="30"/>
          <w:szCs w:val="30"/>
          <w:b w:val="1"/>
          <w:bCs w:val="1"/>
          <w:i w:val="1"/>
          <w:iCs w:val="1"/>
          <w:color w:val="auto"/>
          <w:vertAlign w:val="superscript"/>
        </w:rPr>
        <w:t>*</w:t>
      </w:r>
    </w:p>
    <w:p>
      <w:pPr>
        <w:spacing w:after="0" w:line="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 we announced collaborations with Moffitt, M.D. Anderson and Ohio State University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 Anderson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 </w:t>
      </w:r>
      <w:r>
        <w:rPr>
          <w:rFonts w:ascii="Arial" w:cs="Arial" w:eastAsia="Arial" w:hAnsi="Arial"/>
          <w:sz w:val="30"/>
          <w:szCs w:val="30"/>
          <w:b w:val="1"/>
          <w:bCs w:val="1"/>
          <w:i w:val="1"/>
          <w:iCs w:val="1"/>
          <w:color w:val="auto"/>
          <w:vertAlign w:val="superscript"/>
        </w:rPr>
        <w:t>*</w:t>
      </w:r>
    </w:p>
    <w:p>
      <w:pPr>
        <w:spacing w:after="0" w:line="5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operations have consumed substantial amounts of cash since inception. From our inception to September 30, 2018, we have an accumulated deficit of $340.2 million. In addition, our research and development and our operating costs have also been substantial and are expected to increase. We expect to continue to spend substantial amounts to continue the clinical development of our product candidates. As of September 30, 2018, we had $80.7 million in cash and cash equivalents and $179.3 million in short-term investments. In January 2018, we closed an underwritten public offering of our common stock. The net proceeds from the offering, after deducting the underwriting discounts and commissions and other estimated offering expenses payable by us, were $162.0 million. In October 2018, we closed an underwritten public offering of our common stock. The gross proceeds from the offering, before deducting the underwriting discounts and commissions and other estimated offering expenses payable by the Company, were $252.2 million, with estimated net proceeds to the Company of approximately $236.6 million.</w:t>
      </w:r>
    </w:p>
    <w:p>
      <w:pPr>
        <w:spacing w:after="0" w:line="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Accordingly, we believe that our existing cash, cash equivalents and short-term investments will be sufficient to fund our operations for at least the next twelve months from the date this Quarterly Report on Form 10-Q is issued. However,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70" w:lineRule="exact"/>
        <w:rPr>
          <w:sz w:val="20"/>
          <w:szCs w:val="20"/>
          <w:color w:val="auto"/>
        </w:rPr>
      </w:pPr>
    </w:p>
    <w:p>
      <w:pPr>
        <w:ind w:left="580" w:hanging="315"/>
        <w:spacing w:after="0" w:line="25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580" w:right="20" w:hanging="315"/>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580" w:right="20" w:hanging="315"/>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580" w:hanging="315"/>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580" w:hanging="315"/>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Terms and timing of our current and any potential future collaborations, licensing or other arrangements that we have established or may establish;</w:t>
      </w:r>
    </w:p>
    <w:p>
      <w:pPr>
        <w:spacing w:after="0" w:line="32" w:lineRule="exact"/>
        <w:rPr>
          <w:rFonts w:ascii="Arial" w:cs="Arial" w:eastAsia="Arial" w:hAnsi="Arial"/>
          <w:sz w:val="16"/>
          <w:szCs w:val="16"/>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580" w:hanging="315"/>
        <w:spacing w:after="0" w:line="261"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right="20" w:firstLine="648"/>
        <w:spacing w:after="0" w:line="341" w:lineRule="auto"/>
        <w:rPr>
          <w:sz w:val="20"/>
          <w:szCs w:val="20"/>
          <w:color w:val="auto"/>
        </w:rPr>
      </w:pPr>
      <w:r>
        <w:rPr>
          <w:rFonts w:ascii="Arial" w:cs="Arial" w:eastAsia="Arial" w:hAnsi="Arial"/>
          <w:sz w:val="16"/>
          <w:szCs w:val="16"/>
          <w:b w:val="1"/>
          <w:bCs w:val="1"/>
          <w:i w:val="1"/>
          <w:iCs w:val="1"/>
          <w:color w:val="auto"/>
        </w:rPr>
        <w:t xml:space="preserve">Subject to various spending levels approved by the Board of Directors, our management will have broad discretion in the use of the net proceeds from our capital raises, including our October 2018, January 2018 and September 2017 public offerings, and may not use them effectively. </w:t>
      </w:r>
      <w:r>
        <w:rPr>
          <w:rFonts w:ascii="Arial" w:cs="Arial" w:eastAsia="Arial" w:hAnsi="Arial"/>
          <w:sz w:val="26"/>
          <w:szCs w:val="26"/>
          <w:b w:val="1"/>
          <w:bCs w:val="1"/>
          <w:i w:val="1"/>
          <w:iCs w:val="1"/>
          <w:color w:val="auto"/>
          <w:vertAlign w:val="superscript"/>
        </w:rPr>
        <w:t>*</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January 2018 and September 2017 public offerings, and our stockholders will not have the opportunity as part of their investment decision to assess whether the net proceeds from those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including our October 2018, January 2018 and September 2017 public offerings, their ultimate use may vary substantially from their currently intended use. Our failure to apply the net proceeds of our capital raises, including our October 2018, January 2018 and September 2017 public offerings,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capital raises, including our October 2018, January 2018 and September 2017 public offerings. Pending their use, we may invest the net proceeds from our capital raises, including our October 2018, January 2018 and September 2017 public offerings, in interest and non-interest bearing cash accounts, short-term, investment-grade, interest-bearing instruments and U.S. government securities. These temporary investments are not likely to yield a significant return.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The use of our net operating loss carryforwards and research tax credits may be limited. </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September 30, 2018, we had U.S. federal net operating loss carryforwards of approximately $219.5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performed an IRC Section 382 analysis as of December 31, 2017. Per the analysis, the May 2013 recapitalization,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enacted tax reform legislation in the U.S. could adversely affect our business and financial condition.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license new TIL technology from the NIH and others.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the NIH.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often approves new therapies initially only for use in patients with relapsed or refractory metastatic disease. We expect to initially seek approval of our product candidates in this setting and are currently studying these patient populations. Subsequently, for those products that prove to be sufficiently beneficial, if any, we would expect to seek approval in earlier lines of treatment and potentially as a first line therapy, but there is no guarantee that our product candidates, even if approved, would be approved for earlier lines of therapy, and, prior to any such approvals, we may have to conduct additional clinical trials.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benchmark payments under our license agreements with the NIH, Moffitt, and PolyBioCept, and we must meet certain milestones to maintain our license rights.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Likewise, under our license agreement with PolyBioCept, we are required to make lump sum payments if, and when certain product sales targets are achieved. These payments could adversely affect the overall profitability for us of any products that we may seek to commercialize under the NIH or PolyBioCept licenses. In order to maintain our license rights under the NIH, Moffitt, and PolyBioCept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initiation of investigations by regulators, refusal to approve marketing applications or supplements, and withdrawal or limitation of product approvals;</w:t>
      </w:r>
    </w:p>
    <w:p>
      <w:pPr>
        <w:spacing w:after="0" w:line="32" w:lineRule="exact"/>
        <w:rPr>
          <w:rFonts w:ascii="Arial" w:cs="Arial" w:eastAsia="Arial" w:hAnsi="Arial"/>
          <w:sz w:val="16"/>
          <w:szCs w:val="16"/>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the company;</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We face significant competition from other biotechnology and pharmaceutical companies and from non-profit institutions. </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88" w:lineRule="exact"/>
        <w:rPr>
          <w:sz w:val="20"/>
          <w:szCs w:val="20"/>
          <w:color w:val="auto"/>
        </w:rPr>
      </w:pPr>
    </w:p>
    <w:p>
      <w:pPr>
        <w:ind w:left="580" w:hanging="315"/>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580" w:hanging="31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Potential competitors in the market for treating metastatic melanoma are companies such as Bristol-Myers Squibb, Roche/Genentech, Merck, Amgen, Pfizer, and Novartis, which already have products on the market or in development. Other companies, such as Celgene, Kite Pharma, Gilead Sciences and Adaptimmune Therapeutics, which are focused on genetically engineered T-cell technologies to treat cancer, may also be competitors. Emerging companies such as Immetacyte, Geneius Biotechnology and WindMIL Therapeutics may also be developing product candidates similar to our candidates.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lead product candidate, lifileucel, is a therapy for the treatment of metastatic melanoma. Currently, there are numerous companies that are developing various alternate treatments for melanoma. Accordingly, lifileucel faces significant competition in the melanoma treatment space from multiple companies. Even if we obtain regulatory approval of lifileucel, the availability and price of our competitors’ products could limit the demand and the price we are able to charge for our melanoma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We are dependent on third parties to support our research, development and manufacturing activities and, therefore, are subject to the efforts of these parties and our ability to successfully collaborate with these third parties.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MedImmune, Roswell Park Cancer Institute, RXi Pharmaceuticals, and Cellectis.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right="20" w:firstLine="648"/>
        <w:spacing w:after="0" w:line="264"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81" w:lineRule="exact"/>
        <w:rPr>
          <w:sz w:val="20"/>
          <w:szCs w:val="20"/>
          <w:color w:val="auto"/>
        </w:rPr>
      </w:pPr>
    </w:p>
    <w:p>
      <w:pPr>
        <w:ind w:left="580" w:hanging="315"/>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jc w:val="both"/>
        <w:ind w:left="580" w:hanging="315"/>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580" w:hanging="315"/>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jc w:val="both"/>
        <w:ind w:left="580" w:hanging="315"/>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580" w:hanging="315"/>
        <w:spacing w:after="0" w:line="265"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ind w:left="580" w:hanging="315"/>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jc w:val="both"/>
        <w:ind w:left="580" w:hanging="315"/>
        <w:spacing w:after="0" w:line="281"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2" w:lineRule="exact"/>
        <w:rPr>
          <w:rFonts w:ascii="Arial" w:cs="Arial" w:eastAsia="Arial" w:hAnsi="Arial"/>
          <w:sz w:val="16"/>
          <w:szCs w:val="16"/>
          <w:color w:val="auto"/>
        </w:rPr>
      </w:pPr>
    </w:p>
    <w:p>
      <w:pPr>
        <w:ind w:left="580" w:hanging="315"/>
        <w:spacing w:after="0" w:line="265"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580" w:hanging="315"/>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 may be involved in a business combination, resulting in the decreased emphasis or termination of development or commercialization of any product candidate subject to the collaboration agreement;</w:t>
      </w:r>
    </w:p>
    <w:p>
      <w:pPr>
        <w:ind w:left="580" w:hanging="315"/>
        <w:spacing w:after="0" w:line="261"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any third-party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currently developing lifileucel and LN-145 for use along with IL-2. We and our collaborators are also studying TIL therapy along with other products, such as durvalumab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studies could show that any positive study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8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granted Fast Track designation by the FDA for lifileucel in advanced melanoma.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While lifileucel has received orphan drug designation for melanoma stages IIB-IV and LN-145 has received orphan drug designation for cervical cancer patients with tumors greater than 2 cm, there is no guarantee that we will be able to maintain these designations, receive this designation for any of our other product candidates, or receive or maintain any corresponding benefits, including periods of exclusivity.</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received orphan drug designation for lifileucel in the United States to treat malignant melanoma stages IIB-IV.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condition of biologic licensing, the FDA is authorized to require that sponsors of approved BLAs implement various post-market requirements, including REMS and Phase 4 studies. By example, when the FDA approved Novartis’ Kymriah in August 2017, a CAR-T cell therapy for the treatment of patients up to 25 years of age with B-cell precursor acute lymphoblastic leukemia (ALL) that is refractory or in second or later relapse, the FDA required significant post-marketing commitments, including a Phase 4 study,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currently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and sales personnel. In the event we are unable to develop a marketing and sales infrastructure, we may not be able to commercialize our current or future product candidates, which would limit our ability to generate product revenues. Factors that may inhibit our efforts to commercialize our current or future product candidates include:</w:t>
      </w:r>
    </w:p>
    <w:p>
      <w:pPr>
        <w:spacing w:after="0" w:line="189" w:lineRule="exact"/>
        <w:rPr>
          <w:sz w:val="20"/>
          <w:szCs w:val="20"/>
          <w:color w:val="auto"/>
        </w:rPr>
      </w:pPr>
    </w:p>
    <w:p>
      <w:pPr>
        <w:ind w:left="580" w:hanging="315"/>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recruit, train, manage, and retain adequate numbers of effective sales and marketing personnel;</w:t>
      </w:r>
    </w:p>
    <w:p>
      <w:pPr>
        <w:spacing w:after="0" w:line="23"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580" w:hanging="315"/>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associated with training sales and marketing personnel on legal and regulatory compliance matters and monitoring their actions;</w:t>
      </w:r>
    </w:p>
    <w:p>
      <w:pPr>
        <w:spacing w:after="0" w:line="20" w:lineRule="exact"/>
        <w:rPr>
          <w:rFonts w:ascii="Arial" w:cs="Arial" w:eastAsia="Arial" w:hAnsi="Arial"/>
          <w:sz w:val="17"/>
          <w:szCs w:val="17"/>
          <w:color w:val="auto"/>
        </w:rPr>
      </w:pPr>
    </w:p>
    <w:p>
      <w:pPr>
        <w:ind w:left="580" w:hanging="315"/>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32" w:lineRule="exact"/>
        <w:rPr>
          <w:rFonts w:ascii="Arial" w:cs="Arial" w:eastAsia="Arial" w:hAnsi="Arial"/>
          <w:sz w:val="16"/>
          <w:szCs w:val="16"/>
          <w:color w:val="auto"/>
        </w:rPr>
      </w:pPr>
    </w:p>
    <w:p>
      <w:pPr>
        <w:ind w:left="580" w:hanging="315"/>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580" w:hanging="315"/>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or engaging a contract sales organization.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our product candidates do not achieve broad market acceptance, the revenues that we generate from their sales will be limited.</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648"/>
        <w:spacing w:after="0" w:line="288"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approved claims that we may make for the products;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580" w:hanging="315"/>
        <w:spacing w:after="0" w:line="250"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enactment of the Biologics Price Competition and Innovation Act,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contract research organizations and other contractors and consultants are vulnerable to damage from computer viruses, unauthorized access, natural disasters, terrorism, war and telecommunication and electrical failures. If such an event was to occur and cause interruptions in our operations, it could result in a disruption of our drug development programs. For example, the loss of clinical study data from completed or ongoing clinical studies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7"/>
          <w:szCs w:val="17"/>
          <w:b w:val="1"/>
          <w:bCs w:val="1"/>
          <w:i w:val="1"/>
          <w:iCs w:val="1"/>
          <w:color w:val="auto"/>
        </w:rPr>
        <w:t>We will need to grow the size and capabilities of our organization, and we may experience difficulties in managing this growth.</w:t>
      </w:r>
    </w:p>
    <w:p>
      <w:pPr>
        <w:spacing w:after="0" w:line="2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5" w:lineRule="exact"/>
        <w:rPr>
          <w:sz w:val="20"/>
          <w:szCs w:val="20"/>
          <w:color w:val="auto"/>
        </w:rPr>
      </w:pP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580" w:hanging="315"/>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1" w:lineRule="exact"/>
        <w:rPr>
          <w:sz w:val="20"/>
          <w:szCs w:val="20"/>
          <w:color w:val="auto"/>
        </w:rPr>
      </w:pPr>
    </w:p>
    <w:p>
      <w:pPr>
        <w:jc w:val="both"/>
        <w:ind w:firstLine="700"/>
        <w:spacing w:after="0" w:line="257"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June 2016. This lack of long-term experience working together may adversely impact our senior management team’s ability to effectively manage our business and growth.</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 w:lineRule="exact"/>
        <w:rPr>
          <w:sz w:val="20"/>
          <w:szCs w:val="20"/>
          <w:color w:val="auto"/>
        </w:rPr>
      </w:pPr>
    </w:p>
    <w:p>
      <w:pPr>
        <w:ind w:left="580" w:hanging="315"/>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ind w:left="580" w:hanging="315"/>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32" w:lineRule="exact"/>
        <w:rPr>
          <w:rFonts w:ascii="Arial" w:cs="Arial" w:eastAsia="Arial" w:hAnsi="Arial"/>
          <w:sz w:val="16"/>
          <w:szCs w:val="16"/>
          <w:color w:val="auto"/>
        </w:rPr>
      </w:pPr>
    </w:p>
    <w:p>
      <w:pPr>
        <w:ind w:left="580" w:hanging="315"/>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9" w:lineRule="exact"/>
        <w:rPr>
          <w:rFonts w:ascii="Arial" w:cs="Arial" w:eastAsia="Arial" w:hAnsi="Arial"/>
          <w:sz w:val="18"/>
          <w:szCs w:val="18"/>
          <w:color w:val="auto"/>
        </w:rPr>
      </w:pPr>
    </w:p>
    <w:p>
      <w:pPr>
        <w:ind w:left="580" w:right="20" w:hanging="315"/>
        <w:spacing w:after="0" w:line="250"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580" w:hanging="315"/>
        <w:spacing w:after="0" w:line="261"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648"/>
        <w:spacing w:after="0" w:line="255" w:lineRule="auto"/>
        <w:rPr>
          <w:sz w:val="20"/>
          <w:szCs w:val="20"/>
          <w:color w:val="auto"/>
        </w:rPr>
      </w:pPr>
      <w:r>
        <w:rPr>
          <w:rFonts w:ascii="Arial" w:cs="Arial" w:eastAsia="Arial" w:hAnsi="Arial"/>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SEC has issued an administrative order against us that may make it more difficult for us to raise capital in the future.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u w:val="single" w:color="auto"/>
          <w:color w:val="auto"/>
        </w:rPr>
        <w:t>In the Matter of</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Certain Stock Promotion</w:t>
      </w:r>
      <w:r>
        <w:rPr>
          <w:rFonts w:ascii="Arial" w:cs="Arial" w:eastAsia="Arial" w:hAnsi="Arial"/>
          <w:sz w:val="17"/>
          <w:szCs w:val="17"/>
          <w:color w:val="auto"/>
        </w:rPr>
        <w:t>. The SEC’s investigation, in part, involved the conduct of our former Chief Executive Officer and director, Manish Singh,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Shortly after the SEC announced settlements with us, with other public companies, and with unrelated parties in the </w:t>
      </w:r>
      <w:r>
        <w:rPr>
          <w:rFonts w:ascii="Arial" w:cs="Arial" w:eastAsia="Arial" w:hAnsi="Arial"/>
          <w:sz w:val="16"/>
          <w:szCs w:val="16"/>
          <w:i w:val="1"/>
          <w:iCs w:val="1"/>
          <w:u w:val="single" w:color="auto"/>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Promotion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 two securities class action complaints were filed in the U.S. District Court for the Northern District of California against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December 15, 2017, a purported stockholder derivative complaint was filed by plaintiff Kevin Fong on behalf of the Company, against the Company,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On March 28, 2018, a purported stockholder derivative complaint was filed by plaintiff Nazeer Khaleeluddin on behalf of the Company, against the Company,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We intend to vigorously defend against these complaints. However, based on the very early stage of the aforementioned litigation, it is not possible to estimate the amount or range of possible loss that might result from an adverse judgment or a settlement of these matters. Furthermore, litigation is inherently uncertain, and there is no assurance as to the outcome of this,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RMAT designation we have received for advanced melanoma to successfully complete the development and commercialization of lifileucel. We may not be able to reach agreement with FDA on an interpretation of outcomes from our meetings, including meetings we have held with FDA in relation to our C-144-01 clinical trial and future meetings. Accordingly, the regulatory approval pathway for our product candidates may be uncertain, complex, expensive and lengthy, and approval may not be obtained.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3" w:lineRule="exact"/>
        <w:rPr>
          <w:sz w:val="20"/>
          <w:szCs w:val="20"/>
          <w:color w:val="auto"/>
        </w:rPr>
      </w:pPr>
    </w:p>
    <w:p>
      <w:pPr>
        <w:ind w:left="580" w:hanging="315"/>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ind w:left="580" w:hanging="315"/>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 or central IRB;</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manufacturing sufficient quantities of qualified materials under cGMPs and applying them on a subject by subject basis for use in clinical trials.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Data Monitoring Committees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24" w:gutter="0" w:footer="0" w:header="0"/>
        </w:sectPr>
      </w:pPr>
    </w:p>
    <w:bookmarkStart w:id="55" w:name="page56"/>
    <w:bookmarkEnd w:id="5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 xml:space="preserve">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 </w:t>
      </w:r>
      <w:r>
        <w:rPr>
          <w:rFonts w:ascii="Arial" w:cs="Arial" w:eastAsia="Arial" w:hAnsi="Arial"/>
          <w:sz w:val="30"/>
          <w:szCs w:val="30"/>
          <w:b w:val="1"/>
          <w:bCs w:val="1"/>
          <w:i w:val="1"/>
          <w:iCs w:val="1"/>
          <w:color w:val="auto"/>
          <w:vertAlign w:val="superscript"/>
        </w:rPr>
        <w:t>*</w:t>
      </w:r>
    </w:p>
    <w:p>
      <w:pPr>
        <w:spacing w:after="0" w:line="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risk evaluation and mitigation strategy, or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81" w:lineRule="exact"/>
        <w:rPr>
          <w:sz w:val="20"/>
          <w:szCs w:val="20"/>
          <w:color w:val="auto"/>
        </w:rPr>
      </w:pPr>
    </w:p>
    <w:p>
      <w:pPr>
        <w:ind w:left="580" w:hanging="315"/>
        <w:spacing w:after="0" w:line="25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580" w:hanging="315"/>
        <w:spacing w:after="0" w:line="261"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580" w:hanging="31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cyber letters, or holds on or termination of clinical trials;</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580" w:hanging="31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580" w:hanging="315"/>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580" w:hanging="315"/>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580" w:hanging="31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biopharmaceutical company, we are subject to many federal and state healthcare laws, including the federal Anti-Kickback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648"/>
        <w:spacing w:after="0" w:line="253" w:lineRule="auto"/>
        <w:rPr>
          <w:sz w:val="20"/>
          <w:szCs w:val="20"/>
          <w:color w:val="auto"/>
        </w:rPr>
      </w:pPr>
      <w:r>
        <w:rPr>
          <w:rFonts w:ascii="Arial" w:cs="Arial" w:eastAsia="Arial" w:hAnsi="Arial"/>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648"/>
        <w:spacing w:after="0" w:line="271"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79" w:lineRule="exact"/>
        <w:rPr>
          <w:sz w:val="20"/>
          <w:szCs w:val="20"/>
          <w:color w:val="auto"/>
        </w:rPr>
      </w:pPr>
    </w:p>
    <w:p>
      <w:pPr>
        <w:ind w:left="580" w:hanging="315"/>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64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7" w:lineRule="exact"/>
        <w:rPr>
          <w:sz w:val="20"/>
          <w:szCs w:val="20"/>
          <w:color w:val="auto"/>
        </w:rPr>
      </w:pPr>
    </w:p>
    <w:p>
      <w:pPr>
        <w:ind w:left="580" w:hanging="315"/>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648"/>
        <w:spacing w:after="0" w:line="257" w:lineRule="auto"/>
        <w:rPr>
          <w:sz w:val="20"/>
          <w:szCs w:val="20"/>
          <w:color w:val="auto"/>
        </w:rPr>
      </w:pPr>
      <w:r>
        <w:rPr>
          <w:rFonts w:ascii="Arial" w:cs="Arial" w:eastAsia="Arial" w:hAnsi="Arial"/>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both"/>
        <w:ind w:firstLine="648"/>
        <w:spacing w:after="0" w:line="269"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 Anderson if any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the NCI, Moffitt, M.D. Anderson,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previously reported that we conducted an extensive freedom-to-operate, or FTO, analysis of the then current patent landscape with respect to our lead product candidate, and based on that analysis, that we believe that we have FTO for our lead TIL product candidate. Because patent applications do not publish for 18 months, and because the claims of patent families can change over time, no FTO analysis can be considered exhaustive. We are undertaking additional FTO analyses of our manufacturing processes, our lead TIL products, and contemplated future processes and products. However, the area of patent and other intellectual property rights in biotechnology remains an evolving area with many risks and uncertainties. As such, we expect our FTO analyses will be ongoing.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Our existing directors and executive officers hold a substantial amount of our common stock and may be able to influence significant corporate decisions.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October 31, 2018, our officers and directors beneficially owned approximately 6.5% of our outstanding common stock. These stockholders, if they act together, may be able to materially affect the outcome of matters presented to our stockholders, including the election of our directors and other corporate actions such as:</w:t>
      </w:r>
    </w:p>
    <w:p>
      <w:pPr>
        <w:spacing w:after="0" w:line="181" w:lineRule="exact"/>
        <w:rPr>
          <w:sz w:val="20"/>
          <w:szCs w:val="20"/>
          <w:color w:val="auto"/>
        </w:rPr>
      </w:pPr>
    </w:p>
    <w:p>
      <w:pPr>
        <w:ind w:left="580" w:hanging="315"/>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amendments to our certificate of incorporation.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firstLine="648"/>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be volatile, and our stockholders' investment in our stock could decline in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is likely to be volatile and could fluctuate widely in response to many factors, including but not limited to:</w:t>
      </w:r>
    </w:p>
    <w:p>
      <w:pPr>
        <w:spacing w:after="0" w:line="237" w:lineRule="exact"/>
        <w:rPr>
          <w:sz w:val="20"/>
          <w:szCs w:val="20"/>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or our competitors;</w:t>
      </w:r>
    </w:p>
    <w:p>
      <w:pPr>
        <w:spacing w:after="0" w:line="23"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 whether our earnings meet or exceed such estimates;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580" w:hanging="315"/>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occurrence of any of the risks described in our Annual Report on Form 10-K filed with the SEC on March 12,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October 31, 2018, we had 123,169,528 shares of common stock outstanding. In addition, we had 14,961,428 shares of common stock equivalents that would increase the number of common stock outstanding if these instruments were exercised or converted, including stock options and restricted stock units to purchase common stock based on vesting requirements, warrants to purchase common stock and common stock issuable upon the conversion of preferred stock. The issuance and subsequent sale of the shares underlying these common stock equivalents could depress the trading price of our common stock.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Such issuances could result in substantial dilution to our existing stockholders and could cause our stock price to decline.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board could issue one or more additional series of preferred stock without stockholder approval with the effect of diluting existing stockholders and impairing their voting and other rights.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certificate of incorporation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provisions in our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certificate of incorporation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claims for rescission or damages in connection with certain sales of shares of our common stock in the open market.</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financial statements.</w:t>
      </w:r>
    </w:p>
    <w:p>
      <w:pPr>
        <w:spacing w:after="0" w:line="390"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14"/>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0"/>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5"/>
          </w:tcPr>
          <w:p>
            <w:pPr>
              <w:ind w:left="920"/>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81">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140" w:type="dxa"/>
            <w:vAlign w:val="bottom"/>
            <w:gridSpan w:val="13"/>
          </w:tcPr>
          <w:p>
            <w:pPr>
              <w:spacing w:after="0" w:line="190"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Plan of Conversion (incorporated herein by reference to Exhibit 2.1 to Registrant’s Current Report on Form 8-K filed with the Commission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on June 2, 2017.)</w:t>
              </w:r>
            </w:hyperlink>
          </w:p>
        </w:tc>
      </w:tr>
      <w:tr>
        <w:trPr>
          <w:trHeight w:val="20"/>
        </w:trPr>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Articles of Conversion (incorporated herein by reference to Exhibit 3.1 to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Commission on June 2, 2017).</w:t>
              </w:r>
            </w:hyperlink>
          </w:p>
        </w:tc>
        <w:tc>
          <w:tcPr>
            <w:tcW w:w="7920" w:type="dxa"/>
            <w:vAlign w:val="bottom"/>
            <w:tcBorders>
              <w:top w:val="single" w:sz="8" w:color="0000EE"/>
            </w:tcBorders>
            <w:gridSpan w:val="7"/>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Certificate of Conversion (incorporated herein by reference to Exhibit 3.2 of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Commission on June 2, 2017.)</w:t>
              </w:r>
            </w:hyperlink>
          </w:p>
        </w:tc>
      </w:tr>
      <w:tr>
        <w:trPr>
          <w:trHeight w:val="20"/>
        </w:trPr>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Certificate of Incorporation of Registrant (incorporated herein by reference to Exhibit 3.3 of Registrant’s Current Report on Form 8-K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with the Commission on June 2, 2017.)</w:t>
              </w:r>
            </w:hyperlink>
          </w:p>
        </w:tc>
        <w:tc>
          <w:tcPr>
            <w:tcW w:w="7300" w:type="dxa"/>
            <w:vAlign w:val="bottom"/>
            <w:tcBorders>
              <w:top w:val="single" w:sz="8" w:color="0000EE"/>
            </w:tcBorders>
            <w:gridSpan w:val="6"/>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Certificate of Designations of Rights, Preferences and Privileges of Series A Convertible Preferred Stock (incorporated herein by reference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to Exhibit 3.4 of Registrant’s Registration Statement on Form S-3 filed with the Commission on July 31, 2017.)</w:t>
              </w:r>
            </w:hyperlink>
          </w:p>
        </w:tc>
      </w:tr>
      <w:tr>
        <w:trPr>
          <w:trHeight w:val="20"/>
        </w:trPr>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Certificate of Designations of Rights, Preferences and Privileges of Series B Preferred Stock (incorporated herein by reference to Exhibit 3.5</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of Registrant’s Registration Statement on Form S-3 filed with the Commission on July 31, 2017.)</w:t>
              </w:r>
            </w:hyperlink>
          </w:p>
        </w:tc>
        <w:tc>
          <w:tcPr>
            <w:tcW w:w="3120" w:type="dxa"/>
            <w:vAlign w:val="bottom"/>
            <w:tcBorders>
              <w:top w:val="single" w:sz="8" w:color="0000EE"/>
            </w:tcBorders>
            <w:gridSpan w:val="3"/>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6"/>
              </w:rPr>
            </w:pPr>
            <w:hyperlink r:id="rId87">
              <w:r>
                <w:rPr>
                  <w:rFonts w:ascii="Arial" w:cs="Arial" w:eastAsia="Arial" w:hAnsi="Arial"/>
                  <w:sz w:val="18"/>
                  <w:szCs w:val="18"/>
                  <w:color w:val="0000EE"/>
                  <w:w w:val="96"/>
                </w:rPr>
                <w:t>Certificate of Amendment of Certificate of Incorporation of Registrant (incorporated herein by reference to Exhibit 3.1 of Registrant’s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Current Report on Form 8-K filed with the Commission on June 27, 2017.)</w:t>
              </w:r>
            </w:hyperlink>
          </w:p>
        </w:tc>
        <w:tc>
          <w:tcPr>
            <w:tcW w:w="4720" w:type="dxa"/>
            <w:vAlign w:val="bottom"/>
            <w:tcBorders>
              <w:top w:val="single" w:sz="8" w:color="0000EE"/>
            </w:tcBorders>
            <w:gridSpan w:val="4"/>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3.</w:t>
              </w:r>
              <w:r>
                <w:rPr>
                  <w:rFonts w:ascii="Arial" w:cs="Arial" w:eastAsia="Arial" w:hAnsi="Arial"/>
                  <w:sz w:val="18"/>
                  <w:szCs w:val="18"/>
                  <w:u w:val="single" w:color="auto"/>
                  <w:color w:val="0000EE"/>
                </w:rPr>
                <w:t>7</w:t>
              </w:r>
            </w:hyperlink>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8"/>
              </w:rPr>
            </w:pPr>
            <w:hyperlink r:id="rId88">
              <w:r>
                <w:rPr>
                  <w:rFonts w:ascii="Arial" w:cs="Arial" w:eastAsia="Arial" w:hAnsi="Arial"/>
                  <w:sz w:val="18"/>
                  <w:szCs w:val="18"/>
                  <w:color w:val="0000EE"/>
                  <w:w w:val="98"/>
                </w:rPr>
                <w:t>Bylaws of Registrant (incorporated herein by reference to the Exhibit 3.4 to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Commission on June 2, 2017).</w:t>
              </w:r>
            </w:hyperlink>
          </w:p>
        </w:tc>
      </w:tr>
      <w:tr>
        <w:trPr>
          <w:trHeight w:val="20"/>
        </w:trPr>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3.</w:t>
              </w:r>
              <w:r>
                <w:rPr>
                  <w:rFonts w:ascii="Arial" w:cs="Arial" w:eastAsia="Arial" w:hAnsi="Arial"/>
                  <w:sz w:val="18"/>
                  <w:szCs w:val="18"/>
                  <w:u w:val="single" w:color="auto"/>
                  <w:color w:val="0000EE"/>
                </w:rPr>
                <w:t>8</w:t>
              </w:r>
            </w:hyperlink>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Amendment to the Bylaws of Registrant (incorporated herein by reference to the Exhibit 3.2 to Registrant’s Current Report on Form 8-K</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filed with the Commission on June 27, 2017).</w:t>
              </w:r>
            </w:hyperlink>
          </w:p>
        </w:tc>
        <w:tc>
          <w:tcPr>
            <w:tcW w:w="6840" w:type="dxa"/>
            <w:vAlign w:val="bottom"/>
            <w:tcBorders>
              <w:top w:val="single" w:sz="8" w:color="0000EE"/>
            </w:tcBorders>
            <w:gridSpan w:val="5"/>
          </w:tcPr>
          <w:p>
            <w:pPr>
              <w:spacing w:after="0"/>
              <w:rPr>
                <w:sz w:val="17"/>
                <w:szCs w:val="17"/>
                <w:color w:val="auto"/>
              </w:rPr>
            </w:pPr>
          </w:p>
        </w:tc>
      </w:tr>
      <w:tr>
        <w:trPr>
          <w:trHeight w:val="196"/>
        </w:trPr>
        <w:tc>
          <w:tcPr>
            <w:tcW w:w="880" w:type="dxa"/>
            <w:vAlign w:val="bottom"/>
            <w:gridSpan w:val="3"/>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Office Lease, effective as of October 19, 2018, between Iovance Biotherapeutics, Inc. and Hudson Skyway Landing, LLC (incorporated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herein by reference to the Registrant’s Current Report on Form 8-K filed with the Commission on October 25, 2018).</w:t>
              </w:r>
            </w:hyperlink>
          </w:p>
        </w:tc>
        <w:tc>
          <w:tcPr>
            <w:tcW w:w="1680" w:type="dxa"/>
            <w:vAlign w:val="bottom"/>
            <w:tcBorders>
              <w:top w:val="single" w:sz="8" w:color="0000EE"/>
            </w:tcBorders>
          </w:tcPr>
          <w:p>
            <w:pPr>
              <w:spacing w:after="0"/>
              <w:rPr>
                <w:sz w:val="17"/>
                <w:szCs w:val="17"/>
                <w:color w:val="auto"/>
              </w:rPr>
            </w:pPr>
          </w:p>
        </w:tc>
      </w:tr>
      <w:tr>
        <w:trPr>
          <w:trHeight w:val="196"/>
        </w:trPr>
        <w:tc>
          <w:tcPr>
            <w:tcW w:w="880" w:type="dxa"/>
            <w:vAlign w:val="bottom"/>
            <w:gridSpan w:val="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Certification of Principal Executive Officer pursuant to Rule 13a-14 and Rule 15d-14(a), promulgated under the Securities and Exchange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Act of 1934, as amended.</w:t>
              </w:r>
            </w:hyperlink>
          </w:p>
        </w:tc>
      </w:tr>
      <w:tr>
        <w:trPr>
          <w:trHeight w:val="20"/>
        </w:trPr>
        <w:tc>
          <w:tcPr>
            <w:tcW w:w="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00" w:type="dxa"/>
            <w:vAlign w:val="bottom"/>
            <w:gridSpan w:val="9"/>
          </w:tcPr>
          <w:p>
            <w:pPr>
              <w:spacing w:after="0" w:line="20" w:lineRule="exact"/>
              <w:rPr>
                <w:sz w:val="1"/>
                <w:szCs w:val="1"/>
                <w:color w:val="auto"/>
              </w:rPr>
            </w:pPr>
          </w:p>
        </w:tc>
      </w:tr>
      <w:tr>
        <w:trPr>
          <w:trHeight w:val="196"/>
        </w:trPr>
        <w:tc>
          <w:tcPr>
            <w:tcW w:w="880" w:type="dxa"/>
            <w:vAlign w:val="bottom"/>
            <w:gridSpan w:val="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Certification of Principal Financial Officer pursuant to Rule 13a-14 and Rule 15d 14(a), promulgated under the Securities and Exchange Act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of 1934, as amended.</w:t>
              </w:r>
            </w:hyperlink>
          </w:p>
        </w:tc>
        <w:tc>
          <w:tcPr>
            <w:tcW w:w="8600" w:type="dxa"/>
            <w:vAlign w:val="bottom"/>
            <w:tcBorders>
              <w:top w:val="single" w:sz="8" w:color="0000EE"/>
            </w:tcBorders>
            <w:gridSpan w:val="10"/>
          </w:tcPr>
          <w:p>
            <w:pPr>
              <w:spacing w:after="0"/>
              <w:rPr>
                <w:sz w:val="17"/>
                <w:szCs w:val="17"/>
                <w:color w:val="auto"/>
              </w:rPr>
            </w:pPr>
          </w:p>
        </w:tc>
      </w:tr>
      <w:tr>
        <w:trPr>
          <w:trHeight w:val="196"/>
        </w:trPr>
        <w:tc>
          <w:tcPr>
            <w:tcW w:w="880" w:type="dxa"/>
            <w:vAlign w:val="bottom"/>
            <w:gridSpan w:val="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Certification pursuant to 18 U.S.C. Section 1350, as adopted pursuant to Section 906 of the Sarbanes-Oxley Act of 2002 (Chief Executive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Officer).</w:t>
              </w:r>
            </w:hyperlink>
          </w:p>
        </w:tc>
      </w:tr>
      <w:tr>
        <w:trPr>
          <w:trHeight w:val="20"/>
        </w:trPr>
        <w:tc>
          <w:tcPr>
            <w:tcW w:w="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20" w:type="dxa"/>
            <w:vAlign w:val="bottom"/>
            <w:gridSpan w:val="12"/>
          </w:tcPr>
          <w:p>
            <w:pPr>
              <w:spacing w:after="0" w:line="20" w:lineRule="exact"/>
              <w:rPr>
                <w:sz w:val="1"/>
                <w:szCs w:val="1"/>
                <w:color w:val="auto"/>
              </w:rPr>
            </w:pPr>
          </w:p>
        </w:tc>
      </w:tr>
      <w:tr>
        <w:trPr>
          <w:trHeight w:val="196"/>
        </w:trPr>
        <w:tc>
          <w:tcPr>
            <w:tcW w:w="880" w:type="dxa"/>
            <w:vAlign w:val="bottom"/>
            <w:gridSpan w:val="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380" w:type="dxa"/>
            <w:vAlign w:val="bottom"/>
          </w:tcPr>
          <w:p>
            <w:pPr>
              <w:spacing w:after="0"/>
              <w:rPr>
                <w:sz w:val="17"/>
                <w:szCs w:val="17"/>
                <w:color w:val="auto"/>
              </w:rPr>
            </w:pPr>
          </w:p>
        </w:tc>
        <w:tc>
          <w:tcPr>
            <w:tcW w:w="10140" w:type="dxa"/>
            <w:vAlign w:val="bottom"/>
            <w:gridSpan w:val="13"/>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Certification pursuant to 18 U.S.C. Section 1350, as adopted pursuant to Section 906 of the Sarbanes-Oxley Act of 2002 (Chief Financial</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Officer).</w:t>
              </w:r>
            </w:hyperlink>
          </w:p>
        </w:tc>
      </w:tr>
      <w:tr>
        <w:trPr>
          <w:trHeight w:val="20"/>
        </w:trPr>
        <w:tc>
          <w:tcPr>
            <w:tcW w:w="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20" w:type="dxa"/>
            <w:vAlign w:val="bottom"/>
            <w:gridSpan w:val="12"/>
          </w:tcPr>
          <w:p>
            <w:pPr>
              <w:spacing w:after="0" w:line="20" w:lineRule="exact"/>
              <w:rPr>
                <w:sz w:val="1"/>
                <w:szCs w:val="1"/>
                <w:color w:val="auto"/>
              </w:rPr>
            </w:pPr>
          </w:p>
        </w:tc>
      </w:tr>
      <w:tr>
        <w:trPr>
          <w:trHeight w:val="222"/>
        </w:trPr>
        <w:tc>
          <w:tcPr>
            <w:tcW w:w="8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19"/>
                <w:szCs w:val="19"/>
                <w:color w:val="auto"/>
              </w:rPr>
            </w:pPr>
          </w:p>
        </w:tc>
        <w:tc>
          <w:tcPr>
            <w:tcW w:w="1014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80" w:type="dxa"/>
            <w:vAlign w:val="bottom"/>
          </w:tcPr>
          <w:p>
            <w:pPr>
              <w:spacing w:after="0"/>
              <w:rPr>
                <w:sz w:val="18"/>
                <w:szCs w:val="18"/>
                <w:color w:val="auto"/>
              </w:rPr>
            </w:pPr>
          </w:p>
        </w:tc>
        <w:tc>
          <w:tcPr>
            <w:tcW w:w="10140" w:type="dxa"/>
            <w:vAlign w:val="bottom"/>
            <w:gridSpan w:val="13"/>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80" w:type="dxa"/>
            <w:vAlign w:val="bottom"/>
          </w:tcPr>
          <w:p>
            <w:pPr>
              <w:spacing w:after="0"/>
              <w:rPr>
                <w:sz w:val="18"/>
                <w:szCs w:val="18"/>
                <w:color w:val="auto"/>
              </w:rPr>
            </w:pPr>
          </w:p>
        </w:tc>
        <w:tc>
          <w:tcPr>
            <w:tcW w:w="101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80" w:type="dxa"/>
            <w:vAlign w:val="bottom"/>
          </w:tcPr>
          <w:p>
            <w:pPr>
              <w:spacing w:after="0"/>
              <w:rPr>
                <w:sz w:val="18"/>
                <w:szCs w:val="18"/>
                <w:color w:val="auto"/>
              </w:rPr>
            </w:pPr>
          </w:p>
        </w:tc>
        <w:tc>
          <w:tcPr>
            <w:tcW w:w="101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80" w:type="dxa"/>
            <w:vAlign w:val="bottom"/>
          </w:tcPr>
          <w:p>
            <w:pPr>
              <w:spacing w:after="0"/>
              <w:rPr>
                <w:sz w:val="18"/>
                <w:szCs w:val="18"/>
                <w:color w:val="auto"/>
              </w:rPr>
            </w:pPr>
          </w:p>
        </w:tc>
        <w:tc>
          <w:tcPr>
            <w:tcW w:w="101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80" w:type="dxa"/>
            <w:vAlign w:val="bottom"/>
          </w:tcPr>
          <w:p>
            <w:pPr>
              <w:spacing w:after="0"/>
              <w:rPr>
                <w:sz w:val="20"/>
                <w:szCs w:val="20"/>
                <w:color w:val="auto"/>
              </w:rPr>
            </w:pPr>
          </w:p>
        </w:tc>
        <w:tc>
          <w:tcPr>
            <w:tcW w:w="101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820" w:hanging="69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Iovance Biotherapeutics, Inc.</w:t>
            </w:r>
          </w:p>
        </w:tc>
        <w:tc>
          <w:tcPr>
            <w:tcW w:w="4020" w:type="dxa"/>
            <w:vAlign w:val="bottom"/>
          </w:tcPr>
          <w:p>
            <w:pPr>
              <w:spacing w:after="0"/>
              <w:rPr>
                <w:sz w:val="17"/>
                <w:szCs w:val="17"/>
                <w:color w:val="auto"/>
              </w:rPr>
            </w:pPr>
          </w:p>
        </w:tc>
      </w:tr>
      <w:tr>
        <w:trPr>
          <w:trHeight w:val="453"/>
        </w:trPr>
        <w:tc>
          <w:tcPr>
            <w:tcW w:w="5160" w:type="dxa"/>
            <w:vAlign w:val="bottom"/>
          </w:tcPr>
          <w:p>
            <w:pPr>
              <w:spacing w:after="0"/>
              <w:rPr>
                <w:sz w:val="20"/>
                <w:szCs w:val="20"/>
                <w:color w:val="auto"/>
              </w:rPr>
            </w:pPr>
            <w:r>
              <w:rPr>
                <w:rFonts w:ascii="Arial" w:cs="Arial" w:eastAsia="Arial" w:hAnsi="Arial"/>
                <w:sz w:val="18"/>
                <w:szCs w:val="18"/>
                <w:color w:val="auto"/>
              </w:rPr>
              <w:t>November 6, 2018</w:t>
            </w: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700" w:type="dxa"/>
            <w:vAlign w:val="bottom"/>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November 6, 2018</w:t>
            </w: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700" w:type="dxa"/>
            <w:vAlign w:val="bottom"/>
            <w:gridSpan w:val="2"/>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48"/>
        </w:trPr>
        <w:tc>
          <w:tcPr>
            <w:tcW w:w="5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1490"/>
              <w:spacing w:after="0"/>
              <w:rPr>
                <w:sz w:val="20"/>
                <w:szCs w:val="20"/>
                <w:color w:val="auto"/>
              </w:rPr>
            </w:pPr>
            <w:r>
              <w:rPr>
                <w:rFonts w:ascii="Arial" w:cs="Arial" w:eastAsia="Arial" w:hAnsi="Arial"/>
                <w:sz w:val="18"/>
                <w:szCs w:val="18"/>
                <w:color w:val="auto"/>
              </w:rPr>
              <w:t>68</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700" w:hanging="69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700" w:hanging="692"/>
        <w:spacing w:after="0" w:line="26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hanging="692"/>
        <w:spacing w:after="0" w:line="308"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00" w:hanging="692"/>
        <w:spacing w:after="0" w:line="308"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jc w:val="both"/>
        <w:ind w:left="1380" w:hanging="683"/>
        <w:spacing w:after="0" w:line="264"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683"/>
        <w:spacing w:after="0" w:line="264"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683"/>
        <w:spacing w:after="0" w:line="342" w:lineRule="auto"/>
        <w:tabs>
          <w:tab w:leader="none" w:pos="13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683"/>
        <w:spacing w:after="0" w:line="264"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80" w:hanging="683"/>
        <w:spacing w:after="0" w:line="308" w:lineRule="auto"/>
        <w:tabs>
          <w:tab w:leader="none" w:pos="13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683"/>
        <w:spacing w:after="0" w:line="277"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Dated: November 6, 2018</w:t>
            </w:r>
          </w:p>
        </w:tc>
        <w:tc>
          <w:tcPr>
            <w:tcW w:w="2200" w:type="dxa"/>
            <w:vAlign w:val="bottom"/>
          </w:tcPr>
          <w:p>
            <w:pPr>
              <w:ind w:left="16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5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Timothy E. Morris, Chief Financial Officer of Iovance Biotherapeutics, Inc., certify that:</w:t>
      </w:r>
    </w:p>
    <w:p>
      <w:pPr>
        <w:spacing w:after="0" w:line="225" w:lineRule="exact"/>
        <w:rPr>
          <w:sz w:val="20"/>
          <w:szCs w:val="20"/>
          <w:color w:val="auto"/>
        </w:rPr>
      </w:pPr>
    </w:p>
    <w:p>
      <w:pPr>
        <w:ind w:left="700" w:hanging="69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700" w:hanging="692"/>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hanging="692"/>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00" w:hanging="692"/>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jc w:val="both"/>
        <w:ind w:left="1380" w:hanging="683"/>
        <w:spacing w:after="0" w:line="264"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683"/>
        <w:spacing w:after="0" w:line="264"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683"/>
        <w:spacing w:after="0" w:line="342" w:lineRule="auto"/>
        <w:tabs>
          <w:tab w:leader="none" w:pos="13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683"/>
        <w:spacing w:after="0" w:line="264"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80" w:hanging="683"/>
        <w:spacing w:after="0" w:line="308" w:lineRule="auto"/>
        <w:tabs>
          <w:tab w:leader="none" w:pos="13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683"/>
        <w:spacing w:after="0" w:line="277"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Dated: November 6, 2018</w:t>
            </w:r>
          </w:p>
        </w:tc>
        <w:tc>
          <w:tcPr>
            <w:tcW w:w="2200" w:type="dxa"/>
            <w:vAlign w:val="bottom"/>
          </w:tcPr>
          <w:p>
            <w:pPr>
              <w:ind w:left="16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48"/>
        </w:trPr>
        <w:tc>
          <w:tcPr>
            <w:tcW w:w="35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September 30, 2018,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Dated: November 6, 2018</w:t>
            </w:r>
          </w:p>
        </w:tc>
        <w:tc>
          <w:tcPr>
            <w:tcW w:w="2200" w:type="dxa"/>
            <w:vAlign w:val="bottom"/>
          </w:tcPr>
          <w:p>
            <w:pPr>
              <w:ind w:left="16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5"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on Form 10-Q of Iovance Biotherapeutics, Inc. (the “Company”) for the quarter ended September 30, 2018, as filed with the Securities and Exchange Commission on the date hereof (the “Report”), Timothy E Morris, Chief Financial Officer of the Company, hereby certifies, pursuant to 18 U.S.C. §1350, as adopted pursuant to §906 of the Sarbanes-Oxley Act of 2002, that:</w:t>
      </w:r>
    </w:p>
    <w:p>
      <w:pPr>
        <w:spacing w:after="0" w:line="166"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Dated: November 6, 2018</w:t>
            </w:r>
          </w:p>
        </w:tc>
        <w:tc>
          <w:tcPr>
            <w:tcW w:w="2200" w:type="dxa"/>
            <w:vAlign w:val="bottom"/>
          </w:tcPr>
          <w:p>
            <w:pPr>
              <w:ind w:left="16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þ"/>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81" Type="http://schemas.openxmlformats.org/officeDocument/2006/relationships/hyperlink" Target="http://www.sec.gov/Archives/edgar/data/1425205/000114420417030892/v468249_ex2-1.htm" TargetMode="External"/><Relationship Id="rId82" Type="http://schemas.openxmlformats.org/officeDocument/2006/relationships/hyperlink" Target="http://www.sec.gov/Archives/edgar/data/1425205/000114420417030892/v468249_ex3-1.htm" TargetMode="External"/><Relationship Id="rId83" Type="http://schemas.openxmlformats.org/officeDocument/2006/relationships/hyperlink" Target="http://www.sec.gov/Archives/edgar/data/1425205/000114420417030892/v468249_ex3-2.htm" TargetMode="External"/><Relationship Id="rId84" Type="http://schemas.openxmlformats.org/officeDocument/2006/relationships/hyperlink" Target="http://www.sec.gov/Archives/edgar/data/1425205/000114420417030892/v468249_ex3-3.htm" TargetMode="External"/><Relationship Id="rId85" Type="http://schemas.openxmlformats.org/officeDocument/2006/relationships/hyperlink" Target="http://www.sec.gov/Archives/edgar/data/1425205/000114420417039309/v471615_ex3-4.htm" TargetMode="External"/><Relationship Id="rId86" Type="http://schemas.openxmlformats.org/officeDocument/2006/relationships/hyperlink" Target="http://www.sec.gov/Archives/edgar/data/1425205/000114420417039309/v471615_ex3-5.htm" TargetMode="External"/><Relationship Id="rId87" Type="http://schemas.openxmlformats.org/officeDocument/2006/relationships/hyperlink" Target="http://www.sec.gov/Archives/edgar/data/1425205/000114420417034350/v469760_ex3-1.htm" TargetMode="External"/><Relationship Id="rId88" Type="http://schemas.openxmlformats.org/officeDocument/2006/relationships/hyperlink" Target="http://www.sec.gov/Archives/edgar/data/1425205/000114420417030892/v468249_ex3-4.htm" TargetMode="External"/><Relationship Id="rId89" Type="http://schemas.openxmlformats.org/officeDocument/2006/relationships/hyperlink" Target="http://www.sec.gov/Archives/edgar/data/1425205/000114420417034350/v469760_ex3-2.htm" TargetMode="External"/><Relationship Id="rId90" Type="http://schemas.openxmlformats.org/officeDocument/2006/relationships/hyperlink" Target="http://www.sec.gov/Archives/edgar/data/1425205/000114420418055365/tv50536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2019-12-28T18:20:32Z</dcterms:created>
  <dcterms:modified xsi:type="dcterms:W3CDTF">2019-12-28T18:20:32Z</dcterms:modified>
</cp:coreProperties>
</file>