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36" w:lineRule="exact"/>
        <w:rPr>
          <w:rFonts w:ascii="MS PGothic" w:cs="MS PGothic" w:eastAsia="MS PGothic" w:hAnsi="MS PGothic"/>
          <w:sz w:val="17"/>
          <w:szCs w:val="17"/>
          <w:color w:val="auto"/>
        </w:rPr>
      </w:pPr>
    </w:p>
    <w:p>
      <w:pPr>
        <w:ind w:left="3320"/>
        <w:spacing w:after="0"/>
        <w:rPr>
          <w:rFonts w:ascii="MS PGothic" w:cs="MS PGothic" w:eastAsia="MS PGothic" w:hAnsi="MS PGothic"/>
          <w:sz w:val="17"/>
          <w:szCs w:val="17"/>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2022</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7" w:lineRule="exact"/>
        <w:rPr>
          <w:sz w:val="24"/>
          <w:szCs w:val="24"/>
          <w:color w:val="auto"/>
        </w:rPr>
      </w:pPr>
    </w:p>
    <w:p>
      <w:pPr>
        <w:ind w:left="3600"/>
        <w:spacing w:after="0"/>
        <w:tabs>
          <w:tab w:leader="none" w:pos="5940" w:val="left"/>
          <w:tab w:leader="none" w:pos="6260" w:val="left"/>
        </w:tabs>
        <w:rPr>
          <w:sz w:val="20"/>
          <w:szCs w:val="20"/>
          <w:color w:val="auto"/>
        </w:rPr>
      </w:pPr>
      <w:r>
        <w:rPr>
          <w:rFonts w:ascii="Arial" w:cs="Arial" w:eastAsia="Arial" w:hAnsi="Arial"/>
          <w:sz w:val="18"/>
          <w:szCs w:val="18"/>
          <w:color w:val="auto"/>
        </w:rPr>
        <w:t>For the transition period from</w:t>
        <w:tab/>
        <w:t>to</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124"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37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identification number)</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825 Industrial Road, Suite 400, San Carlos, CA 94070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(650) 260-7120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jc w:val="center"/>
        <w:ind w:left="1540" w:right="100"/>
        <w:spacing w:after="0" w:line="30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$0.000041666</w:t>
            </w:r>
          </w:p>
        </w:tc>
        <w:tc>
          <w:tcPr>
            <w:tcW w:w="140" w:type="dxa"/>
            <w:vAlign w:val="bottom"/>
          </w:tcPr>
          <w:p>
            <w:pPr>
              <w:spacing w:after="0"/>
              <w:rPr>
                <w:sz w:val="19"/>
                <w:szCs w:val="19"/>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93"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At July 25, 2022, the issuer had 157,800,581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1068070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142240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60" w:type="dxa"/>
            <w:vAlign w:val="bottom"/>
            <w:tcBorders>
              <w:top w:val="single" w:sz="8" w:color="CCEEFF"/>
            </w:tcBorders>
            <w:gridSpan w:val="18"/>
            <w:shd w:val="clear" w:color="auto" w:fill="CCEEFF"/>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 (Unaudited)</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Item 4.</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PART II OTHER INFORMATION</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1.</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Unregistered Sales of Securities and Use of Proceeds</w:t>
              </w:r>
            </w:hyperlink>
          </w:p>
        </w:tc>
        <w:tc>
          <w:tcPr>
            <w:tcW w:w="464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Defaults Upon Senior Securities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Item 4.</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Mine Safety Disclosure</w:t>
              </w:r>
            </w:hyperlink>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5.</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Item 6.</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Exhibits</w:t>
              </w:r>
            </w:hyperlink>
          </w:p>
        </w:tc>
        <w:tc>
          <w:tcPr>
            <w:tcW w:w="786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29"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92"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spacing w:after="0" w:line="161"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enrollment, and timing of our clinical trials;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80" w:right="2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us or our third-party contract manufacturers to continue to manufacture tumor infiltrating lymphocytes, or TIL, in accordance with our selected process;</w:t>
      </w:r>
    </w:p>
    <w:p>
      <w:pPr>
        <w:ind w:left="680" w:hanging="32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design, construct and staff our own manufacturing facility on a timely basis and within the estimated expenses;</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or U.S., and foreign countries;</w:t>
      </w:r>
    </w:p>
    <w:p>
      <w:pPr>
        <w:spacing w:after="0" w:line="9" w:lineRule="exact"/>
        <w:rPr>
          <w:rFonts w:ascii="Arial" w:cs="Arial" w:eastAsia="Arial" w:hAnsi="Arial"/>
          <w:sz w:val="18"/>
          <w:szCs w:val="18"/>
          <w:color w:val="auto"/>
        </w:rPr>
      </w:pPr>
    </w:p>
    <w:p>
      <w:pPr>
        <w:ind w:left="680" w:right="5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U.S. Food and Drug Administration, or the FDA, or other regulatory authority approval of, or other action with respect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0" w:lineRule="exact"/>
        <w:rPr>
          <w:rFonts w:ascii="Arial" w:cs="Arial" w:eastAsia="Arial" w:hAnsi="Arial"/>
          <w:sz w:val="17"/>
          <w:szCs w:val="17"/>
          <w:color w:val="auto"/>
        </w:rPr>
      </w:pPr>
    </w:p>
    <w:p>
      <w:pPr>
        <w:ind w:left="680" w:right="106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ind w:left="680" w:right="1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other research and development and strategic collaborations;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manufacturing methods and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trading price of our common stock;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cash and other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Actual results may differ from those set forth in this Quarterly Report on Form 10-Q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may not be reflected in the final analyses of these trials including new cohorts within these trials; the results obtained in our ongoing clinical trials, such as the studies and trials referred to in this Quarterly Report on Form 10-Q,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17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Quarterly Report on Form 10-Q speaks only as of the date of this Quarterly Report on Form 10-Q or as of the date on which it is made. Except as required by law, we undertake no obligation to publicly update any forward-looking statements, whether because of new information, future events or otherwise, after the date of this Quarterly Report on Form 10-Q.</w:t>
      </w:r>
    </w:p>
    <w:p>
      <w:pPr>
        <w:spacing w:after="0" w:line="19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Unless the context requires otherwise, in this report the terms “Iovance,” the “Company,” “we,” “us” and “our” refer to Iovance Biotherapeutics,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4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108,075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78,229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316,383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431,593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assets</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610,878</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777,333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Long-term note payable</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73,996</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138,188</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155,674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Series A Convertible Preferred stock, $0.001 par value; 17,000 shares designated, 194 shares issued and</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as of June 30, 2022 and December 31, 2021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w w:val="93"/>
              </w:rPr>
              <w:t>Series B Convertible Preferred stock, $0.001 par value; 11,500,000 shares designated, 2,842,158 shares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issued and outstanding as of June 30, 2022 and December 31, 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Common stock, $0.000041666 par value; 300,000,000 shares authorized, 157,800,581 and 157,004,742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shares issued and outstanding as of June 30, 2022 and December 31, 2021, respectively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1,838,778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(1,363,401)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(1,172,445)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472,690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621,659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610,878</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73,406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141,706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99,734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81,426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191,447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(99,734)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(81,426)</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(191,447)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(156,996)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(190,956)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(0.63)</w:t>
            </w:r>
          </w:p>
        </w:tc>
        <w:tc>
          <w:tcPr>
            <w:tcW w:w="22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(0.53)</w:t>
            </w:r>
          </w:p>
        </w:tc>
        <w:tc>
          <w:tcPr>
            <w:tcW w:w="22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22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w w:val="96"/>
              </w:rPr>
              <w:t>Weighted Average Shares of Common Stock Outstanding, Basic and</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157,274</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153,751</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157,194</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150,571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5"/>
          </w:tcPr>
          <w:p>
            <w:pPr>
              <w:jc w:val="right"/>
              <w:ind w:right="39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(156,800)</w:t>
            </w: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investments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(99,703)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(81,414)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(156,786)</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For the Three Months Ended June 30, 2022 and 2021</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89"/>
              </w:rPr>
              <w:t>Series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Series B</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6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Sock</w:t>
            </w:r>
          </w:p>
        </w:tc>
        <w:tc>
          <w:tcPr>
            <w:tcW w:w="14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7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March 31, 2022</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157,168,321</w:t>
            </w: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$1,818,377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(1,264,052)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551,992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22,468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employee stock</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80,203</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issued for services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898,392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retired for vested</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(346,335)</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Unrealized loss 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 June 30, 2022</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157,800,581</w:t>
            </w:r>
          </w:p>
        </w:tc>
        <w:tc>
          <w:tcPr>
            <w:tcW w:w="160" w:type="dxa"/>
            <w:vAlign w:val="bottom"/>
          </w:tcPr>
          <w:p>
            <w:pPr>
              <w:spacing w:after="0"/>
              <w:rPr>
                <w:sz w:val="15"/>
                <w:szCs w:val="15"/>
                <w:color w:val="auto"/>
              </w:rPr>
            </w:pPr>
          </w:p>
        </w:tc>
        <w:tc>
          <w:tcPr>
            <w:tcW w:w="3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1,838,778</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(1,363,401)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472,690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b w:val="1"/>
                <w:bCs w:val="1"/>
                <w:color w:val="auto"/>
              </w:rPr>
              <w:t>Balance - March 31, 2021</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9"/>
              </w:rPr>
              <w:t>2,842,158</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2"/>
              </w:rPr>
              <w:t>149,315,299</w:t>
            </w:r>
          </w:p>
        </w:tc>
        <w:tc>
          <w:tcPr>
            <w:tcW w:w="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$1,552,968</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(905,642)</w:t>
            </w:r>
          </w:p>
        </w:tc>
        <w:tc>
          <w:tcPr>
            <w:tcW w:w="8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647,431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14,414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purchase of employee stock</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purchase plan</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55,315</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970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233,251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4"/>
                <w:szCs w:val="14"/>
                <w:color w:val="auto"/>
              </w:rPr>
              <w:t>offering, net of offering costs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5,195,856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160,269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160,270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(81,351)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June 30, 2021</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154,799,721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1,731,363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(986,993)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Six Months Ended June 30, 2022 and 2021</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Series A</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89"/>
              </w:rPr>
              <w:t>Series B</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40" w:type="dxa"/>
            <w:vAlign w:val="bottom"/>
            <w:gridSpan w:val="4"/>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93"/>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Preferred Sock</w:t>
            </w:r>
          </w:p>
        </w:tc>
        <w:tc>
          <w:tcPr>
            <w:tcW w:w="14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2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2,842,158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157,004,742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$1,794,695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(1,172,445)</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621,659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44,733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44,733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employee stock</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issued for services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898,392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retired for vested</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(346,335)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163,579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1,417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(190,956)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(190,956)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top w:val="single" w:sz="8" w:color="CCEEFF"/>
              <w:bottom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Balance - June 30, 2022</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157,800,581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1,838,778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(2,697)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(1,363,401)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472,690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3,581,119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146,874,917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$1,486,662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(830,193)</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31,355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31,355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employee stock</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55,315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656,429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9,221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offering, net of offering costs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6,474,099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203,154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Common stock issued from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preferred stock conversion</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(738,961)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738,961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(156,800)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(156,800)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top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Balance - June 30, 2021</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24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154,799,721</w:t>
            </w:r>
          </w:p>
        </w:tc>
        <w:tc>
          <w:tcPr>
            <w:tcW w:w="2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2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1,731,363</w:t>
            </w:r>
          </w:p>
        </w:tc>
        <w:tc>
          <w:tcPr>
            <w:tcW w:w="240" w:type="dxa"/>
            <w:vAlign w:val="bottom"/>
            <w:tcBorders>
              <w:top w:val="single" w:sz="8" w:color="CCEEFF"/>
            </w:tcBorders>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(986,993)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6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(190,956)</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(156,800)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44,733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31,355</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 of use asset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Accretion (amortization) of discounts and premiums on investments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Loss on write-off of fixed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(2,661)</w:t>
            </w:r>
          </w:p>
        </w:tc>
        <w:tc>
          <w:tcPr>
            <w:tcW w:w="5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(3,038)</w:t>
            </w: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 net of tenant improvement allowance received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(2,890)</w:t>
            </w: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4,950</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(15,055)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shd w:val="clear" w:color="auto" w:fill="CCEEFF"/>
          </w:tcPr>
          <w:p>
            <w:pPr>
              <w:spacing w:after="0"/>
              <w:rPr>
                <w:sz w:val="18"/>
                <w:szCs w:val="18"/>
                <w:color w:val="auto"/>
              </w:rPr>
            </w:pPr>
          </w:p>
        </w:tc>
      </w:tr>
      <w:tr>
        <w:trPr>
          <w:trHeight w:val="209"/>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(151,437)</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(116,399)</w:t>
            </w:r>
          </w:p>
        </w:tc>
        <w:tc>
          <w:tcPr>
            <w:tcW w:w="2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Maturities of investments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284,136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320,151</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Purchase of investments</w:t>
            </w: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(85,841)</w:t>
            </w:r>
          </w:p>
        </w:tc>
        <w:tc>
          <w:tcPr>
            <w:tcW w:w="5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(381,784)</w:t>
            </w: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(16,016)</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(20,321)</w:t>
            </w:r>
          </w:p>
        </w:tc>
      </w:tr>
      <w:tr>
        <w:trPr>
          <w:trHeight w:val="209"/>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182,279</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(81,954)</w:t>
            </w:r>
          </w:p>
        </w:tc>
        <w:tc>
          <w:tcPr>
            <w:tcW w:w="2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(2,649)</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6820" w:type="dxa"/>
            <w:vAlign w:val="bottom"/>
          </w:tcPr>
          <w:p>
            <w:pPr>
              <w:ind w:left="100"/>
              <w:spacing w:after="0" w:line="201" w:lineRule="exact"/>
              <w:rPr>
                <w:sz w:val="20"/>
                <w:szCs w:val="20"/>
                <w:color w:val="auto"/>
              </w:rPr>
            </w:pPr>
            <w:r>
              <w:rPr>
                <w:rFonts w:ascii="Arial" w:cs="Arial" w:eastAsia="Arial" w:hAnsi="Arial"/>
                <w:sz w:val="18"/>
                <w:szCs w:val="18"/>
                <w:color w:val="auto"/>
                <w:w w:val="93"/>
              </w:rPr>
              <w:t>Proceeds from the issuance of common stock upon purchase of employee stock purchase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820" w:type="dxa"/>
            <w:vAlign w:val="bottom"/>
          </w:tcPr>
          <w:p>
            <w:pPr>
              <w:ind w:left="100"/>
              <w:spacing w:after="0"/>
              <w:rPr>
                <w:sz w:val="20"/>
                <w:szCs w:val="20"/>
                <w:color w:val="auto"/>
              </w:rPr>
            </w:pPr>
            <w:r>
              <w:rPr>
                <w:rFonts w:ascii="Arial" w:cs="Arial" w:eastAsia="Arial" w:hAnsi="Arial"/>
                <w:sz w:val="18"/>
                <w:szCs w:val="18"/>
                <w:color w:val="auto"/>
              </w:rPr>
              <w:t>plan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3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203,155</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debt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214,346</w:t>
            </w:r>
          </w:p>
        </w:tc>
        <w:tc>
          <w:tcPr>
            <w:tcW w:w="20" w:type="dxa"/>
            <w:vAlign w:val="bottom"/>
            <w:tcBorders>
              <w:bottom w:val="single" w:sz="8" w:color="CCEEFF"/>
            </w:tcBorders>
          </w:tcPr>
          <w:p>
            <w:pPr>
              <w:spacing w:after="0"/>
              <w:rPr>
                <w:sz w:val="18"/>
                <w:szCs w:val="18"/>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w:t>
            </w:r>
          </w:p>
        </w:tc>
        <w:tc>
          <w:tcPr>
            <w:tcW w:w="2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84,313</w:t>
            </w:r>
          </w:p>
        </w:tc>
        <w:tc>
          <w:tcPr>
            <w:tcW w:w="3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w:t>
            </w:r>
          </w:p>
        </w:tc>
        <w:tc>
          <w:tcPr>
            <w:tcW w:w="20" w:type="dxa"/>
            <w:vAlign w:val="bottom"/>
            <w:tcBorders>
              <w:bottom w:val="single" w:sz="8" w:color="CCEEFF"/>
            </w:tcBorders>
          </w:tcPr>
          <w:p>
            <w:pPr>
              <w:spacing w:after="0"/>
              <w:rPr>
                <w:sz w:val="18"/>
                <w:szCs w:val="18"/>
                <w:color w:val="auto"/>
              </w:rPr>
            </w:pPr>
          </w:p>
        </w:tc>
      </w:tr>
      <w:tr>
        <w:trPr>
          <w:trHeight w:val="209"/>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114,505</w:t>
            </w: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Net unrealized (loss) gain on investments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(2,096)</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02"/>
        </w:trPr>
        <w:tc>
          <w:tcPr>
            <w:tcW w:w="6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Acquisition of property and equipment included in accounts payable and accrued</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20" w:type="dxa"/>
            <w:vAlign w:val="bottom"/>
            <w:shd w:val="clear" w:color="auto" w:fill="CCEEFF"/>
          </w:tcPr>
          <w:p>
            <w:pPr>
              <w:spacing w:after="0"/>
              <w:rPr>
                <w:sz w:val="20"/>
                <w:szCs w:val="20"/>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3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obtaining right-of-use asset from new leases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100"/>
              <w:spacing w:after="0"/>
              <w:rPr>
                <w:sz w:val="20"/>
                <w:szCs w:val="20"/>
                <w:color w:val="auto"/>
              </w:rPr>
            </w:pPr>
            <w:r>
              <w:rPr>
                <w:rFonts w:ascii="Arial" w:cs="Arial" w:eastAsia="Arial" w:hAnsi="Arial"/>
                <w:sz w:val="18"/>
                <w:szCs w:val="18"/>
                <w:color w:val="auto"/>
              </w:rPr>
              <w:t>Lease liabilities arising from obtaining right-of-use asset from lease modifications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BUSINESS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Organization and Business</w:t>
      </w:r>
    </w:p>
    <w:p>
      <w:pPr>
        <w:spacing w:after="0" w:line="185" w:lineRule="exact"/>
        <w:rPr>
          <w:sz w:val="20"/>
          <w:szCs w:val="20"/>
          <w:color w:val="auto"/>
        </w:rPr>
      </w:pPr>
    </w:p>
    <w:p>
      <w:pPr>
        <w:ind w:right="20" w:firstLine="492"/>
        <w:spacing w:after="0" w:line="267" w:lineRule="auto"/>
        <w:rPr>
          <w:sz w:val="20"/>
          <w:szCs w:val="20"/>
          <w:color w:val="auto"/>
        </w:rPr>
      </w:pPr>
      <w:r>
        <w:rPr>
          <w:rFonts w:ascii="Arial" w:cs="Arial" w:eastAsia="Arial" w:hAnsi="Arial"/>
          <w:sz w:val="17"/>
          <w:szCs w:val="17"/>
          <w:color w:val="auto"/>
        </w:rPr>
        <w:t>Iovance Biotherapeutics, Inc. (the “Company”) is a clinical-stage biopharmaceutical company pioneering a transformational approach to cure cancer by harnessing the human immune system’s ability to recognize and destroy diverse cancer cells in each patient. The Company’s T-cell-based immunotherapy technology platforms are potentially applicable to many tumor types and blood cancers. Tumor infiltrating lymphocyte (“TIL”) therapy is an autologous, polyclonal cell therapy platform technology that was originally developed by the National Cancer Institute (“NCI”), which conducted initial clinical trials of this therapy in diseases such as metastatic melanoma and cervical cancer. The Company’s mission is to be the global leader in innovating, developing and delivering TIL therapies for patients with cancer. The Company has developed a new, shorter TIL manufacturing process known as Generation 2 (“Gen 2”), which yields a cryopreserved TIL product. This centralized, proprietary, and scalable manufacturing method is being investigated in multiple indications. The Company’s lead product candidates include lifileucel for metastatic melanoma and metastatic cervical cancer, as well as LN-145 for metastatic non-small cell lung cancer (“NSCLC”). In addition, the Company is investigating the effectiveness and safety of combinations of TIL therapy with immune checkpoint inhibitors (“ICI”), in metastatic melanoma, cervical cancer, NSCLC, and head and neck squamous cell carcinoma (“HNSCC”). The Company also initiated a clinical trial with its first genetically modified TIL therapy, designated IOV-4001, in patients with previously treated metastatic melanoma and NSCLC. The Company is also developing genetically edited TIL products based on the inactivation of genes that encode immune checkpoint proteins and the insertion of genes that encode immunomodulatory proteins. The Company’s lead peripheral blood lymphocyte (“PBL”) therapy, IOV-2001, is being investigated in a clinical study for patients with relapsed or refractory chronic lymphocytic leukemia (“CLL”) and small lymphocytic lymphoma (“SLL”) through its sponsored trials. On June 1, 2017, the Company reincorporated from a Nevada corporation to a Delaware corporation.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98"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The accompanying unaudited condensed consolidated financial statements of the Company for the three and six months ended June 30, 2022 and 2021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that may be expected for the year ended December 31, 2022 or for any other period. The condensed consolidated balance sheet as of December 31, 2021 was derived from the audited consolidated financial statements included in the Company's Annual Report on Form 10-K filed with the Securities and Exchange Commission (the “SEC”) on February 24, 2022. These interim financial statements should be read in conjunction with that report. Certain prior period amounts reported in our condensed consolidated financial statements and accompanying notes have been reclassified to conform to the current period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The Company is currently engaged in the development of therapeutics to fight cancer, specifically solid tumors. The Company currently does not have any commercial products and has not yet generated any revenues from its business, nor does the Company currently anticipate that it will generate significant revenues from the sale or licensing of any of its product candidates during the twelve months from the date these consolidated financial statements are issued. The Company has incurred a net loss of $191.0 million for the six months ended June 30, 2022 and used $151.4 million of cash in its operating activities during the six months ended June 30, 2022. As of June 30, 2022, the Company had $430.9 million in cash, cash equivalents, investments, and restricted cash ($108.1 million of cash and cash equivalents, $316.4 million in short-term investments and $6.4 million in restricted cash).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 Company expects to continue its research and development activities, increase pre-commercial activities and complete construction of the remaining tenant improvements for the Iovance Cell Therapy Center (the “</w:t>
      </w:r>
      <w:r>
        <w:rPr>
          <w:rFonts w:ascii="Arial" w:cs="Arial" w:eastAsia="Arial" w:hAnsi="Arial"/>
          <w:sz w:val="18"/>
          <w:szCs w:val="18"/>
          <w:i w:val="1"/>
          <w:iCs w:val="1"/>
          <w:color w:val="auto"/>
        </w:rPr>
        <w:t>i</w:t>
      </w:r>
      <w:r>
        <w:rPr>
          <w:rFonts w:ascii="Arial" w:cs="Arial" w:eastAsia="Arial" w:hAnsi="Arial"/>
          <w:sz w:val="18"/>
          <w:szCs w:val="18"/>
          <w:color w:val="auto"/>
        </w:rPr>
        <w:t>CTC”), which are expected to increase the amount of cash used during the remainder of 2022 and beyond. Specifically, the Company expects continued spending on its current and planned clinical trials, continued expansion of manufacturing activities, higher payroll expenses as the Company increases its professional and scientific staff and continuation of pre-commercial activities. Based on the funds the Company has available as of the date these consolidated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Company is subject to credit risk from its portfolio of cash, cash equivalents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pacing w:after="0" w:line="373" w:lineRule="exact"/>
        <w:rPr>
          <w:sz w:val="20"/>
          <w:szCs w:val="20"/>
          <w:color w:val="auto"/>
        </w:rPr>
      </w:pPr>
    </w:p>
    <w:p>
      <w:pPr>
        <w:ind w:right="4460"/>
        <w:spacing w:after="0" w:line="456"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POLICIES </w:t>
      </w:r>
      <w:r>
        <w:rPr>
          <w:rFonts w:ascii="Arial" w:cs="Arial" w:eastAsia="Arial" w:hAnsi="Arial"/>
          <w:sz w:val="18"/>
          <w:szCs w:val="18"/>
          <w:b w:val="1"/>
          <w:bCs w:val="1"/>
          <w:i w:val="1"/>
          <w:iCs w:val="1"/>
          <w:color w:val="auto"/>
        </w:rPr>
        <w:t>Cash, Cash Equivalents, and Investments</w:t>
      </w:r>
    </w:p>
    <w:p>
      <w:pPr>
        <w:ind w:right="60" w:firstLine="492"/>
        <w:spacing w:after="0" w:line="286" w:lineRule="auto"/>
        <w:rPr>
          <w:sz w:val="20"/>
          <w:szCs w:val="20"/>
          <w:color w:val="auto"/>
        </w:rPr>
      </w:pPr>
      <w:r>
        <w:rPr>
          <w:rFonts w:ascii="Arial" w:cs="Arial" w:eastAsia="Arial" w:hAnsi="Arial"/>
          <w:sz w:val="16"/>
          <w:szCs w:val="16"/>
          <w:color w:val="auto"/>
        </w:rPr>
        <w:t>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income, net. No impairment losses related to credit losses were recognized for the three and six months ended June 30, 2022 and 2021. The cost of debt securities is adjusted for the amortization of premiums and accretion of discounts to maturity. Such amortization and accretion are included in Interest income, net in the Condensed Consolidated Statements of Operations. Gains and losses on securities sold are recorded based on the specific identification method and are included in Interest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 xml:space="preserve">The Company maintains a required minimum balance in a segregated bank account in connection with its letters of credit for which amounts are restricted as to their use by the Company. Currently, the Company’s letters of credit are primarily comprised of one for the benefit of the landlord for the </w:t>
      </w:r>
      <w:r>
        <w:rPr>
          <w:rFonts w:ascii="Arial" w:cs="Arial" w:eastAsia="Arial" w:hAnsi="Arial"/>
          <w:sz w:val="17"/>
          <w:szCs w:val="17"/>
          <w:i w:val="1"/>
          <w:iCs w:val="1"/>
          <w:color w:val="auto"/>
        </w:rPr>
        <w:t>i</w:t>
      </w:r>
      <w:r>
        <w:rPr>
          <w:rFonts w:ascii="Arial" w:cs="Arial" w:eastAsia="Arial" w:hAnsi="Arial"/>
          <w:sz w:val="17"/>
          <w:szCs w:val="17"/>
          <w:color w:val="auto"/>
        </w:rPr>
        <w:t>CTC used as a security deposit for the lease in the amount $5.45 million (See Note 8 - Leases) and one for $0.6 million for the benefit of the landlord for the Company’s current headquarters’ lease. The total amount of the Company’s letters of credit is classified as Restricted Cash in the Condensed Consolidated Balance Sheets.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current headquarters’ lease expires on February 1, 2032, however, it will be automatically extended, without written agreement, for one-year periods to February in each succeeding calendar year. As of June 30, 2022 and December 31, 2021, restricted cash consisted of $6.4 million and $6.1 million, respectively. This amount has been classified as a non-current asset in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82,763</w:t>
            </w: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r>
      <w:tr>
        <w:trPr>
          <w:trHeight w:val="209"/>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114,505</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88,847</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common shares outstanding during the period.</w:t>
      </w:r>
    </w:p>
    <w:p>
      <w:pPr>
        <w:spacing w:after="0" w:line="130"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equivalents outstanding during the period. The Company’s potentially dilutive common stock equivalent shares, which include incremental common shares issuable upon (i) the exercise of outstanding stock options, (ii) purchases though the 2020 Employee Stock Purchase Plan (the “2020 ESPP”), (iii) vesting of restricted stock units, and (iv) conversion of preferred stock, are only included in the calculation of diluted net loss per share when their effect is dilutive.</w:t>
      </w:r>
    </w:p>
    <w:p>
      <w:pPr>
        <w:spacing w:after="0" w:line="121"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As of June 30, 2022 and 2021,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90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14,519,506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14,537,031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jc w:val="right"/>
              <w:spacing w:after="0"/>
              <w:rPr>
                <w:sz w:val="20"/>
                <w:szCs w:val="20"/>
                <w:color w:val="auto"/>
              </w:rPr>
            </w:pPr>
            <w:r>
              <w:rPr>
                <w:rFonts w:ascii="Arial" w:cs="Arial" w:eastAsia="Arial" w:hAnsi="Arial"/>
                <w:sz w:val="18"/>
                <w:szCs w:val="18"/>
                <w:color w:val="auto"/>
              </w:rPr>
              <w:t>193,194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39,766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2,499,178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1,253,540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97,000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2,842,158</w:t>
            </w:r>
          </w:p>
        </w:tc>
      </w:tr>
      <w:tr>
        <w:trPr>
          <w:trHeight w:val="224"/>
        </w:trPr>
        <w:tc>
          <w:tcPr>
            <w:tcW w:w="6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20,151,036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18,769,495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-8255</wp:posOffset>
            </wp:positionV>
            <wp:extent cx="1877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-130175</wp:posOffset>
            </wp:positionV>
            <wp:extent cx="18770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78"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subsidiaries, Iovance Biotherapeutics Manufacturing LLC, Iovance Biotherapeutics GmbH, and Iovance Biotherapeutics B.V. All intercompany accounts and transactions have been eliminated. The U.S. dollar is the functional currency for all the Company's consolidated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The Company determines if an arrangement includes a lease at inception and thereafter, if modified. Operating leases are included in its Condensed Consolidated Balance Sheets as Operating lease right-of-use assets and Operating lease liabilities as of June 30, 2022 and December 31, 2021.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w:t>
      </w:r>
    </w:p>
    <w:p>
      <w:pPr>
        <w:spacing w:after="0" w:line="16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spacing w:after="0" w:line="121"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For lease agreements entered into by the Company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00" w:firstLine="492"/>
        <w:spacing w:after="0" w:line="290" w:lineRule="auto"/>
        <w:rPr>
          <w:sz w:val="20"/>
          <w:szCs w:val="20"/>
          <w:color w:val="auto"/>
        </w:rPr>
      </w:pPr>
      <w:r>
        <w:rPr>
          <w:rFonts w:ascii="Arial" w:cs="Arial" w:eastAsia="Arial" w:hAnsi="Arial"/>
          <w:sz w:val="16"/>
          <w:szCs w:val="16"/>
          <w:color w:val="auto"/>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25"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17"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8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estimates of work completed to date for each clinical trial in accordance with agreements established with CROs, hospitals, and clinical investigators. Accruals for CROs and CMOs are recorded based on estimates of services received and efforts expended pursuant to agreements established with CROs, CMOs and other outside service providers. The Company determines its estimates through discussions with internal clinical stakeholders and outside service providers as to the progress or stage of completion of clinical trials or services and the contracted fee to be paid for such services.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Included in the Company’s clinical development costs are investigator costs, which are costs associated with treatments administered at clinical sites as required under each clinical study protocol. The Company’s estimates for clinical investigator costs and timing of expense recognition will depend on a number of factors that include, but are not limited to, (i) the overall number of patients that enroll in the trial at each individual site, (ii) the length of study enrollment period, (iii) discontinuation and completion rates of patients, (iv) duration of patient safety follow-ups, (v) the number of sites included in the clinical trial, and (vi) the contracted fee of each participating site for patient treatment while on study,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study treatment. The Company accrues for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makes judgements and estimates in determining the accrual balance in each reporting period.</w:t>
      </w:r>
    </w:p>
    <w:p>
      <w:pPr>
        <w:spacing w:after="0" w:line="198"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 Changes in these estimates that result in material changes to the Company’s accruals could materially affect its results of operations. The Company’s historical estimates have not been materially different from actual amounts recorded.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The Company operates in one segment, focused on innovating, developing and commercializing therapies using autologous TIL for the treatment of metastatic melanoma and other solid tumor cancers.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INVESTMENTS AND FAIR VALUE MEASUREMENTS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fair value measurements, and fair value of cash equivalents and investments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as follows (in thousands):</w:t>
      </w:r>
    </w:p>
    <w:tbl>
      <w:tblPr>
        <w:tblLayout w:type="fixed"/>
        <w:tblInd w:w="0" w:type="dxa"/>
        <w:tblCellMar>
          <w:top w:w="0" w:type="dxa"/>
          <w:left w:w="0" w:type="dxa"/>
          <w:bottom w:w="0" w:type="dxa"/>
          <w:right w:w="0" w:type="dxa"/>
        </w:tblCellMar>
      </w:tblPr>
      <w:tr>
        <w:trPr>
          <w:trHeight w:val="148"/>
        </w:trPr>
        <w:tc>
          <w:tcPr>
            <w:tcW w:w="3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As of June 30, 2022</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242,651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Commercial paper</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87,802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68,102</w:t>
            </w:r>
          </w:p>
        </w:tc>
        <w:tc>
          <w:tcPr>
            <w:tcW w:w="0" w:type="dxa"/>
            <w:vAlign w:val="bottom"/>
          </w:tcPr>
          <w:p>
            <w:pPr>
              <w:spacing w:after="0"/>
              <w:rPr>
                <w:sz w:val="1"/>
                <w:szCs w:val="1"/>
                <w:color w:val="auto"/>
              </w:rPr>
            </w:pPr>
          </w:p>
        </w:tc>
      </w:tr>
      <w:tr>
        <w:trPr>
          <w:trHeight w:val="210"/>
        </w:trPr>
        <w:tc>
          <w:tcPr>
            <w:tcW w:w="37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412,252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409,557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Commercial paper</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235,316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9"/>
        </w:trPr>
        <w:tc>
          <w:tcPr>
            <w:tcW w:w="37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15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579,620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579,018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cash equivalents and investments as of June 30, 2022 and December 31, 2021 are classified as follows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(in thousands):</w:t>
      </w:r>
    </w:p>
    <w:p>
      <w:pPr>
        <w:sectPr>
          <w:pgSz w:w="11900" w:h="16838" w:orient="portrait"/>
          <w:cols w:equalWidth="0" w:num="1">
            <w:col w:w="9920"/>
          </w:cols>
          <w:pgMar w:left="980" w:top="665" w:right="99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55"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-4933315</wp:posOffset>
            </wp:positionH>
            <wp:positionV relativeFrom="paragraph">
              <wp:posOffset>6350</wp:posOffset>
            </wp:positionV>
            <wp:extent cx="629221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5" w:lineRule="exact"/>
        <w:rPr>
          <w:sz w:val="20"/>
          <w:szCs w:val="20"/>
          <w:color w:val="auto"/>
        </w:rPr>
      </w:pPr>
    </w:p>
    <w:p>
      <w:pPr>
        <w:spacing w:after="0"/>
        <w:tabs>
          <w:tab w:leader="none" w:pos="400" w:val="left"/>
          <w:tab w:leader="none" w:pos="1140" w:val="left"/>
          <w:tab w:leader="none" w:pos="1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93,174</w:t>
        <w:tab/>
        <w:t>$</w:t>
      </w:r>
      <w:r>
        <w:rPr>
          <w:sz w:val="20"/>
          <w:szCs w:val="20"/>
          <w:color w:val="auto"/>
        </w:rPr>
        <w:tab/>
      </w:r>
      <w:r>
        <w:rPr>
          <w:rFonts w:ascii="Arial" w:cs="Arial" w:eastAsia="Arial" w:hAnsi="Arial"/>
          <w:sz w:val="16"/>
          <w:szCs w:val="16"/>
          <w:color w:val="auto"/>
        </w:rPr>
        <w:t>61,249</w:t>
      </w:r>
    </w:p>
    <w:p>
      <w:pPr>
        <w:spacing w:after="0" w:line="8"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16"/>
          <w:szCs w:val="16"/>
          <w:color w:val="auto"/>
        </w:rPr>
        <w:t>316,383</w:t>
      </w:r>
      <w:r>
        <w:rPr>
          <w:sz w:val="20"/>
          <w:szCs w:val="20"/>
          <w:color w:val="auto"/>
        </w:rPr>
        <w:tab/>
      </w:r>
      <w:r>
        <w:rPr>
          <w:rFonts w:ascii="Arial" w:cs="Arial" w:eastAsia="Arial" w:hAnsi="Arial"/>
          <w:sz w:val="16"/>
          <w:szCs w:val="16"/>
          <w:color w:val="auto"/>
        </w:rPr>
        <w:t>426,181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-4933315</wp:posOffset>
            </wp:positionH>
            <wp:positionV relativeFrom="paragraph">
              <wp:posOffset>20320</wp:posOffset>
            </wp:positionV>
            <wp:extent cx="62922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2" w:lineRule="exact"/>
        <w:rPr>
          <w:sz w:val="20"/>
          <w:szCs w:val="20"/>
          <w:color w:val="auto"/>
        </w:rPr>
      </w:pPr>
    </w:p>
    <w:p>
      <w:pPr>
        <w:jc w:val="both"/>
        <w:ind w:right="60" w:firstLine="725"/>
        <w:spacing w:after="0" w:line="276" w:lineRule="auto"/>
        <w:rPr>
          <w:sz w:val="20"/>
          <w:szCs w:val="20"/>
          <w:color w:val="auto"/>
        </w:rPr>
      </w:pPr>
      <w:r>
        <w:rPr>
          <w:rFonts w:ascii="Arial" w:cs="Arial" w:eastAsia="Arial" w:hAnsi="Arial"/>
          <w:sz w:val="18"/>
          <w:szCs w:val="18"/>
          <w:color w:val="auto"/>
        </w:rPr>
        <w:t xml:space="preserve">— 91,588 </w:t>
      </w:r>
      <w:r>
        <w:rPr>
          <w:rFonts w:ascii="Arial" w:cs="Arial" w:eastAsia="Arial" w:hAnsi="Arial"/>
          <w:sz w:val="18"/>
          <w:szCs w:val="18"/>
          <w:u w:val="single" w:color="auto"/>
          <w:color w:val="auto"/>
        </w:rPr>
        <w:t>$ 409,557 $ 579,018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13544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13544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2140"/>
          </w:cols>
          <w:pgMar w:left="980" w:top="665" w:right="999" w:bottom="1440" w:gutter="0" w:footer="0" w:header="0"/>
          <w:type w:val="continuous"/>
        </w:sectPr>
      </w:pPr>
    </w:p>
    <w:p>
      <w:pPr>
        <w:spacing w:after="0" w:line="12" w:lineRule="exact"/>
        <w:rPr>
          <w:sz w:val="20"/>
          <w:szCs w:val="20"/>
          <w:color w:val="auto"/>
        </w:rPr>
      </w:pPr>
    </w:p>
    <w:p>
      <w:pPr>
        <w:ind w:right="80" w:firstLine="492"/>
        <w:spacing w:after="0" w:line="291" w:lineRule="auto"/>
        <w:rPr>
          <w:sz w:val="20"/>
          <w:szCs w:val="20"/>
          <w:color w:val="auto"/>
        </w:rPr>
      </w:pPr>
      <w:r>
        <w:rPr>
          <w:rFonts w:ascii="Arial" w:cs="Arial" w:eastAsia="Arial" w:hAnsi="Arial"/>
          <w:sz w:val="16"/>
          <w:szCs w:val="16"/>
          <w:color w:val="auto"/>
        </w:rPr>
        <w:t>Cash equivalents in the tables above exclude cash demand deposits of $14.9 million and $17.0 million as of June 30, 2022 and December 31, 2021, respectively. Unrealized gains and losses are included in accumulated other comprehensive loss, and as of June 30, 2022 and December 31, 2021 no unrealized losses on available-for-sale securities have resulted from credit risk. All available-for-sale securities held as of June 30, 2022 and December 31, 2021 had contractual maturities of less than two years. No available-for-sale securities held as of the periods presented have been in a continuous unrealized loss position for more than 12 months. The Company determined that it has the ability and intent to hold all marketable securities that have been in a continuous loss position until maturity or recovery. To date, the Company has not recorded any impairment charges on its marketable securities.</w:t>
      </w:r>
    </w:p>
    <w:p>
      <w:pPr>
        <w:spacing w:after="0" w:line="139"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The following table summarizes the Company’s cash equivalents and available-for-sale investments by contractual maturity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June 30, 2022</w:t>
            </w:r>
          </w:p>
        </w:tc>
      </w:tr>
      <w:tr>
        <w:trPr>
          <w:trHeight w:val="142"/>
        </w:trPr>
        <w:tc>
          <w:tcPr>
            <w:tcW w:w="74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Amortized Cost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409,557</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One year to two years</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409,557</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As of June 30, 2022 and December 31, 2021,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Assets at Fair Value as of June 30, 2022</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87,802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87,802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68,102</w:t>
            </w:r>
          </w:p>
        </w:tc>
      </w:tr>
      <w:tr>
        <w:trPr>
          <w:trHeight w:val="210"/>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310,753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98,804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409,557</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9"/>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center"/>
              <w:ind w:left="514"/>
              <w:spacing w:after="0"/>
              <w:rPr>
                <w:sz w:val="20"/>
                <w:szCs w:val="20"/>
                <w:color w:val="auto"/>
              </w:rPr>
            </w:pPr>
            <w:r>
              <w:rPr>
                <w:rFonts w:ascii="Arial" w:cs="Arial" w:eastAsia="Arial" w:hAnsi="Arial"/>
                <w:sz w:val="14"/>
                <w:szCs w:val="14"/>
                <w:b w:val="1"/>
                <w:bCs w:val="1"/>
                <w:color w:val="auto"/>
                <w:w w:val="90"/>
              </w:rPr>
              <w:t>Assets at Fair Value as of December 31, 2021</w:t>
            </w:r>
          </w:p>
        </w:tc>
        <w:tc>
          <w:tcPr>
            <w:tcW w:w="780" w:type="dxa"/>
            <w:vAlign w:val="bottom"/>
            <w:tcBorders>
              <w:bottom w:val="single" w:sz="8" w:color="auto"/>
            </w:tcBorders>
          </w:tcPr>
          <w:p>
            <w:pPr>
              <w:spacing w:after="0"/>
              <w:rPr>
                <w:sz w:val="24"/>
                <w:szCs w:val="2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235,316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235,316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r>
      <w:tr>
        <w:trPr>
          <w:trHeight w:val="210"/>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303,017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276,001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579,018</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sectPr>
          <w:pgSz w:w="11900" w:h="16838" w:orient="portrait"/>
          <w:cols w:equalWidth="0" w:num="1">
            <w:col w:w="9920"/>
          </w:cols>
          <w:pgMar w:left="980" w:top="66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 NET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93"/>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5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Lab, process, and validation equipment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Computer equipment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35,782</w:t>
            </w:r>
          </w:p>
        </w:tc>
      </w:tr>
      <w:tr>
        <w:trPr>
          <w:trHeight w:val="209"/>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cost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109,627</w:t>
            </w: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w:t>
            </w:r>
          </w:p>
        </w:tc>
      </w:tr>
      <w:tr>
        <w:trPr>
          <w:trHeight w:val="209"/>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101,154</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100,938</w:t>
            </w:r>
          </w:p>
        </w:tc>
      </w:tr>
      <w:tr>
        <w:trPr>
          <w:trHeight w:val="20"/>
        </w:trPr>
        <w:tc>
          <w:tcPr>
            <w:tcW w:w="5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Depreciation expense for the three months ended June 30, 2022 and 2021, was $2.2 million and $0.3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six months ended June 30, 2022 and 2021, was $4.0 million and $0.7 million,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EXPENSES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Clinical related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18,167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Manufacturing related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Facilities related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r>
      <w:tr>
        <w:trPr>
          <w:trHeight w:val="210"/>
        </w:trPr>
        <w:tc>
          <w:tcPr>
            <w:tcW w:w="7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56,766</w:t>
            </w: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The Company’s certificate of incorporation, as amended, authorizes the issuance of up to 300,000,000 shares of the Company’s common stock, par value $0.000041666. As of June 30, 2022, 157,800,581 shares of the Company’s common stock were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 Program</w:t>
      </w:r>
    </w:p>
    <w:p>
      <w:pPr>
        <w:spacing w:after="0" w:line="198"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On February 8, 2021, the Company entered into an Open Market Sale Agreement (the “Sales Agreement”) with Jefferies LLC (“Jefferies”) with respect to an “at the market” offering program, under which the Company may, from time to time, in its sole discretion, issue and sell through Jefferies, acting as sales agent, up to $350.0 million of shares of the Company’s common stock (the “Common Shares”). The issuance and sale, if any, of the Common Shares by the Company under the Sales Agreement will be made pursuant to a prospectus supplement, dated February 8, 2021, to the Company’s Registration Statement on Form S-3ASR, which became effective immediately upon filing with the SEC on May 27,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Pursuant to the Sales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Sales Agreement.</w:t>
      </w:r>
    </w:p>
    <w:p>
      <w:pPr>
        <w:spacing w:after="0" w:line="152" w:lineRule="exact"/>
        <w:rPr>
          <w:sz w:val="20"/>
          <w:szCs w:val="20"/>
          <w:color w:val="auto"/>
        </w:rPr>
      </w:pPr>
    </w:p>
    <w:p>
      <w:pPr>
        <w:ind w:right="480" w:firstLine="492"/>
        <w:spacing w:after="0" w:line="311" w:lineRule="auto"/>
        <w:rPr>
          <w:sz w:val="20"/>
          <w:szCs w:val="20"/>
          <w:color w:val="auto"/>
        </w:rPr>
      </w:pPr>
      <w:r>
        <w:rPr>
          <w:rFonts w:ascii="Arial" w:cs="Arial" w:eastAsia="Arial" w:hAnsi="Arial"/>
          <w:sz w:val="16"/>
          <w:szCs w:val="16"/>
          <w:color w:val="auto"/>
        </w:rPr>
        <w:t>The Company is not obligated to make any sales of Common Shares under the Sales Agreement. The offering of Common Shares pursuant to the Sales Agreement will terminate upon the earlier to occur of (i) the issuance and sale, through Jefferies, of all Common Shares subject to the Sales Agreement and (ii) termination of the Sales Agreement in accordance with its terms.</w:t>
      </w:r>
    </w:p>
    <w:p>
      <w:pPr>
        <w:spacing w:after="0" w:line="122"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No sales were made pursuant to the Sales Agreement during the three and six months ended June 30, 2022. During the three and six months ended June 30, 2021, the Company received approximately $160.3 million and $203.2 million, respectively, in proceeds, net of offering costs, through the sale of 5,195,856 shares and 6,474,099 shares of its common stock through the Sales Agreement at a weighted average price per share of $31.49 and $32.12,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right="200" w:firstLine="492"/>
        <w:spacing w:after="0" w:line="311" w:lineRule="auto"/>
        <w:rPr>
          <w:sz w:val="20"/>
          <w:szCs w:val="20"/>
          <w:color w:val="auto"/>
        </w:rPr>
      </w:pPr>
      <w:r>
        <w:rPr>
          <w:rFonts w:ascii="Arial" w:cs="Arial" w:eastAsia="Arial" w:hAnsi="Arial"/>
          <w:sz w:val="16"/>
          <w:szCs w:val="16"/>
          <w:color w:val="auto"/>
        </w:rPr>
        <w:t>The Company’s certificate of incorporation authorizes the issuance of up to 50,000,000 shares of “blank check” preferred stock. As of June 30, 2022, 17,000 shares were designated as Series A Convertible Preferred Stock (“Series A Convertible Preferred Stock”) and 11,500,000 shares were designated as Series B Convertible Preferred Stock (“Series B Convertible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85"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50"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three and six months ended June 30, 2022 or 2021. As of June 30, 2022 and December 31, 2021, 194 shares of Series A Convertible Preferred Stock (that are convertible into 97,000 shares of common stock) remained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3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92"/>
        <w:spacing w:after="0" w:line="275" w:lineRule="auto"/>
        <w:rPr>
          <w:sz w:val="20"/>
          <w:szCs w:val="20"/>
          <w:color w:val="auto"/>
        </w:rPr>
      </w:pPr>
      <w:r>
        <w:rPr>
          <w:rFonts w:ascii="Arial" w:cs="Arial" w:eastAsia="Arial" w:hAnsi="Arial"/>
          <w:sz w:val="17"/>
          <w:szCs w:val="17"/>
          <w:color w:val="auto"/>
        </w:rPr>
        <w:t>During the three and six months ended June 30, 2022, no shares of Series B Convertible Preferred Stock were converted into shares of common stock. During the six months ended June 30, 2021, a total of 738,961 of Series B Convertible Preferred Stock were converted into 738,961 shares of common stock. No shares of Series B Convertible Preferred Stock were converted into shares of common stock during the three months ended June 30, 2021. As of June 30, 2022 and December 31, 2021, 2,842,158 shares of Series B Preferred Stock (that are convertible into 2,842,158 shares of common stock) remained outstanding.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Company has multiple equity incentive plans under which it grants awards. As of June 30, 2022, there are 87,665 shares available to grant under the 2014 Equity Incentive Plan (the “2014 Plan”).</w:t>
      </w:r>
    </w:p>
    <w:p>
      <w:pPr>
        <w:spacing w:after="0" w:line="130"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under the 2018 Plan from 6,000,000 to 14,000,000 shares, which became effective immediately. Additionally, on June 10, 2022, the Company’s stockholders approved an amendment to the 2018 Plan to increase the number of shares available for issuance under the 2018 Plan from 14,000,000 to 20,700,000 shares, which became effective immediately. As of June 30, 2022, 7,539,570 shares of common stock were available for grant under the Company’s 2018 Plan.</w:t>
      </w:r>
    </w:p>
    <w:p>
      <w:pPr>
        <w:spacing w:after="0" w:line="126" w:lineRule="exact"/>
        <w:rPr>
          <w:sz w:val="20"/>
          <w:szCs w:val="20"/>
          <w:color w:val="auto"/>
        </w:rPr>
      </w:pPr>
    </w:p>
    <w:p>
      <w:pPr>
        <w:ind w:right="160" w:firstLine="492"/>
        <w:spacing w:after="0" w:line="273" w:lineRule="auto"/>
        <w:rPr>
          <w:sz w:val="20"/>
          <w:szCs w:val="20"/>
          <w:color w:val="auto"/>
        </w:rPr>
      </w:pPr>
      <w:r>
        <w:rPr>
          <w:rFonts w:ascii="Arial" w:cs="Arial" w:eastAsia="Arial" w:hAnsi="Arial"/>
          <w:sz w:val="17"/>
          <w:szCs w:val="17"/>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151"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June 30, 2022, 46,875 shares of common stock were available for grant under the 2021 Inducement Plan.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stock option activity during the six months ended June 30, 2022, is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12,520,865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Issued</w:t>
            </w:r>
          </w:p>
        </w:tc>
        <w:tc>
          <w:tcPr>
            <w:tcW w:w="1240" w:type="dxa"/>
            <w:vAlign w:val="bottom"/>
          </w:tcPr>
          <w:p>
            <w:pPr>
              <w:jc w:val="right"/>
              <w:spacing w:after="0"/>
              <w:rPr>
                <w:sz w:val="20"/>
                <w:szCs w:val="20"/>
                <w:color w:val="auto"/>
              </w:rPr>
            </w:pPr>
            <w:r>
              <w:rPr>
                <w:rFonts w:ascii="Arial" w:cs="Arial" w:eastAsia="Arial" w:hAnsi="Arial"/>
                <w:sz w:val="18"/>
                <w:szCs w:val="18"/>
                <w:color w:val="auto"/>
              </w:rPr>
              <w:t>2,425,652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(163,579)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Expired/Cancelled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(263,432)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14,519,506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Ending vested and expected to vest at June 30, 2022</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14,519,506</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23.42</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7.61</w:t>
            </w: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June 30, 2022</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8,319,230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6.61</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40" w:firstLine="492"/>
        <w:spacing w:after="0" w:line="277" w:lineRule="auto"/>
        <w:rPr>
          <w:sz w:val="20"/>
          <w:szCs w:val="20"/>
          <w:color w:val="auto"/>
        </w:rPr>
      </w:pPr>
      <w:r>
        <w:rPr>
          <w:rFonts w:ascii="Arial" w:cs="Arial" w:eastAsia="Arial" w:hAnsi="Arial"/>
          <w:sz w:val="18"/>
          <w:szCs w:val="18"/>
          <w:color w:val="auto"/>
        </w:rPr>
        <w:t>As of June 30, 2022, there was $82.3 million of total unrecognized compensation expense related to the options that is expected to be recognized over a weighted average period of 1.91 years.</w:t>
      </w:r>
    </w:p>
    <w:p>
      <w:pPr>
        <w:spacing w:after="0" w:line="143"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six months ended June 30, 2022 and 2021 was $8.89 and $24.38 per option, respectively.</w:t>
      </w:r>
    </w:p>
    <w:p>
      <w:pPr>
        <w:spacing w:after="0" w:line="130"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(calculated as the difference between the Company’s closing stock price on the last trading day of the quarter ended June 30, 2022 and the exercise price of the options, multiplied by the number of in-the-money stock options) that would have been received by the option holders had all option holders exercised their options on June 30, 2022. The intrinsic value of the Company’s stock options changes based on the closing price of the Company’s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jc w:val="both"/>
        <w:ind w:right="140" w:firstLine="492"/>
        <w:spacing w:after="0" w:line="342" w:lineRule="auto"/>
        <w:rPr>
          <w:sz w:val="20"/>
          <w:szCs w:val="20"/>
          <w:color w:val="auto"/>
        </w:rPr>
      </w:pPr>
      <w:r>
        <w:rPr>
          <w:rFonts w:ascii="Arial" w:cs="Arial" w:eastAsia="Arial" w:hAnsi="Arial"/>
          <w:sz w:val="16"/>
          <w:szCs w:val="16"/>
          <w:color w:val="auto"/>
        </w:rPr>
        <w:t>In June 2020, the Company adopted the 2020 ESPP upon its approval by the Company’s shareholders at its Annual Stockholders Meeting on June 8, 2020. The Company reserved 500,000 shares of its common stock for issuance under the 2020 ESPP.</w:t>
      </w:r>
    </w:p>
    <w:p>
      <w:pPr>
        <w:spacing w:after="0" w:line="83"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 month look-back feature. The 2020 ESPP purchases are settled with common stock from the 2020 ESPP’s previously authorized and available pool of shares.</w:t>
      </w:r>
    </w:p>
    <w:p>
      <w:pPr>
        <w:spacing w:after="0" w:line="131" w:lineRule="exact"/>
        <w:rPr>
          <w:sz w:val="20"/>
          <w:szCs w:val="20"/>
          <w:color w:val="auto"/>
        </w:rPr>
      </w:pPr>
    </w:p>
    <w:p>
      <w:pPr>
        <w:jc w:val="both"/>
        <w:ind w:right="140" w:firstLine="492"/>
        <w:spacing w:after="0" w:line="257" w:lineRule="auto"/>
        <w:rPr>
          <w:sz w:val="20"/>
          <w:szCs w:val="20"/>
          <w:color w:val="auto"/>
        </w:rPr>
      </w:pPr>
      <w:r>
        <w:rPr>
          <w:rFonts w:ascii="Arial" w:cs="Arial" w:eastAsia="Arial" w:hAnsi="Arial"/>
          <w:sz w:val="18"/>
          <w:szCs w:val="18"/>
          <w:color w:val="auto"/>
        </w:rPr>
        <w:t>The compensation expense related to the 2020 ESPP for the three months and six months ended June 30, 2022 was $0.3 million and $0.5 million, respectively. The compensation expense related to the 2020 ESPP for the three months and six months ended June 30, 2021 was $0.5 million and $0.8 million, respectively. As of June 30, 2022, 80,203 shares had been issued to date under the 2020 ESPP and there was $0.7 million of unrecognized compensation cost associated with the 2020 ESPP, which is expected to be recognized over the remaining 5.4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Performance Restricted Stock Units</w:t>
      </w:r>
    </w:p>
    <w:p>
      <w:pPr>
        <w:spacing w:after="0" w:line="185"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In addition to RSUs that have time-based vesting requirements, from time to time the Company may issue RSUs that include certain performance vesting criteria based upon the satisfaction of stated objectives (“PRSUs”). Compensation expense related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PRSUs is based on the grant date fair value of the award and recorded from the period that achievement is determined to be probable through the stated service period associated with the award.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Activity for RSUs and PRSUs during the six months ended June 30, 2022 is presented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center"/>
              <w:ind w:right="278"/>
              <w:spacing w:after="0"/>
              <w:rPr>
                <w:sz w:val="20"/>
                <w:szCs w:val="20"/>
                <w:color w:val="auto"/>
              </w:rPr>
            </w:pPr>
            <w:r>
              <w:rPr>
                <w:rFonts w:ascii="Arial" w:cs="Arial" w:eastAsia="Arial" w:hAnsi="Arial"/>
                <w:sz w:val="14"/>
                <w:szCs w:val="14"/>
                <w:b w:val="1"/>
                <w:bCs w:val="1"/>
                <w:color w:val="auto"/>
                <w:w w:val="91"/>
              </w:rPr>
              <w:t>Weighted</w:t>
            </w:r>
          </w:p>
        </w:tc>
      </w:tr>
      <w:tr>
        <w:trPr>
          <w:trHeight w:val="216"/>
        </w:trPr>
        <w:tc>
          <w:tcPr>
            <w:tcW w:w="63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8"/>
                <w:szCs w:val="18"/>
                <w:color w:val="auto"/>
              </w:rPr>
            </w:pPr>
          </w:p>
        </w:tc>
        <w:tc>
          <w:tcPr>
            <w:tcW w:w="1380" w:type="dxa"/>
            <w:vAlign w:val="bottom"/>
          </w:tcPr>
          <w:p>
            <w:pPr>
              <w:jc w:val="center"/>
              <w:ind w:right="278"/>
              <w:spacing w:after="0"/>
              <w:rPr>
                <w:sz w:val="20"/>
                <w:szCs w:val="20"/>
                <w:color w:val="auto"/>
              </w:rPr>
            </w:pPr>
            <w:r>
              <w:rPr>
                <w:rFonts w:ascii="Arial" w:cs="Arial" w:eastAsia="Arial" w:hAnsi="Arial"/>
                <w:sz w:val="14"/>
                <w:szCs w:val="14"/>
                <w:b w:val="1"/>
                <w:bCs w:val="1"/>
                <w:color w:val="auto"/>
                <w:w w:val="90"/>
              </w:rPr>
              <w:t>Average</w:t>
            </w:r>
          </w:p>
        </w:tc>
      </w:tr>
      <w:tr>
        <w:trPr>
          <w:trHeight w:val="216"/>
        </w:trPr>
        <w:tc>
          <w:tcPr>
            <w:tcW w:w="632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8"/>
                <w:szCs w:val="18"/>
                <w:color w:val="auto"/>
              </w:rPr>
            </w:pPr>
          </w:p>
        </w:tc>
        <w:tc>
          <w:tcPr>
            <w:tcW w:w="1380" w:type="dxa"/>
            <w:vAlign w:val="bottom"/>
          </w:tcPr>
          <w:p>
            <w:pPr>
              <w:jc w:val="center"/>
              <w:ind w:right="278"/>
              <w:spacing w:after="0"/>
              <w:rPr>
                <w:sz w:val="20"/>
                <w:szCs w:val="20"/>
                <w:color w:val="auto"/>
              </w:rPr>
            </w:pPr>
            <w:r>
              <w:rPr>
                <w:rFonts w:ascii="Arial" w:cs="Arial" w:eastAsia="Arial" w:hAnsi="Arial"/>
                <w:sz w:val="14"/>
                <w:szCs w:val="14"/>
                <w:b w:val="1"/>
                <w:bCs w:val="1"/>
                <w:color w:val="auto"/>
                <w:w w:val="97"/>
              </w:rPr>
              <w:t>Grant Date</w:t>
            </w:r>
          </w:p>
        </w:tc>
      </w:tr>
      <w:tr>
        <w:trPr>
          <w:trHeight w:val="201"/>
        </w:trPr>
        <w:tc>
          <w:tcPr>
            <w:tcW w:w="6320" w:type="dxa"/>
            <w:vAlign w:val="bottom"/>
          </w:tcPr>
          <w:p>
            <w:pPr>
              <w:spacing w:after="0"/>
              <w:rPr>
                <w:sz w:val="17"/>
                <w:szCs w:val="17"/>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RSUs and PRSUs</w:t>
            </w:r>
          </w:p>
        </w:tc>
        <w:tc>
          <w:tcPr>
            <w:tcW w:w="340" w:type="dxa"/>
            <w:vAlign w:val="bottom"/>
          </w:tcPr>
          <w:p>
            <w:pPr>
              <w:spacing w:after="0"/>
              <w:rPr>
                <w:sz w:val="17"/>
                <w:szCs w:val="17"/>
                <w:color w:val="auto"/>
              </w:rPr>
            </w:pPr>
          </w:p>
        </w:tc>
        <w:tc>
          <w:tcPr>
            <w:tcW w:w="1380" w:type="dxa"/>
            <w:vAlign w:val="bottom"/>
          </w:tcPr>
          <w:p>
            <w:pPr>
              <w:jc w:val="center"/>
              <w:ind w:right="258"/>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December 31,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1,110,010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2,386,203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Vested/Released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Canceled/Forfeited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(102,275)</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r>
      <w:tr>
        <w:trPr>
          <w:trHeight w:val="20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June 30,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2,499,178</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0"/>
        </w:trPr>
        <w:tc>
          <w:tcPr>
            <w:tcW w:w="6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180" w:firstLine="492"/>
        <w:spacing w:after="0" w:line="263" w:lineRule="auto"/>
        <w:rPr>
          <w:sz w:val="20"/>
          <w:szCs w:val="20"/>
          <w:color w:val="auto"/>
        </w:rPr>
      </w:pPr>
      <w:r>
        <w:rPr>
          <w:rFonts w:ascii="Arial" w:cs="Arial" w:eastAsia="Arial" w:hAnsi="Arial"/>
          <w:sz w:val="18"/>
          <w:szCs w:val="18"/>
          <w:color w:val="auto"/>
        </w:rPr>
        <w:t>As of June 30, 2022, there was $31.8 million of unrecognized stock-based compensation expense associated with unvested RSU and PRSUs, which the Company expects to recognize over a remaining weighted-average period of 2.11 years. The aggregate intrinsic value of the unvested RSUs and PRSUs outstanding as of June 30, 2022 was $27.6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Condensed Consolidated Statements of Operations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center"/>
              <w:ind w:right="95"/>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4"/>
                <w:szCs w:val="14"/>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27,591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17,787</w:t>
            </w:r>
          </w:p>
        </w:tc>
      </w:tr>
      <w:tr>
        <w:trPr>
          <w:trHeight w:val="216"/>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17,142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13,568</w:t>
            </w:r>
          </w:p>
        </w:tc>
      </w:tr>
      <w:tr>
        <w:trPr>
          <w:trHeight w:val="209"/>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8"/>
              </w:rPr>
              <w:t>44,733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31,355</w:t>
            </w: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 by type of award was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Restricted stock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ESPP expense</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8"/>
                <w:szCs w:val="18"/>
                <w:color w:val="auto"/>
              </w:rPr>
            </w:pPr>
          </w:p>
        </w:tc>
      </w:tr>
      <w:tr>
        <w:trPr>
          <w:trHeight w:val="210"/>
        </w:trPr>
        <w:tc>
          <w:tcPr>
            <w:tcW w:w="540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22,468</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14,414</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31,355</w:t>
            </w:r>
          </w:p>
        </w:tc>
        <w:tc>
          <w:tcPr>
            <w:tcW w:w="2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(the “NIH”) and the National Cancer Institute (the “NCI”)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(the “CRADA”)</w:t>
      </w:r>
    </w:p>
    <w:p>
      <w:pPr>
        <w:spacing w:after="0" w:line="185"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color w:val="auto"/>
        </w:rPr>
        <w:t>In August 2011, the Company signed a five-year CRADA with the NCI to work on the development of adoptive cell immunotherapies that are designed to destroy metastatic melanoma cells. The CRADA was amended in 2015 and 2016 to, among other things, extend the term of the CRADA through August 2021, include new indications such as the development of TIL therapy for the treatment of patients with bladder, lung, triple-negative breast, and Human Papilloma Virus (“HPV”)-associated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In August 2021, the NCI and the Company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spacing w:after="0" w:line="146" w:lineRule="exact"/>
        <w:rPr>
          <w:sz w:val="20"/>
          <w:szCs w:val="20"/>
          <w:color w:val="auto"/>
        </w:rPr>
      </w:pPr>
    </w:p>
    <w:p>
      <w:pPr>
        <w:ind w:right="100" w:firstLine="492"/>
        <w:spacing w:after="0" w:line="270" w:lineRule="auto"/>
        <w:rPr>
          <w:sz w:val="20"/>
          <w:szCs w:val="20"/>
          <w:color w:val="auto"/>
        </w:rPr>
      </w:pPr>
      <w:r>
        <w:rPr>
          <w:rFonts w:ascii="Arial" w:cs="Arial" w:eastAsia="Arial" w:hAnsi="Arial"/>
          <w:sz w:val="17"/>
          <w:szCs w:val="17"/>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$0.5 million for each of the three months ended June 30, 2022 and 2021, respectively, and $1.0 million for each of the six months ended June 30, 2022 and 2021, as research and development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85"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spacing w:after="0" w:line="136" w:lineRule="exact"/>
        <w:rPr>
          <w:sz w:val="20"/>
          <w:szCs w:val="20"/>
          <w:color w:val="auto"/>
        </w:rPr>
      </w:pPr>
    </w:p>
    <w:p>
      <w:pPr>
        <w:ind w:right="20" w:firstLine="492"/>
        <w:spacing w:after="0" w:line="273" w:lineRule="auto"/>
        <w:rPr>
          <w:sz w:val="20"/>
          <w:szCs w:val="20"/>
          <w:color w:val="auto"/>
        </w:rPr>
      </w:pPr>
      <w:r>
        <w:rPr>
          <w:rFonts w:ascii="Arial" w:cs="Arial" w:eastAsia="Arial" w:hAnsi="Arial"/>
          <w:sz w:val="17"/>
          <w:szCs w:val="17"/>
          <w:color w:val="auto"/>
        </w:rPr>
        <w:t>Effective May 6, 2021, the Company entered into an Amended and Restated Patent License Agreement with NIH, which included the grant of additional exclusive, worldwide patent rights in the indications to cytokine-tethered TIL technology, and expanded the non-exclusive, worldwide field of use to all cancers. Effective August 1, 2022, the Company entered into the Second Amended and Restated Patent License Agreement with NIH to include additional exclusive, worldwide patent rights to TIL products expressing IL-12, expanded rights to TIL selection technologies previously licensed under the Exclusive Patent License Agreement below, and additional non-exclusive, worldwide patent rights to certain technologies related to enhancing TIL potency.</w:t>
      </w:r>
    </w:p>
    <w:p>
      <w:pPr>
        <w:spacing w:after="0" w:line="151"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The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Amended and Restated Patent License Agreement. The Company anticipates making milestone payments, including a payment in the low-single-digit millions of dollars in conjunction with the approval of a Biologics License Application for any of its product candidates covered by the Amended and Restated Patent License Agreement. The term of the Amended and Restated Patent License Agreement continues until the expiry of the last-to-expire patent rights licensed thereunder, and the agreement contains standard termination provisions.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right="400" w:firstLine="492"/>
        <w:spacing w:after="0" w:line="286"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worldwide license under the selected TIL patents. This license was superseded and replaced by the Second Amended and Restated Patent License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85"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In June 2020, the Company entered into a Sponsored Research Agreement with the H. Lee Moffitt Cancer Center (“Moffitt”), with a term that ends either upon completion of the research thereunder or on July 1, 2022, whichever is sooner, and under which immaterial payments will be made to Moffitt in connection with the research services thereunder. In June 2022, this agreement was extended to December 31, 2022. The Company recorded $0.2 million and a de minimis amount for the three months ended June 30, 2022 and 2021, respectively, and $0.3 million and $0.2 million for the six months ended June 30, 2022 and 2021, respectively.</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In December 2016,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$0.1 million of research and development expense for each of the three months ended June 30, 2022 and 2021, and $0.1 million and $0.2 million of research and development expense for the six months ended June 30, 2022 and 2021, respectively, in connection with the research collaboration and clinical grant agreements with Moffitt.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17"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which was recorded as research and development expense.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both the three and six months ended June 30, 2022 and 2021.</w:t>
      </w:r>
    </w:p>
    <w:p>
      <w:pPr>
        <w:spacing w:after="0" w:line="14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In addition, the Company agreed to pay an annual commercial use payment for each indication for which a first sale has occurred, which in the aggregate amounts to up to $0.4 million a year. The Company recorded $0.1 million and a de minimis amount for the three months ended June 30, 2022 and 2021, respectively, and $0.1 million and a de minimis amount for the six months ended June 30, 2022 and 2021 as research and development expenses in connection with this agreement.</w:t>
      </w:r>
    </w:p>
    <w:p>
      <w:pPr>
        <w:spacing w:after="0" w:line="138"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w:t>
      </w:r>
    </w:p>
    <w:p>
      <w:pPr>
        <w:spacing w:after="0" w:line="2" w:lineRule="exact"/>
        <w:rPr>
          <w:sz w:val="20"/>
          <w:szCs w:val="20"/>
          <w:color w:val="auto"/>
        </w:rPr>
      </w:pPr>
    </w:p>
    <w:p>
      <w:pPr>
        <w:ind w:right="140" w:firstLine="8"/>
        <w:spacing w:after="0" w:line="253"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Restated Second Moffitt License, the Company paid an upfront licensing fee in the amount of $0.2 million in 2021, which was recorded as research and development expense. In addition, the Company agreed to pay an annual commercial use payment for each indication for which a first sale has occurred for products relating to the use of 4-1BB antagonists and for products relating to the use of tumor digests covered by the license.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University of Texas 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98" w:lineRule="exact"/>
        <w:rPr>
          <w:sz w:val="20"/>
          <w:szCs w:val="20"/>
          <w:color w:val="auto"/>
        </w:rPr>
      </w:pPr>
    </w:p>
    <w:p>
      <w:pPr>
        <w:ind w:right="140" w:firstLine="492"/>
        <w:spacing w:after="0" w:line="293" w:lineRule="auto"/>
        <w:rPr>
          <w:sz w:val="20"/>
          <w:szCs w:val="20"/>
          <w:color w:val="auto"/>
        </w:rPr>
      </w:pPr>
      <w:r>
        <w:rPr>
          <w:rFonts w:ascii="Arial" w:cs="Arial" w:eastAsia="Arial" w:hAnsi="Arial"/>
          <w:sz w:val="16"/>
          <w:szCs w:val="16"/>
          <w:color w:val="auto"/>
        </w:rPr>
        <w:t>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$7.0 million has been funded cumulatively through June 30, 2022, and has been recorded as research and development expense</w:t>
      </w:r>
      <w:r>
        <w:rPr>
          <w:rFonts w:ascii="Arial" w:cs="Arial" w:eastAsia="Arial" w:hAnsi="Arial"/>
          <w:sz w:val="16"/>
          <w:szCs w:val="16"/>
          <w:color w:val="FF0000"/>
        </w:rPr>
        <w:t>.</w:t>
      </w:r>
      <w:r>
        <w:rPr>
          <w:rFonts w:ascii="Arial" w:cs="Arial" w:eastAsia="Arial" w:hAnsi="Arial"/>
          <w:sz w:val="16"/>
          <w:szCs w:val="16"/>
          <w:color w:val="auto"/>
        </w:rPr>
        <w:t xml:space="preserve"> In return, the Company acquired all rights to inventions resulting from the studies and has been granted a non-exclusive, sub-licensable, royalty-free, and perpetual license to specified background intellectual</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zero and $0.1 million associated with the SAA for the three months ended June 30, 2022 and 2021, respectively, and $0.1 million for each of the six months ended June 30, 2022 and 2021, as research and development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Advanced Therapies, Inc.</w:t>
      </w:r>
    </w:p>
    <w:p>
      <w:pPr>
        <w:spacing w:after="0" w:line="202"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In November 2016, the Company entered into a three-year manufacturing and services agreement (“MSA”) with WuXi Advanced Therapies, Inc. (“WuXi”) pursuant to which WuXi agreed to provide manufacturing and other services, which has since been amended and assigned to its subsidiary Iovance Biotherapeutics Manufacturing LLC. Under the MSA, the Company entered into two statements of work for two cGMP manufacturing suites to be established and operated by WuXi for the Company. Both of the suites are expected to be capable of being used for the commercial manufacture of the Company’s products. The terms of one of these statements of work was extended to December 2022. The Company recorded costs associated with agreements with WuXi of $3.2 million and $4.8 million for the three months ended June 30, 2022 and 2021, respectively, and $7.1 million and $8.2 million for the six months ended June 30, 2022 and 2021, respectively, as research and development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w:t>
      </w:r>
    </w:p>
    <w:p>
      <w:pPr>
        <w:spacing w:after="0" w:line="189" w:lineRule="exact"/>
        <w:rPr>
          <w:sz w:val="20"/>
          <w:szCs w:val="20"/>
          <w:color w:val="auto"/>
        </w:rPr>
      </w:pPr>
    </w:p>
    <w:p>
      <w:pPr>
        <w:ind w:right="80" w:firstLine="492"/>
        <w:spacing w:after="0" w:line="272" w:lineRule="auto"/>
        <w:rPr>
          <w:sz w:val="20"/>
          <w:szCs w:val="20"/>
          <w:color w:val="auto"/>
        </w:rPr>
      </w:pPr>
      <w:r>
        <w:rPr>
          <w:rFonts w:ascii="Arial" w:cs="Arial" w:eastAsia="Arial" w:hAnsi="Arial"/>
          <w:sz w:val="17"/>
          <w:szCs w:val="17"/>
          <w:color w:val="auto"/>
        </w:rPr>
        <w:t>On December 31, 2019, the Company entered into a research collaboration and exclusive worldwide license agreement whereby the Company will license gene-editing technology from Cellectis S.A. (“Cellectis”), a clinical-stage biopharmaceutical company, to develop TIL therapies that have been genetically edited, including a PD-1 inactivated product that the Company refers to as IOV-4001. Financial terms of the license include development, regulatory and sales milestone payments from the Company to Cellectis, as well as royalty payments based on net sales of TALEN®-modified TIL products. The Company recorded costs associated with the license agreement with Cellectis of $0.1 million for each of the three months ended June 30, 2022 and 2021, and $0.2 million for each of the six months ended June 30, 2022 and 2021, as research and development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w:t>
      </w:r>
    </w:p>
    <w:p>
      <w:pPr>
        <w:spacing w:after="0" w:line="189"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during the fiscal year ended December 31, 2020. No expenses were recorded for both the three and six months ended June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 xml:space="preserve">The Company leases corporate office space in California, including 49,918 square feet for its current corporate headquarters’ office space in San Carlos, California, manufacturing, research and development lab facilities and office space in Philadelphia, Pennsylvania, including 136,000 square feet of commercial manufacturing and lab space at the </w:t>
      </w:r>
      <w:r>
        <w:rPr>
          <w:rFonts w:ascii="Arial" w:cs="Arial" w:eastAsia="Arial" w:hAnsi="Arial"/>
          <w:sz w:val="17"/>
          <w:szCs w:val="17"/>
          <w:i w:val="1"/>
          <w:iCs w:val="1"/>
          <w:color w:val="auto"/>
        </w:rPr>
        <w:t>i</w:t>
      </w:r>
      <w:r>
        <w:rPr>
          <w:rFonts w:ascii="Arial" w:cs="Arial" w:eastAsia="Arial" w:hAnsi="Arial"/>
          <w:sz w:val="17"/>
          <w:szCs w:val="17"/>
          <w:color w:val="auto"/>
        </w:rPr>
        <w:t>CTC, and research and development lab facilities in Tampa,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w:t>
      </w:r>
    </w:p>
    <w:p>
      <w:pPr>
        <w:spacing w:after="0" w:line="138"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The Company’s leases have remaining lease terms that range from less than one year to approximately 20 years. Some of our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 Such costs that are not fixed in nature are recognized as incurred.</w:t>
      </w:r>
    </w:p>
    <w:p>
      <w:pPr>
        <w:spacing w:after="0" w:line="130" w:lineRule="exact"/>
        <w:rPr>
          <w:sz w:val="20"/>
          <w:szCs w:val="20"/>
          <w:color w:val="auto"/>
        </w:rPr>
      </w:pPr>
    </w:p>
    <w:p>
      <w:pPr>
        <w:ind w:right="20" w:firstLine="492"/>
        <w:spacing w:after="0" w:line="340" w:lineRule="auto"/>
        <w:rPr>
          <w:sz w:val="20"/>
          <w:szCs w:val="20"/>
          <w:color w:val="auto"/>
        </w:rPr>
      </w:pPr>
      <w:r>
        <w:rPr>
          <w:rFonts w:ascii="Arial" w:cs="Arial" w:eastAsia="Arial" w:hAnsi="Arial"/>
          <w:sz w:val="15"/>
          <w:szCs w:val="15"/>
          <w:color w:val="auto"/>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w:t>
      </w:r>
    </w:p>
    <w:p>
      <w:pPr>
        <w:spacing w:after="0" w:line="140"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44"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the Company’s right-of-use asset and lease liabilities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68,983</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included in current liabilities</w:t>
            </w:r>
          </w:p>
        </w:tc>
        <w:tc>
          <w:tcPr>
            <w:tcW w:w="2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portion included in non-current liabilities</w:t>
            </w:r>
          </w:p>
        </w:tc>
        <w:tc>
          <w:tcPr>
            <w:tcW w:w="2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65,474</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2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0" w:type="dxa"/>
            <w:vAlign w:val="bottom"/>
            <w:vMerge w:val="restart"/>
          </w:tcPr>
          <w:p>
            <w:pPr>
              <w:jc w:val="right"/>
              <w:ind w:right="1830"/>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costs and expenses in the Company’s Condensed Consolidated Statements of Operations, and other information related to its operating leases as follows (in thousands except weighted-average remaining lease terms and discount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11,247</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Cash paid for amounts included in the measurement of lease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included in Operating cash flows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w w:val="94"/>
              </w:rPr>
              <w:t>Tenant improvement allowance received for amounts included in the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measurement of lease liabilities included in Operating cash flows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2,085</w:t>
            </w:r>
          </w:p>
        </w:tc>
        <w:tc>
          <w:tcPr>
            <w:tcW w:w="20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from entering new leases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5"/>
              </w:rPr>
              <w:t>Increase / (decrease) in right-of-use assets from lease modifications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7,493</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terms (years)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the maturities of the Company’s operating lease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CMO</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embedded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leases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leases</w:t>
            </w:r>
          </w:p>
        </w:tc>
        <w:tc>
          <w:tcPr>
            <w:tcW w:w="240" w:type="dxa"/>
            <w:vAlign w:val="bottom"/>
          </w:tcPr>
          <w:p>
            <w:pPr>
              <w:spacing w:after="0"/>
              <w:rPr>
                <w:sz w:val="17"/>
                <w:szCs w:val="17"/>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2023</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11,340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2025</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Thereafter</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92,013</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135,280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(54,390)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Future tenant improvement reimbursement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0"/>
        </w:trPr>
        <w:tc>
          <w:tcPr>
            <w:tcW w:w="48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1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79,479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492"/>
        <w:spacing w:after="0" w:line="286" w:lineRule="auto"/>
        <w:rPr>
          <w:sz w:val="20"/>
          <w:szCs w:val="20"/>
          <w:color w:val="auto"/>
        </w:rPr>
      </w:pPr>
      <w:r>
        <w:rPr>
          <w:rFonts w:ascii="Arial" w:cs="Arial" w:eastAsia="Arial" w:hAnsi="Arial"/>
          <w:sz w:val="17"/>
          <w:szCs w:val="17"/>
          <w:color w:val="auto"/>
        </w:rPr>
        <w:t>For its corporate headquarters’ office, the lease agreement includes a tenant improvement allowance of $8.2 million. As of June 30, 2022, the Company has received total reimbursements associated with this tenant improvement allowance of $6.8 million, of which $2.1 million and $5.2 million was received during the three and six months ended June 30, 2022, respectively.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LEGAL PROCEEDINGS</w:t>
      </w:r>
    </w:p>
    <w:p>
      <w:pPr>
        <w:spacing w:after="0" w:line="202"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u w:val="single" w:color="auto"/>
          <w:color w:val="auto"/>
        </w:rPr>
        <w:t>Derivative Lawsuit.</w:t>
      </w:r>
      <w:r>
        <w:rPr>
          <w:rFonts w:ascii="Arial" w:cs="Arial" w:eastAsia="Arial" w:hAnsi="Arial"/>
          <w:sz w:val="17"/>
          <w:szCs w:val="17"/>
          <w:color w:val="auto"/>
        </w:rPr>
        <w:t xml:space="preserve"> On December 11, 2020, a purported stockholder derivative complaint was filed by plaintiff Leo Shumacher against the Company, as nominal defendant, and its current directors, as defendants, in the Court of Chancery in the State of Delaware. The complaint alleges breach of fiduciary duty and a claim for unjust enrichment in connection with alleged excessive compensation of certain non-executive directors of the Company and seeks unspecified damages on behalf of the Company. The parties have agreed to a proposed settlement, which was submitted to the Court on June 15, 2022. Under the terms of the proposed settlement, the Company will make certain governance changes related to non-executive director compensation and make a monetary payment to plaintiff for reasonable legal fees and costs. The settlement is subject to approval by the Court.</w:t>
      </w:r>
    </w:p>
    <w:p>
      <w:pPr>
        <w:spacing w:after="0" w:line="200" w:lineRule="exact"/>
        <w:rPr>
          <w:sz w:val="20"/>
          <w:szCs w:val="20"/>
          <w:color w:val="auto"/>
        </w:rPr>
      </w:pPr>
    </w:p>
    <w:p>
      <w:pPr>
        <w:spacing w:after="0" w:line="220" w:lineRule="exact"/>
        <w:rPr>
          <w:sz w:val="20"/>
          <w:szCs w:val="20"/>
          <w:color w:val="auto"/>
        </w:rPr>
      </w:pPr>
    </w:p>
    <w:p>
      <w:pPr>
        <w:ind w:right="360" w:firstLine="492"/>
        <w:spacing w:after="0" w:line="342"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401(k) Trust, Solomon Sharbat and Shelhav Raff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w:t>
      </w:r>
    </w:p>
    <w:p>
      <w:pPr>
        <w:spacing w:after="0" w:line="125"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spacing w:after="0" w:line="15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w:t>
      </w:r>
    </w:p>
    <w:p>
      <w:pPr>
        <w:spacing w:after="0" w:line="138" w:lineRule="exact"/>
        <w:rPr>
          <w:sz w:val="20"/>
          <w:szCs w:val="20"/>
          <w:color w:val="auto"/>
        </w:rPr>
      </w:pPr>
    </w:p>
    <w:p>
      <w:pPr>
        <w:ind w:right="40" w:firstLine="492"/>
        <w:spacing w:after="0" w:line="267" w:lineRule="auto"/>
        <w:rPr>
          <w:sz w:val="20"/>
          <w:szCs w:val="20"/>
          <w:color w:val="auto"/>
        </w:rPr>
      </w:pPr>
      <w:r>
        <w:rPr>
          <w:rFonts w:ascii="Arial" w:cs="Arial" w:eastAsia="Arial" w:hAnsi="Arial"/>
          <w:sz w:val="17"/>
          <w:szCs w:val="17"/>
          <w:color w:val="auto"/>
        </w:rPr>
        <w:t xml:space="preserve">On September 27, 2019, the Solomon Plaintiffs filed a new lawsuit (through new legal counsel) (“the Second Solomon Suit”) titled </w:t>
      </w:r>
      <w:r>
        <w:rPr>
          <w:rFonts w:ascii="Arial" w:cs="Arial" w:eastAsia="Arial" w:hAnsi="Arial"/>
          <w:sz w:val="17"/>
          <w:szCs w:val="17"/>
          <w:i w:val="1"/>
          <w:iCs w:val="1"/>
          <w:color w:val="auto"/>
        </w:rPr>
        <w:t>Solomon Capital, LLC, Solomon Capital 401(K) Trust, Solomon Sharbat and Shelhav Raff v. Iovance Biotherapeutics, Inc., f/k/a/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 Biotechnologies Inc. f/k/a/ Genesis Biopharma Inc., and Manish Singh </w:t>
      </w:r>
      <w:r>
        <w:rPr>
          <w:rFonts w:ascii="Arial" w:cs="Arial" w:eastAsia="Arial" w:hAnsi="Arial"/>
          <w:sz w:val="17"/>
          <w:szCs w:val="17"/>
          <w:color w:val="auto"/>
        </w:rPr>
        <w:t>in the Supreme Court of the State of New York, County of</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Court granted the Company’s motions for judgement on the pleadings, dismissing the second and third claims against the Company and dismissing all claims against Singh.</w:t>
      </w:r>
    </w:p>
    <w:p>
      <w:pPr>
        <w:spacing w:after="0" w:line="148"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57"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189"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The Company did not record income tax expense for the three and six months ended June 30, 2022 and 2021, respectively as the Company expected to be in a taxable loss position in 2022 and 2021, and the net deferred tax assets are fully offset by a valuation allowance as it is not more likely than not that the benefit will be realized. As of June 30, 2022, the Company remains in a cumulative book loss position and does not have sufficient positive evidence to realize its net deferred tax assets. As such, the Company continues to maintain a full valuation allowance against its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665" w:right="11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 following discussion and analysis of our financial condition as of June 30, 2022 and results of operations for the three and six months ended June 30, 2022, should be read in conjunction with management’s discussion and analysis of financial condition and results of operations included in our Annual Report on Form 10-K for the year ended December 31, 2021 which was filed with the Securities and Exchange Commission (the “SEC”) on February 24, 2022.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Quarterly Report on Form 10-Q and other reports we file with the SEC.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We are a clinical-stage biopharmaceutical company pioneering a transformational approach to cure cancer by harnessing the human immune system’s ability to recognize and destroy diverse cancer cells in each patient. TIL therapy is an autologous, polyclonal cell therapy platform technology that was originally developed by the National Cancer Institute, or NCI, which conducted initial clinical trials of this therapy in diseases such as metastatic melanoma and cervical cancer. Our mission is to be the global leader in innovating, developing and delivering TIL therapies for patients with cancer. We have developed a new, shorter TIL manufacturing process known as Gen 2, which yields a cryopreserved TIL product. This centralized, proprietary, and scalable manufacturing method is being investigated in multiple indications. Our lead product candidates include lifileucel for metastatic melanoma and metastatic cervical cancer, as well as LN-145 for metastatic non-small cell lung cancer, or NSCLC. In addition, we are investigating the effectiveness and safety of combinations of TIL therapy with immune checkpoint inhibitors, or ICIs, in metastatic melanoma, cervical cancer, NSCLC, and head and neck squamous cell carcinoma, or HNSCC. We also initiated a clinical trial with our first genetically modified TIL therapy, IOV-4001, in patients with previously treated metastatic melanoma and NSCLC. IOV-4001 leverages the gene-editing TALEN® technology to inactivate the gene coding for the programmed cell death protein-1, or PD-1. We are also developing genetically edited TIL products based on the inactivation of genes that encode immune checkpoint proteins and the insertion of genes that encode immunomodulatory proteins. Peripheral blood lymphocyte, or PBL, therapy, an autologous cell therapy platform to address blood cancers, is also focused on leveraging patient-specific cells to recognize and attack diverse cancer cells that are unique to each patient. Our lead PBL therapy, IOV-2001, is being investigated in a clinical study for patients with relapsed or refractory chronic lymphocytic leukemia, or CLL, and small lymphocytic lymphoma, or SLL, through our sponsored trials. In addition, we are investigating the potential for TIL therapy in other oncology indications and treatment settings through academic collaborations with leading cancer research centers. Finally, we are developing an alternative interleukin-2, or IL-2, in Investigational New Drug, or IND, -enabling studies for use with TIL therapies to stimulate T-cell proliferation in the body after infusion.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product candidate pipeline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126365</wp:posOffset>
            </wp:positionV>
            <wp:extent cx="6052185" cy="3120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218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Monotherapy in Metastatic Solid Tumor Cancers</w:t>
      </w:r>
    </w:p>
    <w:p>
      <w:pPr>
        <w:spacing w:after="0" w:line="185"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 xml:space="preserve">We have investigated TIL monotherapy in metastatic melanoma, cervical cancer, NSCLC and HNSCC. We are conducting a Phase 2 clinical trial, C-144-01, of our lead TIL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the submission of a Biologics License Application, or BLA, to the Food and Drug Administration, or the FDA, for lifileucel.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annual meeting, or ASCO, in June 2019 and most recently updated at ASCO in June 2021. In addition, detailed Cohort 2 data was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May 2021.</w:t>
      </w:r>
    </w:p>
    <w:p>
      <w:pPr>
        <w:spacing w:after="0" w:line="126"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Pivotal Cohort 4 of the C-144-01 trial was enrolled to evaluate Objective Response Rate, or ORR, as the primary endpoint based on our interpretation of discussions with the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 In May 2022, we announced the Cohort 4 data read by an Independent Review Committee, or IRC, met the primary endpoint of the trial and presented the results of Cohort 4, and in addition, presented IRC read results from Cohort 2 and for pooled Cohorts 2 and 4 of the C-144-01 trial. We plan to present additional data from Cohorts 2 and 4 at a medical meeting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Previously,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continued our ongoing work developing and validating our potency assays and engaged in discussions with the FDA during the second half of 2021 and the first quarter of 2022. Based on feedback received from these discussions, we held a pre-BLA meeting in July 2022 and we are planning to submit a BLA for lifileucel in metastatic melanoma in August 2022.</w:t>
      </w:r>
    </w:p>
    <w:p>
      <w:pPr>
        <w:spacing w:after="0" w:line="154"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We are also conducting a Phase 2 clinical trial, C-145-04, which is a multicenter pivotal trial to assess the safety and efficacy of our lead product candidate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based on IRC assessment. In May 2019, lifileucel received Breakthrough Therapy Designation, or BTD, from the FDA for development in the treatment of cervical cancer. Results from the C-145-04 clinical trial were reported at ASCO in June 2019. In November 2019, we amended the C-145-04 trial to collect additional data on early-line patients as well as late-line patients by adding additional cohorts, in anticipation of a changing landscape in this indication, including Cohort 2 for patients that had previously received chemotherapy and anti-PD-1/anti-PD-L1 therapy. In January 2021, we announced that Cohort 2 of the C-145-04 trial had completed enrollment and that the landscape of care for cervical cancer patients had changed because of a recent FDA approval for pembrolizumab in the frontline cervical cancer setting. Following FDA discussions and feedback on a registration strategy to address the shift in frontline standard of care, we plan to reopen Cohort 2 of the ongoing C-145-04 trial to enroll additional patients who have received prior anti-PD-1 therapy. The expanded Cohort 2 is intended to support a BLA in cervical cancer following progression on chemotherapy and pembrolizumab.</w:t>
      </w:r>
    </w:p>
    <w:p>
      <w:pPr>
        <w:spacing w:after="0" w:line="157"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November 2020, we announced that we had amended the protocol for our potential registrational clinical trial in NSCLC, IOV-LUN-202, to investigate LN-145 in patients with second-line metastatic NSCLC who previously received approved systemic therapy of combined checkpoint inhibitor and chemotherapy. The IOV-LUN-202 clinical trial includes three cohorts. Cohort 1 of the IOV-LUN-202 clinical trial enrolls patients with a PD-L1 Tumor Proportion Score, or TPS, of less than one percent or unknown TPS at the time they started front-line therapy, and Cohort 2 enrolls patients with a PD-L1 TPS of greater than or equal to one percent at the time they started front-line therapy. Cohort 3 will explore manufacturing TIL extracted from core biopsies using our third-generation, or Gen 3, manufacturing process. In June 2021, we reported that the first patient was dosed in the IOV-LUN-202 clinical trial. In a poster on IOV-LUN-202 at the American Association for Cancer Research, or AACR, 2022 Annual Meeting, we featured updated eligibility criteria to broaden enrollment in reflection of the unmet need in NSCLC. We intend to continue to enroll patients in the IOV-LUN-202 clinical trial throughout 2022. We are engaged in regulatory discussions with the FDA on IOV-LUN-202 and intend to incorporate FDA feedback to optimize this clinical trial to support further registration in NSCLC.</w:t>
      </w:r>
    </w:p>
    <w:p>
      <w:pPr>
        <w:spacing w:after="0" w:line="182"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In June 2021, we reported initial data for LN-145 in Cohort 3B of our IOV-COM-202 clinical trial in metastatic NSCLC. IOV-COM-202 is a Phase 2, multicenter trial for that is composed of seven cohorts. Cohort 3B of IOV-COM-202 enrolled patients with metastatic NSCLC that had progressed on prior ICI therapy, including patients with oncogene-driven tumors who received prior tyrosine kinase inhibitor therapy. Patients were treated with LN-145 monotherapy. All patients treated in Cohort 3B of the IOV-COM-202 trial received prior anti-PD-1/L1 therapy and all six responding patients also received prior chemotherapy. We also provided an update on Cohort 3B in November 2021, at the Society for Immunotherapy in Cancer Annual Meeting, or SITC, and in a June 2022 corporate presentation.</w:t>
      </w:r>
    </w:p>
    <w:p>
      <w:pPr>
        <w:spacing w:after="0" w:line="154" w:lineRule="exact"/>
        <w:rPr>
          <w:sz w:val="20"/>
          <w:szCs w:val="20"/>
          <w:color w:val="auto"/>
        </w:rPr>
      </w:pPr>
    </w:p>
    <w:p>
      <w:pPr>
        <w:ind w:right="120" w:firstLine="492"/>
        <w:spacing w:after="0" w:line="255" w:lineRule="auto"/>
        <w:rPr>
          <w:sz w:val="20"/>
          <w:szCs w:val="20"/>
          <w:color w:val="auto"/>
        </w:rPr>
      </w:pPr>
      <w:r>
        <w:rPr>
          <w:rFonts w:ascii="Arial" w:cs="Arial" w:eastAsia="Arial" w:hAnsi="Arial"/>
          <w:sz w:val="18"/>
          <w:szCs w:val="18"/>
          <w:color w:val="auto"/>
        </w:rPr>
        <w:t>C-145-03 is our Phase 2, multicenter trial to assess the safety and efficacy of our product candidate LN-145 for the treatment of patients with metastatic HNSCC.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Combinations in Earlier Treatment Settings for Solid Tumors</w:t>
      </w:r>
    </w:p>
    <w:p>
      <w:pPr>
        <w:spacing w:after="0" w:line="198" w:lineRule="exact"/>
        <w:rPr>
          <w:sz w:val="20"/>
          <w:szCs w:val="20"/>
          <w:color w:val="auto"/>
        </w:rPr>
      </w:pPr>
    </w:p>
    <w:p>
      <w:pPr>
        <w:ind w:right="160" w:firstLine="492"/>
        <w:spacing w:after="0" w:line="259" w:lineRule="auto"/>
        <w:rPr>
          <w:sz w:val="20"/>
          <w:szCs w:val="20"/>
          <w:color w:val="auto"/>
        </w:rPr>
      </w:pPr>
      <w:r>
        <w:rPr>
          <w:rFonts w:ascii="Arial" w:cs="Arial" w:eastAsia="Arial" w:hAnsi="Arial"/>
          <w:sz w:val="18"/>
          <w:szCs w:val="18"/>
          <w:color w:val="auto"/>
        </w:rPr>
        <w:t>We are also investigating the potential of our TIL therapies in earlier lines of treatment in combination with pembrolizumab or other ICIs, including in four cohorts in our IOV-COM-202 study in solid tumors as well as in one cohort in our C-145-04 clinical study in cervical cancer. In addition to its ongoing enrollment in the U.S., the IOV-COM-202 trial has also received regulatory approval in Canada and in certain European countries.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In Cohort 1A of the IOV-COM-202 trial, we are enrolling advanced unresectable or metastatic melanoma patients who are naïve to anti-PD-1 therapy. In Cohort 2A of the IOV-COM-202 trial, we have enrolled advanced, recurrent, or metastatic HNSCC patients who are naïve to prior immunotherapy including anti-PD-1/anti-PD-L1 therapy. The patients receive LN-145 in combination with pembrolizumab. In Cohort 3 of our C-145-04 cervical cancer study, patients receive TIL therapy plus pembrolizumab.</w:t>
      </w:r>
    </w:p>
    <w:p>
      <w:pPr>
        <w:spacing w:after="0" w:line="171"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We reported results from ongoing Cohort 1A of the IOV-COM-202 trial at ASCO in June 2021, as well as updated results in November 2021 at SITC and in an April 2022 corporate update. Our oral presentation of TIL therapy plus pembrolizumab at SITC in November 2021 also included updated results in HNSCC patients from Cohort 2A in IOV-COM-202 as well as initial results in cervical cancer patients from Cohort 3 of our C-145-04 cervical cancer study.</w:t>
      </w:r>
    </w:p>
    <w:p>
      <w:pPr>
        <w:spacing w:after="0" w:line="187"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The Cohort 1A and Cohort 2A results from the IOV-COM-202 study as well as Cohort 3 from the C-145-04 study demonstrated that lifileucel or LN-145 can be safely combined with pembrolizumab. The treatment emergent adverse event, or TEAE, profile in all Cohorts was consistent with the underlying advanced disease and the known adverse event profiles of pembrolizumab, lymphodepletion, and IL-2 regimens.</w:t>
      </w:r>
    </w:p>
    <w:p>
      <w:pPr>
        <w:spacing w:after="0" w:line="187"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Two additional cohorts, Cohort 3A and 3C in the IOV-COM-202 study, explore LN-145/ICI combination therapies in NSCLC patients. Cohort 3A is evaluating LN-145 in combination with pembrolizumab in patients with recurrent or metastatic NSCLC who have not received prior immunotherapy, including checkpoint inhibitors. Cohort 3C is investigating LN-145 therapy in combination with ipilimumab and nivolumab in patients with recurrent or metastatic NSCLC who have previously received one line of approved checkpoint inhibitor monotherapy as the only prior line of systemic therapy.</w:t>
      </w:r>
    </w:p>
    <w:p>
      <w:pPr>
        <w:spacing w:after="0" w:line="188"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 xml:space="preserve">In September 2021, we announced that our Iovance Cell Therapy Center, or the </w:t>
      </w:r>
      <w:r>
        <w:rPr>
          <w:rFonts w:ascii="Arial" w:cs="Arial" w:eastAsia="Arial" w:hAnsi="Arial"/>
          <w:sz w:val="18"/>
          <w:szCs w:val="18"/>
          <w:i w:val="1"/>
          <w:iCs w:val="1"/>
          <w:color w:val="auto"/>
        </w:rPr>
        <w:t>i</w:t>
      </w:r>
      <w:r>
        <w:rPr>
          <w:rFonts w:ascii="Arial" w:cs="Arial" w:eastAsia="Arial" w:hAnsi="Arial"/>
          <w:sz w:val="18"/>
          <w:szCs w:val="18"/>
          <w:color w:val="auto"/>
        </w:rPr>
        <w:t>CTC, had successfully manufactured and delivered its first clinical batch of LN-145 for the IOV-COM-202 trial, representing our first internally manufactured TIL product. We continue to supply the IOV-COM-202 trial, and other ongoing trials, with both internally manufactured and externally manufactured TIL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Genetically Modified TIL Therapies</w:t>
      </w:r>
    </w:p>
    <w:p>
      <w:pPr>
        <w:spacing w:after="0" w:line="22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 January 2020, we announced a research collaboration and exclusive worldwide licensing agreement with Cellectis S.A., or Cellectis, a clinical-stage biopharmaceutical company focused on developing immunotherapies based on gene-edited allogeneic chimeric antigen receptor modified T cells. The worldwide exclusive license enables us to use certain TALEN® technology addressing multiple gene targets to develop TIL products that have been genetically edited to create potentially more potent cancer therapeutics for use in several cancer indications. We are investigating the safety and efficacy of our lead genetically modified TIL therapy, IOV-4001, in the IOV-GM1-201 multicenter clinical trial in previously treated patients with advanced melanoma or metastatic NSCLC. IOV-4001 leverages the gene-editing TALEN® technology licensed from Cellectis to inactivate the gene coding for PD-1. In March 2022, we announced that the FDA allowed an IND to proceed for the IOV-GM1-201 trial. We initiated the IOV-GM1-201 trial in the second quarter of 2022 and expect to begin patient dosing in the second half of 2022. In Cohort 1, we plan to enroll patients with unresectable or metastatic melanoma who have progressed following anti-PD-1/PD-L1 blocking antibody therapy and, in those patients with BRAF mutations, after BRAF/MEK inhibitor therapy. In Cohort 2, we plan to enroll patients with NSCLC who have received no more than three prior lines of therapy, with or without oncogene-driven mutations. In addition to IOV-4001, we are developing additional targets for genetic modification, including double-knock out programs, which are currently in preclinical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PBL Therapy in Blood Cancers</w:t>
      </w:r>
    </w:p>
    <w:p>
      <w:pPr>
        <w:spacing w:after="0" w:line="22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Our lead PBL therapy, designated IOV-2001, is a non-genetically modified, polyclonal T cell product that is manufactured using a nine-day process starting from 50 mL of patient's blood. In November 2019, we announced that our IND application for IOV-2001 was allowed to proceed by the FDA. Our sponsored clinical trial using this therapy, IOV-CLL-01, was initiated and patient dosing began in 2020. IOV-CLL-01 is a Phase 1/2 clinical trial evaluating the safety and efficacy of IOV-2001 in patients with relapsed or refractory CLL or SLL.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Product Candidates</w:t>
      </w:r>
    </w:p>
    <w:p>
      <w:pPr>
        <w:spacing w:after="0" w:line="225" w:lineRule="exact"/>
        <w:rPr>
          <w:sz w:val="20"/>
          <w:szCs w:val="20"/>
          <w:color w:val="auto"/>
        </w:rPr>
      </w:pPr>
    </w:p>
    <w:p>
      <w:pPr>
        <w:ind w:right="280" w:firstLine="492"/>
        <w:spacing w:after="0" w:line="342" w:lineRule="auto"/>
        <w:rPr>
          <w:sz w:val="20"/>
          <w:szCs w:val="20"/>
          <w:color w:val="auto"/>
        </w:rPr>
      </w:pPr>
      <w:r>
        <w:rPr>
          <w:rFonts w:ascii="Arial" w:cs="Arial" w:eastAsia="Arial" w:hAnsi="Arial"/>
          <w:sz w:val="16"/>
          <w:szCs w:val="16"/>
          <w:color w:val="auto"/>
        </w:rPr>
        <w:t>Our clinical pipeline also includes next generation TIL product candidates and manufacturing processes, as well as a cytokine-engrafted protein. Our TIL candidate LN-145-S1, in which TIL are selected for PD-1 expression, is being investigated in post-anti-</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PD-1 melanoma in Cohort 1B of our IOV-COM-202 basket study and previously in post-anti-PD-1 HNSCC in Cohort 4 of our C-145-03 trial.</w:t>
      </w:r>
    </w:p>
    <w:p>
      <w:pPr>
        <w:spacing w:after="0" w:line="170"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We are using our Gen 3 manufacturing process in Cohort 3 of the IOV-LUN-202 clinical trial in NSCLC and have previously used it in the C-145-03 clinical trial in HNSCC and in Cohort 1C of the IOV-COM-202 clinical trial in melanoma.</w:t>
      </w:r>
    </w:p>
    <w:p>
      <w:pPr>
        <w:spacing w:after="0" w:line="130"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continue to explore additional transient and permanent genetic modifications of TIL products. For example, under the amended and restated patent license agreement we entered into May 2021 with National Institutes of Health, or NIH, an agency of the U.S. Public Health Service within the Department of Health and Human Services, we license a patent family related to cytokine-tethered TILs, which are intended to potentially expand and activate TILs to achieve better efficacy while avoiding systemic side effects of cytokines. We are currently developing cytokine-tethered TIL products in preclinical studies. We are also developing additional TIL products using transient and stable gene insertion and inactivation.</w:t>
      </w:r>
    </w:p>
    <w:p>
      <w:pPr>
        <w:spacing w:after="0" w:line="165" w:lineRule="exact"/>
        <w:rPr>
          <w:sz w:val="20"/>
          <w:szCs w:val="20"/>
          <w:color w:val="auto"/>
        </w:rPr>
      </w:pPr>
    </w:p>
    <w:p>
      <w:pPr>
        <w:ind w:right="140" w:firstLine="492"/>
        <w:spacing w:after="0" w:line="275" w:lineRule="auto"/>
        <w:rPr>
          <w:sz w:val="20"/>
          <w:szCs w:val="20"/>
          <w:color w:val="auto"/>
        </w:rPr>
      </w:pPr>
      <w:r>
        <w:rPr>
          <w:rFonts w:ascii="Arial" w:cs="Arial" w:eastAsia="Arial" w:hAnsi="Arial"/>
          <w:sz w:val="17"/>
          <w:szCs w:val="17"/>
          <w:color w:val="auto"/>
        </w:rPr>
        <w:t>In addition, in January 2020, we obtained a license from Novartis Pharma AG, or Novartis, to develop and commercialize an antibody cytokine-engrafted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We are currently conducting IND enabling studies of this novel IL-2 analog. Novartis is also entitled to low-to-mid single digit percentage royalties from commercial sales of IOV-3001.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Investigator-Sponsored Trials</w:t>
      </w:r>
    </w:p>
    <w:p>
      <w:pPr>
        <w:spacing w:after="0" w:line="185"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Through our academic collaborators, we are also exploring the potential for TIL therapies in additional indications. As part of our collaboration program with The University of Texas M.D. Anderson Cancer Center, or MDACC, two Phase 2 trials were initiated in 2018. Both trials are sponsored by MDACC. The first trial, NCT03449108, investigates LN-145 manufactured by us, using our manufacturing processes, to treat patients with soft tissue sarcoma, osteosarcoma, platinum resistant ovarian cancer, anaplastic thyroid cancer, and triple negative breast cancer. A second trial under the collaboration with MDACC, NCT03610490, was previously active. This trial treated patients with platinum resistant ovarian cancer, pancreatic and colorectal cancer with TIL manufactured by MDACC. The data obtained using this manufacturing process may not be representative of our data using our Gen 2 manufacturing process. We also collaborate with many other academic institutions using our TIL therapies. For example, a trial in collaboration with The Ohio State University, NCT05176470, began recruiting in April 2022, and will explore the use of lifileucel in high-risk melanoma in the neoadjuvant setting. Additionally, the Yale Comprehensive Cancer Study, NCT04111510, is exploring LN-145 in triple-negative breast cancer.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85" w:lineRule="exact"/>
        <w:rPr>
          <w:sz w:val="20"/>
          <w:szCs w:val="20"/>
          <w:color w:val="auto"/>
        </w:rPr>
      </w:pPr>
    </w:p>
    <w:p>
      <w:pPr>
        <w:jc w:val="both"/>
        <w:ind w:right="240" w:firstLine="492"/>
        <w:spacing w:after="0" w:line="286" w:lineRule="auto"/>
        <w:rPr>
          <w:sz w:val="20"/>
          <w:szCs w:val="20"/>
          <w:color w:val="auto"/>
        </w:rPr>
      </w:pPr>
      <w:r>
        <w:rPr>
          <w:rFonts w:ascii="Arial" w:cs="Arial" w:eastAsia="Arial" w:hAnsi="Arial"/>
          <w:sz w:val="16"/>
          <w:szCs w:val="16"/>
          <w:color w:val="auto"/>
        </w:rPr>
        <w:t>We have developed our own patent portfolio based on internal research and development activities. As a result, we now own a number of pending patent applications and granted patents in the fields of TIL therapy, MIL therapy, and PBL therapy, TIL, MIL, and PBL manufacturing processes, and TIL, MIL, and PBL expansion methods. For example, we currently own more than 50 U.S. patents related to TIL therapy, including patents directed to compositions and methods of treatment in a broad range of cancers, such as U.S.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11,241,456; 11,254,913; 11,266,694; 11,273,180; 11,273,181; 11,291,687; 11,304,979; 11,304,980; 11,311,578; 11,337,998; 11,344,579; 11,344,580; 11,344,581; 11,351,197; 11,351,198; 11,351,199; 11,364,266; and 11,369,637. More than 35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 applications relating to TIL,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ICIs in combination with TIL therapies; TIL selection technologies; and methods of treating patient subpopulations.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22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full impact of the novel strain of coronavirus, or COVID-19, pandemic is unknown and continuously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three and six months ended June 30, 2022.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60"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future periods.</w:t>
      </w:r>
    </w:p>
    <w:p>
      <w:pPr>
        <w:spacing w:after="0" w:line="125"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right="160" w:firstLine="492"/>
        <w:spacing w:after="0" w:line="259" w:lineRule="auto"/>
        <w:rPr>
          <w:sz w:val="20"/>
          <w:szCs w:val="20"/>
          <w:color w:val="auto"/>
        </w:rPr>
      </w:pPr>
      <w:r>
        <w:rPr>
          <w:rFonts w:ascii="Arial" w:cs="Arial" w:eastAsia="Arial" w:hAnsi="Arial"/>
          <w:sz w:val="18"/>
          <w:szCs w:val="18"/>
          <w:color w:val="auto"/>
        </w:rPr>
        <w:t>We have not yet generated any revenues since our formation, and we currently do not anticipate that we will generate significant revenues from the sale or licensing of our product candidates during the 12 months from the date these financial statements are issued. Our ability to generate revenues in the future will depend on our ability to complete the development of our product candidates and to obtain regulatory approval for them.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47"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pacing w:after="0" w:line="147"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38"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as we continue to prepare for commercialization and support the expected continued growth of the internal general and administrative team.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net results from our interest-bearing cash and investment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2022 and 2021</w:t>
      </w:r>
    </w:p>
    <w:p>
      <w:pPr>
        <w:spacing w:after="0" w:line="202"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 obtain regulatory approval for them. Our major sources of funding to date have been proceeds from various public and private offerings of our equity securities (both common stock and preferred stock), option and warrant exercises, and interest income. Since 2017 our primary source of funds has been from the public sale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gridSpan w:val="3"/>
          </w:tcPr>
          <w:p>
            <w:pPr>
              <w:ind w:left="3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c>
          <w:tcPr>
            <w:tcW w:w="98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w w:val="91"/>
              </w:rPr>
              <w:t>Increase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2"/>
              </w:rPr>
              <w:t>(Decrease)</w:t>
            </w: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201"/>
              <w:spacing w:after="0"/>
              <w:rPr>
                <w:sz w:val="20"/>
                <w:szCs w:val="20"/>
                <w:color w:val="auto"/>
              </w:rPr>
            </w:pPr>
            <w:r>
              <w:rPr>
                <w:rFonts w:ascii="Arial" w:cs="Arial" w:eastAsia="Arial" w:hAnsi="Arial"/>
                <w:sz w:val="14"/>
                <w:szCs w:val="14"/>
                <w:b w:val="1"/>
                <w:bCs w:val="1"/>
                <w:color w:val="auto"/>
                <w:w w:val="92"/>
              </w:rPr>
              <w:t>(Decrease)</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73,406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62,119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118,068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20</w:t>
            </w:r>
          </w:p>
        </w:tc>
        <w:tc>
          <w:tcPr>
            <w:tcW w:w="20" w:type="dxa"/>
            <w:vAlign w:val="bottom"/>
            <w:shd w:val="clear" w:color="auto" w:fill="CCEEFF"/>
          </w:tcPr>
          <w:p>
            <w:pPr>
              <w:spacing w:after="0"/>
              <w:rPr>
                <w:sz w:val="18"/>
                <w:szCs w:val="18"/>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w w:val="89"/>
              </w:rPr>
              <w:t>Stock-based compensation expense included</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in research and development expense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13,940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62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27,591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17,787</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9,804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0" w:type="dxa"/>
            <w:vAlign w:val="bottom"/>
          </w:tcPr>
          <w:p>
            <w:pPr>
              <w:spacing w:after="0"/>
              <w:rPr>
                <w:sz w:val="20"/>
                <w:szCs w:val="20"/>
                <w:color w:val="auto"/>
              </w:rPr>
            </w:pPr>
          </w:p>
        </w:tc>
      </w:tr>
    </w:tbl>
    <w:p>
      <w:pPr>
        <w:spacing w:after="0" w:line="202"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 xml:space="preserve">Research and development expense for the three months ended June 30, 2022 increased by $11.3 million, or 18%, compared to the same period in 2021. The increase was primarily attributable to (i) a $6.9 million increase in payroll and related expenses and a $5.4 million increase in stock-based compensation expenses, both driven by increased hiring of research and development employees to support our ongoing and planned clinical development activities, (ii) a $5.3 million increase in facility and related costs, including depreciation expenses, associated with the </w:t>
      </w:r>
      <w:r>
        <w:rPr>
          <w:rFonts w:ascii="Arial" w:cs="Arial" w:eastAsia="Arial" w:hAnsi="Arial"/>
          <w:sz w:val="16"/>
          <w:szCs w:val="16"/>
          <w:i w:val="1"/>
          <w:iCs w:val="1"/>
          <w:color w:val="auto"/>
        </w:rPr>
        <w:t>i</w:t>
      </w:r>
      <w:r>
        <w:rPr>
          <w:rFonts w:ascii="Arial" w:cs="Arial" w:eastAsia="Arial" w:hAnsi="Arial"/>
          <w:sz w:val="16"/>
          <w:szCs w:val="16"/>
          <w:color w:val="auto"/>
        </w:rPr>
        <w:t>CTC and the build-out of our new corporate headquarters office, and (iii) a $2.8 million increase in other costs, including lab consumables, medical affairs, insurance, and travel expenses. These expenses were partially</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offset by a $5.5 million decrease in clinical trial costs driven by the timing of study drug procurement and completion of enrollment in pivotal cohorts for melanoma and cervical cancer, as well as our head and neck clinical trials, and a $3.6 million decrease in manufacturing costs driven by completion of the pivotal clinical trials.</w:t>
      </w:r>
    </w:p>
    <w:p>
      <w:pPr>
        <w:spacing w:after="0" w:line="143"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 xml:space="preserve">Research and development expense for the six months ended June 30, 2022 increased by $23.6 million, or 20%, compared to the same period in 2021. The increase was primarily attributable to (i) a $13.5 million increase in payroll and related expenses and a $9.8 million increase in stock-based compensation expenses, both driven by increased hiring of research and development employees to support our ongoing and planned clinical development activities, (ii) a $10.9 million increase in facility and related costs, including depreciation expenses, associated with the </w:t>
      </w:r>
      <w:r>
        <w:rPr>
          <w:rFonts w:ascii="Arial" w:cs="Arial" w:eastAsia="Arial" w:hAnsi="Arial"/>
          <w:sz w:val="16"/>
          <w:szCs w:val="16"/>
          <w:i w:val="1"/>
          <w:iCs w:val="1"/>
          <w:color w:val="auto"/>
        </w:rPr>
        <w:t>i</w:t>
      </w:r>
      <w:r>
        <w:rPr>
          <w:rFonts w:ascii="Arial" w:cs="Arial" w:eastAsia="Arial" w:hAnsi="Arial"/>
          <w:sz w:val="16"/>
          <w:szCs w:val="16"/>
          <w:color w:val="auto"/>
        </w:rPr>
        <w:t>CTC and the build-out of our new corporate headquarters office, (iii) a $1.9 million increase in lab consumables to support our research programs, and (iv) a $2.2 million increase in other costs related to insurance, travel, and patient advocacy and physician outreach. These expenses were partially offset by a $11.4 million decrease in clinical trial costs due to the timing of study drug procurement and completion of enrollment in pivotal cohorts for melanoma and cervical cancer, as well as our head and neck clinical trials and a $3.3 million decrease in manufacturing costs driven by completion of pivotal clinical trials.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Increase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91"/>
              </w:rPr>
              <w:t>Increase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6"/>
              </w:rPr>
              <w:t>(Decrease)</w:t>
            </w: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201"/>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26,328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19,307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49,741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38,928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28</w:t>
            </w:r>
          </w:p>
        </w:tc>
        <w:tc>
          <w:tcPr>
            <w:tcW w:w="60" w:type="dxa"/>
            <w:vAlign w:val="bottom"/>
            <w:shd w:val="clear" w:color="auto" w:fill="CCEEFF"/>
          </w:tcPr>
          <w:p>
            <w:pPr>
              <w:spacing w:after="0"/>
              <w:rPr>
                <w:sz w:val="18"/>
                <w:szCs w:val="18"/>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expense included 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8,528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5,829</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w w:val="99"/>
              </w:rPr>
              <w:t>46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4"/>
              </w:rPr>
              <w:t>17,142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w w:val="94"/>
              </w:rPr>
              <w:t>13,568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26</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General and administrative expenses for the three months ended June 30, 2022 increased by $7.0 million, or 36%, compared to the same period in 2021. The increase was primarily attributable to (i) a $3.0 million increase in payroll and related expenses and a $2.7 million increase in stock-based compensation expenses, both resulting from increases in headcount to support the growth in the overall business and related corporate infrastructure, as well as the growth of our commercial organization to support our commercial readiness activities, and (ii) a $1.3 million increase in other costs, including marketing, travel, and costs associated with the build-out of our new corporate headquarters, and increased costs to enhance and expand our information technology infrastructure to support our pre-commercialization activities as well as the continued growth in the overall company.</w:t>
      </w:r>
    </w:p>
    <w:p>
      <w:pPr>
        <w:spacing w:after="0" w:line="137" w:lineRule="exact"/>
        <w:rPr>
          <w:sz w:val="20"/>
          <w:szCs w:val="20"/>
          <w:color w:val="auto"/>
        </w:rPr>
      </w:pPr>
    </w:p>
    <w:p>
      <w:pPr>
        <w:ind w:right="80" w:firstLine="492"/>
        <w:spacing w:after="0" w:line="272" w:lineRule="auto"/>
        <w:rPr>
          <w:sz w:val="20"/>
          <w:szCs w:val="20"/>
          <w:color w:val="auto"/>
        </w:rPr>
      </w:pPr>
      <w:r>
        <w:rPr>
          <w:rFonts w:ascii="Arial" w:cs="Arial" w:eastAsia="Arial" w:hAnsi="Arial"/>
          <w:sz w:val="17"/>
          <w:szCs w:val="17"/>
          <w:color w:val="auto"/>
        </w:rPr>
        <w:t>General and administrative expenses for the six months ended June 30, 2022 increased by $10.8 million, or 28%, compared to the same period in 2021. The increase was primarily attributable to (i) a $4.4 million increase in payroll and related expenses and a $3.6 million increase in stock-based compensation expenses, both resulting from increases in headcount to support the growth in the overall business and related corporate infrastructure, as well as the growth of our commercial organization to support our commercial readiness activities, and (ii) a $2.8 million increase in other costs, including marketing, travel, and costs associated with the build-out of our new corporate headquarters, and increased costs to enhance and expand our information technology infrastructure to support our pre-commercialization activities as well as the continued growth in the overall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080" w:type="dxa"/>
            <w:vAlign w:val="bottom"/>
            <w:gridSpan w:val="4"/>
          </w:tcPr>
          <w:p>
            <w:pPr>
              <w:ind w:left="240"/>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4"/>
                <w:szCs w:val="14"/>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Increase</w:t>
            </w:r>
          </w:p>
        </w:tc>
      </w:tr>
      <w:tr>
        <w:trPr>
          <w:trHeight w:val="171"/>
        </w:trPr>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4"/>
                <w:szCs w:val="14"/>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1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2"/>
                <w:szCs w:val="12"/>
                <w:color w:val="auto"/>
              </w:rPr>
            </w:pPr>
          </w:p>
        </w:tc>
        <w:tc>
          <w:tcPr>
            <w:tcW w:w="4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209"/>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196</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151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34"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Interest income, net for the three and six months ended June 30, 2022 and 2021 increased by $0.3 million, or 413% and 151%, respectively, primarily due to a recent increase in interest rates and higher interest received on our cash, cash equivalents and investment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3"/>
          </w:tcPr>
          <w:p>
            <w:pPr>
              <w:jc w:val="center"/>
              <w:ind w:left="204"/>
              <w:spacing w:after="0"/>
              <w:rPr>
                <w:sz w:val="20"/>
                <w:szCs w:val="20"/>
                <w:color w:val="auto"/>
              </w:rPr>
            </w:pPr>
            <w:r>
              <w:rPr>
                <w:rFonts w:ascii="Arial" w:cs="Arial" w:eastAsia="Arial" w:hAnsi="Arial"/>
                <w:sz w:val="14"/>
                <w:szCs w:val="14"/>
                <w:b w:val="1"/>
                <w:bCs w:val="1"/>
                <w:color w:val="auto"/>
                <w:w w:val="91"/>
              </w:rPr>
              <w:t>Increase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gridSpan w:val="3"/>
          </w:tcPr>
          <w:p>
            <w:pPr>
              <w:ind w:left="380"/>
              <w:spacing w:after="0"/>
              <w:rPr>
                <w:sz w:val="20"/>
                <w:szCs w:val="20"/>
                <w:color w:val="auto"/>
              </w:rPr>
            </w:pPr>
            <w:r>
              <w:rPr>
                <w:rFonts w:ascii="Arial" w:cs="Arial" w:eastAsia="Arial" w:hAnsi="Arial"/>
                <w:sz w:val="14"/>
                <w:szCs w:val="14"/>
                <w:b w:val="1"/>
                <w:bCs w:val="1"/>
                <w:color w:val="auto"/>
              </w:rPr>
              <w:t>Increase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6"/>
              </w:rPr>
              <w:t>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204"/>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4"/>
              </w:rPr>
              <w:t>(Decrease)</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(99,349)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(81,351)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(156,800)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Net loss for the three and six months ended June 30, 2022 increased by $18.0 million, or 22%, and $34.2 million, or 22%, respectively, compared to the same periods in 2021. The increase in our net loss was due to the continued expansion of our research and development activities and the overall growth of our corporate infrastructure, as well as our pre-commercialization activities. We anticipate that we will continue to incur net losses in the future as we further invest in our research and development activities, including our commercial readiness and both clinical and internal development programs.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right="100" w:firstLine="492"/>
        <w:spacing w:after="0" w:line="289" w:lineRule="auto"/>
        <w:rPr>
          <w:sz w:val="20"/>
          <w:szCs w:val="20"/>
          <w:color w:val="auto"/>
        </w:rPr>
      </w:pPr>
      <w:r>
        <w:rPr>
          <w:rFonts w:ascii="Arial" w:cs="Arial" w:eastAsia="Arial" w:hAnsi="Arial"/>
          <w:sz w:val="16"/>
          <w:szCs w:val="16"/>
          <w:color w:val="auto"/>
        </w:rPr>
        <w:t xml:space="preserve">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We currently do not anticipate that we will generate any significant revenues from the sale or licensing of any products during the 12 months from the date these financial statements are issued. We expect to further increase our research and development activities, especially continuing pre-commercial activities and completing the construction of our tenant improvements to the </w:t>
      </w:r>
      <w:r>
        <w:rPr>
          <w:rFonts w:ascii="Arial" w:cs="Arial" w:eastAsia="Arial" w:hAnsi="Arial"/>
          <w:sz w:val="16"/>
          <w:szCs w:val="16"/>
          <w:i w:val="1"/>
          <w:iCs w:val="1"/>
          <w:color w:val="auto"/>
        </w:rPr>
        <w:t>i</w:t>
      </w:r>
      <w:r>
        <w:rPr>
          <w:rFonts w:ascii="Arial" w:cs="Arial" w:eastAsia="Arial" w:hAnsi="Arial"/>
          <w:sz w:val="16"/>
          <w:szCs w:val="16"/>
          <w:color w:val="auto"/>
        </w:rPr>
        <w:t xml:space="preserve">CTC facility, which will increase the amount of cash we will use during the remainder of 2022 and beyond. Specifically, we expect increased spending on clinical trials, research and development activities, higher payroll expenses as we increase our professional and scientific staff and continue our expansion of manufacturing activities, including completion of the </w:t>
      </w:r>
      <w:r>
        <w:rPr>
          <w:rFonts w:ascii="Arial" w:cs="Arial" w:eastAsia="Arial" w:hAnsi="Arial"/>
          <w:sz w:val="16"/>
          <w:szCs w:val="16"/>
          <w:i w:val="1"/>
          <w:iCs w:val="1"/>
          <w:color w:val="auto"/>
        </w:rPr>
        <w:t>i</w:t>
      </w:r>
      <w:r>
        <w:rPr>
          <w:rFonts w:ascii="Arial" w:cs="Arial" w:eastAsia="Arial" w:hAnsi="Arial"/>
          <w:sz w:val="16"/>
          <w:szCs w:val="16"/>
          <w:color w:val="auto"/>
        </w:rPr>
        <w:t>CTC.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Capitalization</w:t>
      </w:r>
    </w:p>
    <w:p>
      <w:pPr>
        <w:spacing w:after="0" w:line="198"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As of June 30, 2022, we had outstanding 157,800,581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52" w:lineRule="exact"/>
        <w:rPr>
          <w:sz w:val="20"/>
          <w:szCs w:val="20"/>
          <w:color w:val="auto"/>
        </w:rPr>
      </w:pPr>
    </w:p>
    <w:p>
      <w:pPr>
        <w:jc w:val="both"/>
        <w:ind w:right="100" w:firstLine="492"/>
        <w:spacing w:after="0" w:line="286" w:lineRule="auto"/>
        <w:rPr>
          <w:sz w:val="20"/>
          <w:szCs w:val="20"/>
          <w:color w:val="auto"/>
        </w:rPr>
      </w:pPr>
      <w:r>
        <w:rPr>
          <w:rFonts w:ascii="Arial" w:cs="Arial" w:eastAsia="Arial" w:hAnsi="Arial"/>
          <w:sz w:val="17"/>
          <w:szCs w:val="17"/>
          <w:color w:val="auto"/>
        </w:rPr>
        <w:t>On May 27, 2020, we filed an automatic shelf registration statement with the SEC for the issuance of an indeterminate amount of Shelf Securities (the “2020 Automatic Shelf Registration Statement”), which was immediately effective upon filing with the SEC. Upon filing of the 2020 Automatic Shelf Registration Statement, the 2019 Shelf Registration Statement was terminated.</w:t>
      </w:r>
    </w:p>
    <w:p>
      <w:pPr>
        <w:spacing w:after="0" w:line="125"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On June 2, 2020, we sold 19,475,806 shares of our common stock at a public offering price of $31.00 per share pursuant to the 2020 Automatic Shelf Registration Statement (the “June 2020 Public Offering”).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30" w:lineRule="exact"/>
        <w:rPr>
          <w:sz w:val="20"/>
          <w:szCs w:val="20"/>
          <w:color w:val="auto"/>
        </w:rPr>
      </w:pPr>
    </w:p>
    <w:p>
      <w:pPr>
        <w:jc w:val="both"/>
        <w:ind w:right="20" w:firstLine="492"/>
        <w:spacing w:after="0" w:line="311" w:lineRule="auto"/>
        <w:rPr>
          <w:sz w:val="20"/>
          <w:szCs w:val="20"/>
          <w:color w:val="auto"/>
        </w:rPr>
      </w:pPr>
      <w:r>
        <w:rPr>
          <w:rFonts w:ascii="Arial" w:cs="Arial" w:eastAsia="Arial" w:hAnsi="Arial"/>
          <w:sz w:val="16"/>
          <w:szCs w:val="16"/>
          <w:color w:val="auto"/>
        </w:rPr>
        <w:t>On February 8, 2021, we entered into an Open Market Sale Agreement (the “Sales Agreement”), with Jefferies LLC (“Jefferies”), with respect to an “at the market” offering program, under which we may, from time to time, in our sole discretion, issue and sell through Jefferies, acting as sales agent, up to $350.0 million of shares of our common stock. The issuance and sale, if any, of</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shares of our common stock under the Sales Agreement will be made pursuant to a prospectus supplement, dated February 8, 2021, to the 2020 Automatic Shelf Registration Statement. There were no sales of our common stock through the Sales Agreement during the three and six months ended June 30, 2022.</w:t>
      </w:r>
    </w:p>
    <w:p>
      <w:pPr>
        <w:spacing w:after="0" w:line="143"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58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9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(151,437)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(116,399)</w:t>
            </w: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(81,954)</w:t>
            </w: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214,346</w:t>
            </w: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15,993</w:t>
            </w:r>
          </w:p>
        </w:tc>
      </w:tr>
      <w:tr>
        <w:trPr>
          <w:trHeight w:val="20"/>
        </w:trPr>
        <w:tc>
          <w:tcPr>
            <w:tcW w:w="5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six months ended June 30, 2022 was $151.4 million as compared to $116.4 million for the same period in 2021. The increase of $35.0 million in cash used in operating activities was due to an increase in net loss driven by increased costs in research and development and pre-commercial activities, as well as the overall expansion of our clinical trials for new TIL therapies, which was partially offset by an increase in non-cash charges of $15.5 million primarily driven by higher stock-based compensation expenses, as well as depreciation expenses and the amortization of operating right-of-use assets associated with our leased facilities. We also had an increase in cash used by assets and liabilities driven primarily by changes in accruals and accounts payable resulting from the increased size of our workforce, overall growth in the business and operations, and the timing of vendor invoicing and related payments. These increases were offset by a net increase in our operating lease liabilities associated with receipts of tenant improvement allowances for our new corporate headquarters office, offset by payments on lease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80" w:firstLine="492"/>
        <w:spacing w:after="0" w:line="279" w:lineRule="auto"/>
        <w:rPr>
          <w:sz w:val="20"/>
          <w:szCs w:val="20"/>
          <w:color w:val="auto"/>
        </w:rPr>
      </w:pPr>
      <w:r>
        <w:rPr>
          <w:rFonts w:ascii="Arial" w:cs="Arial" w:eastAsia="Arial" w:hAnsi="Arial"/>
          <w:sz w:val="17"/>
          <w:szCs w:val="17"/>
          <w:color w:val="auto"/>
        </w:rPr>
        <w:t>Net cash provided by investing activities for the periods presented primarily relates to the purchase and maturity of investments and capital expenditures. Net cash provided by investing activities for the six months ended June 30, 2022 was $182.3 million compared to net cash used in investing activities of $81.9 million for the same period in 2021. The increase in cash provided by investing activities of $264.2 million was primarily due to the timing of maturities and purchases of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120" w:firstLine="492"/>
        <w:spacing w:after="0" w:line="273" w:lineRule="auto"/>
        <w:rPr>
          <w:sz w:val="20"/>
          <w:szCs w:val="20"/>
          <w:color w:val="auto"/>
        </w:rPr>
      </w:pPr>
      <w:r>
        <w:rPr>
          <w:rFonts w:ascii="Arial" w:cs="Arial" w:eastAsia="Arial" w:hAnsi="Arial"/>
          <w:sz w:val="17"/>
          <w:szCs w:val="17"/>
          <w:color w:val="auto"/>
        </w:rPr>
        <w:t>Net cash used in financing activities for the six months ended June 30, 2022 was $0.7 million compared to $214.3 million for the same period in 2021. The net cash used in financing activities for the six months ended June 30, 2022 related to $2.6 million of tax payments related to shares withheld for vested restricted stock units, offset by cash proceeds of $1.5 million from the issuance of common stock upon exercise of stock options during the period. The net cash provided by financing activities for the same period in 2021 primarily related to net proceeds of $203.2 million received from sales of common shares through the “at the market” offering program and $10.2 million received from issuance of common stock upon exercise of stock options.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There have been no material changes to our contractual obligations as of June 30, 2022, as compared to those disclosed in the Annual Report on Form 10-K for the year ended December 31, 2021. Details of our future lease obligations as of June 30, 2022 can be found in Note 8 of the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we had no obligations that would require disclosure as off-balance sheet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185"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See Note 2 of the condensed consolidated financial statements for a discussion of our significant accounting policies. There were no recently issued accounting standards applicable to us and we did not adopt any accounting standards during the three and six months ended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over our two most recent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June 30, 2022, we had $409.6 million invested in marketable securities with a maturity date of less than one year. As such, we believe that we are not exposed to any material market risk. If interest rates had varied by 1% as of June 30, 2022, the fair value of our investment portfolio would increase or decrease by approximately $1.3 million.</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9 to our Condensed Consolidated Financial Statements for the quarter ended June 30, 2022 contained in this Quarterly Report on Form 10-Q.</w:t>
      </w:r>
    </w:p>
    <w:p>
      <w:pPr>
        <w:spacing w:after="0" w:line="3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Securities and Exchange Commission, or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9"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24, 2022.</w:t>
      </w:r>
    </w:p>
    <w:p>
      <w:pPr>
        <w:spacing w:after="0" w:line="130"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198" w:lineRule="exact"/>
        <w:rPr>
          <w:sz w:val="20"/>
          <w:szCs w:val="20"/>
          <w:color w:val="auto"/>
        </w:rPr>
      </w:pPr>
    </w:p>
    <w:p>
      <w:pPr>
        <w:ind w:left="680" w:right="20" w:hanging="321"/>
        <w:spacing w:after="0" w:line="266"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product candidates and cannot guarantee that these product candidates will successfully complete development, receive regulatory approval, or be successfully commercialized;</w:t>
      </w:r>
    </w:p>
    <w:p>
      <w:pPr>
        <w:ind w:left="680" w:right="28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8"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may take longer and cost more to complete our clinical trials than we project, or we may not be able to complete them at all;</w:t>
      </w:r>
    </w:p>
    <w:p>
      <w:pPr>
        <w:spacing w:after="0" w:line="72" w:lineRule="exact"/>
        <w:rPr>
          <w:rFonts w:ascii="Arial" w:cs="Arial" w:eastAsia="Arial" w:hAnsi="Arial"/>
          <w:sz w:val="16"/>
          <w:szCs w:val="16"/>
          <w:color w:val="auto"/>
        </w:rPr>
      </w:pPr>
    </w:p>
    <w:p>
      <w:pPr>
        <w:ind w:left="680" w:right="60" w:hanging="321"/>
        <w:spacing w:after="0" w:line="266"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trials may fail to demonstrate adequately the safety and efficacy of our product candidates, which would prevent or delay regulatory approval and commercialization;</w:t>
      </w:r>
    </w:p>
    <w:p>
      <w:pPr>
        <w:ind w:left="680" w:right="60" w:hanging="321"/>
        <w:spacing w:after="0" w:line="25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2" w:lineRule="exact"/>
        <w:rPr>
          <w:rFonts w:ascii="Arial" w:cs="Arial" w:eastAsia="Arial" w:hAnsi="Arial"/>
          <w:sz w:val="18"/>
          <w:szCs w:val="18"/>
          <w:color w:val="auto"/>
        </w:rPr>
      </w:pPr>
    </w:p>
    <w:p>
      <w:pPr>
        <w:ind w:left="680" w:right="60" w:hanging="321"/>
        <w:spacing w:after="0" w:line="259"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1" w:lineRule="exact"/>
        <w:rPr>
          <w:rFonts w:ascii="Arial" w:cs="Arial" w:eastAsia="Arial" w:hAnsi="Arial"/>
          <w:sz w:val="18"/>
          <w:szCs w:val="18"/>
          <w:color w:val="auto"/>
        </w:rPr>
      </w:pPr>
    </w:p>
    <w:p>
      <w:pPr>
        <w:jc w:val="both"/>
        <w:ind w:left="680" w:right="140" w:hanging="321"/>
        <w:spacing w:after="0" w:line="26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2" w:lineRule="exact"/>
        <w:rPr>
          <w:rFonts w:ascii="Arial" w:cs="Arial" w:eastAsia="Arial" w:hAnsi="Arial"/>
          <w:sz w:val="18"/>
          <w:szCs w:val="18"/>
          <w:color w:val="auto"/>
        </w:rPr>
      </w:pPr>
    </w:p>
    <w:p>
      <w:pPr>
        <w:ind w:left="680" w:right="140" w:hanging="321"/>
        <w:spacing w:after="0" w:line="342"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need additional financing to fund our operations and complete the development and commercialization of our various product candidates, and if we are unable to obtain such financing, we may be unable to complete the development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80"/>
        <w:spacing w:after="0" w:line="273" w:lineRule="auto"/>
        <w:rPr>
          <w:sz w:val="20"/>
          <w:szCs w:val="20"/>
          <w:color w:val="auto"/>
        </w:rPr>
      </w:pPr>
      <w:r>
        <w:rPr>
          <w:rFonts w:ascii="Arial" w:cs="Arial" w:eastAsia="Arial" w:hAnsi="Arial"/>
          <w:sz w:val="18"/>
          <w:szCs w:val="18"/>
          <w:color w:val="auto"/>
        </w:rPr>
        <w:t>and commercialization of our product candidates. Raising additional capital may cause dilution to our existing stockholders, restrict our operations or require us to relinquish rights to our technologies or product candidates*;</w:t>
      </w:r>
    </w:p>
    <w:p>
      <w:pPr>
        <w:spacing w:after="0" w:line="2" w:lineRule="exact"/>
        <w:rPr>
          <w:sz w:val="20"/>
          <w:szCs w:val="20"/>
          <w:color w:val="auto"/>
        </w:rPr>
      </w:pPr>
    </w:p>
    <w:p>
      <w:pPr>
        <w:ind w:left="680" w:right="80" w:hanging="321"/>
        <w:spacing w:after="0" w:line="281"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 w:lineRule="exact"/>
        <w:rPr>
          <w:rFonts w:ascii="Arial" w:cs="Arial" w:eastAsia="Arial" w:hAnsi="Arial"/>
          <w:sz w:val="17"/>
          <w:szCs w:val="17"/>
          <w:color w:val="auto"/>
        </w:rPr>
      </w:pPr>
    </w:p>
    <w:p>
      <w:pPr>
        <w:ind w:left="680" w:right="280" w:hanging="321"/>
        <w:spacing w:after="0" w:line="27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8" w:lineRule="exact"/>
        <w:rPr>
          <w:rFonts w:ascii="Arial" w:cs="Arial" w:eastAsia="Arial" w:hAnsi="Arial"/>
          <w:sz w:val="18"/>
          <w:szCs w:val="18"/>
          <w:color w:val="auto"/>
        </w:rPr>
      </w:pPr>
    </w:p>
    <w:p>
      <w:pPr>
        <w:ind w:left="680" w:right="160" w:hanging="321"/>
        <w:spacing w:after="0" w:line="26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assurance can be given that the Gen 2 manufacturing process we have selected will be FDA-compliant, more efficient and lower the cost to manufacture TIL products;</w:t>
      </w:r>
    </w:p>
    <w:p>
      <w:pPr>
        <w:ind w:left="680" w:hanging="321"/>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face significant competition from other biotechnology and pharmaceutical companies and from non-profit institutions;</w:t>
      </w:r>
    </w:p>
    <w:p>
      <w:pPr>
        <w:spacing w:after="0" w:line="61" w:lineRule="exact"/>
        <w:rPr>
          <w:rFonts w:ascii="Arial" w:cs="Arial" w:eastAsia="Arial" w:hAnsi="Arial"/>
          <w:sz w:val="17"/>
          <w:szCs w:val="17"/>
          <w:color w:val="auto"/>
        </w:rPr>
      </w:pPr>
    </w:p>
    <w:p>
      <w:pPr>
        <w:ind w:left="680" w:right="280" w:hanging="321"/>
        <w:spacing w:after="0" w:line="27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a product candidate intended for use in combination with an already approved product may present more or different challenges than development of a product candidate for use as a single agent;</w:t>
      </w:r>
    </w:p>
    <w:p>
      <w:pPr>
        <w:spacing w:after="0" w:line="1" w:lineRule="exact"/>
        <w:rPr>
          <w:rFonts w:ascii="Arial" w:cs="Arial" w:eastAsia="Arial" w:hAnsi="Arial"/>
          <w:sz w:val="18"/>
          <w:szCs w:val="18"/>
          <w:color w:val="auto"/>
        </w:rPr>
      </w:pPr>
    </w:p>
    <w:p>
      <w:pPr>
        <w:ind w:left="680" w:right="120" w:hanging="321"/>
        <w:spacing w:after="0" w:line="260"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2" w:lineRule="exact"/>
        <w:rPr>
          <w:rFonts w:ascii="Arial" w:cs="Arial" w:eastAsia="Arial" w:hAnsi="Arial"/>
          <w:sz w:val="18"/>
          <w:szCs w:val="18"/>
          <w:color w:val="auto"/>
        </w:rPr>
      </w:pPr>
    </w:p>
    <w:p>
      <w:pPr>
        <w:ind w:left="680" w:hanging="321"/>
        <w:spacing w:after="0" w:line="299"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jc w:val="both"/>
        <w:ind w:left="680" w:right="280" w:hanging="321"/>
        <w:spacing w:after="0" w:line="26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8" w:lineRule="exact"/>
        <w:rPr>
          <w:rFonts w:ascii="Arial" w:cs="Arial" w:eastAsia="Arial" w:hAnsi="Arial"/>
          <w:sz w:val="18"/>
          <w:szCs w:val="18"/>
          <w:color w:val="auto"/>
        </w:rPr>
      </w:pPr>
    </w:p>
    <w:p>
      <w:pPr>
        <w:ind w:left="680" w:right="220" w:hanging="321"/>
        <w:spacing w:after="0" w:line="299"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ind w:left="680" w:right="560" w:hanging="321"/>
        <w:spacing w:after="0" w:line="27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product candidates do not achieve broad market acceptance, the revenues that we generate from their sales will be limited;</w:t>
      </w:r>
    </w:p>
    <w:p>
      <w:pPr>
        <w:spacing w:after="0" w:line="1" w:lineRule="exact"/>
        <w:rPr>
          <w:rFonts w:ascii="Arial" w:cs="Arial" w:eastAsia="Arial" w:hAnsi="Arial"/>
          <w:sz w:val="18"/>
          <w:szCs w:val="18"/>
          <w:color w:val="auto"/>
        </w:rPr>
      </w:pPr>
    </w:p>
    <w:p>
      <w:pPr>
        <w:ind w:left="680" w:right="100" w:hanging="321"/>
        <w:spacing w:after="0" w:line="290"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2" w:lineRule="exact"/>
        <w:rPr>
          <w:rFonts w:ascii="Arial" w:cs="Arial" w:eastAsia="Arial" w:hAnsi="Arial"/>
          <w:sz w:val="16"/>
          <w:szCs w:val="16"/>
          <w:color w:val="auto"/>
        </w:rPr>
      </w:pPr>
    </w:p>
    <w:p>
      <w:pPr>
        <w:ind w:left="680" w:hanging="321"/>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will need to grow the size and capabilities of our organization, and we may experience difficulties in managing this growth;</w:t>
      </w:r>
    </w:p>
    <w:p>
      <w:pPr>
        <w:spacing w:after="0" w:line="59" w:lineRule="exact"/>
        <w:rPr>
          <w:rFonts w:ascii="Arial" w:cs="Arial" w:eastAsia="Arial" w:hAnsi="Arial"/>
          <w:sz w:val="16"/>
          <w:szCs w:val="16"/>
          <w:color w:val="auto"/>
        </w:rPr>
      </w:pPr>
    </w:p>
    <w:p>
      <w:pPr>
        <w:ind w:left="680" w:right="220" w:hanging="321"/>
        <w:spacing w:after="0" w:line="277"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 negative impact on the global economy and capital markets resulting from the conflict in Ukraine or any other geopolitical tensions*;</w:t>
      </w:r>
    </w:p>
    <w:p>
      <w:pPr>
        <w:spacing w:after="0" w:line="2" w:lineRule="exact"/>
        <w:rPr>
          <w:rFonts w:ascii="Arial" w:cs="Arial" w:eastAsia="Arial" w:hAnsi="Arial"/>
          <w:sz w:val="17"/>
          <w:szCs w:val="17"/>
          <w:color w:val="auto"/>
        </w:rPr>
      </w:pPr>
    </w:p>
    <w:p>
      <w:pPr>
        <w:ind w:left="680" w:right="20" w:hanging="321"/>
        <w:spacing w:after="0" w:line="27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Climate change or legal, regulatory or market measures to address climate change may negatively affect our business, results of operations, cash flows and prospects*;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social and governance matters may impact our business and reputation*; and</w:t>
      </w:r>
    </w:p>
    <w:p>
      <w:pPr>
        <w:spacing w:after="0" w:line="36" w:lineRule="exact"/>
        <w:rPr>
          <w:rFonts w:ascii="Arial" w:cs="Arial" w:eastAsia="Arial" w:hAnsi="Arial"/>
          <w:sz w:val="18"/>
          <w:szCs w:val="18"/>
          <w:color w:val="auto"/>
        </w:rPr>
      </w:pPr>
    </w:p>
    <w:p>
      <w:pPr>
        <w:ind w:left="680" w:right="180" w:hanging="321"/>
        <w:spacing w:after="0" w:line="25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Government Regulation:</w:t>
      </w:r>
    </w:p>
    <w:p>
      <w:pPr>
        <w:spacing w:after="0" w:line="185" w:lineRule="exact"/>
        <w:rPr>
          <w:sz w:val="20"/>
          <w:szCs w:val="20"/>
          <w:color w:val="auto"/>
        </w:rPr>
      </w:pPr>
    </w:p>
    <w:p>
      <w:pPr>
        <w:ind w:left="680" w:right="80" w:hanging="321"/>
        <w:spacing w:after="0" w:line="27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we may experience significant delays in the clinical development and regulatory approval of our product candidates;</w:t>
      </w:r>
    </w:p>
    <w:p>
      <w:pPr>
        <w:spacing w:after="0" w:line="1" w:lineRule="exact"/>
        <w:rPr>
          <w:rFonts w:ascii="Arial" w:cs="Arial" w:eastAsia="Arial" w:hAnsi="Arial"/>
          <w:sz w:val="18"/>
          <w:szCs w:val="18"/>
          <w:color w:val="auto"/>
        </w:rPr>
      </w:pPr>
    </w:p>
    <w:p>
      <w:pPr>
        <w:ind w:left="680" w:right="380" w:hanging="321"/>
        <w:spacing w:after="0" w:line="27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1" w:lineRule="exact"/>
        <w:rPr>
          <w:rFonts w:ascii="Arial" w:cs="Arial" w:eastAsia="Arial" w:hAnsi="Arial"/>
          <w:sz w:val="18"/>
          <w:szCs w:val="18"/>
          <w:color w:val="auto"/>
        </w:rPr>
      </w:pPr>
    </w:p>
    <w:p>
      <w:pPr>
        <w:ind w:left="680" w:hanging="321"/>
        <w:spacing w:after="0" w:line="266"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Governments outside the U.S. tend to impose strict price controls, which may adversely affect our revenues, if any.</w:t>
      </w:r>
    </w:p>
    <w:p>
      <w:pPr>
        <w:spacing w:after="0" w:line="266"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in this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the other information set forth in this Quarterly Report on Form 10-Q, including our condensed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have a history of operating losses; we expect to continue to incur losses and we may never be profitable.*</w:t>
      </w:r>
    </w:p>
    <w:p>
      <w:pPr>
        <w:spacing w:after="0" w:line="183"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June 30, 2022, we had an accumulated deficit of $1.4 billion. In addition, during the six months ended June 30, 2022, we incurred a net loss of $191.0 million. Since our inception we have not generated any revenues from operations. We are preparing for the commercial launch of our products, if approved, in 2022.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38"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30"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16" w:lineRule="exact"/>
        <w:rPr>
          <w:sz w:val="20"/>
          <w:szCs w:val="20"/>
          <w:color w:val="auto"/>
        </w:rPr>
      </w:pPr>
    </w:p>
    <w:p>
      <w:pPr>
        <w:ind w:right="16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22"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7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23"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03"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10"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metastatic melanoma and metastatic cervical cancer.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27"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3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30" w:lineRule="exact"/>
        <w:rPr>
          <w:sz w:val="20"/>
          <w:szCs w:val="20"/>
          <w:color w:val="auto"/>
        </w:rPr>
      </w:pPr>
    </w:p>
    <w:p>
      <w:pPr>
        <w:ind w:left="820" w:right="540" w:hanging="320"/>
        <w:spacing w:after="0" w:line="258"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220" w:hanging="320"/>
        <w:spacing w:after="0" w:line="255"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spacing w:after="0" w:line="158"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52"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51"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39"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oversight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Good Clinical Practices, or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26"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3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47"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46"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3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46"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right="60" w:firstLine="8"/>
        <w:spacing w:after="0" w:line="290"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June 2022, we announced that initial Cohort 4 data read by the Independent Review Committee, or IRC, met the primary endpoint in this trial. We plan to initiate trials in new indications, and new cohorts in existing trials. Even as these trials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88" w:lineRule="exact"/>
        <w:rPr>
          <w:sz w:val="20"/>
          <w:szCs w:val="20"/>
          <w:color w:val="auto"/>
        </w:rPr>
      </w:pPr>
    </w:p>
    <w:p>
      <w:pPr>
        <w:ind w:left="820" w:right="260" w:hanging="320"/>
        <w:spacing w:after="0" w:line="255"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00" w:hanging="320"/>
        <w:spacing w:after="0" w:line="281" w:lineRule="auto"/>
        <w:tabs>
          <w:tab w:leader="none" w:pos="8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820" w:right="12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Arial" w:cs="Arial" w:eastAsia="Arial" w:hAnsi="Arial"/>
          <w:sz w:val="18"/>
          <w:szCs w:val="18"/>
          <w:color w:val="auto"/>
        </w:rPr>
      </w:pPr>
    </w:p>
    <w:p>
      <w:pPr>
        <w:ind w:left="82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260" w:hanging="320"/>
        <w:spacing w:after="0" w:line="323" w:lineRule="auto"/>
        <w:tabs>
          <w:tab w:leader="none" w:pos="8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clinical studies of our product candidates producing negative or inconclusive results may fail to provide sufficient data and information to support product approval, or our studies may fail to reach the necessary level of statistical or clinical</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80"/>
        <w:spacing w:after="0" w:line="258" w:lineRule="auto"/>
        <w:rPr>
          <w:sz w:val="20"/>
          <w:szCs w:val="20"/>
          <w:color w:val="auto"/>
        </w:rPr>
      </w:pPr>
      <w:r>
        <w:rPr>
          <w:rFonts w:ascii="Arial" w:cs="Arial" w:eastAsia="Arial" w:hAnsi="Arial"/>
          <w:sz w:val="18"/>
          <w:szCs w:val="18"/>
          <w:color w:val="auto"/>
        </w:rPr>
        <w:t>significance, which may result in our deciding, or regulators requiring us, to conduct additional clinical studies, or preclinical studies, or abandon product development programs;</w:t>
      </w:r>
    </w:p>
    <w:p>
      <w:pPr>
        <w:spacing w:after="0" w:line="1" w:lineRule="exact"/>
        <w:rPr>
          <w:sz w:val="20"/>
          <w:szCs w:val="20"/>
          <w:color w:val="auto"/>
        </w:rPr>
      </w:pPr>
    </w:p>
    <w:p>
      <w:pPr>
        <w:ind w:left="820" w:right="80" w:hanging="320"/>
        <w:spacing w:after="0" w:line="281" w:lineRule="auto"/>
        <w:tabs>
          <w:tab w:leader="none" w:pos="814"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07" w:lineRule="exact"/>
        <w:rPr>
          <w:sz w:val="20"/>
          <w:szCs w:val="20"/>
          <w:color w:val="auto"/>
        </w:rPr>
      </w:pPr>
    </w:p>
    <w:p>
      <w:pPr>
        <w:ind w:right="100" w:firstLine="492"/>
        <w:spacing w:after="0" w:line="289"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or preclinical studies. For example, while we currently intend to file our first BLA using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and preclinical studies, or results in a refusal to file or non-approval of a BLA.</w:t>
      </w:r>
    </w:p>
    <w:p>
      <w:pPr>
        <w:spacing w:after="0" w:line="112"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30"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06"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the ongoing COVID-19 pandemic, may cause significant delays. We may not commence or complete clinical trials involving any of our products as projected or may not conduct them successfully.</w:t>
      </w:r>
    </w:p>
    <w:p>
      <w:pPr>
        <w:spacing w:after="0" w:line="134"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We are currently enrolling six company-sponsored clinical trials to assess the overall safety and efficacy of Iovance TIL monotherapy and TIL combinations in patients with melanoma, cervical, head and neck and lung cancers across late-line and early treatment settings, as well as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w:t>
      </w:r>
    </w:p>
    <w:p>
      <w:pPr>
        <w:spacing w:after="0" w:line="110" w:lineRule="exact"/>
        <w:rPr>
          <w:sz w:val="20"/>
          <w:szCs w:val="20"/>
          <w:color w:val="auto"/>
        </w:rPr>
      </w:pPr>
    </w:p>
    <w:p>
      <w:pPr>
        <w:ind w:right="20" w:firstLine="492"/>
        <w:spacing w:after="0" w:line="267" w:lineRule="auto"/>
        <w:rPr>
          <w:sz w:val="20"/>
          <w:szCs w:val="20"/>
          <w:color w:val="auto"/>
        </w:rPr>
      </w:pPr>
      <w:r>
        <w:rPr>
          <w:rFonts w:ascii="Arial" w:cs="Arial" w:eastAsia="Arial" w:hAnsi="Arial"/>
          <w:sz w:val="17"/>
          <w:szCs w:val="17"/>
          <w:color w:val="auto"/>
        </w:rPr>
        <w:t>For example, our studies of our TIL therapy lifileucel in patients with metastatic cervical cancer and metastatic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lifileucel in patients with metastatic cervical cancer and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36"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56"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60"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0"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52"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0"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344"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5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ectPr>
          <w:pgSz w:w="11900" w:h="16838" w:orient="portrait"/>
          <w:cols w:equalWidth="0" w:num="1">
            <w:col w:w="9900"/>
          </w:cols>
          <w:pgMar w:left="980" w:top="665"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7"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51"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a Phase 2 clinical trial to a pivotal program, who remain in the trial until its conclusion. We may experience difficulties or delays in patient enrollment in our clinical trials for a variety of reasons, including:</w:t>
      </w:r>
    </w:p>
    <w:p>
      <w:pPr>
        <w:spacing w:after="0" w:line="125" w:lineRule="exact"/>
        <w:rPr>
          <w:sz w:val="20"/>
          <w:szCs w:val="20"/>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0" w:lineRule="exact"/>
        <w:rPr>
          <w:rFonts w:ascii="Arial" w:cs="Arial" w:eastAsia="Arial" w:hAnsi="Arial"/>
          <w:sz w:val="18"/>
          <w:szCs w:val="18"/>
          <w:color w:val="auto"/>
        </w:rPr>
      </w:pPr>
    </w:p>
    <w:p>
      <w:pPr>
        <w:jc w:val="both"/>
        <w:ind w:left="820" w:right="180" w:hanging="320"/>
        <w:spacing w:after="0" w:line="263"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62" w:lineRule="exact"/>
        <w:rPr>
          <w:rFonts w:ascii="Arial" w:cs="Arial" w:eastAsia="Arial" w:hAnsi="Arial"/>
          <w:sz w:val="18"/>
          <w:szCs w:val="18"/>
          <w:color w:val="auto"/>
        </w:rPr>
      </w:pPr>
    </w:p>
    <w:p>
      <w:pPr>
        <w:ind w:left="820" w:right="120" w:hanging="320"/>
        <w:spacing w:after="0" w:line="277"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spacing w:after="0" w:line="35" w:lineRule="exact"/>
        <w:rPr>
          <w:rFonts w:ascii="Arial" w:cs="Arial" w:eastAsia="Arial" w:hAnsi="Arial"/>
          <w:sz w:val="18"/>
          <w:szCs w:val="18"/>
          <w:color w:val="auto"/>
        </w:rPr>
      </w:pPr>
    </w:p>
    <w:p>
      <w:pPr>
        <w:ind w:left="840" w:right="80" w:hanging="319"/>
        <w:spacing w:after="0" w:line="263"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48"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0" w:lineRule="exact"/>
        <w:rPr>
          <w:rFonts w:ascii="Arial" w:cs="Arial" w:eastAsia="Arial" w:hAnsi="Arial"/>
          <w:sz w:val="18"/>
          <w:szCs w:val="18"/>
          <w:color w:val="auto"/>
        </w:rPr>
      </w:pPr>
    </w:p>
    <w:p>
      <w:pPr>
        <w:ind w:left="820" w:hanging="320"/>
        <w:spacing w:after="0" w:line="259"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65" w:lineRule="exact"/>
        <w:rPr>
          <w:sz w:val="20"/>
          <w:szCs w:val="20"/>
          <w:color w:val="auto"/>
        </w:rPr>
      </w:pPr>
    </w:p>
    <w:p>
      <w:pPr>
        <w:ind w:right="20" w:firstLine="492"/>
        <w:spacing w:after="0" w:line="342"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40"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57"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spacing w:after="0" w:line="126"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5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37"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99" w:lineRule="exact"/>
        <w:rPr>
          <w:sz w:val="20"/>
          <w:szCs w:val="20"/>
          <w:color w:val="auto"/>
        </w:rPr>
      </w:pPr>
    </w:p>
    <w:p>
      <w:pPr>
        <w:ind w:right="160" w:firstLine="492"/>
        <w:spacing w:after="0" w:line="293"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28"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5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the FDA not agreeing with all of the details of our validation data or other aspects of our potency assay or assays for Cohort 4 of our C-144-01 clinical trial.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have continued ongoing work developing and validating our potency assays and have engaged in discussions with the FDA during the second half of 2021 and first quarter of 2022. We expect to request a pre-BLA meeting in July 2022 and to complete a BLA submission for lifileucel in August 2022. 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352"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45"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43" w:lineRule="exact"/>
        <w:rPr>
          <w:sz w:val="20"/>
          <w:szCs w:val="20"/>
          <w:color w:val="auto"/>
        </w:rPr>
      </w:pPr>
    </w:p>
    <w:p>
      <w:pPr>
        <w:ind w:left="820" w:hanging="320"/>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620" w:hanging="320"/>
        <w:spacing w:after="0" w:line="277"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spacing w:after="0" w:line="35"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115" w:lineRule="exact"/>
        <w:rPr>
          <w:rFonts w:ascii="Arial" w:cs="Arial" w:eastAsia="Arial" w:hAnsi="Arial"/>
          <w:sz w:val="17"/>
          <w:szCs w:val="17"/>
          <w:color w:val="auto"/>
        </w:rPr>
      </w:pPr>
    </w:p>
    <w:p>
      <w:pPr>
        <w:ind w:left="820" w:right="380" w:hanging="320"/>
        <w:spacing w:after="0" w:line="334" w:lineRule="auto"/>
        <w:tabs>
          <w:tab w:leader="none" w:pos="8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ind w:left="820" w:right="140" w:hanging="320"/>
        <w:spacing w:after="0" w:line="277"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4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 lifileucel. We expect that development of our own manufacturing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4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47"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3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4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ectPr>
          <w:pgSz w:w="11900" w:h="16838" w:orient="portrait"/>
          <w:cols w:equalWidth="0" w:num="1">
            <w:col w:w="9840"/>
          </w:cols>
          <w:pgMar w:left="980" w:top="665" w:right="1079" w:bottom="1440" w:gutter="0" w:footer="0" w:header="0"/>
        </w:sect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3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38" w:lineRule="exact"/>
        <w:rPr>
          <w:sz w:val="20"/>
          <w:szCs w:val="20"/>
          <w:color w:val="auto"/>
        </w:rPr>
      </w:pPr>
    </w:p>
    <w:p>
      <w:pPr>
        <w:ind w:right="100" w:firstLine="492"/>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9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38"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51"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85"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With the exception of lifileucel for metastatic melanoma and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60" w:lineRule="exact"/>
        <w:rPr>
          <w:sz w:val="20"/>
          <w:szCs w:val="20"/>
          <w:color w:val="auto"/>
        </w:rPr>
      </w:pPr>
    </w:p>
    <w:p>
      <w:pPr>
        <w:ind w:left="820" w:hanging="320"/>
        <w:spacing w:after="0" w:line="258"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2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60" w:hanging="320"/>
        <w:spacing w:after="0" w:line="26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700" w:hanging="320"/>
        <w:spacing w:after="0" w:line="258"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1"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193"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38"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and The Ohio State University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30"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17"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operations have consumed substantial amounts of cash since inception. From our inception to June 30, 2022, we have an accumulated deficit of $1.4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Sales Agreement, with Jefferies LLC, which provides for the sale of up to $350.0 million of our common stock from time to time. As of June 30, 2022, we had $430.9 million in cash, cash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equivalents and investments ($108.1 million of cash and cash equivalents, $316.4 million in short-term investments, and restricted cash of $6.4 million).</w:t>
      </w:r>
    </w:p>
    <w:p>
      <w:pPr>
        <w:spacing w:after="0" w:line="130"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38"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83" w:lineRule="exact"/>
        <w:rPr>
          <w:sz w:val="20"/>
          <w:szCs w:val="20"/>
          <w:color w:val="auto"/>
        </w:rPr>
      </w:pPr>
    </w:p>
    <w:p>
      <w:pPr>
        <w:ind w:left="820" w:right="120" w:hanging="320"/>
        <w:spacing w:after="0" w:line="258"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20" w:hanging="320"/>
        <w:spacing w:after="0" w:line="281" w:lineRule="auto"/>
        <w:tabs>
          <w:tab w:leader="none" w:pos="8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70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80" w:hanging="320"/>
        <w:spacing w:after="0" w:line="26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4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5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0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June 2020, October 2018, and January 2018 public offerings, and the proceeds from sales pursuant to the Sales Agreement with Jefferies LLC,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2021, we had U.S. federal net operating loss carryforwards of approximately $945.3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Prior to December 31, 2020, we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6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In recent years, various tax legislations were signed into law. On December 22, 2017, the Tax Cuts and Jobs Act of 2017, or the Tax Act, was signed into law, making significant changes to the Internal Revenue Code.</w:t>
      </w:r>
    </w:p>
    <w:p>
      <w:pPr>
        <w:spacing w:after="0" w:line="13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 federal and state tax laws could adversely impact our business, results of operations and financial position as the impact of recent tax legislation is uncertain.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 xml:space="preserve">In addition, U.S. federal, state and local tax laws are extremely complex and subject to various interpretations. Although we believe that our tax estimates and positions are reasonable, including our decision to build our </w:t>
      </w:r>
      <w:r>
        <w:rPr>
          <w:rFonts w:ascii="Arial" w:cs="Arial" w:eastAsia="Arial" w:hAnsi="Arial"/>
          <w:sz w:val="16"/>
          <w:szCs w:val="16"/>
          <w:i w:val="1"/>
          <w:iCs w:val="1"/>
          <w:color w:val="auto"/>
        </w:rPr>
        <w:t>i</w:t>
      </w:r>
      <w:r>
        <w:rPr>
          <w:rFonts w:ascii="Arial" w:cs="Arial" w:eastAsia="Arial" w:hAnsi="Arial"/>
          <w:sz w:val="16"/>
          <w:szCs w:val="16"/>
          <w:color w:val="auto"/>
        </w:rPr>
        <w:t>CTC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3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97"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36"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2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30"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65"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Moffitt,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54"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5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2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3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2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3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36"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0" w:lineRule="exact"/>
        <w:rPr>
          <w:sz w:val="20"/>
          <w:szCs w:val="20"/>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84" w:lineRule="exact"/>
        <w:rPr>
          <w:sz w:val="20"/>
          <w:szCs w:val="20"/>
          <w:color w:val="auto"/>
        </w:rPr>
      </w:pPr>
    </w:p>
    <w:p>
      <w:pPr>
        <w:ind w:right="20" w:firstLine="486"/>
        <w:spacing w:after="0" w:line="284"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Agenus, BeyondSpring, Bristol-Myers Squibb, Merck, Nektar Therapeutics, Idera Pharmaceuticals, Checkmate Pharmaceuticals, Daiichi Sankyo, Eisai, Exelixis,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Therapeutics, Alaunos Therapeutics,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and Roche. We may also face competition from novel interleukin-2 (IL-2) treatments in development by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8"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49" w:lineRule="exact"/>
        <w:rPr>
          <w:sz w:val="20"/>
          <w:szCs w:val="20"/>
          <w:color w:val="auto"/>
        </w:rPr>
      </w:pPr>
    </w:p>
    <w:p>
      <w:pPr>
        <w:ind w:right="50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83"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41"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46" w:lineRule="exact"/>
        <w:rPr>
          <w:sz w:val="20"/>
          <w:szCs w:val="20"/>
          <w:color w:val="auto"/>
        </w:rPr>
      </w:pPr>
    </w:p>
    <w:p>
      <w:pPr>
        <w:ind w:right="28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60" w:hanging="320"/>
        <w:spacing w:after="0" w:line="253"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20" w:hanging="320"/>
        <w:spacing w:after="0" w:line="255"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4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52"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30"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45" w:lineRule="exact"/>
        <w:rPr>
          <w:sz w:val="20"/>
          <w:szCs w:val="20"/>
          <w:color w:val="auto"/>
        </w:rPr>
      </w:pPr>
    </w:p>
    <w:p>
      <w:pPr>
        <w:ind w:right="42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3"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We were granted Fast Track designation by the FDA for lifileucel in metastatic melanoma and metastatic cervical cancer.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38" w:lineRule="exact"/>
        <w:rPr>
          <w:sz w:val="20"/>
          <w:szCs w:val="20"/>
          <w:color w:val="auto"/>
        </w:rPr>
      </w:pPr>
    </w:p>
    <w:p>
      <w:pPr>
        <w:jc w:val="both"/>
        <w:ind w:right="60" w:firstLine="492"/>
        <w:spacing w:after="0" w:line="311" w:lineRule="auto"/>
        <w:rPr>
          <w:sz w:val="20"/>
          <w:szCs w:val="20"/>
          <w:color w:val="auto"/>
        </w:rPr>
      </w:pPr>
      <w:r>
        <w:rPr>
          <w:rFonts w:ascii="Arial" w:cs="Arial" w:eastAsia="Arial" w:hAnsi="Arial"/>
          <w:sz w:val="16"/>
          <w:szCs w:val="16"/>
          <w:b w:val="1"/>
          <w:bCs w:val="1"/>
          <w:i w:val="1"/>
          <w:iCs w:val="1"/>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22"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45" w:lineRule="exact"/>
        <w:rPr>
          <w:sz w:val="20"/>
          <w:szCs w:val="20"/>
          <w:color w:val="auto"/>
        </w:rPr>
      </w:pPr>
    </w:p>
    <w:p>
      <w:pPr>
        <w:jc w:val="both"/>
        <w:ind w:right="22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25"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43"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55"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83"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38"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38" w:lineRule="exact"/>
        <w:rPr>
          <w:sz w:val="20"/>
          <w:szCs w:val="20"/>
          <w:color w:val="auto"/>
        </w:rPr>
      </w:pPr>
    </w:p>
    <w:p>
      <w:pPr>
        <w:ind w:left="820" w:right="340" w:hanging="320"/>
        <w:spacing w:after="0" w:line="291" w:lineRule="auto"/>
        <w:tabs>
          <w:tab w:leader="none" w:pos="8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60" w:hanging="320"/>
        <w:spacing w:after="0" w:line="26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3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50"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8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2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4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85" w:lineRule="exact"/>
        <w:rPr>
          <w:sz w:val="20"/>
          <w:szCs w:val="20"/>
          <w:color w:val="auto"/>
        </w:rPr>
      </w:pPr>
    </w:p>
    <w:p>
      <w:pPr>
        <w:ind w:right="120"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and at our clinical trial sites, as well as the business or operations of our other manufacturers, CROs or other third parties with whom we conduct business.</w:t>
      </w:r>
    </w:p>
    <w:p>
      <w:pPr>
        <w:spacing w:after="0" w:line="121"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(“COVID-19”) was reported to have surfaced in Wuhan, China and has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U.S. As recently as April 2022, ports and airports in Shanghai, China have been closed due to another outbreak of COVID-19, resulting in a lockdown of the city and disruption to export and import activities. In the U.S., many of these executive orders in the U.S. have been rescinded, however the Company remains vigilant and continues to monitor the situation closely to determine if additional actions are required.</w:t>
      </w:r>
    </w:p>
    <w:p>
      <w:pPr>
        <w:spacing w:after="0" w:line="153"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46"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w:t>
      </w:r>
    </w:p>
    <w:p>
      <w:pPr>
        <w:spacing w:after="0" w:line="168"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36"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6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19"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firstLine="492"/>
        <w:spacing w:after="0" w:line="259" w:lineRule="auto"/>
        <w:rPr>
          <w:sz w:val="20"/>
          <w:szCs w:val="20"/>
          <w:color w:val="auto"/>
        </w:rPr>
      </w:pPr>
      <w:r>
        <w:rPr>
          <w:rFonts w:ascii="Arial" w:cs="Arial" w:eastAsia="Arial" w:hAnsi="Arial"/>
          <w:sz w:val="18"/>
          <w:szCs w:val="18"/>
          <w:color w:val="auto"/>
        </w:rPr>
        <w:t>For example, we continue to recruit for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46" w:lineRule="exact"/>
        <w:rPr>
          <w:sz w:val="20"/>
          <w:szCs w:val="20"/>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84"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2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1"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22"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06"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80" w:hanging="320"/>
        <w:spacing w:after="0" w:line="250"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50"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60" w:hanging="320"/>
        <w:spacing w:after="0" w:line="250"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40" w:hanging="320"/>
        <w:spacing w:after="0" w:line="260"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92"/>
        <w:spacing w:after="0" w:line="279" w:lineRule="auto"/>
        <w:rPr>
          <w:sz w:val="20"/>
          <w:szCs w:val="20"/>
          <w:color w:val="auto"/>
        </w:rPr>
      </w:pPr>
      <w:r>
        <w:rPr>
          <w:rFonts w:ascii="Arial" w:cs="Arial" w:eastAsia="Arial" w:hAnsi="Arial"/>
          <w:sz w:val="17"/>
          <w:szCs w:val="17"/>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 negative impact on the global economy and capital markets resulting from the conflict in Ukraine or any other geopolitical tensions.*</w:t>
      </w:r>
    </w:p>
    <w:p>
      <w:pPr>
        <w:spacing w:after="0" w:line="131" w:lineRule="exact"/>
        <w:rPr>
          <w:sz w:val="20"/>
          <w:szCs w:val="20"/>
          <w:color w:val="auto"/>
        </w:rPr>
      </w:pPr>
    </w:p>
    <w:p>
      <w:pPr>
        <w:ind w:right="60" w:firstLine="492"/>
        <w:spacing w:after="0" w:line="296" w:lineRule="auto"/>
        <w:rPr>
          <w:sz w:val="20"/>
          <w:szCs w:val="20"/>
          <w:color w:val="auto"/>
        </w:rPr>
      </w:pPr>
      <w:r>
        <w:rPr>
          <w:rFonts w:ascii="Arial" w:cs="Arial" w:eastAsia="Arial" w:hAnsi="Arial"/>
          <w:sz w:val="16"/>
          <w:szCs w:val="16"/>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3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Additionally,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3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Although our business has not been materially impacted by the ongoing military conflict between Russian and Ukraine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147" w:lineRule="exact"/>
        <w:rPr>
          <w:sz w:val="20"/>
          <w:szCs w:val="20"/>
          <w:color w:val="auto"/>
        </w:rPr>
      </w:pPr>
    </w:p>
    <w:p>
      <w:pPr>
        <w:ind w:right="8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1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3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6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3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5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8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lifileucel to at least 75 patients of the appropriate population to address the expected sample size in anticipation of a BLA submission in 2021. Additionally, the patient population is defined per the discussion with FDA as patients who have progressed following initial systemic therapy for recurrent or metastatic disease which include many of the more advanced patients enrolled to date.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changes in the competitive environment,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33" w:lineRule="exact"/>
        <w:rPr>
          <w:sz w:val="20"/>
          <w:szCs w:val="20"/>
          <w:color w:val="auto"/>
        </w:rPr>
      </w:pPr>
    </w:p>
    <w:p>
      <w:pPr>
        <w:jc w:val="center"/>
        <w:ind w:right="420"/>
        <w:spacing w:after="0" w:line="342" w:lineRule="auto"/>
        <w:rPr>
          <w:sz w:val="20"/>
          <w:szCs w:val="20"/>
          <w:color w:val="auto"/>
        </w:rPr>
      </w:pPr>
      <w:r>
        <w:rPr>
          <w:rFonts w:ascii="Arial" w:cs="Arial" w:eastAsia="Arial" w:hAnsi="Arial"/>
          <w:sz w:val="16"/>
          <w:szCs w:val="16"/>
          <w:color w:val="auto"/>
        </w:rPr>
        <w:t>A BLA must also include significant information regarding the chemistry, manufacturing and controls for the product. Additionally, we expect the novel nature of our product candidates to create further challenges in obtaining regulatory approval. For</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have continued ongoing work developing and validating our potency assays and have engaged in discussions with the FDA during the second half of 2021 and first quarter of 2022. We expect to request a pre-BLA meeting in July 2022 and to complete a BLA submission for lifileucel by August 2022. Accordingly, the regulatory approval pathway for our product candidates may be uncertain, complex, expensive and lengthy, and approval may not be obtained.</w:t>
      </w:r>
    </w:p>
    <w:p>
      <w:pPr>
        <w:spacing w:after="0" w:line="133"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43" w:lineRule="exact"/>
        <w:rPr>
          <w:sz w:val="20"/>
          <w:szCs w:val="20"/>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ind w:left="820" w:right="120" w:hanging="320"/>
        <w:spacing w:after="0" w:line="26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4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38" w:lineRule="exact"/>
        <w:rPr>
          <w:sz w:val="20"/>
          <w:szCs w:val="20"/>
          <w:color w:val="auto"/>
        </w:rPr>
      </w:pPr>
    </w:p>
    <w:p>
      <w:pPr>
        <w:ind w:right="28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9"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125" w:lineRule="exact"/>
        <w:rPr>
          <w:sz w:val="20"/>
          <w:szCs w:val="20"/>
          <w:color w:val="auto"/>
        </w:rPr>
      </w:pPr>
    </w:p>
    <w:p>
      <w:pPr>
        <w:ind w:right="8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1"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right="260" w:firstLine="492"/>
        <w:spacing w:after="0" w:line="275" w:lineRule="auto"/>
        <w:rPr>
          <w:sz w:val="20"/>
          <w:szCs w:val="20"/>
          <w:color w:val="auto"/>
        </w:rPr>
      </w:pPr>
      <w:r>
        <w:rPr>
          <w:rFonts w:ascii="Arial" w:cs="Arial" w:eastAsia="Arial" w:hAnsi="Arial"/>
          <w:sz w:val="17"/>
          <w:szCs w:val="17"/>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w:t>
      </w:r>
    </w:p>
    <w:p>
      <w:pPr>
        <w:spacing w:after="0" w:line="149" w:lineRule="exact"/>
        <w:rPr>
          <w:sz w:val="20"/>
          <w:szCs w:val="20"/>
          <w:color w:val="auto"/>
        </w:rPr>
      </w:pPr>
    </w:p>
    <w:p>
      <w:pPr>
        <w:ind w:right="180" w:firstLine="492"/>
        <w:spacing w:after="0" w:line="279" w:lineRule="auto"/>
        <w:rPr>
          <w:sz w:val="20"/>
          <w:szCs w:val="20"/>
          <w:color w:val="auto"/>
        </w:rPr>
      </w:pPr>
      <w:r>
        <w:rPr>
          <w:rFonts w:ascii="Arial" w:cs="Arial" w:eastAsia="Arial" w:hAnsi="Arial"/>
          <w:sz w:val="17"/>
          <w:szCs w:val="17"/>
          <w:color w:val="auto"/>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31"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25" w:lineRule="exact"/>
        <w:rPr>
          <w:sz w:val="20"/>
          <w:szCs w:val="20"/>
          <w:color w:val="auto"/>
        </w:rPr>
      </w:pPr>
    </w:p>
    <w:p>
      <w:pPr>
        <w:ind w:left="820" w:right="280" w:hanging="320"/>
        <w:spacing w:after="0" w:line="258"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60" w:hanging="320"/>
        <w:spacing w:after="0" w:line="250"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20" w:hanging="320"/>
        <w:spacing w:after="0" w:line="260"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7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97" w:lineRule="exact"/>
        <w:rPr>
          <w:sz w:val="20"/>
          <w:szCs w:val="20"/>
          <w:color w:val="auto"/>
        </w:rPr>
      </w:pPr>
    </w:p>
    <w:p>
      <w:pPr>
        <w:ind w:right="34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37"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38"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31" w:lineRule="exact"/>
        <w:rPr>
          <w:sz w:val="20"/>
          <w:szCs w:val="20"/>
          <w:color w:val="auto"/>
        </w:rPr>
      </w:pPr>
    </w:p>
    <w:p>
      <w:pPr>
        <w:ind w:right="16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3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55"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25"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37"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31"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1" w:lineRule="exact"/>
        <w:rPr>
          <w:sz w:val="20"/>
          <w:szCs w:val="20"/>
          <w:color w:val="auto"/>
        </w:rPr>
      </w:pPr>
    </w:p>
    <w:p>
      <w:pPr>
        <w:ind w:right="36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43"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17"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43"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ectPr>
          <w:pgSz w:w="11900" w:h="16838" w:orient="portrait"/>
          <w:cols w:equalWidth="0" w:num="1">
            <w:col w:w="9900"/>
          </w:cols>
          <w:pgMar w:left="980" w:top="665" w:right="101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65"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31"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52" w:lineRule="exact"/>
        <w:rPr>
          <w:sz w:val="20"/>
          <w:szCs w:val="20"/>
          <w:color w:val="auto"/>
        </w:rPr>
      </w:pPr>
    </w:p>
    <w:p>
      <w:pPr>
        <w:ind w:right="100" w:firstLine="492"/>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59" w:lineRule="exact"/>
        <w:rPr>
          <w:sz w:val="20"/>
          <w:szCs w:val="20"/>
          <w:color w:val="auto"/>
        </w:rPr>
      </w:pPr>
    </w:p>
    <w:p>
      <w:pPr>
        <w:ind w:right="12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25" w:lineRule="exact"/>
        <w:rPr>
          <w:sz w:val="20"/>
          <w:szCs w:val="20"/>
          <w:color w:val="auto"/>
        </w:rPr>
      </w:pPr>
    </w:p>
    <w:p>
      <w:pPr>
        <w:ind w:right="60" w:firstLine="492"/>
        <w:spacing w:after="0" w:line="296"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6"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44" w:lineRule="exact"/>
        <w:rPr>
          <w:sz w:val="20"/>
          <w:szCs w:val="20"/>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7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38"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9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52"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Since enactment of the Patient Protection and Affordable Care Act, as amended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3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3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spacing w:after="0" w:line="125" w:lineRule="exact"/>
        <w:rPr>
          <w:sz w:val="20"/>
          <w:szCs w:val="20"/>
          <w:color w:val="auto"/>
        </w:rPr>
      </w:pPr>
    </w:p>
    <w:p>
      <w:pPr>
        <w:ind w:right="220" w:firstLine="492"/>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196"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2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3"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2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06"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4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70"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 unfavorable outcome in an interference proceeding or derivation proceeding. A prevailing party in that case may not offer us a license on commercially acceptable terms.</w:t>
      </w:r>
    </w:p>
    <w:p>
      <w:pPr>
        <w:spacing w:after="0" w:line="13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4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98"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3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4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ectPr>
          <w:pgSz w:w="11900" w:h="16838" w:orient="portrait"/>
          <w:cols w:equalWidth="0" w:num="1">
            <w:col w:w="9920"/>
          </w:cols>
          <w:pgMar w:left="980" w:top="665"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5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2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20" w:hanging="319"/>
        <w:spacing w:after="0" w:line="260"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23"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57"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As of June 30, 2022, we had 157,800,581 shares of common stock outstanding. In addition, we had 20,151,036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37"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88"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5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30"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08" w:lineRule="exact"/>
        <w:rPr>
          <w:sz w:val="20"/>
          <w:szCs w:val="20"/>
          <w:color w:val="auto"/>
        </w:rPr>
      </w:pPr>
    </w:p>
    <w:p>
      <w:pPr>
        <w:ind w:right="180" w:firstLine="492"/>
        <w:spacing w:after="0" w:line="296" w:lineRule="auto"/>
        <w:rPr>
          <w:sz w:val="20"/>
          <w:szCs w:val="20"/>
          <w:color w:val="auto"/>
        </w:rPr>
      </w:pPr>
      <w:r>
        <w:rPr>
          <w:rFonts w:ascii="Arial" w:cs="Arial" w:eastAsia="Arial" w:hAnsi="Arial"/>
          <w:sz w:val="16"/>
          <w:szCs w:val="16"/>
          <w:color w:val="auto"/>
        </w:rPr>
        <w:t>For example, on December 11, 2020, a purported stockholder derivative complaint was filed by plaintiff Leo Shumacher against us, as nominal defendant, and our current directors, as defendants, in the Court of Chancery in the State of Delaware. The complaint alleges breach of fiduciary duty and a claim for unjust enrichment in connection with alleged excessive compensation of certain of our non-executive directors and seeks unspecified damages on behalf of our company. While we intend to vigorously defend against the foregoing complaint, it is not possible to estimate the amount or range of possible loss that might result from these matters.</w:t>
      </w:r>
    </w:p>
    <w:p>
      <w:pPr>
        <w:spacing w:after="0" w:line="161"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43"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38"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57"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3"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2"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04"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30"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52" w:lineRule="exact"/>
        <w:rPr>
          <w:sz w:val="20"/>
          <w:szCs w:val="20"/>
          <w:color w:val="auto"/>
        </w:rPr>
      </w:pPr>
    </w:p>
    <w:p>
      <w:pPr>
        <w:jc w:val="both"/>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30"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25"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20" w:type="dxa"/>
            <w:vAlign w:val="bottom"/>
            <w:gridSpan w:val="9"/>
          </w:tcPr>
          <w:p>
            <w:pPr>
              <w:ind w:left="1560"/>
              <w:spacing w:after="0"/>
              <w:rPr>
                <w:sz w:val="20"/>
                <w:szCs w:val="20"/>
                <w:color w:val="auto"/>
              </w:rPr>
            </w:pPr>
            <w:r>
              <w:rPr>
                <w:rFonts w:ascii="Arial" w:cs="Arial" w:eastAsia="Arial" w:hAnsi="Arial"/>
                <w:sz w:val="18"/>
                <w:szCs w:val="18"/>
                <w:b w:val="1"/>
                <w:bCs w:val="1"/>
                <w:color w:val="auto"/>
              </w:rPr>
              <w:t>EXHIBIT INDEX</w:t>
            </w:r>
          </w:p>
        </w:tc>
      </w:tr>
      <w:tr>
        <w:trPr>
          <w:trHeight w:val="662"/>
        </w:trPr>
        <w:tc>
          <w:tcPr>
            <w:tcW w:w="9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20" w:type="dxa"/>
            <w:vAlign w:val="bottom"/>
            <w:gridSpan w:val="9"/>
          </w:tcPr>
          <w:p>
            <w:pPr>
              <w:ind w:left="238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700" w:type="dxa"/>
            <w:vAlign w:val="bottom"/>
            <w:tcBorders>
              <w:top w:val="single" w:sz="8" w:color="auto"/>
              <w:bottom w:val="single" w:sz="8" w:color="0000EE"/>
            </w:tcBorders>
            <w:gridSpan w:val="9"/>
          </w:tcPr>
          <w:p>
            <w:pPr>
              <w:spacing w:after="0" w:line="169"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Third Amended and Restated Bylaws of Iovance Biotherapeutics, Inc. (incorporated by reference herein to Exhibit 3.1 to</w:t>
              </w:r>
            </w:hyperlink>
          </w:p>
        </w:tc>
        <w:tc>
          <w:tcPr>
            <w:tcW w:w="12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the Registrant’s Current Report on Form 8-K filed with the Commission on April 29, 2022).</w:t>
              </w:r>
            </w:hyperlink>
          </w:p>
        </w:tc>
        <w:tc>
          <w:tcPr>
            <w:tcW w:w="2200" w:type="dxa"/>
            <w:vAlign w:val="bottom"/>
            <w:gridSpan w:val="3"/>
          </w:tcPr>
          <w:p>
            <w:pPr>
              <w:spacing w:after="0"/>
              <w:rPr>
                <w:sz w:val="17"/>
                <w:szCs w:val="17"/>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Iovance Biotherapeutics, Inc. 2018 Equity Incentive Plan, as amended.</w:t>
              </w:r>
            </w:hyperlink>
          </w:p>
        </w:tc>
      </w:tr>
      <w:tr>
        <w:trPr>
          <w:trHeight w:val="20"/>
        </w:trPr>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85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Form of Deferred Stock Unit Notice and Deferred Stock Unit Agreement under the Iovance Biotherapeutics, Inc. 2018</w:t>
              </w:r>
            </w:hyperlink>
          </w:p>
        </w:tc>
        <w:tc>
          <w:tcPr>
            <w:tcW w:w="28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Equity Incentive Plan.</w:t>
              </w:r>
            </w:hyperlink>
          </w:p>
        </w:tc>
        <w:tc>
          <w:tcPr>
            <w:tcW w:w="7220" w:type="dxa"/>
            <w:vAlign w:val="bottom"/>
            <w:gridSpan w:val="9"/>
          </w:tcPr>
          <w:p>
            <w:pPr>
              <w:spacing w:after="0"/>
              <w:rPr>
                <w:sz w:val="17"/>
                <w:szCs w:val="17"/>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Rule 13a-14(a)/15d-14(a) Certification of Chief Executive Officer.</w:t>
              </w:r>
            </w:hyperlink>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Rule 13a-14(a)/15d-14(a) Certification of Chief Financial Officer.</w:t>
              </w:r>
            </w:hyperlink>
          </w:p>
        </w:tc>
        <w:tc>
          <w:tcPr>
            <w:tcW w:w="40" w:type="dxa"/>
            <w:vAlign w:val="bottom"/>
            <w:tcBorders>
              <w:top w:val="single" w:sz="8" w:color="0000EE"/>
            </w:tcBorders>
          </w:tcPr>
          <w:p>
            <w:pPr>
              <w:spacing w:after="0"/>
              <w:rPr>
                <w:sz w:val="17"/>
                <w:szCs w:val="17"/>
                <w:color w:val="auto"/>
              </w:rPr>
            </w:pPr>
          </w:p>
        </w:tc>
        <w:tc>
          <w:tcPr>
            <w:tcW w:w="4040" w:type="dxa"/>
            <w:vAlign w:val="bottom"/>
            <w:gridSpan w:val="7"/>
          </w:tcPr>
          <w:p>
            <w:pPr>
              <w:spacing w:after="0"/>
              <w:rPr>
                <w:sz w:val="17"/>
                <w:szCs w:val="17"/>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54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Section 1350 Certification of Chief Executive Officer (furnished herewith).</w:t>
              </w:r>
            </w:hyperlink>
          </w:p>
        </w:tc>
        <w:tc>
          <w:tcPr>
            <w:tcW w:w="3400" w:type="dxa"/>
            <w:vAlign w:val="bottom"/>
            <w:gridSpan w:val="4"/>
          </w:tcPr>
          <w:p>
            <w:pPr>
              <w:spacing w:after="0"/>
              <w:rPr>
                <w:sz w:val="17"/>
                <w:szCs w:val="17"/>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8840" w:type="dxa"/>
            <w:vAlign w:val="bottom"/>
            <w:gridSpan w:val="1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Section 1350 Certification of Chief Financial Officer (furnished herewith).</w:t>
              </w:r>
            </w:hyperlink>
          </w:p>
        </w:tc>
      </w:tr>
      <w:tr>
        <w:trPr>
          <w:trHeight w:val="20"/>
        </w:trPr>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gridSpan w:val="6"/>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r>
      <w:tr>
        <w:trPr>
          <w:trHeight w:val="222"/>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9"/>
                <w:szCs w:val="19"/>
                <w:color w:val="auto"/>
              </w:rPr>
            </w:pPr>
          </w:p>
        </w:tc>
        <w:tc>
          <w:tcPr>
            <w:tcW w:w="8840" w:type="dxa"/>
            <w:vAlign w:val="bottom"/>
            <w:gridSpan w:val="11"/>
          </w:tcPr>
          <w:p>
            <w:pPr>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8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Arial" w:cs="Arial" w:eastAsia="Arial" w:hAnsi="Arial"/>
                <w:sz w:val="18"/>
                <w:szCs w:val="18"/>
                <w:color w:val="auto"/>
              </w:rPr>
              <w:t>Inline XBRL Taxonomy Schema Linkbase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w w:val="96"/>
              </w:rPr>
              <w:t>101.CAL++</w:t>
            </w:r>
          </w:p>
        </w:tc>
        <w:tc>
          <w:tcPr>
            <w:tcW w:w="18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8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w w:val="97"/>
              </w:rPr>
              <w:t>101.LAB++</w:t>
            </w:r>
          </w:p>
        </w:tc>
        <w:tc>
          <w:tcPr>
            <w:tcW w:w="18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Arial" w:cs="Arial" w:eastAsia="Arial" w:hAnsi="Arial"/>
                <w:sz w:val="18"/>
                <w:szCs w:val="18"/>
                <w:color w:val="auto"/>
              </w:rPr>
              <w:t>Inline XBRL Taxonomy Labels Linkbase Document.</w:t>
            </w: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80" w:type="dxa"/>
            <w:vAlign w:val="bottom"/>
          </w:tcPr>
          <w:p>
            <w:pPr>
              <w:spacing w:after="0"/>
              <w:rPr>
                <w:sz w:val="20"/>
                <w:szCs w:val="20"/>
                <w:color w:val="auto"/>
              </w:rPr>
            </w:pPr>
          </w:p>
        </w:tc>
        <w:tc>
          <w:tcPr>
            <w:tcW w:w="8840" w:type="dxa"/>
            <w:vAlign w:val="bottom"/>
            <w:gridSpan w:val="11"/>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ind w:left="1080" w:right="120" w:hanging="1071"/>
        <w:spacing w:after="0" w:line="260"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date file does not appear in the Interactive Date File because its XBRL tags are embedded within the Inline XBRL document).</w:t>
      </w:r>
    </w:p>
    <w:p>
      <w:pPr>
        <w:spacing w:after="0" w:line="198" w:lineRule="exact"/>
        <w:rPr>
          <w:rFonts w:ascii="Arial" w:cs="Arial" w:eastAsia="Arial" w:hAnsi="Arial"/>
          <w:sz w:val="18"/>
          <w:szCs w:val="18"/>
          <w:color w:val="auto"/>
        </w:rPr>
      </w:pPr>
    </w:p>
    <w:p>
      <w:pPr>
        <w:ind w:left="840" w:hanging="8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 (unless otherwise noted as being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20"/>
        </w:trPr>
        <w:tc>
          <w:tcPr>
            <w:tcW w:w="3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3000" w:type="dxa"/>
            <w:vAlign w:val="bottom"/>
          </w:tcPr>
          <w:p>
            <w:pPr>
              <w:spacing w:after="0"/>
              <w:rPr>
                <w:sz w:val="20"/>
                <w:szCs w:val="20"/>
                <w:color w:val="auto"/>
              </w:rPr>
            </w:pPr>
            <w:r>
              <w:rPr>
                <w:rFonts w:ascii="Arial" w:cs="Arial" w:eastAsia="Arial" w:hAnsi="Arial"/>
                <w:sz w:val="18"/>
                <w:szCs w:val="18"/>
                <w:color w:val="auto"/>
              </w:rPr>
              <w:t>August 4, 2022</w:t>
            </w:r>
          </w:p>
        </w:tc>
        <w:tc>
          <w:tcPr>
            <w:tcW w:w="196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3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3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Interim Chief Executive Officer and President, and General</w:t>
            </w:r>
          </w:p>
        </w:tc>
      </w:tr>
      <w:tr>
        <w:trPr>
          <w:trHeight w:val="230"/>
        </w:trPr>
        <w:tc>
          <w:tcPr>
            <w:tcW w:w="3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Counsel (Principal Executive Officer)</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August 4, 2022</w:t>
            </w:r>
          </w:p>
        </w:tc>
        <w:tc>
          <w:tcPr>
            <w:tcW w:w="196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Jean-Marc Bellemin</w:t>
            </w:r>
          </w:p>
        </w:tc>
      </w:tr>
      <w:tr>
        <w:trPr>
          <w:trHeight w:val="195"/>
        </w:trPr>
        <w:tc>
          <w:tcPr>
            <w:tcW w:w="3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5"/>
              </w:rPr>
              <w:t>Chief Financial Officer and Treasurer (Principal Financial and</w:t>
            </w:r>
          </w:p>
        </w:tc>
      </w:tr>
      <w:tr>
        <w:trPr>
          <w:trHeight w:val="230"/>
        </w:trPr>
        <w:tc>
          <w:tcPr>
            <w:tcW w:w="3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r>
        <w:trPr>
          <w:trHeight w:val="878"/>
        </w:trPr>
        <w:tc>
          <w:tcPr>
            <w:tcW w:w="3000" w:type="dxa"/>
            <w:vAlign w:val="bottom"/>
          </w:tcPr>
          <w:p>
            <w:pPr>
              <w:spacing w:after="0"/>
              <w:rPr>
                <w:sz w:val="24"/>
                <w:szCs w:val="24"/>
                <w:color w:val="auto"/>
              </w:rPr>
            </w:pPr>
          </w:p>
        </w:tc>
        <w:tc>
          <w:tcPr>
            <w:tcW w:w="2260" w:type="dxa"/>
            <w:vAlign w:val="bottom"/>
            <w:gridSpan w:val="2"/>
          </w:tcPr>
          <w:p>
            <w:pPr>
              <w:jc w:val="right"/>
              <w:ind w:right="110"/>
              <w:spacing w:after="0"/>
              <w:rPr>
                <w:sz w:val="20"/>
                <w:szCs w:val="20"/>
                <w:color w:val="auto"/>
              </w:rPr>
            </w:pPr>
            <w:r>
              <w:rPr>
                <w:rFonts w:ascii="Arial" w:cs="Arial" w:eastAsia="Arial" w:hAnsi="Arial"/>
                <w:sz w:val="18"/>
                <w:szCs w:val="18"/>
                <w:color w:val="auto"/>
              </w:rPr>
              <w:t>88</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0"/>
        </w:trPr>
        <w:tc>
          <w:tcPr>
            <w:tcW w:w="3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IOVANCE BIOTHERAPEUTICS,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 AS AMENDED</w:t>
      </w:r>
    </w:p>
    <w:p>
      <w:pPr>
        <w:spacing w:after="0" w:line="225" w:lineRule="exact"/>
        <w:rPr>
          <w:sz w:val="20"/>
          <w:szCs w:val="20"/>
          <w:color w:val="auto"/>
        </w:rPr>
      </w:pPr>
    </w:p>
    <w:p>
      <w:pPr>
        <w:jc w:val="both"/>
        <w:ind w:firstLine="656"/>
        <w:spacing w:after="0" w:line="258" w:lineRule="auto"/>
        <w:tabs>
          <w:tab w:leader="none" w:pos="85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Iovance Biotherapeutics, Inc. 2018 Equity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is intended to help Iovance Biotherapeutics, Inc., a Delaware corporation (including any successor thereto, the “</w:t>
      </w:r>
      <w:r>
        <w:rPr>
          <w:rFonts w:ascii="Arial" w:cs="Arial" w:eastAsia="Arial" w:hAnsi="Arial"/>
          <w:sz w:val="18"/>
          <w:szCs w:val="18"/>
          <w:b w:val="1"/>
          <w:bCs w:val="1"/>
          <w:color w:val="auto"/>
        </w:rPr>
        <w:t>Company</w:t>
      </w:r>
      <w:r>
        <w:rPr>
          <w:rFonts w:ascii="Arial" w:cs="Arial" w:eastAsia="Arial" w:hAnsi="Arial"/>
          <w:sz w:val="18"/>
          <w:szCs w:val="18"/>
          <w:color w:val="auto"/>
        </w:rPr>
        <w:t>”), and its Affiliates attract and retain key personnel by providing them the opportunity to acquire an equity interest in the Company or other incentive compensation measured by reference to the value of Common Stock and to align the interests of key personnel with those of the Company’s stockholders.</w:t>
      </w:r>
    </w:p>
    <w:p>
      <w:pPr>
        <w:spacing w:after="0" w:line="183" w:lineRule="exact"/>
        <w:rPr>
          <w:rFonts w:ascii="Arial" w:cs="Arial" w:eastAsia="Arial" w:hAnsi="Arial"/>
          <w:sz w:val="18"/>
          <w:szCs w:val="18"/>
          <w:color w:val="auto"/>
        </w:rPr>
      </w:pPr>
    </w:p>
    <w:p>
      <w:pPr>
        <w:jc w:val="both"/>
        <w:ind w:firstLine="656"/>
        <w:spacing w:after="0" w:line="261" w:lineRule="auto"/>
        <w:tabs>
          <w:tab w:leader="none" w:pos="84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Effective Date; Duration</w:t>
      </w:r>
      <w:r>
        <w:rPr>
          <w:rFonts w:ascii="Arial" w:cs="Arial" w:eastAsia="Arial" w:hAnsi="Arial"/>
          <w:sz w:val="18"/>
          <w:szCs w:val="18"/>
          <w:color w:val="auto"/>
        </w:rPr>
        <w:t>. The Plan will become effective, if at all, upon the date (the “</w:t>
      </w:r>
      <w:r>
        <w:rPr>
          <w:rFonts w:ascii="Arial" w:cs="Arial" w:eastAsia="Arial" w:hAnsi="Arial"/>
          <w:sz w:val="18"/>
          <w:szCs w:val="18"/>
          <w:b w:val="1"/>
          <w:bCs w:val="1"/>
          <w:color w:val="auto"/>
        </w:rPr>
        <w:t>Effective Date</w:t>
      </w:r>
      <w:r>
        <w:rPr>
          <w:rFonts w:ascii="Arial" w:cs="Arial" w:eastAsia="Arial" w:hAnsi="Arial"/>
          <w:sz w:val="18"/>
          <w:szCs w:val="18"/>
          <w:color w:val="auto"/>
        </w:rPr>
        <w:t>”) that the Plan is approved by the stockholders of the Company. The expiration date of the Plan, on and after which date no Awards may be granted, shall be the tenth anniversary of the Effective Date; provided, however, that such expiration shall not affect Awards then outstanding, and the terms and conditions of the Plan shall continue to apply to such Awards.</w:t>
      </w:r>
    </w:p>
    <w:p>
      <w:pPr>
        <w:spacing w:after="0" w:line="183" w:lineRule="exact"/>
        <w:rPr>
          <w:rFonts w:ascii="Arial" w:cs="Arial" w:eastAsia="Arial" w:hAnsi="Arial"/>
          <w:sz w:val="18"/>
          <w:szCs w:val="18"/>
          <w:color w:val="auto"/>
        </w:rPr>
      </w:pPr>
    </w:p>
    <w:p>
      <w:pPr>
        <w:ind w:firstLine="656"/>
        <w:spacing w:after="0" w:line="277" w:lineRule="auto"/>
        <w:tabs>
          <w:tab w:leader="none" w:pos="82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When used herein, the following capitalized terms shall have the meanings indicated, and their plural forms shall have the pluralized forms of their meanings indicated:</w:t>
      </w:r>
    </w:p>
    <w:p>
      <w:pPr>
        <w:spacing w:after="0" w:line="166" w:lineRule="exact"/>
        <w:rPr>
          <w:rFonts w:ascii="Arial" w:cs="Arial" w:eastAsia="Arial" w:hAnsi="Arial"/>
          <w:sz w:val="18"/>
          <w:szCs w:val="18"/>
          <w:color w:val="auto"/>
        </w:rPr>
      </w:pPr>
    </w:p>
    <w:p>
      <w:pPr>
        <w:jc w:val="both"/>
        <w:ind w:firstLine="1304"/>
        <w:spacing w:after="0" w:line="258" w:lineRule="auto"/>
        <w:tabs>
          <w:tab w:leader="none" w:pos="15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or entity that directly or indirectly controls, is controlled by, or is under common control with, the Company.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83" w:lineRule="exact"/>
        <w:rPr>
          <w:rFonts w:ascii="Arial" w:cs="Arial" w:eastAsia="Arial" w:hAnsi="Arial"/>
          <w:sz w:val="18"/>
          <w:szCs w:val="18"/>
          <w:color w:val="auto"/>
        </w:rPr>
      </w:pPr>
    </w:p>
    <w:p>
      <w:pPr>
        <w:ind w:firstLine="1304"/>
        <w:spacing w:after="0" w:line="282" w:lineRule="auto"/>
        <w:tabs>
          <w:tab w:leader="none" w:pos="15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Incentive Stock Option, Nonqualified Stock Option, Stock Appreciation Right, Restricted Stock, Restricted Stock Unit, or Other Stock-Based Award granted under the Plan.</w:t>
      </w:r>
    </w:p>
    <w:p>
      <w:pPr>
        <w:spacing w:after="0" w:line="161" w:lineRule="exact"/>
        <w:rPr>
          <w:rFonts w:ascii="Arial" w:cs="Arial" w:eastAsia="Arial" w:hAnsi="Arial"/>
          <w:sz w:val="18"/>
          <w:szCs w:val="18"/>
          <w:color w:val="auto"/>
        </w:rPr>
      </w:pPr>
    </w:p>
    <w:p>
      <w:pPr>
        <w:ind w:right="20" w:firstLine="1304"/>
        <w:spacing w:after="0" w:line="282" w:lineRule="auto"/>
        <w:tabs>
          <w:tab w:leader="none" w:pos="1541"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agreement (whether in written or electronic form) or other instrument or document evidencing any Award granted under the Plan.</w:t>
      </w:r>
    </w:p>
    <w:p>
      <w:pPr>
        <w:spacing w:after="0" w:line="161" w:lineRule="exact"/>
        <w:rPr>
          <w:rFonts w:ascii="Arial" w:cs="Arial" w:eastAsia="Arial" w:hAnsi="Arial"/>
          <w:sz w:val="18"/>
          <w:szCs w:val="18"/>
          <w:color w:val="auto"/>
        </w:rPr>
      </w:pPr>
    </w:p>
    <w:p>
      <w:pPr>
        <w:ind w:left="1560" w:hanging="256"/>
        <w:spacing w:after="0"/>
        <w:tabs>
          <w:tab w:leader="none" w:pos="15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has the meaning set forth in Rule 13d-3 promulgated under Section 13 of the Exchange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06" w:lineRule="exact"/>
        <w:rPr>
          <w:rFonts w:ascii="Arial" w:cs="Arial" w:eastAsia="Arial" w:hAnsi="Arial"/>
          <w:sz w:val="16"/>
          <w:szCs w:val="16"/>
          <w:color w:val="auto"/>
        </w:rPr>
      </w:pPr>
    </w:p>
    <w:p>
      <w:pPr>
        <w:ind w:left="1540" w:hanging="236"/>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firstLine="1304"/>
        <w:spacing w:after="0" w:line="268" w:lineRule="auto"/>
        <w:tabs>
          <w:tab w:leader="none" w:pos="1521" w:val="left"/>
        </w:tabs>
        <w:numPr>
          <w:ilvl w:val="1"/>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in the case of a particular Award, unless the applicable Award Agreement states otherwise, (i) shall have the meaning given such term (or term of similar import) in any employment, consulting, change-in-control, severance or any other agreement between the Participant and the Company or any of its Affiliates, or severance plan in which the Participant is eligible to participate, in either case in effect at the time of the Participant’s termination of employment or service with the Company and its Affiliates, or (ii) if “cause” (or term of similar import) is not defined in, or in the absence of, any such employment, consulting, change-in-control, severance or any other agreement between the Participant and the Company or any of its Affiliates, or severance plan in which the Participant is eligible to participate, means: (A) the Participant’s conviction of, or entry of a plea of no contest to (x) a felony or (y) a misdemeanor involving moral turpitude, (B) the Participant’s gross negligence or willful misconduct, or a willful failure to attempt in good faith to substantially perform his or her duties (other than due to physical illness or incapacity), (C) the Participant’s material breach of a material provision of any employment agreement, consulting agreement, directorship agreement or similar services agreement or offer letter between the Participant and the Company or any of its Affiliates, or any non-competition, non-disclosure or non-solicitation agreement with the Company or any of its Affiliates, (D) the Participant’s material violation of any written policies adopted by the Company or any of its Affiliates governing the conduct of persons performing services on behalf of the Company or any of its Affiliates, (E) the Participant’s obtaining any material improper personal benefit as result of breach by the Participant of any covenant or agreement (including a breach by the Participant of the Company’s code of ethics or a material breach by the Participant of other written policies furnished to the Participant relating to personal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0" w:name="page91"/>
    <w:bookmarkEnd w:id="90"/>
    <w:p>
      <w:pPr>
        <w:jc w:val="both"/>
        <w:spacing w:after="0" w:line="287" w:lineRule="auto"/>
        <w:rPr>
          <w:sz w:val="20"/>
          <w:szCs w:val="20"/>
          <w:color w:val="auto"/>
        </w:rPr>
      </w:pPr>
      <w:r>
        <w:rPr>
          <w:rFonts w:ascii="Arial" w:cs="Arial" w:eastAsia="Arial" w:hAnsi="Arial"/>
          <w:sz w:val="16"/>
          <w:szCs w:val="16"/>
          <w:color w:val="auto"/>
        </w:rPr>
        <w:t>transactions) of which the Participant was or should have been aware, (F) the Participant’s fraud or misappropriation, embezzlement or material misuse of funds or property belonging to the Company or any of its Affiliates, (G) the Participant’s use of alcohol or drugs that materially interferes with the performance of his or her duties, or (H) willful or reckless misconduct in respect of the Participant’s obligations to the Company or its Affiliates or other acts of misconduct by the Participant occurring during the course of the Participant’s employment or service that in either case results in or could reasonably be expected to result in material damage to the property, business or reputation of the Company or its Affiliates. Notwithstanding anything to the contrary herein, and except where provided otherwise by an applicable agreement, if, within six (6) months following a Participant’s termination of employment or service for any reason other than by the Company for Cause, the Company determines that such Participant’s termination of employment or service could have been for Cause, such Participant’s termination of employment or service will be deemed to have been for Cause for all purposes, and such Participant will be required to disgorge to the Company all amounts received under this Plan, any Award Agreement or otherwise that would not have been payable to such Participant had such termination of employment or service been by the Company for Cause. The determination of whether Cause exists shall be made by the Committee in its sole discretion.</w:t>
      </w:r>
    </w:p>
    <w:p>
      <w:pPr>
        <w:spacing w:after="0" w:line="56" w:lineRule="exact"/>
        <w:rPr>
          <w:sz w:val="20"/>
          <w:szCs w:val="20"/>
          <w:color w:val="auto"/>
        </w:rPr>
      </w:pPr>
    </w:p>
    <w:p>
      <w:pPr>
        <w:jc w:val="both"/>
        <w:ind w:firstLine="1304"/>
        <w:spacing w:after="0" w:line="266" w:lineRule="auto"/>
        <w:tabs>
          <w:tab w:leader="none" w:pos="15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in the case of a particular Award, unless the applicable Award Agreement (or any employment, consulting, change-in-control, severance or other agreement between the Participant and the Company or any of its Affiliates) states otherwise, the first to occur of any of the following events:</w:t>
      </w:r>
    </w:p>
    <w:p>
      <w:pPr>
        <w:spacing w:after="0" w:line="179" w:lineRule="exact"/>
        <w:rPr>
          <w:rFonts w:ascii="Arial" w:cs="Arial" w:eastAsia="Arial" w:hAnsi="Arial"/>
          <w:sz w:val="18"/>
          <w:szCs w:val="18"/>
          <w:color w:val="auto"/>
        </w:rPr>
      </w:pPr>
    </w:p>
    <w:p>
      <w:pPr>
        <w:jc w:val="both"/>
        <w:ind w:left="660" w:firstLine="1292"/>
        <w:spacing w:after="0" w:line="271" w:lineRule="auto"/>
        <w:tabs>
          <w:tab w:leader="none" w:pos="2171"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acquisition by any Person or related “group” (as such term is used in Section 13(d) and Section 14(d) of the Exchange Act)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(the “</w:t>
      </w:r>
      <w:r>
        <w:rPr>
          <w:rFonts w:ascii="Arial" w:cs="Arial" w:eastAsia="Arial" w:hAnsi="Arial"/>
          <w:sz w:val="17"/>
          <w:szCs w:val="17"/>
          <w:b w:val="1"/>
          <w:bCs w:val="1"/>
          <w:color w:val="auto"/>
        </w:rPr>
        <w:t>Outstanding Company Common Stock</w:t>
      </w:r>
      <w:r>
        <w:rPr>
          <w:rFonts w:ascii="Arial" w:cs="Arial" w:eastAsia="Arial" w:hAnsi="Arial"/>
          <w:sz w:val="17"/>
          <w:szCs w:val="17"/>
          <w:color w:val="auto"/>
        </w:rPr>
        <w:t>”), or (B) the combined voting power of the then-outstanding voting securities of the Company entitled to vote in the election of directors (the “</w:t>
      </w:r>
      <w:r>
        <w:rPr>
          <w:rFonts w:ascii="Arial" w:cs="Arial" w:eastAsia="Arial" w:hAnsi="Arial"/>
          <w:sz w:val="17"/>
          <w:szCs w:val="17"/>
          <w:b w:val="1"/>
          <w:bCs w:val="1"/>
          <w:color w:val="auto"/>
        </w:rPr>
        <w:t>Outstanding Company</w:t>
      </w:r>
      <w:r>
        <w:rPr>
          <w:rFonts w:ascii="Arial" w:cs="Arial" w:eastAsia="Arial" w:hAnsi="Arial"/>
          <w:sz w:val="17"/>
          <w:szCs w:val="17"/>
          <w:color w:val="auto"/>
        </w:rPr>
        <w:t xml:space="preserve"> </w:t>
      </w:r>
      <w:r>
        <w:rPr>
          <w:rFonts w:ascii="Arial" w:cs="Arial" w:eastAsia="Arial" w:hAnsi="Arial"/>
          <w:sz w:val="17"/>
          <w:szCs w:val="17"/>
          <w:b w:val="1"/>
          <w:bCs w:val="1"/>
          <w:color w:val="auto"/>
        </w:rPr>
        <w:t>Voting Securities</w:t>
      </w:r>
      <w:r>
        <w:rPr>
          <w:rFonts w:ascii="Arial" w:cs="Arial" w:eastAsia="Arial" w:hAnsi="Arial"/>
          <w:sz w:val="17"/>
          <w:szCs w:val="17"/>
          <w:color w:val="auto"/>
        </w:rPr>
        <w:t>”), but excluding any acquisition by the Company or any of its Affiliates or by any employee benefit plan</w:t>
      </w:r>
      <w:r>
        <w:rPr>
          <w:rFonts w:ascii="Arial" w:cs="Arial" w:eastAsia="Arial" w:hAnsi="Arial"/>
          <w:sz w:val="17"/>
          <w:szCs w:val="17"/>
          <w:b w:val="1"/>
          <w:bCs w:val="1"/>
          <w:color w:val="auto"/>
        </w:rPr>
        <w:t xml:space="preserve"> </w:t>
      </w:r>
      <w:r>
        <w:rPr>
          <w:rFonts w:ascii="Arial" w:cs="Arial" w:eastAsia="Arial" w:hAnsi="Arial"/>
          <w:sz w:val="17"/>
          <w:szCs w:val="17"/>
          <w:color w:val="auto"/>
        </w:rPr>
        <w:t>sponsored or maintained by the Company or any of its Affiliates;</w:t>
      </w:r>
    </w:p>
    <w:p>
      <w:pPr>
        <w:spacing w:after="0" w:line="178" w:lineRule="exact"/>
        <w:rPr>
          <w:rFonts w:ascii="Arial" w:cs="Arial" w:eastAsia="Arial" w:hAnsi="Arial"/>
          <w:sz w:val="17"/>
          <w:szCs w:val="17"/>
          <w:color w:val="auto"/>
        </w:rPr>
      </w:pPr>
    </w:p>
    <w:p>
      <w:pPr>
        <w:jc w:val="both"/>
        <w:ind w:left="660" w:firstLine="1292"/>
        <w:spacing w:after="0" w:line="254" w:lineRule="auto"/>
        <w:tabs>
          <w:tab w:leader="none" w:pos="22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members of the Board during any consecutive 12-month period (the “</w:t>
      </w:r>
      <w:r>
        <w:rPr>
          <w:rFonts w:ascii="Arial" w:cs="Arial" w:eastAsia="Arial" w:hAnsi="Arial"/>
          <w:sz w:val="18"/>
          <w:szCs w:val="18"/>
          <w:b w:val="1"/>
          <w:bCs w:val="1"/>
          <w:color w:val="auto"/>
        </w:rPr>
        <w:t>Incumbent Directors</w:t>
      </w:r>
      <w:r>
        <w:rPr>
          <w:rFonts w:ascii="Arial" w:cs="Arial" w:eastAsia="Arial" w:hAnsi="Arial"/>
          <w:sz w:val="18"/>
          <w:szCs w:val="18"/>
          <w:color w:val="auto"/>
        </w:rPr>
        <w:t>”) cease to constitute a majority of the Board. Any person becoming a director through election or nomination for election approved by a valid vote of at least two thirds of the Incumbent Directors shall be deemed an Incumbent Director; provided, however,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an Incumbent Director;</w:t>
      </w:r>
    </w:p>
    <w:p>
      <w:pPr>
        <w:spacing w:after="0" w:line="194" w:lineRule="exact"/>
        <w:rPr>
          <w:rFonts w:ascii="Arial" w:cs="Arial" w:eastAsia="Arial" w:hAnsi="Arial"/>
          <w:sz w:val="18"/>
          <w:szCs w:val="18"/>
          <w:color w:val="auto"/>
        </w:rPr>
      </w:pPr>
    </w:p>
    <w:p>
      <w:pPr>
        <w:ind w:left="2280" w:hanging="328"/>
        <w:spacing w:after="0"/>
        <w:tabs>
          <w:tab w:leader="none" w:pos="22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approval by the stockholders of the Company of a plan of complete dissolution or liquidation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 and</w:t>
      </w:r>
    </w:p>
    <w:p>
      <w:pPr>
        <w:spacing w:after="0" w:line="210" w:lineRule="exact"/>
        <w:rPr>
          <w:rFonts w:ascii="Arial" w:cs="Arial" w:eastAsia="Arial" w:hAnsi="Arial"/>
          <w:sz w:val="16"/>
          <w:szCs w:val="16"/>
          <w:color w:val="auto"/>
        </w:rPr>
      </w:pPr>
    </w:p>
    <w:p>
      <w:pPr>
        <w:jc w:val="both"/>
        <w:ind w:left="660" w:firstLine="1292"/>
        <w:spacing w:after="0" w:line="286" w:lineRule="auto"/>
        <w:tabs>
          <w:tab w:leader="none" w:pos="2286"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amalgamation, consolidation, statutory share exchange or similar form of corporate transaction involving the Company (a “</w:t>
      </w:r>
      <w:r>
        <w:rPr>
          <w:rFonts w:ascii="Arial" w:cs="Arial" w:eastAsia="Arial" w:hAnsi="Arial"/>
          <w:sz w:val="16"/>
          <w:szCs w:val="16"/>
          <w:b w:val="1"/>
          <w:bCs w:val="1"/>
          <w:color w:val="auto"/>
        </w:rPr>
        <w:t>Business Combination</w:t>
      </w:r>
      <w:r>
        <w:rPr>
          <w:rFonts w:ascii="Arial" w:cs="Arial" w:eastAsia="Arial" w:hAnsi="Arial"/>
          <w:sz w:val="16"/>
          <w:szCs w:val="16"/>
          <w:color w:val="auto"/>
        </w:rPr>
        <w:t>”), or sale, transfer or other disposition of all or substantially all of the business or assets of the Company to an entity that is not an Affiliate of the Company (a “</w:t>
      </w:r>
      <w:r>
        <w:rPr>
          <w:rFonts w:ascii="Arial" w:cs="Arial" w:eastAsia="Arial" w:hAnsi="Arial"/>
          <w:sz w:val="16"/>
          <w:szCs w:val="16"/>
          <w:b w:val="1"/>
          <w:bCs w:val="1"/>
          <w:color w:val="auto"/>
        </w:rPr>
        <w:t>Sale</w:t>
      </w:r>
      <w:r>
        <w:rPr>
          <w:rFonts w:ascii="Arial" w:cs="Arial" w:eastAsia="Arial" w:hAnsi="Arial"/>
          <w:sz w:val="16"/>
          <w:szCs w:val="16"/>
          <w:color w:val="auto"/>
        </w:rPr>
        <w:t>”),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Arial" w:cs="Arial" w:eastAsia="Arial" w:hAnsi="Arial"/>
          <w:sz w:val="16"/>
          <w:szCs w:val="16"/>
          <w:b w:val="1"/>
          <w:bCs w:val="1"/>
          <w:color w:val="auto"/>
        </w:rPr>
        <w:t>Surviving Company</w:t>
      </w:r>
      <w:r>
        <w:rPr>
          <w:rFonts w:ascii="Arial" w:cs="Arial" w:eastAsia="Arial" w:hAnsi="Arial"/>
          <w:sz w:val="16"/>
          <w:szCs w:val="16"/>
          <w:color w:val="auto"/>
        </w:rPr>
        <w:t>”), or the ultimate parent entity that has Beneficial Ownership of sufficient voting power to elect a majority of the board of directors (or analogous governing body) of the Surviving Company (the “</w:t>
      </w:r>
      <w:r>
        <w:rPr>
          <w:rFonts w:ascii="Arial" w:cs="Arial" w:eastAsia="Arial" w:hAnsi="Arial"/>
          <w:sz w:val="16"/>
          <w:szCs w:val="16"/>
          <w:b w:val="1"/>
          <w:bCs w:val="1"/>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 (B) no Person (other than any employee benefit plan sponsored or maintained by the Surviving Company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91" w:name="page92"/>
    <w:bookmarkEnd w:id="91"/>
    <w:p>
      <w:pPr>
        <w:jc w:val="both"/>
        <w:ind w:left="200"/>
        <w:spacing w:after="0" w:line="273" w:lineRule="auto"/>
        <w:rPr>
          <w:sz w:val="20"/>
          <w:szCs w:val="20"/>
          <w:color w:val="auto"/>
        </w:rPr>
      </w:pPr>
      <w:r>
        <w:rPr>
          <w:rFonts w:ascii="Arial" w:cs="Arial" w:eastAsia="Arial" w:hAnsi="Arial"/>
          <w:sz w:val="17"/>
          <w:szCs w:val="17"/>
          <w:color w:val="auto"/>
        </w:rPr>
        <w:t>Parent Company) is or becomes the beneficial owner, directly or indirectly, of 50%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66" w:lineRule="exact"/>
        <w:rPr>
          <w:sz w:val="20"/>
          <w:szCs w:val="20"/>
          <w:color w:val="auto"/>
        </w:rPr>
      </w:pPr>
    </w:p>
    <w:p>
      <w:pPr>
        <w:jc w:val="both"/>
        <w:ind w:left="-460" w:firstLine="1304"/>
        <w:spacing w:after="0" w:line="266" w:lineRule="auto"/>
        <w:tabs>
          <w:tab w:leader="none" w:pos="10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175" w:lineRule="exact"/>
        <w:rPr>
          <w:rFonts w:ascii="Arial" w:cs="Arial" w:eastAsia="Arial" w:hAnsi="Arial"/>
          <w:sz w:val="18"/>
          <w:szCs w:val="18"/>
          <w:color w:val="auto"/>
        </w:rPr>
      </w:pPr>
    </w:p>
    <w:p>
      <w:pPr>
        <w:jc w:val="both"/>
        <w:ind w:left="-460" w:firstLine="1304"/>
        <w:spacing w:after="0" w:line="314" w:lineRule="auto"/>
        <w:tabs>
          <w:tab w:leader="none" w:pos="1051"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Compensation Committee of the Board or a subcommittee thereof if required with respect to actions taken to comply with Rule 16b-3 promulgated under the Exchange Act in respect of Awards or, if no such Compensation Committee or subcommittee thereof exists, or if the Board otherwise takes action hereunder on behalf of the Committee, the Board.</w:t>
      </w:r>
    </w:p>
    <w:p>
      <w:pPr>
        <w:spacing w:after="0" w:line="141" w:lineRule="exact"/>
        <w:rPr>
          <w:rFonts w:ascii="Arial" w:cs="Arial" w:eastAsia="Arial" w:hAnsi="Arial"/>
          <w:sz w:val="16"/>
          <w:szCs w:val="16"/>
          <w:color w:val="auto"/>
        </w:rPr>
      </w:pPr>
    </w:p>
    <w:p>
      <w:pPr>
        <w:ind w:left="-460" w:right="20" w:firstLine="1304"/>
        <w:spacing w:after="0" w:line="282" w:lineRule="auto"/>
        <w:tabs>
          <w:tab w:leader="none" w:pos="10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 par value $0.000041666 per share (and any stock or other securities into which such common stock may be converted or into which it may be exchanged).</w:t>
      </w:r>
    </w:p>
    <w:p>
      <w:pPr>
        <w:spacing w:after="0" w:line="161" w:lineRule="exact"/>
        <w:rPr>
          <w:rFonts w:ascii="Arial" w:cs="Arial" w:eastAsia="Arial" w:hAnsi="Arial"/>
          <w:sz w:val="18"/>
          <w:szCs w:val="18"/>
          <w:color w:val="auto"/>
        </w:rPr>
      </w:pPr>
    </w:p>
    <w:p>
      <w:pPr>
        <w:jc w:val="both"/>
        <w:ind w:left="-460" w:firstLine="1304"/>
        <w:spacing w:after="0" w:line="266" w:lineRule="auto"/>
        <w:tabs>
          <w:tab w:leader="none" w:pos="10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175" w:lineRule="exact"/>
        <w:rPr>
          <w:rFonts w:ascii="Arial" w:cs="Arial" w:eastAsia="Arial" w:hAnsi="Arial"/>
          <w:sz w:val="18"/>
          <w:szCs w:val="18"/>
          <w:color w:val="auto"/>
        </w:rPr>
      </w:pPr>
    </w:p>
    <w:p>
      <w:pPr>
        <w:ind w:left="1060" w:hanging="2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shall refer to the United States dollars.</w:t>
      </w:r>
    </w:p>
    <w:p>
      <w:pPr>
        <w:spacing w:after="0" w:line="225" w:lineRule="exact"/>
        <w:rPr>
          <w:rFonts w:ascii="Arial" w:cs="Arial" w:eastAsia="Arial" w:hAnsi="Arial"/>
          <w:sz w:val="18"/>
          <w:szCs w:val="18"/>
          <w:color w:val="auto"/>
        </w:rPr>
      </w:pPr>
    </w:p>
    <w:p>
      <w:pPr>
        <w:ind w:left="1140" w:hanging="296"/>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Director</w:t>
      </w:r>
      <w:r>
        <w:rPr>
          <w:rFonts w:ascii="Arial" w:cs="Arial" w:eastAsia="Arial" w:hAnsi="Arial"/>
          <w:sz w:val="18"/>
          <w:szCs w:val="18"/>
          <w:color w:val="auto"/>
        </w:rPr>
        <w:t>” means a director who satisfies the conditions set forth in Section 4(a) of the Plan.</w:t>
      </w:r>
    </w:p>
    <w:p>
      <w:pPr>
        <w:spacing w:after="0" w:line="225" w:lineRule="exact"/>
        <w:rPr>
          <w:rFonts w:ascii="Arial" w:cs="Arial" w:eastAsia="Arial" w:hAnsi="Arial"/>
          <w:sz w:val="18"/>
          <w:szCs w:val="18"/>
          <w:color w:val="auto"/>
        </w:rPr>
      </w:pPr>
    </w:p>
    <w:p>
      <w:pPr>
        <w:jc w:val="both"/>
        <w:ind w:left="-460" w:firstLine="1304"/>
        <w:spacing w:after="0" w:line="274" w:lineRule="auto"/>
        <w:tabs>
          <w:tab w:leader="none" w:pos="1091"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Person</w:t>
      </w:r>
      <w:r>
        <w:rPr>
          <w:rFonts w:ascii="Arial" w:cs="Arial" w:eastAsia="Arial" w:hAnsi="Arial"/>
          <w:sz w:val="17"/>
          <w:szCs w:val="17"/>
          <w:color w:val="auto"/>
        </w:rPr>
        <w:t>” means any (i) individual employed by the Company or a Subsidiary; provided, however, that no such employee covered by a collective bargaining agreement shall be an Eligible Person, (ii) director or officer of the Company or a Subsidiary, (iii) consultant or advisor to the Company or an Affiliate who may be offered securities registrable on Form S-8 under the Securities Act, or (iv) prospective employee, director, officer, consultant or advisor who has accepted an offer of employment or service from the Company or its Subsidiaries (and would satisfy the provisions of clause (i), (ii) or (iii) above once such individual begins employment with or providing services to the Company or a Subsidiary).</w:t>
      </w:r>
    </w:p>
    <w:p>
      <w:pPr>
        <w:spacing w:after="0" w:line="173" w:lineRule="exact"/>
        <w:rPr>
          <w:rFonts w:ascii="Arial" w:cs="Arial" w:eastAsia="Arial" w:hAnsi="Arial"/>
          <w:sz w:val="17"/>
          <w:szCs w:val="17"/>
          <w:color w:val="auto"/>
        </w:rPr>
      </w:pPr>
    </w:p>
    <w:p>
      <w:pPr>
        <w:jc w:val="both"/>
        <w:ind w:left="-460" w:firstLine="1304"/>
        <w:spacing w:after="0" w:line="266" w:lineRule="auto"/>
        <w:tabs>
          <w:tab w:leader="none" w:pos="11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175" w:lineRule="exact"/>
        <w:rPr>
          <w:rFonts w:ascii="Arial" w:cs="Arial" w:eastAsia="Arial" w:hAnsi="Arial"/>
          <w:sz w:val="18"/>
          <w:szCs w:val="18"/>
          <w:color w:val="auto"/>
        </w:rPr>
      </w:pPr>
    </w:p>
    <w:p>
      <w:pPr>
        <w:ind w:left="1100" w:hanging="25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has the meaning set forth in Section 7(b) of the Plan.</w:t>
      </w:r>
    </w:p>
    <w:p>
      <w:pPr>
        <w:spacing w:after="0" w:line="225" w:lineRule="exact"/>
        <w:rPr>
          <w:rFonts w:ascii="Arial" w:cs="Arial" w:eastAsia="Arial" w:hAnsi="Arial"/>
          <w:sz w:val="18"/>
          <w:szCs w:val="18"/>
          <w:color w:val="auto"/>
        </w:rPr>
      </w:pPr>
    </w:p>
    <w:p>
      <w:pPr>
        <w:jc w:val="both"/>
        <w:ind w:left="-460" w:firstLine="1304"/>
        <w:spacing w:after="0" w:line="256" w:lineRule="auto"/>
        <w:tabs>
          <w:tab w:leader="none" w:pos="10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(i) with respect to Common Stock on a given date, (x) if the Common Stock is listed on a national securities exchange, the closing sales price of a share of Common Stock reported on such exchange on such date, or if there is no such sale on that date, then on the last preceding date on which such a sale was reported, or (y) if the Common Stock is not listed on any national securities exchange, the amount determined by the Committee in good faith to be the fair market value of the Common Stock, or (ii) with respect to any other property on any given date, the amount determined by the Committee in good faith to be the fair market value of such other property as of such date.</w:t>
      </w:r>
    </w:p>
    <w:p>
      <w:pPr>
        <w:spacing w:after="0" w:line="187" w:lineRule="exact"/>
        <w:rPr>
          <w:rFonts w:ascii="Arial" w:cs="Arial" w:eastAsia="Arial" w:hAnsi="Arial"/>
          <w:sz w:val="18"/>
          <w:szCs w:val="18"/>
          <w:color w:val="auto"/>
        </w:rPr>
      </w:pPr>
    </w:p>
    <w:p>
      <w:pPr>
        <w:ind w:left="-460" w:firstLine="1304"/>
        <w:spacing w:after="0" w:line="282" w:lineRule="auto"/>
        <w:tabs>
          <w:tab w:leader="none" w:pos="10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that is designated by the Committee as an incentive stock option as described in Section 422 of the Code and otherwise meets the requirements set forth in the Plan.</w:t>
      </w:r>
    </w:p>
    <w:p>
      <w:pPr>
        <w:spacing w:after="0" w:line="161" w:lineRule="exact"/>
        <w:rPr>
          <w:rFonts w:ascii="Arial" w:cs="Arial" w:eastAsia="Arial" w:hAnsi="Arial"/>
          <w:sz w:val="18"/>
          <w:szCs w:val="18"/>
          <w:color w:val="auto"/>
        </w:rPr>
      </w:pPr>
    </w:p>
    <w:p>
      <w:pPr>
        <w:ind w:left="1080" w:hanging="236"/>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 Members</w:t>
      </w:r>
      <w:r>
        <w:rPr>
          <w:rFonts w:ascii="Arial" w:cs="Arial" w:eastAsia="Arial" w:hAnsi="Arial"/>
          <w:sz w:val="18"/>
          <w:szCs w:val="18"/>
          <w:color w:val="auto"/>
        </w:rPr>
        <w:t>” has the meaning set forth in Section 14(b)(ii) of the Plan.</w:t>
      </w:r>
    </w:p>
    <w:p>
      <w:pPr>
        <w:spacing w:after="0" w:line="117" w:lineRule="exact"/>
        <w:rPr>
          <w:rFonts w:ascii="Arial" w:cs="Arial" w:eastAsia="Arial" w:hAnsi="Arial"/>
          <w:sz w:val="18"/>
          <w:szCs w:val="18"/>
          <w:color w:val="auto"/>
        </w:rPr>
      </w:pPr>
    </w:p>
    <w:p>
      <w:pPr>
        <w:ind w:left="1060" w:hanging="2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Indemnifiable Person</w:t>
      </w:r>
      <w:r>
        <w:rPr>
          <w:rFonts w:ascii="Arial" w:cs="Arial" w:eastAsia="Arial" w:hAnsi="Arial"/>
          <w:sz w:val="18"/>
          <w:szCs w:val="18"/>
          <w:color w:val="auto"/>
        </w:rPr>
        <w:t>” has the meaning set forth in Section 4(e)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702945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92" w:name="page93"/>
    <w:bookmarkEnd w:id="92"/>
    <w:p>
      <w:pPr>
        <w:ind w:left="1560" w:hanging="256"/>
        <w:spacing w:after="0"/>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Nonqualified Stock Option</w:t>
      </w:r>
      <w:r>
        <w:rPr>
          <w:rFonts w:ascii="Arial" w:cs="Arial" w:eastAsia="Arial" w:hAnsi="Arial"/>
          <w:sz w:val="17"/>
          <w:szCs w:val="17"/>
          <w:color w:val="auto"/>
        </w:rPr>
        <w:t>” means an Option that is not designated by the Committee as an Incentive Stock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07" w:lineRule="exact"/>
        <w:rPr>
          <w:sz w:val="20"/>
          <w:szCs w:val="20"/>
          <w:color w:val="auto"/>
        </w:rPr>
      </w:pPr>
    </w:p>
    <w:p>
      <w:pPr>
        <w:ind w:left="1600" w:hanging="296"/>
        <w:spacing w:after="0"/>
        <w:tabs>
          <w:tab w:leader="none" w:pos="1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Award granted under Section 7 of the Plan.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has the meaning set forth in Section 7(c) of the Plan.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Award granted under Section 10 of the Plan.</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set forth in Section 6 of the Plan.</w:t>
      </w:r>
    </w:p>
    <w:p>
      <w:pPr>
        <w:spacing w:after="0" w:line="225" w:lineRule="exact"/>
        <w:rPr>
          <w:sz w:val="20"/>
          <w:szCs w:val="20"/>
          <w:color w:val="auto"/>
        </w:rPr>
      </w:pPr>
    </w:p>
    <w:p>
      <w:pPr>
        <w:ind w:left="1620" w:hanging="316"/>
        <w:spacing w:after="0"/>
        <w:tabs>
          <w:tab w:leader="none" w:pos="1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Transferee</w:t>
      </w:r>
      <w:r>
        <w:rPr>
          <w:rFonts w:ascii="Arial" w:cs="Arial" w:eastAsia="Arial" w:hAnsi="Arial"/>
          <w:sz w:val="17"/>
          <w:szCs w:val="17"/>
          <w:color w:val="auto"/>
        </w:rPr>
        <w:t>” has the meaning set forth in Section 14(b)(ii) of the Plan.</w:t>
      </w:r>
    </w:p>
    <w:p>
      <w:pPr>
        <w:spacing w:after="0" w:line="236" w:lineRule="exact"/>
        <w:rPr>
          <w:rFonts w:ascii="Arial" w:cs="Arial" w:eastAsia="Arial" w:hAnsi="Arial"/>
          <w:sz w:val="17"/>
          <w:szCs w:val="17"/>
          <w:color w:val="auto"/>
        </w:rPr>
      </w:pPr>
    </w:p>
    <w:p>
      <w:pPr>
        <w:jc w:val="both"/>
        <w:ind w:firstLine="1304"/>
        <w:spacing w:after="0" w:line="277" w:lineRule="auto"/>
        <w:tabs>
          <w:tab w:leader="none" w:pos="1641" w:val="left"/>
        </w:tabs>
        <w:numPr>
          <w:ilvl w:val="1"/>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has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Common Stock of the Company.</w:t>
      </w:r>
    </w:p>
    <w:p>
      <w:pPr>
        <w:spacing w:after="0" w:line="167" w:lineRule="exact"/>
        <w:rPr>
          <w:rFonts w:ascii="Arial" w:cs="Arial" w:eastAsia="Arial" w:hAnsi="Arial"/>
          <w:sz w:val="17"/>
          <w:szCs w:val="17"/>
          <w:color w:val="auto"/>
        </w:rPr>
      </w:pPr>
    </w:p>
    <w:p>
      <w:pPr>
        <w:ind w:left="1620" w:hanging="316"/>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Released Unit</w:t>
      </w:r>
      <w:r>
        <w:rPr>
          <w:rFonts w:ascii="Arial" w:cs="Arial" w:eastAsia="Arial" w:hAnsi="Arial"/>
          <w:sz w:val="18"/>
          <w:szCs w:val="18"/>
          <w:color w:val="auto"/>
        </w:rPr>
        <w:t>” has the meaning set forth in Section 9(d)(ii) of the Plan.</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has the meaning set forth in Section 9(a) of the Plan.</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 Award of Common Stock, subject to certain specified restrictions, granted under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 of the Plan.</w:t>
      </w:r>
    </w:p>
    <w:p>
      <w:pPr>
        <w:spacing w:after="0" w:line="206" w:lineRule="exact"/>
        <w:rPr>
          <w:rFonts w:ascii="Arial" w:cs="Arial" w:eastAsia="Arial" w:hAnsi="Arial"/>
          <w:sz w:val="16"/>
          <w:szCs w:val="16"/>
          <w:color w:val="auto"/>
        </w:rPr>
      </w:pPr>
    </w:p>
    <w:p>
      <w:pPr>
        <w:ind w:firstLine="1304"/>
        <w:spacing w:after="0" w:line="347" w:lineRule="auto"/>
        <w:tabs>
          <w:tab w:leader="none" w:pos="15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Unit</w:t>
      </w:r>
      <w:r>
        <w:rPr>
          <w:rFonts w:ascii="Arial" w:cs="Arial" w:eastAsia="Arial" w:hAnsi="Arial"/>
          <w:sz w:val="16"/>
          <w:szCs w:val="16"/>
          <w:color w:val="auto"/>
        </w:rPr>
        <w:t>” means an Award of an unfunded and unsecured promise to deliver shares of Common Stock, cash, other securities or other property, subject to certain specified restrictions, granted under Section 9 of the Plan.</w:t>
      </w:r>
    </w:p>
    <w:p>
      <w:pPr>
        <w:spacing w:after="0" w:line="115" w:lineRule="exact"/>
        <w:rPr>
          <w:rFonts w:ascii="Arial" w:cs="Arial" w:eastAsia="Arial" w:hAnsi="Arial"/>
          <w:sz w:val="16"/>
          <w:szCs w:val="16"/>
          <w:color w:val="auto"/>
        </w:rPr>
      </w:pPr>
    </w:p>
    <w:p>
      <w:pPr>
        <w:ind w:left="1640" w:hanging="336"/>
        <w:spacing w:after="0"/>
        <w:tabs>
          <w:tab w:leader="none" w:pos="1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 Period</w:t>
      </w:r>
      <w:r>
        <w:rPr>
          <w:rFonts w:ascii="Arial" w:cs="Arial" w:eastAsia="Arial" w:hAnsi="Arial"/>
          <w:sz w:val="18"/>
          <w:szCs w:val="18"/>
          <w:color w:val="auto"/>
        </w:rPr>
        <w:t>” has the meaning set forth in Section 8(c) of the Plan.</w:t>
      </w:r>
    </w:p>
    <w:p>
      <w:pPr>
        <w:spacing w:after="0" w:line="225" w:lineRule="exact"/>
        <w:rPr>
          <w:rFonts w:ascii="Arial" w:cs="Arial" w:eastAsia="Arial" w:hAnsi="Arial"/>
          <w:sz w:val="18"/>
          <w:szCs w:val="18"/>
          <w:color w:val="auto"/>
        </w:rPr>
      </w:pPr>
    </w:p>
    <w:p>
      <w:pPr>
        <w:jc w:val="both"/>
        <w:ind w:firstLine="1304"/>
        <w:spacing w:after="0" w:line="261" w:lineRule="auto"/>
        <w:tabs>
          <w:tab w:leader="none" w:pos="1641"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other interpretive guidance.</w:t>
      </w:r>
    </w:p>
    <w:p>
      <w:pPr>
        <w:spacing w:after="0" w:line="179" w:lineRule="exact"/>
        <w:rPr>
          <w:rFonts w:ascii="Arial" w:cs="Arial" w:eastAsia="Arial" w:hAnsi="Arial"/>
          <w:sz w:val="18"/>
          <w:szCs w:val="18"/>
          <w:color w:val="auto"/>
        </w:rPr>
      </w:pPr>
    </w:p>
    <w:p>
      <w:pPr>
        <w:ind w:left="1560" w:hanging="256"/>
        <w:spacing w:after="0"/>
        <w:tabs>
          <w:tab w:leader="none" w:pos="15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Strike Price</w:t>
      </w:r>
      <w:r>
        <w:rPr>
          <w:rFonts w:ascii="Arial" w:cs="Arial" w:eastAsia="Arial" w:hAnsi="Arial"/>
          <w:sz w:val="18"/>
          <w:szCs w:val="18"/>
          <w:color w:val="auto"/>
        </w:rPr>
        <w:t>” has the meaning set forth in Section 8(b) of the Plan.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Plan.</w:t>
      </w:r>
    </w:p>
    <w:p>
      <w:pPr>
        <w:spacing w:after="0" w:line="225" w:lineRule="exact"/>
        <w:rPr>
          <w:rFonts w:ascii="Arial" w:cs="Arial" w:eastAsia="Arial" w:hAnsi="Arial"/>
          <w:sz w:val="18"/>
          <w:szCs w:val="18"/>
          <w:color w:val="auto"/>
        </w:rPr>
      </w:pPr>
    </w:p>
    <w:p>
      <w:pPr>
        <w:ind w:firstLine="1304"/>
        <w:spacing w:after="0" w:line="282" w:lineRule="auto"/>
        <w:tabs>
          <w:tab w:leader="none" w:pos="1641"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a majority of whose outstanding voting stock or voting power is beneficially owned directly or indirectly by the Company.</w:t>
      </w:r>
    </w:p>
    <w:p>
      <w:pPr>
        <w:spacing w:after="0" w:line="161" w:lineRule="exact"/>
        <w:rPr>
          <w:rFonts w:ascii="Arial" w:cs="Arial" w:eastAsia="Arial" w:hAnsi="Arial"/>
          <w:sz w:val="18"/>
          <w:szCs w:val="18"/>
          <w:color w:val="auto"/>
        </w:rPr>
      </w:pPr>
    </w:p>
    <w:p>
      <w:pPr>
        <w:ind w:left="1560" w:hanging="256"/>
        <w:spacing w:after="0"/>
        <w:tabs>
          <w:tab w:leader="none" w:pos="15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Awards</w:t>
      </w:r>
      <w:r>
        <w:rPr>
          <w:rFonts w:ascii="Arial" w:cs="Arial" w:eastAsia="Arial" w:hAnsi="Arial"/>
          <w:sz w:val="18"/>
          <w:szCs w:val="18"/>
          <w:color w:val="auto"/>
        </w:rPr>
        <w:t>” has the meaning set forth in Section 5(e) of the Plan.</w:t>
      </w:r>
    </w:p>
    <w:p>
      <w:pPr>
        <w:spacing w:after="0" w:line="121" w:lineRule="exact"/>
        <w:rPr>
          <w:rFonts w:ascii="Arial" w:cs="Arial" w:eastAsia="Arial" w:hAnsi="Arial"/>
          <w:sz w:val="18"/>
          <w:szCs w:val="18"/>
          <w:color w:val="auto"/>
        </w:rPr>
      </w:pPr>
    </w:p>
    <w:p>
      <w:pPr>
        <w:ind w:left="840" w:hanging="184"/>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Plan shall be administered by the Committee or, in the Board's sole discretion, by the Board. Subject to the terms of the Plan, the Committee (or the Board) shall have the sole and plenary authority to (i) designate Participants, (ii) determine the type, size, and terms and conditions of Awards to be granted and to grant such Awards, (iii) determine the method by which an Award may be settled, exercised, canceled, forfeited, suspended,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93" w:name="page94"/>
    <w:bookmarkEnd w:id="93"/>
    <w:p>
      <w:pPr>
        <w:jc w:val="both"/>
        <w:spacing w:after="0" w:line="268" w:lineRule="auto"/>
        <w:rPr>
          <w:sz w:val="20"/>
          <w:szCs w:val="20"/>
          <w:color w:val="auto"/>
        </w:rPr>
      </w:pPr>
      <w:r>
        <w:rPr>
          <w:rFonts w:ascii="Arial" w:cs="Arial" w:eastAsia="Arial" w:hAnsi="Arial"/>
          <w:sz w:val="17"/>
          <w:szCs w:val="17"/>
          <w:color w:val="auto"/>
        </w:rPr>
        <w:t>repurchased by the Company, (iv) determine the circumstances under which the delivery of cash, property or other amounts payable with respect to an Award may be deferred, either automatically or at the Participant’s or Committee’s election, (v) interpret, administer, reconcile any inconsistency in, correct any defect in and supply any omission in the Plan and any Award granted under the Plan, (vi) establish, amend, suspend, or waive any rules and regulations and appoint such agents as the Committee shall deem appropriate for the proper administration of the Plan, (vii) accelerate the vesting, delivery or exercisability of, or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any exception or exemption under applicable securities laws or the applicable NASDAQ rules or the rules of any other securities exchange or inter-dealer quotation service on which the Common Stock is listed or quoted, as applicable, it is intended that each member of the Committee shall, at the time such member takes any action with respect to an Award under the Plan, be (1) a “non-employee director” within the meaning of Rule 16b-3 promulgated under the Exchange Act or (2) an “independent director” under NASDAQ rules or the rules of any other securities exchange or inter-dealer quotation service on which the Common Stock is listed or quoted, or a person meeting any similar requirement under any successor rule or regulation (“</w:t>
      </w:r>
      <w:r>
        <w:rPr>
          <w:rFonts w:ascii="Arial" w:cs="Arial" w:eastAsia="Arial" w:hAnsi="Arial"/>
          <w:sz w:val="17"/>
          <w:szCs w:val="17"/>
          <w:b w:val="1"/>
          <w:bCs w:val="1"/>
          <w:color w:val="auto"/>
        </w:rPr>
        <w:t>Eligible Director</w:t>
      </w:r>
      <w:r>
        <w:rPr>
          <w:rFonts w:ascii="Arial" w:cs="Arial" w:eastAsia="Arial" w:hAnsi="Arial"/>
          <w:sz w:val="17"/>
          <w:szCs w:val="17"/>
          <w:color w:val="auto"/>
        </w:rPr>
        <w:t>”). However, the fact that a Committee member shall fail to qualify as an Eligible Director shall not invalidate any Award granted or action taken by the Committee that is otherwise validly granted or taken under the Plan.</w:t>
      </w:r>
    </w:p>
    <w:p>
      <w:pPr>
        <w:spacing w:after="0" w:line="180" w:lineRule="exact"/>
        <w:rPr>
          <w:sz w:val="20"/>
          <w:szCs w:val="20"/>
          <w:color w:val="auto"/>
        </w:rPr>
      </w:pPr>
    </w:p>
    <w:p>
      <w:pPr>
        <w:jc w:val="both"/>
        <w:ind w:firstLine="1304"/>
        <w:spacing w:after="0" w:line="263" w:lineRule="auto"/>
        <w:tabs>
          <w:tab w:leader="none" w:pos="15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Committee may delegate all or any portion of its responsibilities and powers to any persons selected by it, except for grants of Awards to persons who are non- employee members of the Board or are otherwise subject to Section 16 of the Exchange Act. Any such delegation may be revoked by the Committee at any time.</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5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further set forth in Section 14(f)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provided, however, that no such action shall be taken without stockholder approval if such approval is required by applicable securities laws or regulation or NASDAQ rules or the rules of any other securities exchange or inter-dealer quotation service on which the Common Stock is listed or quoted.</w:t>
      </w:r>
    </w:p>
    <w:p>
      <w:pPr>
        <w:spacing w:after="0" w:line="161" w:lineRule="exact"/>
        <w:rPr>
          <w:rFonts w:ascii="Arial" w:cs="Arial" w:eastAsia="Arial" w:hAnsi="Arial"/>
          <w:sz w:val="16"/>
          <w:szCs w:val="16"/>
          <w:color w:val="auto"/>
        </w:rPr>
      </w:pPr>
    </w:p>
    <w:p>
      <w:pPr>
        <w:jc w:val="both"/>
        <w:ind w:firstLine="1304"/>
        <w:spacing w:after="0" w:line="257" w:lineRule="auto"/>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and entities, including, without limitation, the Company, any Affiliate, any Participant, any holder or beneficiary of any Award, and any stockholder of the Company.</w:t>
      </w:r>
    </w:p>
    <w:p>
      <w:pPr>
        <w:spacing w:after="0" w:line="187" w:lineRule="exact"/>
        <w:rPr>
          <w:rFonts w:ascii="Arial" w:cs="Arial" w:eastAsia="Arial" w:hAnsi="Arial"/>
          <w:sz w:val="18"/>
          <w:szCs w:val="18"/>
          <w:color w:val="auto"/>
        </w:rPr>
      </w:pPr>
    </w:p>
    <w:p>
      <w:pPr>
        <w:jc w:val="both"/>
        <w:ind w:firstLine="1304"/>
        <w:spacing w:after="0" w:line="285" w:lineRule="auto"/>
        <w:tabs>
          <w:tab w:leader="none" w:pos="15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member of the Board or the Committee, nor any employee or agent of the Company (each such person, an “</w:t>
      </w:r>
      <w:r>
        <w:rPr>
          <w:rFonts w:ascii="Arial" w:cs="Arial" w:eastAsia="Arial" w:hAnsi="Arial"/>
          <w:sz w:val="16"/>
          <w:szCs w:val="16"/>
          <w:b w:val="1"/>
          <w:bCs w:val="1"/>
          <w:color w:val="auto"/>
        </w:rPr>
        <w:t>Indemnifiable Person</w:t>
      </w:r>
      <w:r>
        <w:rPr>
          <w:rFonts w:ascii="Arial" w:cs="Arial" w:eastAsia="Arial" w:hAnsi="Arial"/>
          <w:sz w:val="16"/>
          <w:szCs w:val="16"/>
          <w:color w:val="auto"/>
        </w:rPr>
        <w:t>”), shall be liable for any action taken or omitted to be taken or any determination made with respect to the Plan or any Award hereunder (unless constituting fraud or a willful criminal act or willful criminal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willful criminal omission or that such right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599440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94" w:name="page95"/>
    <w:bookmarkEnd w:id="94"/>
    <w:p>
      <w:pPr>
        <w:jc w:val="both"/>
        <w:spacing w:after="0" w:line="301" w:lineRule="auto"/>
        <w:rPr>
          <w:sz w:val="20"/>
          <w:szCs w:val="20"/>
          <w:color w:val="auto"/>
        </w:rPr>
      </w:pPr>
      <w:r>
        <w:rPr>
          <w:rFonts w:ascii="Arial" w:cs="Arial" w:eastAsia="Arial" w:hAnsi="Arial"/>
          <w:sz w:val="16"/>
          <w:szCs w:val="16"/>
          <w:color w:val="auto"/>
        </w:rPr>
        <w:t>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49" w:lineRule="exact"/>
        <w:rPr>
          <w:sz w:val="20"/>
          <w:szCs w:val="20"/>
          <w:color w:val="auto"/>
        </w:rPr>
      </w:pPr>
    </w:p>
    <w:p>
      <w:pPr>
        <w:ind w:right="20" w:firstLine="1304"/>
        <w:spacing w:after="0" w:line="277" w:lineRule="auto"/>
        <w:tabs>
          <w:tab w:leader="none" w:pos="15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Board may at any time and from time to time grant Awards and administer the Plan with respect to such Awards. In any such case, the Board shall have all the authority granted to the Committee under the Plan.</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Grant of Awards; Shares Subject to the Plan;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 The Committee may grant Awards to one or more Eligible Persons.</w:t>
      </w:r>
    </w:p>
    <w:p>
      <w:pPr>
        <w:spacing w:after="0" w:line="225" w:lineRule="exact"/>
        <w:rPr>
          <w:rFonts w:ascii="Arial" w:cs="Arial" w:eastAsia="Arial" w:hAnsi="Arial"/>
          <w:sz w:val="18"/>
          <w:szCs w:val="18"/>
          <w:color w:val="auto"/>
        </w:rPr>
      </w:pPr>
    </w:p>
    <w:p>
      <w:pPr>
        <w:jc w:val="both"/>
        <w:ind w:firstLine="1304"/>
        <w:spacing w:after="0" w:line="253" w:lineRule="auto"/>
        <w:tabs>
          <w:tab w:leader="none" w:pos="1551"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Share Limits</w:t>
      </w:r>
      <w:r>
        <w:rPr>
          <w:rFonts w:ascii="Arial" w:cs="Arial" w:eastAsia="Arial" w:hAnsi="Arial"/>
          <w:sz w:val="18"/>
          <w:szCs w:val="18"/>
          <w:color w:val="auto"/>
        </w:rPr>
        <w:t>. Subject to Section 11 of the Plan and subsection (e): (i) no more than 20,700,000 shares of Common Stock may be reserved for issuance and delivered in the aggregate pursuant to Awards granted under the Plan (the “</w:t>
      </w:r>
      <w:r>
        <w:rPr>
          <w:rFonts w:ascii="Arial" w:cs="Arial" w:eastAsia="Arial" w:hAnsi="Arial"/>
          <w:sz w:val="18"/>
          <w:szCs w:val="18"/>
          <w:b w:val="1"/>
          <w:bCs w:val="1"/>
          <w:color w:val="auto"/>
        </w:rPr>
        <w:t>Share Pool</w:t>
      </w:r>
      <w:r>
        <w:rPr>
          <w:rFonts w:ascii="Arial" w:cs="Arial" w:eastAsia="Arial" w:hAnsi="Arial"/>
          <w:sz w:val="18"/>
          <w:szCs w:val="18"/>
          <w:color w:val="auto"/>
        </w:rPr>
        <w:t>”); (ii) no more than 20,700,000 shares of Common Stock may be delivered pursuant to the exercise of Incentive Stock Options granted under the Plan; and (iii) the maximum number of Awards that may be granted collectively in any single fiscal year to the non- employee members of the Board for serving on the Board, shall be an amount equal to the product of 50,000 times the number of non- employee members on the Board; provided, that the foregoing limitation shall not apply in respect of any Awards issued to a non- employee director in respect of (i) any one-time equity grant upon a non- employee director’s initial appointment or election to the Board, or (ii) equity grants for services provided to the Company other than services as a member of the Board. The total amount of Awards granted annually to the non- employee members of the Board may allocated amongst the non- employee members of the Board in a manner determined by the Board.</w:t>
      </w:r>
    </w:p>
    <w:p>
      <w:pPr>
        <w:spacing w:after="0" w:line="194" w:lineRule="exact"/>
        <w:rPr>
          <w:rFonts w:ascii="Arial" w:cs="Arial" w:eastAsia="Arial" w:hAnsi="Arial"/>
          <w:sz w:val="18"/>
          <w:szCs w:val="18"/>
          <w:color w:val="auto"/>
        </w:rPr>
      </w:pPr>
    </w:p>
    <w:p>
      <w:pPr>
        <w:jc w:val="both"/>
        <w:ind w:firstLine="1304"/>
        <w:spacing w:after="0" w:line="269" w:lineRule="auto"/>
        <w:tabs>
          <w:tab w:leader="none" w:pos="1568"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Share Counting</w:t>
      </w:r>
      <w:r>
        <w:rPr>
          <w:rFonts w:ascii="Arial" w:cs="Arial" w:eastAsia="Arial" w:hAnsi="Arial"/>
          <w:sz w:val="17"/>
          <w:szCs w:val="17"/>
          <w:color w:val="auto"/>
        </w:rPr>
        <w:t>. The Share Pool shall be reduced, on the date of grant,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Pool. If and to the extent that Awards originating from the Share Pool terminate, expire, or are canceled, forfeited, exchanged, or surrendered without having been exercised, vested, or settled, the shares of Common Stock subject to such Awards shall again be available for Awards under the Share Pool. Notwithstanding the foregoing, the following shares of Common Stock shall not become available for issuance under the Plan: (i) shares of Common Stock tendered by Participants, or withheld by the Company, as full or partial payment to the Company upon the exercise of Stock Options granted under the Plan; (ii) shares of Common Stock reserved for issuance upon the grant of Stock Appreciation Rights, to the extent that the number of reserved shares of Common Stock exceeds the number of shares of Common Stock actually issued upon the exercise of the Stock Appreciation Rights; and (iii) shares of Common Stock withheld by, or otherwise remitted to, the Company to satisfy a Participant’s tax withholding obligations upon the lapse of restrictions on, settlement of, or exercise of Awards granted under the Plan.</w:t>
      </w:r>
    </w:p>
    <w:p>
      <w:pPr>
        <w:spacing w:after="0" w:line="178" w:lineRule="exact"/>
        <w:rPr>
          <w:rFonts w:ascii="Arial" w:cs="Arial" w:eastAsia="Arial" w:hAnsi="Arial"/>
          <w:sz w:val="17"/>
          <w:szCs w:val="17"/>
          <w:color w:val="auto"/>
        </w:rPr>
      </w:pPr>
    </w:p>
    <w:p>
      <w:pPr>
        <w:jc w:val="both"/>
        <w:ind w:right="20" w:firstLine="1304"/>
        <w:spacing w:after="0" w:line="263" w:lineRule="auto"/>
        <w:tabs>
          <w:tab w:leader="none" w:pos="1551"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Source of Shares</w:t>
      </w:r>
      <w:r>
        <w:rPr>
          <w:rFonts w:ascii="Arial" w:cs="Arial" w:eastAsia="Arial" w:hAnsi="Arial"/>
          <w:sz w:val="18"/>
          <w:szCs w:val="18"/>
          <w:color w:val="auto"/>
        </w:rPr>
        <w:t>. 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541"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The Committee may grant Awards in assumption of, or in substitution for, outstanding awards previously granted by the Company or any Affiliate or an entity directly or indirectly acquired by the Company or with which the Company combines (“</w:t>
      </w:r>
      <w:r>
        <w:rPr>
          <w:rFonts w:ascii="Arial" w:cs="Arial" w:eastAsia="Arial" w:hAnsi="Arial"/>
          <w:sz w:val="16"/>
          <w:szCs w:val="16"/>
          <w:b w:val="1"/>
          <w:bCs w:val="1"/>
          <w:color w:val="auto"/>
        </w:rPr>
        <w:t>Substitute Awards</w:t>
      </w:r>
      <w:r>
        <w:rPr>
          <w:rFonts w:ascii="Arial" w:cs="Arial" w:eastAsia="Arial" w:hAnsi="Arial"/>
          <w:sz w:val="16"/>
          <w:szCs w:val="16"/>
          <w:color w:val="auto"/>
        </w:rPr>
        <w:t>”), and such Substitute Awards shall not be counted against the aggregate number of shares of Common Stock available for Awards; provided, that Substitute Awards issued or intended as “incentive stock options” within the meaning of Section 422 of the Code shall be counted against the aggregate number of Incentive Stock Options available under the Plan.</w:t>
      </w:r>
    </w:p>
    <w:p>
      <w:pPr>
        <w:spacing w:after="0" w:line="53" w:lineRule="exact"/>
        <w:rPr>
          <w:rFonts w:ascii="Arial" w:cs="Arial" w:eastAsia="Arial" w:hAnsi="Arial"/>
          <w:sz w:val="16"/>
          <w:szCs w:val="16"/>
          <w:color w:val="auto"/>
        </w:rPr>
      </w:pPr>
    </w:p>
    <w:p>
      <w:pPr>
        <w:ind w:firstLine="656"/>
        <w:spacing w:after="0" w:line="342" w:lineRule="auto"/>
        <w:tabs>
          <w:tab w:leader="none" w:pos="82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Participation shall be limited to Eligible Persons who have been selected by the Committee and who have entered into an Award Agreement with respect to an Award granted to them under the Plan (each such Eligible Person, a “</w:t>
      </w:r>
      <w:r>
        <w:rPr>
          <w:rFonts w:ascii="Arial" w:cs="Arial" w:eastAsia="Arial" w:hAnsi="Arial"/>
          <w:sz w:val="16"/>
          <w:szCs w:val="16"/>
          <w:b w:val="1"/>
          <w:bCs w:val="1"/>
          <w:color w:val="auto"/>
        </w:rPr>
        <w:t>Participant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636270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95" w:name="page96"/>
    <w:bookmarkEnd w:id="95"/>
    <w:p>
      <w:pPr>
        <w:ind w:left="380" w:hanging="184"/>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304"/>
        <w:spacing w:after="0" w:line="272" w:lineRule="auto"/>
        <w:tabs>
          <w:tab w:leader="none" w:pos="1108"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Option shall be subject to the conditions set forth in the Plan and in the applicable Award Agreement. All Options granted under the Plan shall be Nonqualified Stock Options unless the Award Agreement expressly states otherwise. Incentive Stock Options shall be granted only subject to and in compliance with Section 422 of the Code, and only to Eligible Persons who are employees of the Company or of a parent or subsidiary of the Company (within the meaning of Sections 424(e) and 424(f) of the Code). If for any reason an Option intended to be an Incentive Stock Option (or any portion thereof) shall not qualify as an Incentive Stock Option, then, to the extent of such nonqualification, such Option or portion thereof shall be regarded as a Nonqualified Stock Option properly granted under the Plan.</w:t>
      </w:r>
    </w:p>
    <w:p>
      <w:pPr>
        <w:spacing w:after="0" w:line="173" w:lineRule="exact"/>
        <w:rPr>
          <w:rFonts w:ascii="Arial" w:cs="Arial" w:eastAsia="Arial" w:hAnsi="Arial"/>
          <w:sz w:val="17"/>
          <w:szCs w:val="17"/>
          <w:color w:val="auto"/>
        </w:rPr>
      </w:pPr>
    </w:p>
    <w:p>
      <w:pPr>
        <w:jc w:val="both"/>
        <w:ind w:left="-460" w:firstLine="1304"/>
        <w:spacing w:after="0" w:line="289" w:lineRule="auto"/>
        <w:tabs>
          <w:tab w:leader="none" w:pos="1104"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w:t>
      </w:r>
      <w:r>
        <w:rPr>
          <w:rFonts w:ascii="Arial" w:cs="Arial" w:eastAsia="Arial" w:hAnsi="Arial"/>
          <w:sz w:val="17"/>
          <w:szCs w:val="17"/>
          <w:b w:val="1"/>
          <w:bCs w:val="1"/>
          <w:color w:val="auto"/>
        </w:rPr>
        <w:t>Exercise Price</w:t>
      </w:r>
      <w:r>
        <w:rPr>
          <w:rFonts w:ascii="Arial" w:cs="Arial" w:eastAsia="Arial" w:hAnsi="Arial"/>
          <w:sz w:val="17"/>
          <w:szCs w:val="17"/>
          <w:color w:val="auto"/>
        </w:rPr>
        <w:t>”) per share of Common Stock for each Option (that is not a Substitute Award) shall not be less than 100% of the Fair Market Value of such share, determined as of the date of grant. Any modification to the Exercise Price of an outstanding Option shall be subject to the prohibition on repricing set forth in Section 13(b).</w:t>
      </w:r>
    </w:p>
    <w:p>
      <w:pPr>
        <w:spacing w:after="0" w:line="161" w:lineRule="exact"/>
        <w:rPr>
          <w:rFonts w:ascii="Arial" w:cs="Arial" w:eastAsia="Arial" w:hAnsi="Arial"/>
          <w:sz w:val="17"/>
          <w:szCs w:val="17"/>
          <w:color w:val="auto"/>
        </w:rPr>
      </w:pPr>
    </w:p>
    <w:p>
      <w:pPr>
        <w:jc w:val="both"/>
        <w:ind w:left="-460" w:firstLine="1304"/>
        <w:spacing w:after="0" w:line="272" w:lineRule="auto"/>
        <w:tabs>
          <w:tab w:leader="none" w:pos="1094"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Vesting, Exercise and Expiration</w:t>
      </w:r>
      <w:r>
        <w:rPr>
          <w:rFonts w:ascii="Arial" w:cs="Arial" w:eastAsia="Arial" w:hAnsi="Arial"/>
          <w:sz w:val="17"/>
          <w:szCs w:val="17"/>
          <w:color w:val="auto"/>
        </w:rPr>
        <w:t>. The Committee shall determine the manner and timing of vesting, exercise and expiration of Options. The period between the date of grant and the scheduled expiration date of the Option (“</w:t>
      </w:r>
      <w:r>
        <w:rPr>
          <w:rFonts w:ascii="Arial" w:cs="Arial" w:eastAsia="Arial" w:hAnsi="Arial"/>
          <w:sz w:val="17"/>
          <w:szCs w:val="17"/>
          <w:b w:val="1"/>
          <w:bCs w:val="1"/>
          <w:color w:val="auto"/>
        </w:rPr>
        <w:t>Option Period</w:t>
      </w:r>
      <w:r>
        <w:rPr>
          <w:rFonts w:ascii="Arial" w:cs="Arial" w:eastAsia="Arial" w:hAnsi="Arial"/>
          <w:sz w:val="17"/>
          <w:szCs w:val="17"/>
          <w:color w:val="auto"/>
        </w:rPr>
        <w:t>”) shall not exceed ten years, unless the Option Period (other than in the case of an Incentive Stock Option) would expire at a time when trading in the shares of Common Stock is prohibited by the Company’s insider-trading policy or a Company-imposed “blackout period,” in which case the Option Period shall be extended automatically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177" w:lineRule="exact"/>
        <w:rPr>
          <w:rFonts w:ascii="Arial" w:cs="Arial" w:eastAsia="Arial" w:hAnsi="Arial"/>
          <w:sz w:val="17"/>
          <w:szCs w:val="17"/>
          <w:color w:val="auto"/>
        </w:rPr>
      </w:pPr>
    </w:p>
    <w:p>
      <w:pPr>
        <w:jc w:val="both"/>
        <w:ind w:left="-460" w:firstLine="1304"/>
        <w:spacing w:after="0" w:line="285" w:lineRule="auto"/>
        <w:tabs>
          <w:tab w:leader="none" w:pos="1091"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No shares of Common Stock shall be delivered pursuant to any exercise of an Option until the Participant has paid the Exercise Price to the Company in full,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third-party administrator) in accordance with the terms of the Option and the Award Agreement accompanied by payment of the Exercise Price and such applicable taxes. The Exercise Price and delivery of all applicable required withholding taxes shall be payable (i) in cash, by check or cash equivalent, or (ii) by such other method as elected by the Participant and that the Committee may permit, in its sole discretion, including without limitation: (A)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or any combination of the foregoing; provided, that such shares of Common Stock are not subject to any pledge or other security interest; (B) in the form of other property having a Fair Market Value on the date of exercise equal to the Exercise Price and all applicable required withholding taxes; (C) if there is a public market for the shares of Common Stock at such time, by means of a broker-assisted “cashless exercise” pursuant to which the Company or its designee (including third-party administrators) is delivered a copy of irrevocable instructions to a stockbroker to sell the shares of Common Stock otherwise deliverable upon the exercise of the Option and to deliver promptly to the Company an amount equal to the Exercise Price and all applicable required withholding taxes against delivery of the shares of Common Stock to settle the applicable trade; or (D) by means of a “net exercise” procedure effected by withholding the minimum number of shares of Common Stock otherwise deliverable in respect of an Option that are needed to pay for the Exercise Price and up to the maximum required withholding taxes. In all events of cashless or net exercise, any fractional shares of Common Stock shall be settled in cash.</w:t>
      </w:r>
    </w:p>
    <w:p>
      <w:pPr>
        <w:spacing w:after="0" w:line="168" w:lineRule="exact"/>
        <w:rPr>
          <w:rFonts w:ascii="Arial" w:cs="Arial" w:eastAsia="Arial" w:hAnsi="Arial"/>
          <w:sz w:val="16"/>
          <w:szCs w:val="16"/>
          <w:color w:val="auto"/>
        </w:rPr>
      </w:pPr>
    </w:p>
    <w:p>
      <w:pPr>
        <w:jc w:val="both"/>
        <w:ind w:left="-460" w:firstLine="1304"/>
        <w:spacing w:after="0" w:line="291" w:lineRule="auto"/>
        <w:tabs>
          <w:tab w:leader="none" w:pos="1094"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Notification upon Disqualifying Disposition of an Incentive Stock Option</w:t>
      </w:r>
      <w:r>
        <w:rPr>
          <w:rFonts w:ascii="Arial" w:cs="Arial" w:eastAsia="Arial" w:hAnsi="Arial"/>
          <w:sz w:val="16"/>
          <w:szCs w:val="16"/>
          <w:color w:val="auto"/>
        </w:rPr>
        <w:t>. Each Participant awarded an Incentive Stock Option under the Plan shall notify the Company in writing immediately after the date on which the Participant makes a disqualifying disposition of any Common Stock acquired pursuant to the exercise of such Incentive Stock Option. A disqualifying disposition is any disposition (including, without limitation, any sale) of such Common Stock before the later of (i) two years after the date of grant of the Incentive Stock Option and (ii)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457835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96" w:name="page97"/>
    <w:bookmarkEnd w:id="96"/>
    <w:p>
      <w:pPr>
        <w:ind w:right="20"/>
        <w:spacing w:after="0" w:line="277" w:lineRule="auto"/>
        <w:rPr>
          <w:sz w:val="20"/>
          <w:szCs w:val="20"/>
          <w:color w:val="auto"/>
        </w:rPr>
      </w:pPr>
      <w:r>
        <w:rPr>
          <w:rFonts w:ascii="Arial" w:cs="Arial" w:eastAsia="Arial" w:hAnsi="Arial"/>
          <w:sz w:val="18"/>
          <w:szCs w:val="18"/>
          <w:color w:val="auto"/>
        </w:rPr>
        <w:t>period described in the preceding sentence, subject to complying with any instruction from such Participant as to the sale of such Common Stock.</w:t>
      </w:r>
    </w:p>
    <w:p>
      <w:pPr>
        <w:spacing w:after="0" w:line="62" w:lineRule="exact"/>
        <w:rPr>
          <w:sz w:val="20"/>
          <w:szCs w:val="20"/>
          <w:color w:val="auto"/>
        </w:rPr>
      </w:pPr>
    </w:p>
    <w:p>
      <w:pPr>
        <w:jc w:val="both"/>
        <w:ind w:firstLine="1304"/>
        <w:spacing w:after="0" w:line="279" w:lineRule="auto"/>
        <w:tabs>
          <w:tab w:leader="none" w:pos="152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Notwithstanding the foregoing, in no event shall the Participant be permitted to exercise an Option in a manner that the Committee determines would violate the 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171" w:lineRule="exact"/>
        <w:rPr>
          <w:rFonts w:ascii="Arial" w:cs="Arial" w:eastAsia="Arial" w:hAnsi="Arial"/>
          <w:sz w:val="17"/>
          <w:szCs w:val="17"/>
          <w:color w:val="auto"/>
        </w:rPr>
      </w:pPr>
    </w:p>
    <w:p>
      <w:pPr>
        <w:jc w:val="both"/>
        <w:ind w:firstLine="1304"/>
        <w:spacing w:after="0" w:line="275" w:lineRule="auto"/>
        <w:tabs>
          <w:tab w:leader="none" w:pos="155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Incentive Stock Option Grants to 10% Stockholders</w:t>
      </w:r>
      <w:r>
        <w:rPr>
          <w:rFonts w:ascii="Arial" w:cs="Arial" w:eastAsia="Arial" w:hAnsi="Arial"/>
          <w:sz w:val="17"/>
          <w:szCs w:val="17"/>
          <w:color w:val="auto"/>
        </w:rPr>
        <w:t>. Notwithstanding anything to the contrary in this Section 7, if an Incentive Stock Option is granted to a Participant who owns stock representing more than ten percent of the voting power of all classes of stock of the Company or of a parent or subsidiary of the Company (within the meaning of Sections 424(e) and 424(f) of the Code), the Option Period shall not exceed five years from the date of grant of such Option and the Exercise Price shall be at least 110% of the Fair Market Value (on the date of grant) of the shares subject to the Option.</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57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$100,000 Per Year Limitation for Incentive Stock Options</w:t>
      </w:r>
      <w:r>
        <w:rPr>
          <w:rFonts w:ascii="Arial" w:cs="Arial" w:eastAsia="Arial" w:hAnsi="Arial"/>
          <w:sz w:val="18"/>
          <w:szCs w:val="18"/>
          <w:color w:val="auto"/>
        </w:rPr>
        <w:t>. To the extent that the aggregate Fair Market Value (determined as of the date of grant) of shares of Common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 (SARs)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308" w:lineRule="auto"/>
        <w:tabs>
          <w:tab w:leader="none" w:pos="1541"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SAR shall be subject to the conditions set forth in the Plan and the Award Agreement. Any Option granted under the Plan may include a tandem SAR. The Committee also may award SARs independent of any Option.</w:t>
      </w:r>
    </w:p>
    <w:p>
      <w:pPr>
        <w:spacing w:after="0" w:line="142" w:lineRule="exact"/>
        <w:rPr>
          <w:rFonts w:ascii="Arial" w:cs="Arial" w:eastAsia="Arial" w:hAnsi="Arial"/>
          <w:sz w:val="17"/>
          <w:szCs w:val="17"/>
          <w:color w:val="auto"/>
        </w:rPr>
      </w:pPr>
    </w:p>
    <w:p>
      <w:pPr>
        <w:jc w:val="both"/>
        <w:ind w:firstLine="1304"/>
        <w:spacing w:after="0" w:line="303" w:lineRule="auto"/>
        <w:tabs>
          <w:tab w:leader="none" w:pos="1564"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Strike Price</w:t>
      </w:r>
      <w:r>
        <w:rPr>
          <w:rFonts w:ascii="Arial" w:cs="Arial" w:eastAsia="Arial" w:hAnsi="Arial"/>
          <w:sz w:val="16"/>
          <w:szCs w:val="16"/>
          <w:color w:val="auto"/>
        </w:rPr>
        <w:t>. The strike price (“</w:t>
      </w:r>
      <w:r>
        <w:rPr>
          <w:rFonts w:ascii="Arial" w:cs="Arial" w:eastAsia="Arial" w:hAnsi="Arial"/>
          <w:sz w:val="16"/>
          <w:szCs w:val="16"/>
          <w:b w:val="1"/>
          <w:bCs w:val="1"/>
          <w:color w:val="auto"/>
        </w:rPr>
        <w:t>Strike Price</w:t>
      </w:r>
      <w:r>
        <w:rPr>
          <w:rFonts w:ascii="Arial" w:cs="Arial" w:eastAsia="Arial" w:hAnsi="Arial"/>
          <w:sz w:val="16"/>
          <w:szCs w:val="16"/>
          <w:color w:val="auto"/>
        </w:rPr>
        <w:t>”) per share of Common Stock for each SAR shall not be less than 100% of the Fair Market Value of such share, determined as of the date of grant; provided, however, 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13(b).</w:t>
      </w:r>
    </w:p>
    <w:p>
      <w:pPr>
        <w:spacing w:after="0" w:line="154" w:lineRule="exact"/>
        <w:rPr>
          <w:rFonts w:ascii="Arial" w:cs="Arial" w:eastAsia="Arial" w:hAnsi="Arial"/>
          <w:sz w:val="16"/>
          <w:szCs w:val="16"/>
          <w:color w:val="auto"/>
        </w:rPr>
      </w:pPr>
    </w:p>
    <w:p>
      <w:pPr>
        <w:jc w:val="both"/>
        <w:ind w:firstLine="1304"/>
        <w:spacing w:after="0" w:line="289" w:lineRule="auto"/>
        <w:tabs>
          <w:tab w:leader="none" w:pos="1554"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Vesting and Expiration</w:t>
      </w:r>
      <w:r>
        <w:rPr>
          <w:rFonts w:ascii="Arial" w:cs="Arial" w:eastAsia="Arial" w:hAnsi="Arial"/>
          <w:sz w:val="16"/>
          <w:szCs w:val="16"/>
          <w:color w:val="auto"/>
        </w:rPr>
        <w:t>. A SAR granted in tandem with an Option shall vest and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6"/>
          <w:szCs w:val="16"/>
          <w:b w:val="1"/>
          <w:bCs w:val="1"/>
          <w:color w:val="auto"/>
        </w:rPr>
        <w:t>SAR Period</w:t>
      </w:r>
      <w:r>
        <w:rPr>
          <w:rFonts w:ascii="Arial" w:cs="Arial" w:eastAsia="Arial" w:hAnsi="Arial"/>
          <w:sz w:val="16"/>
          <w:szCs w:val="16"/>
          <w:color w:val="auto"/>
        </w:rPr>
        <w:t>”); provided, however,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insider trading policy or a Company-imposed “blackout period,” the SAR Period shall be automatically extended until the 30th day following the expiration of such prohibition (so long as such extension shall not violate Section 409A of the Code).</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5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SARs may be exercised by delivery of written or electronic notice of exercise to the Company or its designee (including a third-party administrator) in accordance with the terms of the Award, specifying the number of SARs to be exercised and the date on which such SARs were awarded.</w:t>
      </w:r>
    </w:p>
    <w:p>
      <w:pPr>
        <w:spacing w:after="0" w:line="75" w:lineRule="exact"/>
        <w:rPr>
          <w:rFonts w:ascii="Arial" w:cs="Arial" w:eastAsia="Arial" w:hAnsi="Arial"/>
          <w:sz w:val="18"/>
          <w:szCs w:val="18"/>
          <w:color w:val="auto"/>
        </w:rPr>
      </w:pPr>
    </w:p>
    <w:p>
      <w:pPr>
        <w:jc w:val="both"/>
        <w:ind w:firstLine="1304"/>
        <w:spacing w:after="0" w:line="293" w:lineRule="auto"/>
        <w:tabs>
          <w:tab w:leader="none" w:pos="1541"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 any U.S. federal, state and local income and employment taxes and non-U.S. income and employment taxes, social contributions and any other tax-related items required to be withheld. The Company shall pay such amount in cash, in shares of Common Stock valued at Fair Market Value as determined on the date of exercise, or any combination thereof, as determined by the Committee. Any fractional shares of Common Stock shall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456565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97" w:name="page98"/>
    <w:bookmarkEnd w:id="97"/>
    <w:p>
      <w:pPr>
        <w:ind w:left="380" w:hanging="184"/>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304"/>
        <w:spacing w:after="0" w:line="269" w:lineRule="auto"/>
        <w:tabs>
          <w:tab w:leader="none" w:pos="1081"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Restricted Stock and Restricted Stock Unit Award shall be subject to the conditions set forth in the Plan and the applicable Award Agreement. The Committee shall establish restrictions applicable to Restricted Stock and Restricted Stock Units, including the period over which the restrictions shall apply (the “</w:t>
      </w:r>
      <w:r>
        <w:rPr>
          <w:rFonts w:ascii="Arial" w:cs="Arial" w:eastAsia="Arial" w:hAnsi="Arial"/>
          <w:sz w:val="17"/>
          <w:szCs w:val="17"/>
          <w:b w:val="1"/>
          <w:bCs w:val="1"/>
          <w:color w:val="auto"/>
        </w:rPr>
        <w:t>Restricted Period</w:t>
      </w:r>
      <w:r>
        <w:rPr>
          <w:rFonts w:ascii="Arial" w:cs="Arial" w:eastAsia="Arial" w:hAnsi="Arial"/>
          <w:sz w:val="17"/>
          <w:szCs w:val="17"/>
          <w:color w:val="auto"/>
        </w:rPr>
        <w:t>”), and the time or times at which Restricted Stock or Restricted Stock Units shall become vested (which, for the avoidance of doubt, may include service- and/or performance-based vesting conditions). Subject to such rules, approvals, and conditions as the Committee may impose from time to time, an Eligible Person who is a non- employee director may elect to receive all or a portion of such Eligible Person’s cash director fees and other cash director compensation payable for director services provided to the Company by such Eligible Person in any fiscal year, in whole or in part, in the form of Restricted Stock Units. The Committee may accelerate the vesting and/or the lapse of any or all of the restrictions on Restricted Stock and Restricted Stock Units which acceleration shall not affect any other terms and conditions of such Awards. No share of Common Stock shall be issued at the time an Award of Restricted Stock Units is made, and the Company will not be required to set aside a fund for the payment of any such Award.</w:t>
      </w:r>
    </w:p>
    <w:p>
      <w:pPr>
        <w:spacing w:after="0" w:line="181" w:lineRule="exact"/>
        <w:rPr>
          <w:rFonts w:ascii="Arial" w:cs="Arial" w:eastAsia="Arial" w:hAnsi="Arial"/>
          <w:sz w:val="17"/>
          <w:szCs w:val="17"/>
          <w:color w:val="auto"/>
        </w:rPr>
      </w:pPr>
    </w:p>
    <w:p>
      <w:pPr>
        <w:jc w:val="both"/>
        <w:ind w:left="-460" w:firstLine="1304"/>
        <w:spacing w:after="0" w:line="288" w:lineRule="auto"/>
        <w:tabs>
          <w:tab w:leader="none" w:pos="1091"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Stock Certificates; Escrow or Similar Arrangement</w:t>
      </w:r>
      <w:r>
        <w:rPr>
          <w:rFonts w:ascii="Arial" w:cs="Arial" w:eastAsia="Arial" w:hAnsi="Arial"/>
          <w:sz w:val="16"/>
          <w:szCs w:val="16"/>
          <w:color w:val="auto"/>
        </w:rPr>
        <w:t>. Upon the grant of Restricted Stock, the Committee shall cause share(s) of Common Stock to be registered in the name of the Participant and held in book-entry form subject to the Company’s directions. The Committee may also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or its designee (including third-party administrators) (i)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stockholder as to such Restricted Stock, including without limitation the right to vote such Restricted Stock.</w:t>
      </w:r>
    </w:p>
    <w:p>
      <w:pPr>
        <w:spacing w:after="0" w:line="168" w:lineRule="exact"/>
        <w:rPr>
          <w:rFonts w:ascii="Arial" w:cs="Arial" w:eastAsia="Arial" w:hAnsi="Arial"/>
          <w:sz w:val="16"/>
          <w:szCs w:val="16"/>
          <w:color w:val="auto"/>
        </w:rPr>
      </w:pPr>
    </w:p>
    <w:p>
      <w:pPr>
        <w:jc w:val="both"/>
        <w:ind w:left="-460" w:firstLine="1304"/>
        <w:spacing w:after="0" w:line="270" w:lineRule="auto"/>
        <w:tabs>
          <w:tab w:leader="none" w:pos="1081"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Restrictions; Forfeiture</w:t>
      </w:r>
      <w:r>
        <w:rPr>
          <w:rFonts w:ascii="Arial" w:cs="Arial" w:eastAsia="Arial" w:hAnsi="Arial"/>
          <w:sz w:val="17"/>
          <w:szCs w:val="17"/>
          <w:color w:val="auto"/>
        </w:rPr>
        <w:t>.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stockholder with respect thereto), and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grant of the Restricted Stock Award or Restricted Stock Unit Award, such action is appropriate.</w:t>
      </w:r>
    </w:p>
    <w:p>
      <w:pPr>
        <w:spacing w:after="0" w:line="180" w:lineRule="exact"/>
        <w:rPr>
          <w:rFonts w:ascii="Arial" w:cs="Arial" w:eastAsia="Arial" w:hAnsi="Arial"/>
          <w:sz w:val="17"/>
          <w:szCs w:val="17"/>
          <w:color w:val="auto"/>
        </w:rPr>
      </w:pPr>
    </w:p>
    <w:p>
      <w:pPr>
        <w:ind w:left="1100" w:hanging="256"/>
        <w:spacing w:after="0"/>
        <w:tabs>
          <w:tab w:leader="none" w:pos="110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Delivery of Restricted Stock and Settlement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0" w:firstLine="1292"/>
        <w:spacing w:after="0" w:line="253" w:lineRule="auto"/>
        <w:tabs>
          <w:tab w:leader="none" w:pos="1750" w:val="left"/>
        </w:tabs>
        <w:numPr>
          <w:ilvl w:val="2"/>
          <w:numId w:val="50"/>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such Participant’s beneficiary (via book-entry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(or a combination of cash and shares of Common Stock) equal to the amount of such dividends, upon the release of restrictions on the Restricted Stock.</w:t>
      </w:r>
    </w:p>
    <w:p>
      <w:pPr>
        <w:spacing w:after="0" w:line="88" w:lineRule="exact"/>
        <w:rPr>
          <w:rFonts w:ascii="Arial" w:cs="Arial" w:eastAsia="Arial" w:hAnsi="Arial"/>
          <w:sz w:val="18"/>
          <w:szCs w:val="18"/>
          <w:color w:val="auto"/>
        </w:rPr>
      </w:pPr>
    </w:p>
    <w:p>
      <w:pPr>
        <w:jc w:val="both"/>
        <w:ind w:left="200" w:firstLine="1292"/>
        <w:spacing w:after="0" w:line="263" w:lineRule="auto"/>
        <w:tabs>
          <w:tab w:leader="none" w:pos="1809" w:val="left"/>
        </w:tabs>
        <w:numPr>
          <w:ilvl w:val="2"/>
          <w:numId w:val="50"/>
        </w:numPr>
        <w:rPr>
          <w:rFonts w:ascii="Arial" w:cs="Arial" w:eastAsia="Arial" w:hAnsi="Arial"/>
          <w:sz w:val="18"/>
          <w:szCs w:val="18"/>
          <w:color w:val="auto"/>
        </w:rPr>
      </w:pPr>
      <w:r>
        <w:rPr>
          <w:rFonts w:ascii="Arial" w:cs="Arial" w:eastAsia="Arial" w:hAnsi="Arial"/>
          <w:sz w:val="18"/>
          <w:szCs w:val="18"/>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468630</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98" w:name="page99"/>
    <w:bookmarkEnd w:id="98"/>
    <w:p>
      <w:pPr>
        <w:jc w:val="both"/>
        <w:ind w:left="660"/>
        <w:spacing w:after="0" w:line="253" w:lineRule="auto"/>
        <w:rPr>
          <w:sz w:val="20"/>
          <w:szCs w:val="20"/>
          <w:color w:val="auto"/>
        </w:rPr>
      </w:pPr>
      <w:r>
        <w:rPr>
          <w:rFonts w:ascii="Arial" w:cs="Arial" w:eastAsia="Arial" w:hAnsi="Arial"/>
          <w:sz w:val="18"/>
          <w:szCs w:val="18"/>
          <w:color w:val="auto"/>
        </w:rPr>
        <w:t>Participant, or such Participant’s beneficiary (via book-entry notation or, if applicable, in stock certificate form), one share of Common Stock (or other securities or other property, as applicable) for each such outstanding Restricted Stock Unit that has not then been forfeited and with respect to which the Restricted Period has expired and any other such vesting criteria are attained (“</w:t>
      </w:r>
      <w:r>
        <w:rPr>
          <w:rFonts w:ascii="Arial" w:cs="Arial" w:eastAsia="Arial" w:hAnsi="Arial"/>
          <w:sz w:val="18"/>
          <w:szCs w:val="18"/>
          <w:b w:val="1"/>
          <w:bCs w:val="1"/>
          <w:color w:val="auto"/>
        </w:rPr>
        <w:t>Released Unit</w:t>
      </w:r>
      <w:r>
        <w:rPr>
          <w:rFonts w:ascii="Arial" w:cs="Arial" w:eastAsia="Arial" w:hAnsi="Arial"/>
          <w:sz w:val="18"/>
          <w:szCs w:val="18"/>
          <w:color w:val="auto"/>
        </w:rPr>
        <w:t>”); provided, however, that the Committee may elect to (A) pay cash or part cash and part Common Stock in lieu of delivering only shares of Common Stock in respect of such Released Units or (B) establish a program for deferred delivery of Common Stock (or cash or part Common Stock and part cash, as the case may be) beyond the expiration of the Restricted Period in compliance with Section 409A of the Code. If a cash payment is made in lieu of delivering shares of Common Stock, the amount of such payment shall be equal to the Fair Market Value of the Common Stock as of the date on which the shares of Common Stock would have otherwise been delivered to the Participant in respect of such Restricted Stock Units.</w:t>
      </w:r>
    </w:p>
    <w:p>
      <w:pPr>
        <w:spacing w:after="0" w:line="194" w:lineRule="exact"/>
        <w:rPr>
          <w:sz w:val="20"/>
          <w:szCs w:val="20"/>
          <w:color w:val="auto"/>
        </w:rPr>
      </w:pPr>
    </w:p>
    <w:p>
      <w:pPr>
        <w:jc w:val="both"/>
        <w:ind w:left="660" w:firstLine="1292"/>
        <w:spacing w:after="0" w:line="270" w:lineRule="auto"/>
        <w:tabs>
          <w:tab w:leader="none" w:pos="2277" w:val="left"/>
        </w:tabs>
        <w:numPr>
          <w:ilvl w:val="1"/>
          <w:numId w:val="51"/>
        </w:numPr>
        <w:rPr>
          <w:rFonts w:ascii="Arial" w:cs="Arial" w:eastAsia="Arial" w:hAnsi="Arial"/>
          <w:sz w:val="17"/>
          <w:szCs w:val="17"/>
          <w:color w:val="auto"/>
        </w:rPr>
      </w:pPr>
      <w:r>
        <w:rPr>
          <w:rFonts w:ascii="Arial" w:cs="Arial" w:eastAsia="Arial" w:hAnsi="Arial"/>
          <w:sz w:val="17"/>
          <w:szCs w:val="17"/>
          <w:color w:val="auto"/>
        </w:rPr>
        <w:t>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as of the date of payment (or a combination of cash and shares of Common Stock) (and 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(in the case of Restricted Stock Units, following the release of restrictions on such Restricted Stock Units), and if such Restricted Stock Units are forfeited, the holder thereof shall have no right to such dividend equivalent payments.</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155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TRANSFER OF THIS CERTIFICATE AND THE SHARES REPRESENTED HEREBY IS RESTRICTED PURSUANT TO THE TERMS OF THE IOVANCE BIOTHERAPEUTICS, INC. 2018 EQUITY INCENTIVE PLAN AND A RESTRICTED STOCK AWARD AGREEMENT, DATED AS OF, BETWEEN IOVANCE BIOTHERAPEUTICS, INC. AND. A COPY OF SUCH PLAN AND AWARD AGREEMENT IS ON FILE AT THE PRINCIPAL EXECUTIVE OFFICES OF IOVANCE BIOTHERAPEUTICS, INC.</w:t>
      </w:r>
    </w:p>
    <w:p>
      <w:pPr>
        <w:spacing w:after="0" w:line="171" w:lineRule="exact"/>
        <w:rPr>
          <w:sz w:val="20"/>
          <w:szCs w:val="20"/>
          <w:color w:val="auto"/>
        </w:rPr>
      </w:pPr>
    </w:p>
    <w:p>
      <w:pPr>
        <w:jc w:val="both"/>
        <w:ind w:firstLine="656"/>
        <w:spacing w:after="0" w:line="293" w:lineRule="auto"/>
        <w:tabs>
          <w:tab w:leader="none" w:pos="94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Other Stock-Based Awards</w:t>
      </w:r>
      <w:r>
        <w:rPr>
          <w:rFonts w:ascii="Arial" w:cs="Arial" w:eastAsia="Arial" w:hAnsi="Arial"/>
          <w:sz w:val="16"/>
          <w:szCs w:val="16"/>
          <w:color w:val="auto"/>
        </w:rPr>
        <w:t>. The Committee may issue unrestricted Common Stock, rights to receive future grants of Awards, or other Awards denominated in Common Stock (including performance shares or performance units), or Awards that provide for cash payments based in whole or in part on the value or future value of shares of Common Stock under the Plan to Eligible Persons, alone or in tandem with other Awards, in such amounts as the Committee shall from time to time determine (“</w:t>
      </w:r>
      <w:r>
        <w:rPr>
          <w:rFonts w:ascii="Arial" w:cs="Arial" w:eastAsia="Arial" w:hAnsi="Arial"/>
          <w:sz w:val="16"/>
          <w:szCs w:val="16"/>
          <w:b w:val="1"/>
          <w:bCs w:val="1"/>
          <w:color w:val="auto"/>
        </w:rPr>
        <w:t>Other Stock-Based</w:t>
      </w:r>
      <w:r>
        <w:rPr>
          <w:rFonts w:ascii="Arial" w:cs="Arial" w:eastAsia="Arial" w:hAnsi="Arial"/>
          <w:sz w:val="16"/>
          <w:szCs w:val="16"/>
          <w:color w:val="auto"/>
        </w:rPr>
        <w:t xml:space="preserve"> </w:t>
      </w:r>
      <w:r>
        <w:rPr>
          <w:rFonts w:ascii="Arial" w:cs="Arial" w:eastAsia="Arial" w:hAnsi="Arial"/>
          <w:sz w:val="16"/>
          <w:szCs w:val="16"/>
          <w:b w:val="1"/>
          <w:bCs w:val="1"/>
          <w:color w:val="auto"/>
        </w:rPr>
        <w:t>Awards</w:t>
      </w:r>
      <w:r>
        <w:rPr>
          <w:rFonts w:ascii="Arial" w:cs="Arial" w:eastAsia="Arial" w:hAnsi="Arial"/>
          <w:sz w:val="16"/>
          <w:szCs w:val="16"/>
          <w:color w:val="auto"/>
        </w:rPr>
        <w:t>”). Each Other Stock-Based Award shall be evidenced by an Award Agreement, which may include conditions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the payment by the Participant of the Fair Market Value of such shares of Common Stock on the date of grant.</w:t>
      </w:r>
    </w:p>
    <w:p>
      <w:pPr>
        <w:spacing w:after="0" w:line="56" w:lineRule="exact"/>
        <w:rPr>
          <w:rFonts w:ascii="Arial" w:cs="Arial" w:eastAsia="Arial" w:hAnsi="Arial"/>
          <w:sz w:val="16"/>
          <w:szCs w:val="16"/>
          <w:color w:val="auto"/>
        </w:rPr>
      </w:pPr>
    </w:p>
    <w:p>
      <w:pPr>
        <w:jc w:val="both"/>
        <w:ind w:firstLine="656"/>
        <w:spacing w:after="0" w:line="269" w:lineRule="auto"/>
        <w:tabs>
          <w:tab w:leader="none" w:pos="92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Changes in Capital Structure and Similar Events</w:t>
      </w:r>
      <w:r>
        <w:rPr>
          <w:rFonts w:ascii="Arial" w:cs="Arial" w:eastAsia="Arial" w:hAnsi="Arial"/>
          <w:sz w:val="17"/>
          <w:szCs w:val="17"/>
          <w:color w:val="auto"/>
        </w:rPr>
        <w:t>. In the event of (a) any dividend (other than regular cash dividends) or other distribution (whether in the form of cash, shares of Common Stock, other securities or other property), recapitalization, stock split, reverse stock split, reorganization, merger, amalgamation,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make any such adjustments in such manner as it may deem equitable, including without limitation any or all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673100</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9" w:right="999" w:bottom="1440" w:gutter="0" w:footer="0" w:header="0"/>
        </w:sectPr>
      </w:pPr>
    </w:p>
    <w:bookmarkStart w:id="99" w:name="page100"/>
    <w:bookmarkEnd w:id="99"/>
    <w:p>
      <w:pPr>
        <w:jc w:val="both"/>
        <w:ind w:left="660" w:firstLine="1292"/>
        <w:spacing w:after="0" w:line="254" w:lineRule="auto"/>
        <w:tabs>
          <w:tab w:leader="none" w:pos="217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adjusting any or all of (A)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and/or (3) any applicable performance measures;</w:t>
      </w:r>
    </w:p>
    <w:p>
      <w:pPr>
        <w:spacing w:after="0" w:line="194" w:lineRule="exact"/>
        <w:rPr>
          <w:rFonts w:ascii="Arial" w:cs="Arial" w:eastAsia="Arial" w:hAnsi="Arial"/>
          <w:sz w:val="18"/>
          <w:szCs w:val="18"/>
          <w:color w:val="auto"/>
        </w:rPr>
      </w:pPr>
    </w:p>
    <w:p>
      <w:pPr>
        <w:jc w:val="both"/>
        <w:ind w:left="660" w:firstLine="1292"/>
        <w:spacing w:after="0" w:line="257" w:lineRule="auto"/>
        <w:tabs>
          <w:tab w:leader="none" w:pos="22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or become no longer exercisable upon the occurrence of such event); and</w:t>
      </w:r>
    </w:p>
    <w:p>
      <w:pPr>
        <w:spacing w:after="0" w:line="187" w:lineRule="exact"/>
        <w:rPr>
          <w:rFonts w:ascii="Arial" w:cs="Arial" w:eastAsia="Arial" w:hAnsi="Arial"/>
          <w:sz w:val="18"/>
          <w:szCs w:val="18"/>
          <w:color w:val="auto"/>
        </w:rPr>
      </w:pPr>
    </w:p>
    <w:p>
      <w:pPr>
        <w:jc w:val="both"/>
        <w:ind w:left="660" w:firstLine="1292"/>
        <w:spacing w:after="0" w:line="269" w:lineRule="auto"/>
        <w:tabs>
          <w:tab w:leader="none" w:pos="2283"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per-share Exercise Price or Strike Price equal to, or in excess of, the Fair Market Value (as of the date specified by the Committee) of a share of Common Stock subject thereto may be canceled and terminated without any payment or consideration therefor);</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provided, however, that the Committee shall make an equitable or proportionate adjustment to outstanding Awards to reflect any “equity restructuring” (within the meaning of the Financial Accounting Standards Codification Topic 718 (or any successor pronouncement thereto)). Except as otherwise determined by the Committee, any adjustment in Incentive Stock Options under this Section 11 (other than any cancellation of Incentive Stock Options) shall be made only to the extent not constituting a “modification” within the meaning of Section 424(h)(3) of the Code, and any adjustments under this Section 11 shall be made in a manner that does not adversely affect the exemption provided pursuant to Rule16b-3 promulgated under the Exchange Act. The Company shall give each Participant notice of an adjustment hereunder and, upon notice, such adjustment shall be conclusive and binding for all purposes. In anticipation of the occurrence of any event listed in the first sentence of this Section 11, for reasons of administrative convenience, the Committee in its sole discretion may refuse to permit the exercise of any Award during a period of up to 30 days prior to, and/or up to 30 days after, the anticipated occurrence of any such event.</w:t>
      </w:r>
    </w:p>
    <w:p>
      <w:pPr>
        <w:spacing w:after="0" w:line="185" w:lineRule="exact"/>
        <w:rPr>
          <w:sz w:val="20"/>
          <w:szCs w:val="20"/>
          <w:color w:val="auto"/>
        </w:rPr>
      </w:pPr>
    </w:p>
    <w:p>
      <w:pPr>
        <w:jc w:val="both"/>
        <w:ind w:firstLine="656"/>
        <w:spacing w:after="0" w:line="263" w:lineRule="auto"/>
        <w:tabs>
          <w:tab w:leader="none" w:pos="95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Except to the extent otherwise provided in an Award Agreement, or any applicable employment, consulting, change-in-control, severance or other agreement between the Participant and the Company or an Affiliate, in the event of a Change in Control, notwithstanding any provision of the Plan to the contrary:</w:t>
      </w:r>
    </w:p>
    <w:p>
      <w:pPr>
        <w:spacing w:after="0" w:line="183" w:lineRule="exact"/>
        <w:rPr>
          <w:rFonts w:ascii="Arial" w:cs="Arial" w:eastAsia="Arial" w:hAnsi="Arial"/>
          <w:sz w:val="18"/>
          <w:szCs w:val="18"/>
          <w:color w:val="auto"/>
        </w:rPr>
      </w:pPr>
    </w:p>
    <w:p>
      <w:pPr>
        <w:jc w:val="both"/>
        <w:ind w:firstLine="1304"/>
        <w:spacing w:after="0" w:line="289" w:lineRule="auto"/>
        <w:tabs>
          <w:tab w:leader="none" w:pos="1557"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the Participant’s employment with or service to the Company or an Affiliate is terminated by the Company or Affiliate without Cause (and other than due to death or Disability) on or within 12 months following a Change in Control, all Options and SARs held by such Participant shall automatically become immediately exercisable with respect to 100% of the shares subject to such Options and SARs, and that the Restricted Period (and any other conditions) shall expire immediately with respect to 100% of the shares of Restricted Stock and Restricted Stock Units and any other Awards held by such Participant (including a waiver of any applicable performance goals); provided, that if the vesting or exercisability of any Award would otherwise be subject to the achievement of performance conditions, the portion of such Award that shall become fully vested and immediately exercisable shall be based on the assumed achievement of actual or target performance as determined by the Committee and, unless otherwise determined by the Committee, prorated for the number of days elapsed from the grant date of such Award through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00" w:name="page101"/>
    <w:bookmarkEnd w:id="100"/>
    <w:p>
      <w:pPr>
        <w:jc w:val="both"/>
        <w:ind w:firstLine="1304"/>
        <w:spacing w:after="0" w:line="291" w:lineRule="auto"/>
        <w:tabs>
          <w:tab w:leader="none" w:pos="155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addition, the Committee may upon at least ten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stockholders of the Company in the event (it being understood that any Option or SAR having a per-share Exercise Price or Strike Price equal to, or in excess of, the Fair Market Value (as of the date specified by the Committee) of a share of Common Stock subject thereto may be canceled and terminated without any payment or consideration therefor). Notwithstanding the above, the Committee shall exercise such discretion over the timing of settlement of any Award subject to Code Section 409A at the time such Award is granted.</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To the extent practicable, the provisions of this Section 12 shall occur in a manner and at a time that allows affected Participants the ability to participate in the Change in Control transaction with respect to the Common Stock subject to their Awards.</w:t>
      </w:r>
    </w:p>
    <w:p>
      <w:pPr>
        <w:spacing w:after="0" w:line="146" w:lineRule="exact"/>
        <w:rPr>
          <w:sz w:val="20"/>
          <w:szCs w:val="20"/>
          <w:color w:val="auto"/>
        </w:rPr>
      </w:pPr>
    </w:p>
    <w:p>
      <w:pPr>
        <w:ind w:left="920" w:hanging="264"/>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Amendments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1541"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 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applicable to the Plan (including, without limitation, as necessary to comply with any applicable rules or requirements of NASDAQ or of any other securities exchange or inter-dealer quotation service on which the shares of Common Stock is listed or quoted, for changes in GAAP to new accounting standards); and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is either required or advisable in order for the Company, the Plan or the Award to satisfy any applicable law or regulation. Notwithstanding the foregoing, no amendment shall be made to the last proviso of Section 13(b) without stockholder approval.</w:t>
      </w:r>
    </w:p>
    <w:p>
      <w:pPr>
        <w:spacing w:after="0" w:line="181" w:lineRule="exact"/>
        <w:rPr>
          <w:rFonts w:ascii="Arial" w:cs="Arial" w:eastAsia="Arial" w:hAnsi="Arial"/>
          <w:sz w:val="17"/>
          <w:szCs w:val="17"/>
          <w:color w:val="auto"/>
        </w:rPr>
      </w:pPr>
    </w:p>
    <w:p>
      <w:pPr>
        <w:jc w:val="both"/>
        <w:ind w:firstLine="1304"/>
        <w:spacing w:after="0" w:line="285" w:lineRule="auto"/>
        <w:tabs>
          <w:tab w:leader="none" w:pos="1578"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The Committee may, to the extent not inconsistent with the terms of any applicable Award Agreement or the Plan, waive any conditions or rights under, amend any terms of, or alter, suspend, discontinue, cancel or terminate, any Award theretofore granted or the associated Award Agreement, prospectively or retroactively (including after the Participant’s termination of employment or service with the Company);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is either required or advisable in order for the Company, the Plan or the Award to satisfy any applicable law or regulation; and provided, further, that except as otherwise permitted under Section 11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that would either (A) be reportable on the Company’s proxy statement or Form 10-K (if applicable) as Options that have been “repriced” (as such term is used in Item 402 of Regulation S-K promulgated under the Exchange Act), or (B) result in any “repricing” for financial statement reporting purposes (or otherwise cause the Award to fail to qualify for equity accounting treatment), (iii) the Committee takes any other action that is considered a “repricing” for purposes of the stockholder approval rules of the applicable securities exchange or inter-dealer quotation service on which the Common Stock is listed or quoted, or (iv) the Committee cancels any outstanding Option or SAR that has a per-share Exercise Price or Strike Price (as applicable) at or above the Fair Market Value of a share of Common Stock on the date of cancellation, and pays any consideration to the holder thereof, whether in cash, securities, or other property, or any combination thereof, then, in the case of the immediately preceding clauses (i) through (iv), any such action shall not be effective without stockholder approval.</w:t>
      </w:r>
    </w:p>
    <w:p>
      <w:pPr>
        <w:spacing w:after="0" w:line="60" w:lineRule="exact"/>
        <w:rPr>
          <w:rFonts w:ascii="Arial" w:cs="Arial" w:eastAsia="Arial" w:hAnsi="Arial"/>
          <w:sz w:val="16"/>
          <w:szCs w:val="16"/>
          <w:color w:val="auto"/>
        </w:rPr>
      </w:pPr>
    </w:p>
    <w:p>
      <w:pPr>
        <w:ind w:left="920" w:hanging="264"/>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firstLine="1304"/>
        <w:spacing w:after="0" w:line="260" w:lineRule="auto"/>
        <w:tabs>
          <w:tab w:leader="none" w:pos="155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Award Agreements; Other Agreements</w:t>
      </w:r>
      <w:r>
        <w:rPr>
          <w:rFonts w:ascii="Arial" w:cs="Arial" w:eastAsia="Arial" w:hAnsi="Arial"/>
          <w:sz w:val="18"/>
          <w:szCs w:val="18"/>
          <w:color w:val="auto"/>
        </w:rPr>
        <w:t>. Each Award under the Plan shall be evidenced by an Award Agreement, which shall be delivered to the Participant and shall specify the terms and conditions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9" w:right="999" w:bottom="1440" w:gutter="0" w:footer="0" w:header="0"/>
        </w:sectPr>
      </w:pPr>
    </w:p>
    <w:bookmarkStart w:id="101" w:name="page102"/>
    <w:bookmarkEnd w:id="101"/>
    <w:p>
      <w:pPr>
        <w:ind w:right="20"/>
        <w:spacing w:after="0" w:line="308" w:lineRule="auto"/>
        <w:rPr>
          <w:sz w:val="20"/>
          <w:szCs w:val="20"/>
          <w:color w:val="auto"/>
        </w:rPr>
      </w:pPr>
      <w:r>
        <w:rPr>
          <w:rFonts w:ascii="Arial" w:cs="Arial" w:eastAsia="Arial" w:hAnsi="Arial"/>
          <w:sz w:val="17"/>
          <w:szCs w:val="17"/>
          <w:color w:val="auto"/>
        </w:rPr>
        <w:t>and any rules applicable thereto. In the event of any conflict between the terms of the Plan and any Award Agreement or employment, change-in-control, severance or other agreement in effect with the Participant, the term of the Plan shall control.</w:t>
      </w:r>
    </w:p>
    <w:p>
      <w:pPr>
        <w:spacing w:after="0" w:line="146" w:lineRule="exact"/>
        <w:rPr>
          <w:sz w:val="20"/>
          <w:szCs w:val="20"/>
          <w:color w:val="auto"/>
        </w:rPr>
      </w:pPr>
    </w:p>
    <w:p>
      <w:pPr>
        <w:ind w:left="1560" w:hanging="256"/>
        <w:spacing w:after="0"/>
        <w:tabs>
          <w:tab w:leader="none" w:pos="15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73" w:lineRule="auto"/>
        <w:tabs>
          <w:tab w:leader="none" w:pos="2177" w:val="left"/>
        </w:tabs>
        <w:numPr>
          <w:ilvl w:val="1"/>
          <w:numId w:val="58"/>
        </w:numPr>
        <w:rPr>
          <w:rFonts w:ascii="Arial" w:cs="Arial" w:eastAsia="Arial" w:hAnsi="Arial"/>
          <w:sz w:val="17"/>
          <w:szCs w:val="17"/>
          <w:color w:val="auto"/>
        </w:rPr>
      </w:pPr>
      <w:r>
        <w:rPr>
          <w:rFonts w:ascii="Arial" w:cs="Arial" w:eastAsia="Arial" w:hAnsi="Arial"/>
          <w:sz w:val="17"/>
          <w:szCs w:val="17"/>
          <w:color w:val="auto"/>
        </w:rPr>
        <w:t>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77" w:lineRule="exact"/>
        <w:rPr>
          <w:rFonts w:ascii="Arial" w:cs="Arial" w:eastAsia="Arial" w:hAnsi="Arial"/>
          <w:sz w:val="17"/>
          <w:szCs w:val="17"/>
          <w:color w:val="auto"/>
        </w:rPr>
      </w:pPr>
    </w:p>
    <w:p>
      <w:pPr>
        <w:jc w:val="both"/>
        <w:ind w:left="660" w:firstLine="1292"/>
        <w:spacing w:after="0" w:line="269" w:lineRule="auto"/>
        <w:tabs>
          <w:tab w:leader="none" w:pos="2222" w:val="left"/>
        </w:tabs>
        <w:numPr>
          <w:ilvl w:val="1"/>
          <w:numId w:val="58"/>
        </w:numPr>
        <w:rPr>
          <w:rFonts w:ascii="Arial" w:cs="Arial" w:eastAsia="Arial" w:hAnsi="Arial"/>
          <w:sz w:val="17"/>
          <w:szCs w:val="17"/>
          <w:color w:val="auto"/>
        </w:rPr>
      </w:pPr>
      <w:r>
        <w:rPr>
          <w:rFonts w:ascii="Arial" w:cs="Arial" w:eastAsia="Arial" w:hAnsi="Arial"/>
          <w:sz w:val="17"/>
          <w:szCs w:val="17"/>
          <w:color w:val="auto"/>
        </w:rPr>
        <w:t>Notwithstanding the foregoing, the Committee may permit Awards (other than Incentive Stock Options) to be transferred by the Participant, without consideration, subject to such rules as the Committee may adopt, to (A) any person who is a “family member” of the Participant, as such term is used in the instructions to Form S-8 under the Securities Act or any successor form of registration statements promulgated by the Securities and Exchange Commission (collectively, the “</w:t>
      </w:r>
      <w:r>
        <w:rPr>
          <w:rFonts w:ascii="Arial" w:cs="Arial" w:eastAsia="Arial" w:hAnsi="Arial"/>
          <w:sz w:val="17"/>
          <w:szCs w:val="17"/>
          <w:b w:val="1"/>
          <w:bCs w:val="1"/>
          <w:color w:val="auto"/>
        </w:rPr>
        <w:t>Immediate Family Members</w:t>
      </w:r>
      <w:r>
        <w:rPr>
          <w:rFonts w:ascii="Arial" w:cs="Arial" w:eastAsia="Arial" w:hAnsi="Arial"/>
          <w:sz w:val="17"/>
          <w:szCs w:val="17"/>
          <w:color w:val="auto"/>
        </w:rPr>
        <w:t>”); (B) a trust solely for the benefit of the Participant or the Participant’s Immediate Family Members; (C) a partnership or limited liability company whose only partners or stockholders are the Participant and the Participant’s Immediate Family Members; or (D) any other transferee as may be approved either (1) by the Board or the Committee, or (2) as provided in the applicable Award Agreement; (each transferee described in clause (A), (B), (C) or (D) above is hereinafter referred to as a “</w:t>
      </w:r>
      <w:r>
        <w:rPr>
          <w:rFonts w:ascii="Arial" w:cs="Arial" w:eastAsia="Arial" w:hAnsi="Arial"/>
          <w:sz w:val="17"/>
          <w:szCs w:val="17"/>
          <w:b w:val="1"/>
          <w:bCs w:val="1"/>
          <w:color w:val="auto"/>
        </w:rPr>
        <w:t>Permitted Transferee</w:t>
      </w:r>
      <w:r>
        <w:rPr>
          <w:rFonts w:ascii="Arial" w:cs="Arial" w:eastAsia="Arial" w:hAnsi="Arial"/>
          <w:sz w:val="17"/>
          <w:szCs w:val="17"/>
          <w:color w:val="auto"/>
        </w:rPr>
        <w:t>”);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81" w:lineRule="exact"/>
        <w:rPr>
          <w:rFonts w:ascii="Arial" w:cs="Arial" w:eastAsia="Arial" w:hAnsi="Arial"/>
          <w:sz w:val="17"/>
          <w:szCs w:val="17"/>
          <w:color w:val="auto"/>
        </w:rPr>
      </w:pPr>
    </w:p>
    <w:p>
      <w:pPr>
        <w:jc w:val="both"/>
        <w:ind w:left="660" w:firstLine="1292"/>
        <w:spacing w:after="0" w:line="285" w:lineRule="auto"/>
        <w:tabs>
          <w:tab w:leader="none" w:pos="2279"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the immediately preceding paragraph shall apply to the Permitted Transferee, and any reference in the Plan, or in any applicable Award 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 and (E) any non-competition, non-solicitation, non-disparagement, non-disclosure, or other restrictive covenants contained in any Award Agreement or other agreement between the Participant and the Company or any Affiliate shall continue to apply to the Participant and the consequences of the violation of such covenants shall continue to be applied with respect to the transferred Award, including without limitation the clawback and forfeiture provisions of Section 14(v) of the Plan.</w:t>
      </w:r>
    </w:p>
    <w:p>
      <w:pPr>
        <w:spacing w:after="0" w:line="176" w:lineRule="exact"/>
        <w:rPr>
          <w:rFonts w:ascii="Arial" w:cs="Arial" w:eastAsia="Arial" w:hAnsi="Arial"/>
          <w:sz w:val="16"/>
          <w:szCs w:val="16"/>
          <w:color w:val="auto"/>
        </w:rPr>
      </w:pPr>
    </w:p>
    <w:p>
      <w:pPr>
        <w:jc w:val="both"/>
        <w:ind w:firstLine="1304"/>
        <w:spacing w:after="0" w:line="291" w:lineRule="auto"/>
        <w:tabs>
          <w:tab w:leader="none" w:pos="156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Dividends and Dividend Equivalents</w:t>
      </w:r>
      <w:r>
        <w:rPr>
          <w:rFonts w:ascii="Arial" w:cs="Arial" w:eastAsia="Arial" w:hAnsi="Arial"/>
          <w:sz w:val="16"/>
          <w:szCs w:val="16"/>
          <w:color w:val="auto"/>
        </w:rPr>
        <w:t>. The Committee may provide the Participant with dividends or dividend equivalents as part of an Award,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provided, that no dividends or dividend equivalents shall be payable (i) in respect of outstanding Options or SARs or (ii) in respect of any other Award unless and until the Participant vests in such underlying Award; provided, further, that dividend equivalents may be accumulated in respect of unearned Awards and paid as soon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457835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02" w:name="page103"/>
    <w:bookmarkEnd w:id="102"/>
    <w:p>
      <w:pPr>
        <w:jc w:val="both"/>
        <w:spacing w:after="0" w:line="263" w:lineRule="auto"/>
        <w:rPr>
          <w:sz w:val="20"/>
          <w:szCs w:val="20"/>
          <w:color w:val="auto"/>
        </w:rPr>
      </w:pPr>
      <w:r>
        <w:rPr>
          <w:rFonts w:ascii="Arial" w:cs="Arial" w:eastAsia="Arial" w:hAnsi="Arial"/>
          <w:sz w:val="18"/>
          <w:szCs w:val="18"/>
          <w:color w:val="auto"/>
        </w:rPr>
        <w:t>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76" w:lineRule="exact"/>
        <w:rPr>
          <w:sz w:val="20"/>
          <w:szCs w:val="20"/>
          <w:color w:val="auto"/>
        </w:rPr>
      </w:pPr>
    </w:p>
    <w:p>
      <w:pPr>
        <w:ind w:left="1560" w:hanging="256"/>
        <w:spacing w:after="0"/>
        <w:tabs>
          <w:tab w:leader="none" w:pos="15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4" w:lineRule="auto"/>
        <w:tabs>
          <w:tab w:leader="none" w:pos="217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(up to the maximum permissible withholding amounts) in respect of an Award, its exercise, or any payment or transfer under an Award or under the Plan and to take such other action that the Committee or the Company deem necessary to satisfy all obligations for the payment of such withholding taxes.</w:t>
      </w:r>
    </w:p>
    <w:p>
      <w:pPr>
        <w:spacing w:after="0" w:line="194" w:lineRule="exact"/>
        <w:rPr>
          <w:rFonts w:ascii="Arial" w:cs="Arial" w:eastAsia="Arial" w:hAnsi="Arial"/>
          <w:sz w:val="18"/>
          <w:szCs w:val="18"/>
          <w:color w:val="auto"/>
        </w:rPr>
      </w:pPr>
    </w:p>
    <w:p>
      <w:pPr>
        <w:jc w:val="both"/>
        <w:ind w:left="660" w:firstLine="1292"/>
        <w:spacing w:after="0" w:line="253" w:lineRule="auto"/>
        <w:tabs>
          <w:tab w:leader="none" w:pos="22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Without limiting the generality of paragraph (i) above, the Committee may permit the Participant to satisfy, in whole or in part, the foregoing withholding liability by (A) payment in cash, (B) the delivery of shares of Common Stock (which shares are not subject to any pledge or other security interest) owned by the Participant having a Fair Market Value on such date equal to such withholding liability or (C) having the Company withhold from the number of shares of Common Stock otherwise issuable or deliverable pursuant to the exercise or settlement of the Award a number of shares with a Fair Market Value on such date equal to such withholding liability. In addition, subject to any requirements of applicable law, the Participant may also satisfy the tax withholding obligations by other methods, including selling shares of Common Stock that would otherwise be available for delivery, provided that the Board or the Committee has specifically approved such payment method in advance.</w:t>
      </w:r>
    </w:p>
    <w:p>
      <w:pPr>
        <w:spacing w:after="0" w:line="196" w:lineRule="exact"/>
        <w:rPr>
          <w:rFonts w:ascii="Arial" w:cs="Arial" w:eastAsia="Arial" w:hAnsi="Arial"/>
          <w:sz w:val="18"/>
          <w:szCs w:val="18"/>
          <w:color w:val="auto"/>
        </w:rPr>
      </w:pPr>
    </w:p>
    <w:p>
      <w:pPr>
        <w:jc w:val="both"/>
        <w:ind w:firstLine="1304"/>
        <w:spacing w:after="0" w:line="270" w:lineRule="auto"/>
        <w:tabs>
          <w:tab w:leader="none" w:pos="154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 Directorship or Engagement</w:t>
      </w:r>
      <w:r>
        <w:rPr>
          <w:rFonts w:ascii="Arial" w:cs="Arial" w:eastAsia="Arial" w:hAnsi="Arial"/>
          <w:sz w:val="17"/>
          <w:szCs w:val="17"/>
          <w:color w:val="auto"/>
        </w:rPr>
        <w:t>. No employee, director of the Company, consultant providing service to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or to continue in the employ or the service of the Company or an Affiliate, nor shall it be construed as giving any Participant who is a director any rights to continued service on the Board.</w:t>
      </w:r>
    </w:p>
    <w:p>
      <w:pPr>
        <w:spacing w:after="0" w:line="180" w:lineRule="exact"/>
        <w:rPr>
          <w:rFonts w:ascii="Arial" w:cs="Arial" w:eastAsia="Arial" w:hAnsi="Arial"/>
          <w:sz w:val="17"/>
          <w:szCs w:val="17"/>
          <w:color w:val="auto"/>
        </w:rPr>
      </w:pPr>
    </w:p>
    <w:p>
      <w:pPr>
        <w:jc w:val="both"/>
        <w:ind w:firstLine="1304"/>
        <w:spacing w:after="0" w:line="290" w:lineRule="auto"/>
        <w:tabs>
          <w:tab w:leader="none" w:pos="156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International Participants</w:t>
      </w:r>
      <w:r>
        <w:rPr>
          <w:rFonts w:ascii="Arial" w:cs="Arial" w:eastAsia="Arial" w:hAnsi="Arial"/>
          <w:sz w:val="16"/>
          <w:szCs w:val="16"/>
          <w:color w:val="auto"/>
        </w:rPr>
        <w:t>.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that vary with local requirements. The Committee may also adopt rules, procedures or sub-plans applicable to particular Affiliates or locations.</w:t>
      </w:r>
    </w:p>
    <w:p>
      <w:pPr>
        <w:spacing w:after="0" w:line="165" w:lineRule="exact"/>
        <w:rPr>
          <w:rFonts w:ascii="Arial" w:cs="Arial" w:eastAsia="Arial" w:hAnsi="Arial"/>
          <w:sz w:val="16"/>
          <w:szCs w:val="16"/>
          <w:color w:val="auto"/>
        </w:rPr>
      </w:pPr>
    </w:p>
    <w:p>
      <w:pPr>
        <w:jc w:val="both"/>
        <w:ind w:firstLine="1304"/>
        <w:spacing w:after="0" w:line="272" w:lineRule="auto"/>
        <w:tabs>
          <w:tab w:leader="none" w:pos="155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The Participant’s beneficiary shall be the Participant’s spouse (or domestic partner if such status is recognized by the Company and in such jurisdiction), or if the Participant is otherwise unmarried at the time of death, the Participant’s estate, except to the extent that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03" w:name="page104"/>
    <w:bookmarkEnd w:id="103"/>
    <w:p>
      <w:pPr>
        <w:jc w:val="both"/>
        <w:ind w:left="-460" w:firstLine="1304"/>
        <w:spacing w:after="0" w:line="269" w:lineRule="auto"/>
        <w:tabs>
          <w:tab w:leader="none" w:pos="1104"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 The Committee, in its sole discretion, shall determine the effect of all matters and questions related to the termination of employment of or service of a Participant.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 employee director) (or vice versa), such change in status shall not be considered a termination of employment or service with the Company or an Affiliate for purposes of the Plan.</w:t>
      </w:r>
    </w:p>
    <w:p>
      <w:pPr>
        <w:spacing w:after="0" w:line="185" w:lineRule="exact"/>
        <w:rPr>
          <w:rFonts w:ascii="Arial" w:cs="Arial" w:eastAsia="Arial" w:hAnsi="Arial"/>
          <w:sz w:val="17"/>
          <w:szCs w:val="17"/>
          <w:color w:val="auto"/>
        </w:rPr>
      </w:pPr>
    </w:p>
    <w:p>
      <w:pPr>
        <w:jc w:val="both"/>
        <w:ind w:left="-460" w:firstLine="1304"/>
        <w:spacing w:after="0" w:line="263" w:lineRule="auto"/>
        <w:tabs>
          <w:tab w:leader="none" w:pos="106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that are subject to Awards hereunder until such shares have been issued or delivered to that person.</w:t>
      </w:r>
    </w:p>
    <w:p>
      <w:pPr>
        <w:spacing w:after="0" w:line="183" w:lineRule="exact"/>
        <w:rPr>
          <w:rFonts w:ascii="Arial" w:cs="Arial" w:eastAsia="Arial" w:hAnsi="Arial"/>
          <w:sz w:val="18"/>
          <w:szCs w:val="18"/>
          <w:color w:val="auto"/>
        </w:rPr>
      </w:pPr>
    </w:p>
    <w:p>
      <w:pPr>
        <w:ind w:left="1060" w:hanging="2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0" w:firstLine="1292"/>
        <w:spacing w:after="0" w:line="263" w:lineRule="auto"/>
        <w:tabs>
          <w:tab w:leader="none" w:pos="1719"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Nothing in the Plan shall be deemed to authorize the Committee or Board or any members thereof to take any action contrary to applicable law or regulation, or Nasdaq rules or the rules of any other securities exchange or inter-dealer quotation service on which the Common Stock is listed or quoted.</w:t>
      </w:r>
    </w:p>
    <w:p>
      <w:pPr>
        <w:spacing w:after="0" w:line="183" w:lineRule="exact"/>
        <w:rPr>
          <w:rFonts w:ascii="Arial" w:cs="Arial" w:eastAsia="Arial" w:hAnsi="Arial"/>
          <w:sz w:val="18"/>
          <w:szCs w:val="18"/>
          <w:color w:val="auto"/>
        </w:rPr>
      </w:pPr>
    </w:p>
    <w:p>
      <w:pPr>
        <w:jc w:val="both"/>
        <w:ind w:left="200" w:firstLine="1292"/>
        <w:spacing w:after="0" w:line="284" w:lineRule="auto"/>
        <w:tabs>
          <w:tab w:leader="none" w:pos="1767"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delivered under the Plan shall be subject to such stop-transfer orders and other restrictions as the Committee may deem advisable under the Plan, the applicable Award Agreement, U.S. federal securities laws, or the rules, regulations and other requirements of the U.S. Securities and Exchange Commission, any securities exchange or inter-dealer quotation service upon which such shares or other securities of the Company 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289" w:lineRule="exact"/>
        <w:rPr>
          <w:rFonts w:ascii="Arial" w:cs="Arial" w:eastAsia="Arial" w:hAnsi="Arial"/>
          <w:sz w:val="16"/>
          <w:szCs w:val="16"/>
          <w:color w:val="auto"/>
        </w:rPr>
      </w:pPr>
    </w:p>
    <w:p>
      <w:pPr>
        <w:jc w:val="both"/>
        <w:ind w:left="200" w:firstLine="1292"/>
        <w:spacing w:after="0" w:line="255" w:lineRule="auto"/>
        <w:tabs>
          <w:tab w:leader="none" w:pos="18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474345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49" w:right="999" w:bottom="1440" w:gutter="0" w:footer="0" w:header="0"/>
        </w:sectPr>
      </w:pPr>
    </w:p>
    <w:bookmarkStart w:id="104" w:name="page105"/>
    <w:bookmarkEnd w:id="104"/>
    <w:p>
      <w:pPr>
        <w:jc w:val="both"/>
        <w:ind w:left="200"/>
        <w:spacing w:after="0" w:line="255" w:lineRule="auto"/>
        <w:rPr>
          <w:sz w:val="20"/>
          <w:szCs w:val="20"/>
          <w:color w:val="auto"/>
        </w:rPr>
      </w:pPr>
      <w:r>
        <w:rPr>
          <w:rFonts w:ascii="Arial" w:cs="Arial" w:eastAsia="Arial" w:hAnsi="Arial"/>
          <w:sz w:val="18"/>
          <w:szCs w:val="18"/>
          <w:color w:val="auto"/>
        </w:rPr>
        <w:t>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192" w:lineRule="exact"/>
        <w:rPr>
          <w:sz w:val="20"/>
          <w:szCs w:val="20"/>
          <w:color w:val="auto"/>
        </w:rPr>
      </w:pPr>
    </w:p>
    <w:p>
      <w:pPr>
        <w:jc w:val="both"/>
        <w:ind w:left="-460" w:firstLine="1304"/>
        <w:spacing w:after="0" w:line="259" w:lineRule="auto"/>
        <w:tabs>
          <w:tab w:leader="none" w:pos="109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Section 83(b) Elections</w:t>
      </w:r>
      <w:r>
        <w:rPr>
          <w:rFonts w:ascii="Arial" w:cs="Arial" w:eastAsia="Arial" w:hAnsi="Arial"/>
          <w:sz w:val="18"/>
          <w:szCs w:val="18"/>
          <w:color w:val="auto"/>
        </w:rPr>
        <w:t>. If a Participant, in connection with the acquisition of shares of Common Stock under the Plan, makes an election under Section 83(b) of the Code, the Participant shall notify the Company of such election within ten days after filing notice of the election with the Internal Revenue Service, in addition to any filing and notification required pursuant to Section 83(b) of the Code.</w:t>
      </w:r>
    </w:p>
    <w:p>
      <w:pPr>
        <w:spacing w:after="0" w:line="186" w:lineRule="exact"/>
        <w:rPr>
          <w:rFonts w:ascii="Arial" w:cs="Arial" w:eastAsia="Arial" w:hAnsi="Arial"/>
          <w:sz w:val="18"/>
          <w:szCs w:val="18"/>
          <w:color w:val="auto"/>
        </w:rPr>
      </w:pPr>
    </w:p>
    <w:p>
      <w:pPr>
        <w:jc w:val="both"/>
        <w:ind w:left="-460" w:firstLine="1304"/>
        <w:spacing w:after="0" w:line="272" w:lineRule="auto"/>
        <w:tabs>
          <w:tab w:leader="none" w:pos="105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Payments to Persons Other Than Participants</w:t>
      </w:r>
      <w:r>
        <w:rPr>
          <w:rFonts w:ascii="Arial" w:cs="Arial" w:eastAsia="Arial" w:hAnsi="Arial"/>
          <w:sz w:val="17"/>
          <w:szCs w:val="17"/>
          <w:color w:val="auto"/>
        </w:rPr>
        <w:t>. If the Committee shall find that any person to whom any amount is payable under the Plan is unable to care for such person’s affairs because of illness or accident, or is a minor, or has died, then any payment due to such person or such person’s estate (unless a prior claim therefor has been made by a duly appointed legal representative or a beneficiary designation form has been filed with the Company) may, if the Committee so directs the Company, be paid to such person’s spouse, child, or relative, or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77" w:lineRule="exact"/>
        <w:rPr>
          <w:rFonts w:ascii="Arial" w:cs="Arial" w:eastAsia="Arial" w:hAnsi="Arial"/>
          <w:sz w:val="17"/>
          <w:szCs w:val="17"/>
          <w:color w:val="auto"/>
        </w:rPr>
      </w:pPr>
    </w:p>
    <w:p>
      <w:pPr>
        <w:jc w:val="both"/>
        <w:ind w:left="-460" w:firstLine="1304"/>
        <w:spacing w:after="0" w:line="279" w:lineRule="auto"/>
        <w:tabs>
          <w:tab w:leader="none" w:pos="115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Nonexclusivity of the Plan</w:t>
      </w:r>
      <w:r>
        <w:rPr>
          <w:rFonts w:ascii="Arial" w:cs="Arial" w:eastAsia="Arial" w:hAnsi="Arial"/>
          <w:sz w:val="17"/>
          <w:szCs w:val="17"/>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awards otherwise than under the Plan, and such arrangements may be either applicable generally or only in specific cases.</w:t>
      </w:r>
    </w:p>
    <w:p>
      <w:pPr>
        <w:spacing w:after="0" w:line="171" w:lineRule="exact"/>
        <w:rPr>
          <w:rFonts w:ascii="Arial" w:cs="Arial" w:eastAsia="Arial" w:hAnsi="Arial"/>
          <w:sz w:val="17"/>
          <w:szCs w:val="17"/>
          <w:color w:val="auto"/>
        </w:rPr>
      </w:pPr>
    </w:p>
    <w:p>
      <w:pPr>
        <w:jc w:val="both"/>
        <w:ind w:left="-460" w:firstLine="1304"/>
        <w:spacing w:after="0" w:line="270" w:lineRule="auto"/>
        <w:tabs>
          <w:tab w:leader="none" w:pos="109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This Plan and Awards hereunder are intended to be unfunded for tax purposes and for purposes of the Employee Retirement Income Security Act of 1974, as amended, and shall be construed and interpreted in accordance with such intent.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to otherwise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180" w:lineRule="exact"/>
        <w:rPr>
          <w:rFonts w:ascii="Arial" w:cs="Arial" w:eastAsia="Arial" w:hAnsi="Arial"/>
          <w:sz w:val="17"/>
          <w:szCs w:val="17"/>
          <w:color w:val="auto"/>
        </w:rPr>
      </w:pPr>
    </w:p>
    <w:p>
      <w:pPr>
        <w:jc w:val="both"/>
        <w:ind w:left="-460" w:firstLine="1304"/>
        <w:spacing w:after="0" w:line="257" w:lineRule="auto"/>
        <w:tabs>
          <w:tab w:leader="none" w:pos="110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(and each such member’s respective designees) shall be fully justified in acting or failing to act, as the case may be, and shall not be liable for having so acted or failed to act in good faith, in reliance upon any report made by the independent registered public accounting firm of the Company or any of its Affiliates or any other information furnished in connection with the Plan by any agent or advisor of the Company or the Committee or the Board.</w:t>
      </w:r>
    </w:p>
    <w:p>
      <w:pPr>
        <w:spacing w:after="0" w:line="187" w:lineRule="exact"/>
        <w:rPr>
          <w:rFonts w:ascii="Arial" w:cs="Arial" w:eastAsia="Arial" w:hAnsi="Arial"/>
          <w:sz w:val="18"/>
          <w:szCs w:val="18"/>
          <w:color w:val="auto"/>
        </w:rPr>
      </w:pPr>
    </w:p>
    <w:p>
      <w:pPr>
        <w:jc w:val="both"/>
        <w:ind w:left="-460" w:firstLine="1304"/>
        <w:spacing w:after="0" w:line="263" w:lineRule="auto"/>
        <w:tabs>
          <w:tab w:leader="none" w:pos="109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75" w:lineRule="exact"/>
        <w:rPr>
          <w:rFonts w:ascii="Arial" w:cs="Arial" w:eastAsia="Arial" w:hAnsi="Arial"/>
          <w:sz w:val="18"/>
          <w:szCs w:val="18"/>
          <w:color w:val="auto"/>
        </w:rPr>
      </w:pPr>
    </w:p>
    <w:p>
      <w:pPr>
        <w:jc w:val="both"/>
        <w:ind w:left="-460" w:firstLine="1304"/>
        <w:spacing w:after="0" w:line="255" w:lineRule="auto"/>
        <w:tabs>
          <w:tab w:leader="none" w:pos="109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 Whether or not the Options and shares covered by the Plan have been registered under the Securities Act, each person exercising an Option under the Plan or acquiring shares under the Plan may be required by the Company to give a representation in writing that such person is acquiring such shares for investment and not with a view to, or for sale in connection with, the distribution of any part thereof. The Company will endorse any necessary legend referring to the foregoing restriction upon the certificate or certificates representing any shares issued or transferred to the Participant upon the exercise of any Option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474345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49" w:right="999" w:bottom="1440" w:gutter="0" w:footer="0" w:header="0"/>
        </w:sectPr>
      </w:pPr>
    </w:p>
    <w:bookmarkStart w:id="105" w:name="page106"/>
    <w:bookmarkEnd w:id="105"/>
    <w:p>
      <w:pPr>
        <w:jc w:val="both"/>
        <w:ind w:left="-460" w:firstLine="1304"/>
        <w:spacing w:after="0" w:line="263" w:lineRule="auto"/>
        <w:tabs>
          <w:tab w:leader="none" w:pos="106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3" w:lineRule="exact"/>
        <w:rPr>
          <w:rFonts w:ascii="Arial" w:cs="Arial" w:eastAsia="Arial" w:hAnsi="Arial"/>
          <w:sz w:val="18"/>
          <w:szCs w:val="18"/>
          <w:color w:val="auto"/>
        </w:rPr>
      </w:pPr>
    </w:p>
    <w:p>
      <w:pPr>
        <w:jc w:val="both"/>
        <w:ind w:left="-460" w:firstLine="1304"/>
        <w:spacing w:after="0" w:line="273" w:lineRule="auto"/>
        <w:tabs>
          <w:tab w:leader="none" w:pos="108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77" w:lineRule="exact"/>
        <w:rPr>
          <w:rFonts w:ascii="Arial" w:cs="Arial" w:eastAsia="Arial" w:hAnsi="Arial"/>
          <w:sz w:val="17"/>
          <w:szCs w:val="17"/>
          <w:color w:val="auto"/>
        </w:rPr>
      </w:pPr>
    </w:p>
    <w:p>
      <w:pPr>
        <w:jc w:val="both"/>
        <w:ind w:left="-460" w:firstLine="1304"/>
        <w:spacing w:after="0" w:line="286" w:lineRule="auto"/>
        <w:tabs>
          <w:tab w:leader="none" w:pos="107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Obligations Binding on Successors</w:t>
      </w:r>
      <w:r>
        <w:rPr>
          <w:rFonts w:ascii="Arial" w:cs="Arial" w:eastAsia="Arial" w:hAnsi="Arial"/>
          <w:sz w:val="17"/>
          <w:szCs w:val="17"/>
          <w:color w:val="auto"/>
        </w:rPr>
        <w: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165" w:lineRule="exact"/>
        <w:rPr>
          <w:rFonts w:ascii="Arial" w:cs="Arial" w:eastAsia="Arial" w:hAnsi="Arial"/>
          <w:sz w:val="17"/>
          <w:szCs w:val="17"/>
          <w:color w:val="auto"/>
        </w:rPr>
      </w:pPr>
    </w:p>
    <w:p>
      <w:pPr>
        <w:ind w:left="1100" w:hanging="256"/>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0" w:firstLine="1292"/>
        <w:spacing w:after="0" w:line="269" w:lineRule="auto"/>
        <w:tabs>
          <w:tab w:leader="none" w:pos="1713" w:val="left"/>
        </w:tabs>
        <w:numPr>
          <w:ilvl w:val="1"/>
          <w:numId w:val="62"/>
        </w:numPr>
        <w:rPr>
          <w:rFonts w:ascii="Arial" w:cs="Arial" w:eastAsia="Arial" w:hAnsi="Arial"/>
          <w:sz w:val="17"/>
          <w:szCs w:val="17"/>
          <w:color w:val="auto"/>
        </w:rPr>
      </w:pPr>
      <w:r>
        <w:rPr>
          <w:rFonts w:ascii="Arial" w:cs="Arial" w:eastAsia="Arial" w:hAnsi="Arial"/>
          <w:sz w:val="17"/>
          <w:szCs w:val="17"/>
          <w:color w:val="auto"/>
        </w:rPr>
        <w:t>It is intended that the Plan be exempt from or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185" w:lineRule="exact"/>
        <w:rPr>
          <w:rFonts w:ascii="Arial" w:cs="Arial" w:eastAsia="Arial" w:hAnsi="Arial"/>
          <w:sz w:val="17"/>
          <w:szCs w:val="17"/>
          <w:color w:val="auto"/>
        </w:rPr>
      </w:pPr>
    </w:p>
    <w:p>
      <w:pPr>
        <w:jc w:val="both"/>
        <w:ind w:left="200" w:firstLine="1292"/>
        <w:spacing w:after="0" w:line="254" w:lineRule="auto"/>
        <w:tabs>
          <w:tab w:leader="none" w:pos="1776"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if the Participant is a “specified employee” within the meaning of Section 409A(a)(2)(B)(i) of the Code, no payments or deliveries in respect of any Awards that are payable on account of the Participant’s “separation from service” and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194" w:lineRule="exact"/>
        <w:rPr>
          <w:rFonts w:ascii="Arial" w:cs="Arial" w:eastAsia="Arial" w:hAnsi="Arial"/>
          <w:sz w:val="18"/>
          <w:szCs w:val="18"/>
          <w:color w:val="auto"/>
        </w:rPr>
      </w:pPr>
    </w:p>
    <w:p>
      <w:pPr>
        <w:jc w:val="both"/>
        <w:ind w:left="200" w:firstLine="1292"/>
        <w:spacing w:after="0" w:line="272" w:lineRule="auto"/>
        <w:tabs>
          <w:tab w:leader="none" w:pos="1834"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69" w:lineRule="exact"/>
        <w:rPr>
          <w:rFonts w:ascii="Arial" w:cs="Arial" w:eastAsia="Arial" w:hAnsi="Arial"/>
          <w:sz w:val="17"/>
          <w:szCs w:val="17"/>
          <w:color w:val="auto"/>
        </w:rPr>
      </w:pPr>
    </w:p>
    <w:p>
      <w:pPr>
        <w:jc w:val="both"/>
        <w:ind w:left="-460" w:firstLine="1304"/>
        <w:spacing w:after="0" w:line="257" w:lineRule="auto"/>
        <w:tabs>
          <w:tab w:leader="none" w:pos="114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Clawback/Forfeiture</w:t>
      </w:r>
      <w:r>
        <w:rPr>
          <w:rFonts w:ascii="Arial" w:cs="Arial" w:eastAsia="Arial" w:hAnsi="Arial"/>
          <w:sz w:val="18"/>
          <w:szCs w:val="18"/>
          <w:color w:val="auto"/>
        </w:rPr>
        <w:t>. Notwithstanding anything to the contrary contained herein, to the extent required by applicable law (including, without limitation, Section 304 of the Sarbanes-Oxley Act and Section 954 of the Dodd-Frank Wall Street Reform and Consumer Protection Act and any rules or regulations promulgated thereunder) and/or the rules and regulations of NASDAQ or any other securities exchange or inter-dealer quotation service on which the Common Stock is listed or quoted, Awards shall be subject (including on a retroactive basis)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471170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106" w:name="page107"/>
    <w:bookmarkEnd w:id="106"/>
    <w:p>
      <w:pPr>
        <w:ind w:right="20"/>
        <w:spacing w:after="0" w:line="277" w:lineRule="auto"/>
        <w:rPr>
          <w:sz w:val="20"/>
          <w:szCs w:val="20"/>
          <w:color w:val="auto"/>
        </w:rPr>
      </w:pPr>
      <w:r>
        <w:rPr>
          <w:rFonts w:ascii="Arial" w:cs="Arial" w:eastAsia="Arial" w:hAnsi="Arial"/>
          <w:sz w:val="18"/>
          <w:szCs w:val="18"/>
          <w:color w:val="auto"/>
        </w:rPr>
        <w:t>clawback, forfeiture or similar requirements (and such requirements shall be deemed incorporated by reference into all outstanding Award Agreements).</w:t>
      </w:r>
    </w:p>
    <w:p>
      <w:pPr>
        <w:spacing w:after="0" w:line="170" w:lineRule="exact"/>
        <w:rPr>
          <w:sz w:val="20"/>
          <w:szCs w:val="20"/>
          <w:color w:val="auto"/>
        </w:rPr>
      </w:pPr>
    </w:p>
    <w:p>
      <w:pPr>
        <w:jc w:val="both"/>
        <w:ind w:firstLine="1304"/>
        <w:spacing w:after="0" w:line="301" w:lineRule="auto"/>
        <w:tabs>
          <w:tab w:leader="none" w:pos="159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 Representations or Covenants with Respect to Tax Qualification</w:t>
      </w:r>
      <w:r>
        <w:rPr>
          <w:rFonts w:ascii="Arial" w:cs="Arial" w:eastAsia="Arial" w:hAnsi="Arial"/>
          <w:sz w:val="16"/>
          <w:szCs w:val="16"/>
          <w:color w:val="auto"/>
        </w:rPr>
        <w:t>. Although the Company may endeavor to (i) 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157" w:lineRule="exact"/>
        <w:rPr>
          <w:rFonts w:ascii="Arial" w:cs="Arial" w:eastAsia="Arial" w:hAnsi="Arial"/>
          <w:sz w:val="16"/>
          <w:szCs w:val="16"/>
          <w:color w:val="auto"/>
        </w:rPr>
      </w:pPr>
    </w:p>
    <w:p>
      <w:pPr>
        <w:jc w:val="both"/>
        <w:ind w:firstLine="1304"/>
        <w:spacing w:after="0" w:line="291" w:lineRule="auto"/>
        <w:tabs>
          <w:tab w:leader="none" w:pos="1564"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 Interference</w:t>
      </w:r>
      <w:r>
        <w:rPr>
          <w:rFonts w:ascii="Arial" w:cs="Arial" w:eastAsia="Arial" w:hAnsi="Arial"/>
          <w:sz w:val="16"/>
          <w:szCs w:val="16"/>
          <w:color w:val="auto"/>
        </w:rPr>
        <w:t>. The existence of the Plan, any Award Agreement, and the Awards granted hereunder shall not affect or restrict in any way the right or power of the Company, the Board, the Committee,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or preferred or prior preference stocks whose rights are superior to or affect the Common Stock or the rights thereof or that are convertible into or exchangeable for Common Stock, or the dissolution or liquidation of the Company or any Affiliate, or any sale or transfer of all or any part of their assets or business, or any other corporate act or proceeding, whether of a similar character or otherwise.</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6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The expenses of administering the Plan shall be borne by the Company and its Affiliates. The titles and headings of the sections in the Plan are for convenience of reference only, and in the event of any conflict, the text of the Plan, rather than such titles or headings shall control.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As adopted by the Board of Directors of the Company on March 7, 2022 and as adopted by the stockholders of the Company on June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9" w:right="9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RESTRICTED STOCK UNIT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 AS AMENDED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Notice evidences the award of Deferred Restricted Stock Units (each, a "</w:t>
      </w:r>
      <w:r>
        <w:rPr>
          <w:rFonts w:ascii="Arial" w:cs="Arial" w:eastAsia="Arial" w:hAnsi="Arial"/>
          <w:sz w:val="16"/>
          <w:szCs w:val="16"/>
          <w:b w:val="1"/>
          <w:bCs w:val="1"/>
          <w:i w:val="1"/>
          <w:iCs w:val="1"/>
          <w:color w:val="auto"/>
        </w:rPr>
        <w:t>DRSU</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DRSUs</w:t>
      </w:r>
      <w:r>
        <w:rPr>
          <w:rFonts w:ascii="Arial" w:cs="Arial" w:eastAsia="Arial" w:hAnsi="Arial"/>
          <w:sz w:val="16"/>
          <w:szCs w:val="16"/>
          <w:color w:val="auto"/>
        </w:rPr>
        <w:t>") of Iovance Biotherapeutics,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that have been granted to you pursuant to the Iovance Biotherapeutics, Inc. 2018 Equity Incentive Plan, as amended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conditioned upon your agreement to the terms of the attached Deferred Restricted Stock Unit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This Notice constitutes part of and is subject to the terms and provisions of the Agreement and the Plan, which are incorporated by reference herein. Each DRSU is equivalent in value to one share of the Company Stock and represents the Company's commitment to issue one share of Company Stock at a future date, subject to the terms of the Agreement and the Plan. The DRSUs are credited to a separate account maintained for you on the books and records of the Company (the "</w:t>
      </w:r>
      <w:r>
        <w:rPr>
          <w:rFonts w:ascii="Arial" w:cs="Arial" w:eastAsia="Arial" w:hAnsi="Arial"/>
          <w:sz w:val="16"/>
          <w:szCs w:val="16"/>
          <w:b w:val="1"/>
          <w:bCs w:val="1"/>
          <w:i w:val="1"/>
          <w:iCs w:val="1"/>
          <w:color w:val="auto"/>
        </w:rPr>
        <w:t>Account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All amounts credited to the Account will continue for all purposes to be part of the general assets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DRSUs: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xml:space="preserve"> All of the DRSUs are nonvested and forfeitable as of the Grant Date. So long as your employment or service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is continuous from the Grant Date through the applicable date upon which vesting is scheduled to occur: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may otherwise be provided herein, the DRSUs mentioned in the Plan shall vest as to the earlier of (i) the first anniversary of the Grant Date or (ii) the day prior to the Company’s next annual shareholder meeting (such date,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subject to the Grantee’s continued employment or service with the Company or any of its Affiliates through the applicable Vesting Date. The extent to which the DRSUs are vested as of a particular date is rounded down to the nearest whole unit. Any fractional DRSUs resulting from the rounding application of the vesting schedule shall be aggregated and the DRSUs resulting from such aggregation shall vest on the final Vesting Date.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in the event your service is terminated without Cause immediately before and contingent upon a Change in Control, the DRSUs that are unvested as of the date of termination will immediately become 100%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Iovance Biotherapeutics, Inc.</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62922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DRSUs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9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Signature of Grantee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 AS AMENDED</w:t>
      </w:r>
    </w:p>
    <w:p>
      <w:pPr>
        <w:spacing w:after="0" w:line="200" w:lineRule="exact"/>
        <w:rPr>
          <w:sz w:val="20"/>
          <w:szCs w:val="20"/>
          <w:color w:val="auto"/>
        </w:rPr>
      </w:pPr>
    </w:p>
    <w:p>
      <w:pPr>
        <w:spacing w:after="0" w:line="227" w:lineRule="exact"/>
        <w:rPr>
          <w:sz w:val="20"/>
          <w:szCs w:val="20"/>
          <w:color w:val="auto"/>
        </w:rPr>
      </w:pPr>
    </w:p>
    <w:p>
      <w:pPr>
        <w:ind w:right="220" w:firstLine="1304"/>
        <w:spacing w:after="0" w:line="277" w:lineRule="auto"/>
        <w:tabs>
          <w:tab w:leader="none" w:pos="1944"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xml:space="preserve"> Unless otherwise provided in this Agreement, capitalized terms used herein are defined in the Glossary at the end of this Agreement.</w:t>
      </w:r>
    </w:p>
    <w:p>
      <w:pPr>
        <w:spacing w:after="0" w:line="170" w:lineRule="exact"/>
        <w:rPr>
          <w:rFonts w:ascii="Arial" w:cs="Arial" w:eastAsia="Arial" w:hAnsi="Arial"/>
          <w:sz w:val="18"/>
          <w:szCs w:val="18"/>
          <w:color w:val="auto"/>
        </w:rPr>
      </w:pPr>
    </w:p>
    <w:p>
      <w:pPr>
        <w:ind w:right="240" w:firstLine="1304"/>
        <w:spacing w:after="0" w:line="301" w:lineRule="auto"/>
        <w:tabs>
          <w:tab w:leader="none" w:pos="1944"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All of the DRSUs are nonvested and forfeitable as of the Grant Date. So long as your service or employment is continuous from the Grant Date through the applicable date upon which vesting is scheduled to occur, the DRSUs will become vested and nonforfeitable in accordance with the vesting schedule set forth in the Notice. Except for the circumstances, if any, described in the Notice, none of the DRSUs will become vested and nonforfeitable after your service or employment ceases.</w:t>
      </w:r>
    </w:p>
    <w:p>
      <w:pPr>
        <w:spacing w:after="0" w:line="157" w:lineRule="exact"/>
        <w:rPr>
          <w:rFonts w:ascii="Arial" w:cs="Arial" w:eastAsia="Arial" w:hAnsi="Arial"/>
          <w:sz w:val="16"/>
          <w:szCs w:val="16"/>
          <w:color w:val="auto"/>
        </w:rPr>
      </w:pPr>
    </w:p>
    <w:p>
      <w:pPr>
        <w:ind w:right="20" w:firstLine="1304"/>
        <w:spacing w:after="0" w:line="255" w:lineRule="auto"/>
        <w:tabs>
          <w:tab w:leader="none" w:pos="1944"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xml:space="preserve"> Unless otherwise provided in the Notice, if your service or employment with the Company ceases for any reason, all DRSUs that are not then vested and nonforfeitable will be forfeited to the Company immediately and automatically upon such cessation without payment of any consideration therefor and you will have no further right, title or interest in or to such DRSUs or the underlying shares of Company Stock. Notwithstanding the foregoing, if your service or employment with the Company is terminated due to death or Disability, any unvested portion of the DRSUs shall become fully vested on the date of such termination.</w:t>
      </w:r>
    </w:p>
    <w:p>
      <w:pPr>
        <w:spacing w:after="0" w:line="192" w:lineRule="exact"/>
        <w:rPr>
          <w:rFonts w:ascii="Arial" w:cs="Arial" w:eastAsia="Arial" w:hAnsi="Arial"/>
          <w:sz w:val="18"/>
          <w:szCs w:val="18"/>
          <w:color w:val="auto"/>
        </w:rPr>
      </w:pPr>
    </w:p>
    <w:p>
      <w:pPr>
        <w:ind w:right="20" w:firstLine="1304"/>
        <w:spacing w:after="0" w:line="257" w:lineRule="auto"/>
        <w:tabs>
          <w:tab w:leader="none" w:pos="1944"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xml:space="preserve"> Neither this Agreement nor any of the DRSUs may be assigned, transferred, pledged, hypothecated or disposed of in any way, whether by operation of law or otherwise, and the DRSUs shall not be subject to execution, attachment or similar process. All rights with respect to this Agreement and the DRSUs shall be vested during your lifetime only by you or your guardian or legal representative. Notwithstanding the foregoing, the DRSUs may be transferred upon your death by last will and testament or under the laws of descent and distribution.</w:t>
      </w:r>
    </w:p>
    <w:p>
      <w:pPr>
        <w:spacing w:after="0" w:line="187" w:lineRule="exact"/>
        <w:rPr>
          <w:rFonts w:ascii="Arial" w:cs="Arial" w:eastAsia="Arial" w:hAnsi="Arial"/>
          <w:sz w:val="18"/>
          <w:szCs w:val="18"/>
          <w:color w:val="auto"/>
        </w:rPr>
      </w:pPr>
    </w:p>
    <w:p>
      <w:pPr>
        <w:ind w:left="1960" w:hanging="656"/>
        <w:spacing w:after="0"/>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Settlement of DRSUs.</w:t>
      </w:r>
    </w:p>
    <w:p>
      <w:pPr>
        <w:spacing w:after="0" w:line="225" w:lineRule="exact"/>
        <w:rPr>
          <w:rFonts w:ascii="Arial" w:cs="Arial" w:eastAsia="Arial" w:hAnsi="Arial"/>
          <w:sz w:val="18"/>
          <w:szCs w:val="18"/>
          <w:color w:val="auto"/>
        </w:rPr>
      </w:pPr>
    </w:p>
    <w:p>
      <w:pPr>
        <w:jc w:val="both"/>
        <w:ind w:firstLine="656"/>
        <w:spacing w:after="0" w:line="272" w:lineRule="auto"/>
        <w:tabs>
          <w:tab w:leader="none" w:pos="1296"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Manner of Settlement.</w:t>
      </w:r>
      <w:r>
        <w:rPr>
          <w:rFonts w:ascii="Arial" w:cs="Arial" w:eastAsia="Arial" w:hAnsi="Arial"/>
          <w:sz w:val="17"/>
          <w:szCs w:val="17"/>
          <w:color w:val="auto"/>
        </w:rPr>
        <w:t xml:space="preserve"> You are not required to make any monetary payment (other than applicable tax withholding, if required) as a condition to settlement of the DRSUs. The Company will issue to you, in settlement of your DRSUs, subject to the provisions of Section 6, if applicable, the number of whole shares of Company Stock that equals the number of whole DRSUs that become vested, and such vested DRSUs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77" w:lineRule="exact"/>
        <w:rPr>
          <w:rFonts w:ascii="Arial" w:cs="Arial" w:eastAsia="Arial" w:hAnsi="Arial"/>
          <w:sz w:val="17"/>
          <w:szCs w:val="17"/>
          <w:color w:val="auto"/>
        </w:rPr>
      </w:pPr>
    </w:p>
    <w:p>
      <w:pPr>
        <w:jc w:val="both"/>
        <w:ind w:firstLine="656"/>
        <w:spacing w:after="0" w:line="291" w:lineRule="auto"/>
        <w:tabs>
          <w:tab w:leader="none" w:pos="1296"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Timing of Settlement.</w:t>
      </w:r>
      <w:r>
        <w:rPr>
          <w:rFonts w:ascii="Arial" w:cs="Arial" w:eastAsia="Arial" w:hAnsi="Arial"/>
          <w:sz w:val="16"/>
          <w:szCs w:val="16"/>
          <w:color w:val="auto"/>
        </w:rPr>
        <w:t xml:space="preserve"> Your vested DRSUs will be settled by the Company, via the issuance of Company Stock as described herein, on the earliest of one of the following events: (1) the consummation of a transaction that results in a Change in Control;</w:t>
      </w:r>
    </w:p>
    <w:p>
      <w:pPr>
        <w:jc w:val="both"/>
        <w:ind w:firstLine="8"/>
        <w:spacing w:after="0" w:line="229" w:lineRule="auto"/>
        <w:tabs>
          <w:tab w:leader="none" w:pos="26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your Separation from Service; or (3) the tenth (10th) anniversary of the Grant Date. However, if a scheduled issuance date under the foregoing clauses (2) or (3) falls on a Saturday, Sunday or federal holiday, such issuance date shall instead fall on the preceding day that the principal executive offices of the Company are open for business.</w:t>
      </w:r>
    </w:p>
    <w:p>
      <w:pPr>
        <w:spacing w:after="0" w:line="202" w:lineRule="exact"/>
        <w:rPr>
          <w:rFonts w:ascii="Arial" w:cs="Arial" w:eastAsia="Arial" w:hAnsi="Arial"/>
          <w:sz w:val="17"/>
          <w:szCs w:val="17"/>
          <w:color w:val="auto"/>
        </w:rPr>
      </w:pPr>
    </w:p>
    <w:p>
      <w:pPr>
        <w:ind w:right="60" w:firstLine="1304"/>
        <w:spacing w:after="0" w:line="272" w:lineRule="auto"/>
        <w:tabs>
          <w:tab w:leader="none" w:pos="1944" w:val="left"/>
        </w:tabs>
        <w:numPr>
          <w:ilvl w:val="2"/>
          <w:numId w:val="66"/>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If applicable, on or before the time you receive a distribution of the shares subject to your DRSUs, or at any time thereafter as requested by the Company, you hereby authorize any required withholding from the Company Stock issuable to you and/or otherwise agree to make adequate provision in cash for any sums required to satisfy the federal, state, local and foreign tax withholding obligations of the Company or any Affiliate which arise in connection with your DRSUs (the "</w:t>
      </w:r>
      <w:r>
        <w:rPr>
          <w:rFonts w:ascii="Arial" w:cs="Arial" w:eastAsia="Arial" w:hAnsi="Arial"/>
          <w:sz w:val="17"/>
          <w:szCs w:val="17"/>
          <w:b w:val="1"/>
          <w:bCs w:val="1"/>
          <w:i w:val="1"/>
          <w:iCs w:val="1"/>
          <w:color w:val="auto"/>
        </w:rPr>
        <w:t>Withholding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Additionally, the Company may, in its sole discretion, satisfy all or any portion of the Withholding Taxes obligation relating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your DRSUs by any of the following means or by a combination of such means: (i) withholding from any compensation otherwise payable to you by the Company; (ii) causing you to tender a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32" w:right="999" w:bottom="1440" w:gutter="0" w:footer="0" w:header="0"/>
        </w:sectPr>
      </w:pPr>
    </w:p>
    <w:bookmarkStart w:id="109" w:name="page110"/>
    <w:bookmarkEnd w:id="109"/>
    <w:p>
      <w:pPr>
        <w:jc w:val="both"/>
        <w:spacing w:after="0" w:line="268" w:lineRule="auto"/>
        <w:rPr>
          <w:sz w:val="20"/>
          <w:szCs w:val="20"/>
          <w:color w:val="auto"/>
        </w:rPr>
      </w:pPr>
      <w:r>
        <w:rPr>
          <w:rFonts w:ascii="Arial" w:cs="Arial" w:eastAsia="Arial" w:hAnsi="Arial"/>
          <w:sz w:val="17"/>
          <w:szCs w:val="17"/>
          <w:color w:val="auto"/>
        </w:rPr>
        <w:t>payment; (iii) permitting you to enter into a "same day sale" commitment with a broker-dealer that is a member of the Financial Industry Regulatory Authority (a "</w:t>
      </w:r>
      <w:r>
        <w:rPr>
          <w:rFonts w:ascii="Arial" w:cs="Arial" w:eastAsia="Arial" w:hAnsi="Arial"/>
          <w:sz w:val="17"/>
          <w:szCs w:val="17"/>
          <w:b w:val="1"/>
          <w:bCs w:val="1"/>
          <w:i w:val="1"/>
          <w:iCs w:val="1"/>
          <w:color w:val="auto"/>
        </w:rPr>
        <w:t>FINRA Dealer</w:t>
      </w:r>
      <w:r>
        <w:rPr>
          <w:rFonts w:ascii="Arial" w:cs="Arial" w:eastAsia="Arial" w:hAnsi="Arial"/>
          <w:sz w:val="17"/>
          <w:szCs w:val="17"/>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Company Stock from the shares of Company Stock issued or otherwise issuable to you in connection with the DRSUs with a Fair Market Value (measured as of the date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186" w:lineRule="exact"/>
        <w:rPr>
          <w:sz w:val="20"/>
          <w:szCs w:val="20"/>
          <w:color w:val="auto"/>
        </w:rPr>
      </w:pPr>
    </w:p>
    <w:p>
      <w:pPr>
        <w:ind w:left="1960" w:hanging="656"/>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p>
    <w:p>
      <w:pPr>
        <w:spacing w:after="0" w:line="225" w:lineRule="exact"/>
        <w:rPr>
          <w:rFonts w:ascii="Arial" w:cs="Arial" w:eastAsia="Arial" w:hAnsi="Arial"/>
          <w:sz w:val="18"/>
          <w:szCs w:val="18"/>
          <w:color w:val="auto"/>
        </w:rPr>
      </w:pPr>
    </w:p>
    <w:p>
      <w:pPr>
        <w:jc w:val="both"/>
        <w:ind w:firstLine="656"/>
        <w:spacing w:after="0" w:line="290" w:lineRule="auto"/>
        <w:tabs>
          <w:tab w:leader="none" w:pos="129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Stock Dividend, Dividend, Stock Split and Reverse Stock Split</w:t>
      </w:r>
      <w:r>
        <w:rPr>
          <w:rFonts w:ascii="Arial" w:cs="Arial" w:eastAsia="Arial" w:hAnsi="Arial"/>
          <w:sz w:val="16"/>
          <w:szCs w:val="16"/>
          <w:color w:val="auto"/>
        </w:rPr>
        <w:t>. Upon a stock dividend of, or stock split or reverse stock split or other event described in Section 4(d) of the Plan affecting, the Company Stock, the number of outstanding DRSUs shall, without further action of the Administrator, be adjusted to reflect such event; provided, however, that any fractional DRSUs resulting from any such adjustment shall be eliminated. If the Company declares any dividend with respect to Company Stock after the Date of Grant and prior to termination of this DRSU, then such dividend attributable to the then vested DRSUs, if any, shall accrue to your benefit as additional DRSUs as calculated by the Administrator. Additional DRSUs resulting from a dividend shall be settled at the same time as the underlying vested DRSUs are settled. Adjustments and calculations under this paragraph will be made by the Administrator, whose determination as to what adjustments, if any, will be made and the extent thereof will be final, binding and conclusive.</w:t>
      </w:r>
    </w:p>
    <w:p>
      <w:pPr>
        <w:spacing w:after="0" w:line="165" w:lineRule="exact"/>
        <w:rPr>
          <w:rFonts w:ascii="Arial" w:cs="Arial" w:eastAsia="Arial" w:hAnsi="Arial"/>
          <w:sz w:val="16"/>
          <w:szCs w:val="16"/>
          <w:color w:val="auto"/>
        </w:rPr>
      </w:pPr>
    </w:p>
    <w:p>
      <w:pPr>
        <w:jc w:val="both"/>
        <w:ind w:firstLine="656"/>
        <w:spacing w:after="0" w:line="254" w:lineRule="auto"/>
        <w:tabs>
          <w:tab w:leader="none" w:pos="129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xml:space="preserve"> If the Company shall be the surviving or resulting corporation in any merger or consolidation and the Company Stock shall be converted into other securities, the DRSUs shall pertain to and apply to the securities to which a holder of the number of shares of Company Stock subject to the DRSUs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DRSUs would have been entitled, in the same manner and to the same extent as the DRSUs.</w:t>
      </w:r>
    </w:p>
    <w:p>
      <w:pPr>
        <w:spacing w:after="0" w:line="191" w:lineRule="exact"/>
        <w:rPr>
          <w:rFonts w:ascii="Arial" w:cs="Arial" w:eastAsia="Arial" w:hAnsi="Arial"/>
          <w:sz w:val="18"/>
          <w:szCs w:val="18"/>
          <w:color w:val="auto"/>
        </w:rPr>
      </w:pPr>
    </w:p>
    <w:p>
      <w:pPr>
        <w:ind w:right="40" w:firstLine="1304"/>
        <w:spacing w:after="0" w:line="255" w:lineRule="auto"/>
        <w:tabs>
          <w:tab w:leader="none" w:pos="1944"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 or Service Relationship.</w:t>
      </w:r>
      <w:r>
        <w:rPr>
          <w:rFonts w:ascii="Arial" w:cs="Arial" w:eastAsia="Arial" w:hAnsi="Arial"/>
          <w:sz w:val="18"/>
          <w:szCs w:val="18"/>
          <w:color w:val="auto"/>
        </w:rPr>
        <w:t xml:space="preserve">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DRSUs or any other adverse effect on your interests under the Plan.</w:t>
      </w:r>
    </w:p>
    <w:p>
      <w:pPr>
        <w:spacing w:after="0" w:line="192" w:lineRule="exact"/>
        <w:rPr>
          <w:rFonts w:ascii="Arial" w:cs="Arial" w:eastAsia="Arial" w:hAnsi="Arial"/>
          <w:sz w:val="18"/>
          <w:szCs w:val="18"/>
          <w:color w:val="auto"/>
        </w:rPr>
      </w:pPr>
    </w:p>
    <w:p>
      <w:pPr>
        <w:ind w:right="180" w:firstLine="1304"/>
        <w:spacing w:after="0" w:line="263" w:lineRule="auto"/>
        <w:tabs>
          <w:tab w:leader="none" w:pos="1944"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xml:space="preserve"> Except as expressly set forth herein, you shall not have any of the rights of a stockholder with respect to any shares of Company Stock that may be issued in settlement of the DRSUs until such shares of Company Stock have been issued to you.</w:t>
      </w:r>
    </w:p>
    <w:p>
      <w:pPr>
        <w:spacing w:after="0" w:line="183" w:lineRule="exact"/>
        <w:rPr>
          <w:rFonts w:ascii="Arial" w:cs="Arial" w:eastAsia="Arial" w:hAnsi="Arial"/>
          <w:sz w:val="18"/>
          <w:szCs w:val="18"/>
          <w:color w:val="auto"/>
        </w:rPr>
      </w:pPr>
    </w:p>
    <w:p>
      <w:pPr>
        <w:ind w:right="120" w:firstLine="1304"/>
        <w:spacing w:after="0" w:line="273" w:lineRule="auto"/>
        <w:tabs>
          <w:tab w:leader="none" w:pos="1944"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The Company's Rights</w:t>
      </w:r>
      <w:r>
        <w:rPr>
          <w:rFonts w:ascii="Arial" w:cs="Arial" w:eastAsia="Arial" w:hAnsi="Arial"/>
          <w:sz w:val="17"/>
          <w:szCs w:val="17"/>
          <w:color w:val="auto"/>
        </w:rPr>
        <w:t>. The existence of the DRSUs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10" w:name="page111"/>
    <w:bookmarkEnd w:id="110"/>
    <w:p>
      <w:pPr>
        <w:jc w:val="both"/>
        <w:ind w:left="-460" w:firstLine="1304"/>
        <w:spacing w:after="0" w:line="269" w:lineRule="auto"/>
        <w:tabs>
          <w:tab w:leader="none" w:pos="148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Restrictions on Issuance of Shares.</w:t>
      </w:r>
      <w:r>
        <w:rPr>
          <w:rFonts w:ascii="Arial" w:cs="Arial" w:eastAsia="Arial" w:hAnsi="Arial"/>
          <w:sz w:val="17"/>
          <w:szCs w:val="17"/>
          <w:color w:val="auto"/>
        </w:rPr>
        <w:t xml:space="preserve"> The issuance of shares of Company Stock upon settlement of the DRSUs shall be subject to and in compliance with all applicable requirements of federal, state, or foreign law with respect to such securities. No shares of Company Stock may be issued hereunder 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DRSUs shall relieve the Company of any liability in respect of the failure to issue such shares as to which such requisite authority shall not have been obtained. As a condition to the settlement of the DRSUs,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85" w:lineRule="exact"/>
        <w:rPr>
          <w:rFonts w:ascii="Arial" w:cs="Arial" w:eastAsia="Arial" w:hAnsi="Arial"/>
          <w:sz w:val="17"/>
          <w:szCs w:val="17"/>
          <w:color w:val="auto"/>
        </w:rPr>
      </w:pPr>
    </w:p>
    <w:p>
      <w:pPr>
        <w:jc w:val="both"/>
        <w:ind w:left="-460" w:firstLine="1304"/>
        <w:spacing w:after="0" w:line="269" w:lineRule="auto"/>
        <w:tabs>
          <w:tab w:leader="none" w:pos="148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DRSUs by electronic means or to request your consent to participate in the Plan or accept this award of DRSUs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85" w:lineRule="exact"/>
        <w:rPr>
          <w:rFonts w:ascii="Arial" w:cs="Arial" w:eastAsia="Arial" w:hAnsi="Arial"/>
          <w:sz w:val="17"/>
          <w:szCs w:val="17"/>
          <w:color w:val="auto"/>
        </w:rPr>
      </w:pPr>
    </w:p>
    <w:p>
      <w:pPr>
        <w:jc w:val="both"/>
        <w:ind w:left="-460" w:firstLine="1304"/>
        <w:spacing w:after="0" w:line="259" w:lineRule="auto"/>
        <w:tabs>
          <w:tab w:leader="none" w:pos="148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together with the relevant Notice and the Plan, contains the entire agreement between the parties with respect to the DRSUs granted hereunder. Any oral or written agreements, representations, warranties, written inducements, or other communications made prior to the execution of this Agreement with respect to the DRSUs granted hereunder shall be void and ineffective for all purposes.</w:t>
      </w:r>
    </w:p>
    <w:p>
      <w:pPr>
        <w:spacing w:after="0" w:line="186" w:lineRule="exact"/>
        <w:rPr>
          <w:rFonts w:ascii="Arial" w:cs="Arial" w:eastAsia="Arial" w:hAnsi="Arial"/>
          <w:sz w:val="18"/>
          <w:szCs w:val="18"/>
          <w:color w:val="auto"/>
        </w:rPr>
      </w:pPr>
    </w:p>
    <w:p>
      <w:pPr>
        <w:jc w:val="both"/>
        <w:ind w:left="-460" w:firstLine="1304"/>
        <w:spacing w:after="0" w:line="259" w:lineRule="auto"/>
        <w:tabs>
          <w:tab w:leader="none" w:pos="148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this Agreement may not be modified in any manner that would have a materially adverse effect on the DRSUs as determined in the discretion of the Administrator, except as provided in the Plan or in a written document signed by each of the parties hereto.</w:t>
      </w:r>
    </w:p>
    <w:p>
      <w:pPr>
        <w:spacing w:after="0" w:line="186" w:lineRule="exact"/>
        <w:rPr>
          <w:rFonts w:ascii="Arial" w:cs="Arial" w:eastAsia="Arial" w:hAnsi="Arial"/>
          <w:sz w:val="18"/>
          <w:szCs w:val="18"/>
          <w:color w:val="auto"/>
        </w:rPr>
      </w:pPr>
    </w:p>
    <w:p>
      <w:pPr>
        <w:jc w:val="both"/>
        <w:ind w:left="-460" w:firstLine="1304"/>
        <w:spacing w:after="0" w:line="269" w:lineRule="auto"/>
        <w:tabs>
          <w:tab w:leader="none" w:pos="148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Recoupment Policy.</w:t>
      </w:r>
      <w:r>
        <w:rPr>
          <w:rFonts w:ascii="Arial" w:cs="Arial" w:eastAsia="Arial" w:hAnsi="Arial"/>
          <w:sz w:val="17"/>
          <w:szCs w:val="17"/>
          <w:color w:val="auto"/>
        </w:rPr>
        <w:t xml:space="preserve">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DRSU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DRSU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Committee and you shall be entitled to set off against the amount of any such payment any amounts otherwise owed to you by the Company. In addition, you agree that the DRSU shall be subject to any applicable clawback or recoupment policies, share trading policies and other policies that may be implemented by the Board from time to time.</w:t>
      </w:r>
    </w:p>
    <w:p>
      <w:pPr>
        <w:spacing w:after="0" w:line="178" w:lineRule="exact"/>
        <w:rPr>
          <w:rFonts w:ascii="Arial" w:cs="Arial" w:eastAsia="Arial" w:hAnsi="Arial"/>
          <w:sz w:val="17"/>
          <w:szCs w:val="17"/>
          <w:color w:val="auto"/>
        </w:rPr>
      </w:pPr>
    </w:p>
    <w:p>
      <w:pPr>
        <w:jc w:val="both"/>
        <w:ind w:left="-460" w:firstLine="1304"/>
        <w:spacing w:after="0" w:line="275" w:lineRule="auto"/>
        <w:tabs>
          <w:tab w:leader="none" w:pos="148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409A Savings Clause.</w:t>
      </w:r>
      <w:r>
        <w:rPr>
          <w:rFonts w:ascii="Arial" w:cs="Arial" w:eastAsia="Arial" w:hAnsi="Arial"/>
          <w:sz w:val="17"/>
          <w:szCs w:val="17"/>
          <w:color w:val="auto"/>
        </w:rPr>
        <w:t xml:space="preserve"> This Agreement and the DRSUs, including any dividends, granted hereunder are intended to comply with Section 409A.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600710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111" w:name="page112"/>
    <w:bookmarkEnd w:id="111"/>
    <w:p>
      <w:pPr>
        <w:jc w:val="both"/>
        <w:spacing w:after="0" w:line="275" w:lineRule="auto"/>
        <w:rPr>
          <w:sz w:val="20"/>
          <w:szCs w:val="20"/>
          <w:color w:val="auto"/>
        </w:rPr>
      </w:pPr>
      <w:r>
        <w:rPr>
          <w:rFonts w:ascii="Arial" w:cs="Arial" w:eastAsia="Arial" w:hAnsi="Arial"/>
          <w:sz w:val="17"/>
          <w:szCs w:val="17"/>
          <w:color w:val="auto"/>
        </w:rPr>
        <w:t>months and one day after the date of the separation from service, but if and only if such delay in the issuance of the shares is necessary to avoid the imposition of additional taxation on you in respect of the shares under Section 409A of the Code. Each installment of DRSUs (and any dividends) that vests is intended to constitute a "separate payment" for purposes of Section 409A of the Code and Treasury Regulation Section 1.409A-2(b)(2). In no event shall you, directly or indirectly, designate the calendar year of payment with respect to any amount that is "nonqualified deferred compensation" subject to Section 409A.</w:t>
      </w:r>
    </w:p>
    <w:p>
      <w:pPr>
        <w:spacing w:after="0" w:line="176" w:lineRule="exact"/>
        <w:rPr>
          <w:sz w:val="20"/>
          <w:szCs w:val="20"/>
          <w:color w:val="auto"/>
        </w:rPr>
      </w:pPr>
    </w:p>
    <w:p>
      <w:pPr>
        <w:jc w:val="both"/>
        <w:ind w:firstLine="1304"/>
        <w:spacing w:after="0" w:line="301" w:lineRule="auto"/>
        <w:tabs>
          <w:tab w:leader="none" w:pos="1944"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 Obligation to Minimize Taxes.</w:t>
      </w:r>
      <w:r>
        <w:rPr>
          <w:rFonts w:ascii="Arial" w:cs="Arial" w:eastAsia="Arial" w:hAnsi="Arial"/>
          <w:sz w:val="16"/>
          <w:szCs w:val="16"/>
          <w:color w:val="auto"/>
        </w:rPr>
        <w:t xml:space="preserve"> The Company has no duty or obligation to minimize the tax consequences to you of this award of DRSUs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xml:space="preserve"> This Agreement constitutes an unfunded and unsecured promise by the Company to issue shares of Company Stock in the future in accordance with its terms. You have the status of a general unsecured creditor of the Company as a result of receiving the grant of DRSUs.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xml:space="preserve"> The value of the DRSUs subject to this Agreement shall not be included as compensation, earnings, salaries, or other similar terms used when calculating your benefits, if any, under any employee benefit plan sponsored by the Company, except as such plan otherwise expressly provides. The Company expressly reserves its rights to amend, modify, or terminate any of the Company’s employee benefit plans.</w:t>
      </w:r>
    </w:p>
    <w:p>
      <w:pPr>
        <w:spacing w:after="0" w:line="186" w:lineRule="exact"/>
        <w:rPr>
          <w:rFonts w:ascii="Arial" w:cs="Arial" w:eastAsia="Arial" w:hAnsi="Arial"/>
          <w:sz w:val="18"/>
          <w:szCs w:val="18"/>
          <w:color w:val="auto"/>
        </w:rPr>
      </w:pPr>
    </w:p>
    <w:p>
      <w:pPr>
        <w:jc w:val="both"/>
        <w:ind w:firstLine="1304"/>
        <w:spacing w:after="0" w:line="290" w:lineRule="auto"/>
        <w:tabs>
          <w:tab w:leader="none" w:pos="1944"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65" w:lineRule="exact"/>
        <w:rPr>
          <w:rFonts w:ascii="Arial" w:cs="Arial" w:eastAsia="Arial" w:hAnsi="Arial"/>
          <w:sz w:val="16"/>
          <w:szCs w:val="16"/>
          <w:color w:val="auto"/>
        </w:rPr>
      </w:pPr>
    </w:p>
    <w:p>
      <w:pPr>
        <w:jc w:val="both"/>
        <w:ind w:firstLine="1304"/>
        <w:spacing w:after="0" w:line="290" w:lineRule="auto"/>
        <w:tabs>
          <w:tab w:leader="none" w:pos="1944"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xml:space="preserve">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65" w:lineRule="exact"/>
        <w:rPr>
          <w:rFonts w:ascii="Arial" w:cs="Arial" w:eastAsia="Arial" w:hAnsi="Arial"/>
          <w:sz w:val="16"/>
          <w:szCs w:val="16"/>
          <w:color w:val="auto"/>
        </w:rPr>
      </w:pPr>
    </w:p>
    <w:p>
      <w:pPr>
        <w:ind w:firstLine="1304"/>
        <w:spacing w:after="0" w:line="277"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in this Agreement are for reference purposes only and shall not affect the meaning or interpretation of this Agreement.</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xml:space="preserve"> By your signing the Notice, you (i) consent to the electronic delivery of this Agreement, all information with respect to the Plan and the DRSUs,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9" w:right="99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delivery of documents at any time by notifying the Company of such revoked consent by telephone, postal service or electronic mail; and</w:t>
      </w:r>
    </w:p>
    <w:p>
      <w:pPr>
        <w:spacing w:after="0" w:line="46"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further acknowledge that you understand that you are not required to consent to electronic delivery of documents.</w:t>
      </w:r>
    </w:p>
    <w:p>
      <w:pPr>
        <w:spacing w:after="0" w:line="210" w:lineRule="exact"/>
        <w:rPr>
          <w:rFonts w:ascii="Arial" w:cs="Arial" w:eastAsia="Arial" w:hAnsi="Arial"/>
          <w:sz w:val="18"/>
          <w:szCs w:val="18"/>
          <w:color w:val="auto"/>
        </w:rPr>
      </w:pPr>
    </w:p>
    <w:p>
      <w:pPr>
        <w:jc w:val="both"/>
        <w:ind w:firstLine="1304"/>
        <w:spacing w:after="0" w:line="269" w:lineRule="auto"/>
        <w:tabs>
          <w:tab w:leader="none" w:pos="1944"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No Future Entitlement.</w:t>
      </w:r>
      <w:r>
        <w:rPr>
          <w:rFonts w:ascii="Arial" w:cs="Arial" w:eastAsia="Arial" w:hAnsi="Arial"/>
          <w:sz w:val="17"/>
          <w:szCs w:val="17"/>
          <w:color w:val="auto"/>
        </w:rPr>
        <w:t xml:space="preserve">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78" w:lineRule="exact"/>
        <w:rPr>
          <w:rFonts w:ascii="Arial" w:cs="Arial" w:eastAsia="Arial" w:hAnsi="Arial"/>
          <w:sz w:val="17"/>
          <w:szCs w:val="17"/>
          <w:color w:val="auto"/>
        </w:rPr>
      </w:pPr>
    </w:p>
    <w:p>
      <w:pPr>
        <w:jc w:val="both"/>
        <w:ind w:firstLine="1304"/>
        <w:spacing w:after="0" w:line="285" w:lineRule="auto"/>
        <w:tabs>
          <w:tab w:leader="none" w:pos="1944"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xml:space="preserve">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{Glossary begins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9" w:right="9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t>GLOSSARY</w:t>
      </w:r>
    </w:p>
    <w:p>
      <w:pPr>
        <w:spacing w:after="0" w:line="225" w:lineRule="exact"/>
        <w:rPr>
          <w:sz w:val="20"/>
          <w:szCs w:val="20"/>
          <w:color w:val="auto"/>
        </w:rPr>
      </w:pPr>
    </w:p>
    <w:p>
      <w:pPr>
        <w:ind w:left="1960" w:hanging="656"/>
        <w:spacing w:after="0"/>
        <w:tabs>
          <w:tab w:leader="none" w:pos="1960"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Committee as defined in the Plan.</w:t>
      </w:r>
    </w:p>
    <w:p>
      <w:pPr>
        <w:spacing w:after="0" w:line="220" w:lineRule="exact"/>
        <w:rPr>
          <w:rFonts w:ascii="Arial" w:cs="Arial" w:eastAsia="Arial" w:hAnsi="Arial"/>
          <w:sz w:val="17"/>
          <w:szCs w:val="17"/>
          <w:i w:val="1"/>
          <w:iCs w:val="1"/>
          <w:color w:val="auto"/>
        </w:rPr>
      </w:pPr>
    </w:p>
    <w:p>
      <w:pPr>
        <w:jc w:val="both"/>
        <w:ind w:firstLine="1304"/>
        <w:spacing w:after="0" w:line="314" w:lineRule="auto"/>
        <w:tabs>
          <w:tab w:leader="none" w:pos="1944" w:val="left"/>
        </w:tabs>
        <w:numPr>
          <w:ilvl w:val="0"/>
          <w:numId w:val="72"/>
        </w:numPr>
        <w:rPr>
          <w:rFonts w:ascii="Arial" w:cs="Arial" w:eastAsia="Arial" w:hAnsi="Arial"/>
          <w:sz w:val="15"/>
          <w:szCs w:val="15"/>
          <w:i w:val="1"/>
          <w:iCs w:val="1"/>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means any entity, whether now or hereafter existing, which controls, is controlled by, or is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control with the Company (including but not limited to joint ventures, limited liability companies and partnerships). For this purpose, “control” means ownership or more of the total combined voting power or value of all class of stock or interests of the entity.</w:t>
      </w:r>
    </w:p>
    <w:p>
      <w:pPr>
        <w:spacing w:after="0" w:line="146" w:lineRule="exact"/>
        <w:rPr>
          <w:rFonts w:ascii="Arial" w:cs="Arial" w:eastAsia="Arial" w:hAnsi="Arial"/>
          <w:sz w:val="15"/>
          <w:szCs w:val="15"/>
          <w:i w:val="1"/>
          <w:iCs w:val="1"/>
          <w:color w:val="auto"/>
        </w:rPr>
      </w:pPr>
    </w:p>
    <w:p>
      <w:pPr>
        <w:ind w:firstLine="1304"/>
        <w:spacing w:after="0" w:line="277" w:lineRule="auto"/>
        <w:tabs>
          <w:tab w:leader="none" w:pos="1944"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means this document, as amended from time to time, together with the Plan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70" w:lineRule="exact"/>
        <w:rPr>
          <w:rFonts w:ascii="Arial" w:cs="Arial" w:eastAsia="Arial" w:hAnsi="Arial"/>
          <w:sz w:val="17"/>
          <w:szCs w:val="17"/>
          <w:i w:val="1"/>
          <w:iCs w:val="1"/>
          <w:color w:val="auto"/>
        </w:rPr>
      </w:pPr>
    </w:p>
    <w:p>
      <w:pPr>
        <w:ind w:left="1960" w:hanging="656"/>
        <w:spacing w:after="0"/>
        <w:tabs>
          <w:tab w:leader="none" w:pos="1960"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has the meaning set forth in the Plan.</w:t>
      </w:r>
    </w:p>
    <w:p>
      <w:pPr>
        <w:spacing w:after="0" w:line="225" w:lineRule="exact"/>
        <w:rPr>
          <w:rFonts w:ascii="Arial" w:cs="Arial" w:eastAsia="Arial" w:hAnsi="Arial"/>
          <w:sz w:val="17"/>
          <w:szCs w:val="17"/>
          <w:i w:val="1"/>
          <w:iCs w:val="1"/>
          <w:color w:val="auto"/>
        </w:rPr>
      </w:pPr>
    </w:p>
    <w:p>
      <w:pPr>
        <w:ind w:firstLine="1304"/>
        <w:spacing w:after="0" w:line="277" w:lineRule="auto"/>
        <w:tabs>
          <w:tab w:leader="none" w:pos="1944"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"Change in Control" shall </w:t>
      </w:r>
      <w:r>
        <w:rPr>
          <w:rFonts w:ascii="Arial" w:cs="Arial" w:eastAsia="Arial" w:hAnsi="Arial"/>
          <w:sz w:val="18"/>
          <w:szCs w:val="18"/>
          <w:color w:val="auto"/>
        </w:rPr>
        <w:t>have the meaning set forth in the Plan, so long as such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constitutes a “change in control event” as defined in Code Section 409A and applicable regulations.</w:t>
      </w:r>
    </w:p>
    <w:p>
      <w:pPr>
        <w:spacing w:after="0" w:line="170" w:lineRule="exact"/>
        <w:rPr>
          <w:rFonts w:ascii="Arial" w:cs="Arial" w:eastAsia="Arial" w:hAnsi="Arial"/>
          <w:sz w:val="17"/>
          <w:szCs w:val="17"/>
          <w:i w:val="1"/>
          <w:iCs w:val="1"/>
          <w:color w:val="auto"/>
        </w:rPr>
      </w:pPr>
    </w:p>
    <w:p>
      <w:pPr>
        <w:ind w:firstLine="1304"/>
        <w:spacing w:after="0" w:line="277" w:lineRule="auto"/>
        <w:tabs>
          <w:tab w:leader="none" w:pos="1944"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the Treasury regulations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promulgated thereunder.</w:t>
      </w:r>
    </w:p>
    <w:p>
      <w:pPr>
        <w:spacing w:after="0" w:line="170" w:lineRule="exact"/>
        <w:rPr>
          <w:rFonts w:ascii="Arial" w:cs="Arial" w:eastAsia="Arial" w:hAnsi="Arial"/>
          <w:sz w:val="17"/>
          <w:szCs w:val="17"/>
          <w:i w:val="1"/>
          <w:iCs w:val="1"/>
          <w:color w:val="auto"/>
        </w:rPr>
      </w:pPr>
    </w:p>
    <w:p>
      <w:pPr>
        <w:ind w:left="1960" w:hanging="656"/>
        <w:spacing w:after="0"/>
        <w:tabs>
          <w:tab w:leader="none" w:pos="1960"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"Company Stock" </w:t>
      </w:r>
      <w:r>
        <w:rPr>
          <w:rFonts w:ascii="Arial" w:cs="Arial" w:eastAsia="Arial" w:hAnsi="Arial"/>
          <w:sz w:val="18"/>
          <w:szCs w:val="18"/>
          <w:color w:val="auto"/>
        </w:rPr>
        <w:t>shall mean common stock of the Company.</w:t>
      </w:r>
    </w:p>
    <w:p>
      <w:pPr>
        <w:spacing w:after="0" w:line="225" w:lineRule="exact"/>
        <w:rPr>
          <w:rFonts w:ascii="Arial" w:cs="Arial" w:eastAsia="Arial" w:hAnsi="Arial"/>
          <w:sz w:val="17"/>
          <w:szCs w:val="17"/>
          <w:i w:val="1"/>
          <w:iCs w:val="1"/>
          <w:color w:val="auto"/>
        </w:rPr>
      </w:pPr>
    </w:p>
    <w:p>
      <w:pPr>
        <w:jc w:val="both"/>
        <w:ind w:firstLine="1304"/>
        <w:spacing w:after="0" w:line="263" w:lineRule="auto"/>
        <w:tabs>
          <w:tab w:leader="none" w:pos="1944"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Iovance Biotherapeutics, Inc., and shall include all its successors except where the context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requires. For purposes of determining whether a Change in Control has occurred, Company shall mean only Iovance Biotherapeutics, Inc.</w:t>
      </w:r>
    </w:p>
    <w:p>
      <w:pPr>
        <w:spacing w:after="0" w:line="179" w:lineRule="exact"/>
        <w:rPr>
          <w:rFonts w:ascii="Arial" w:cs="Arial" w:eastAsia="Arial" w:hAnsi="Arial"/>
          <w:sz w:val="17"/>
          <w:szCs w:val="17"/>
          <w:i w:val="1"/>
          <w:iCs w:val="1"/>
          <w:color w:val="auto"/>
        </w:rPr>
      </w:pPr>
    </w:p>
    <w:p>
      <w:pPr>
        <w:ind w:firstLine="1304"/>
        <w:spacing w:after="0" w:line="282" w:lineRule="auto"/>
        <w:tabs>
          <w:tab w:leader="none" w:pos="1944"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"DRSU” </w:t>
      </w:r>
      <w:r>
        <w:rPr>
          <w:rFonts w:ascii="Arial" w:cs="Arial" w:eastAsia="Arial" w:hAnsi="Arial"/>
          <w:sz w:val="18"/>
          <w:szCs w:val="18"/>
          <w:color w:val="auto"/>
        </w:rPr>
        <w:t>means the Company's commitment to issue one share of Company Stock at a future date,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Agreement and the Plan.</w:t>
      </w:r>
    </w:p>
    <w:p>
      <w:pPr>
        <w:spacing w:after="0" w:line="161" w:lineRule="exact"/>
        <w:rPr>
          <w:rFonts w:ascii="Arial" w:cs="Arial" w:eastAsia="Arial" w:hAnsi="Arial"/>
          <w:sz w:val="17"/>
          <w:szCs w:val="17"/>
          <w:i w:val="1"/>
          <w:iCs w:val="1"/>
          <w:color w:val="auto"/>
        </w:rPr>
      </w:pPr>
    </w:p>
    <w:p>
      <w:pPr>
        <w:ind w:left="1960" w:hanging="656"/>
        <w:spacing w:after="0"/>
        <w:tabs>
          <w:tab w:leader="none" w:pos="1960" w:val="left"/>
        </w:tabs>
        <w:numPr>
          <w:ilvl w:val="0"/>
          <w:numId w:val="72"/>
        </w:numPr>
        <w:rPr>
          <w:rFonts w:ascii="Arial" w:cs="Arial" w:eastAsia="Arial" w:hAnsi="Arial"/>
          <w:sz w:val="16"/>
          <w:szCs w:val="16"/>
          <w:i w:val="1"/>
          <w:iCs w:val="1"/>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have the meaning in the Plan subject to the requirements of Treasury Regulation Section</w:t>
      </w:r>
    </w:p>
    <w:p>
      <w:pPr>
        <w:spacing w:after="0" w:line="39"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1.409A-3(i)(4).</w:t>
      </w:r>
    </w:p>
    <w:p>
      <w:pPr>
        <w:spacing w:after="0" w:line="210" w:lineRule="exact"/>
        <w:rPr>
          <w:rFonts w:ascii="Arial" w:cs="Arial" w:eastAsia="Arial" w:hAnsi="Arial"/>
          <w:sz w:val="16"/>
          <w:szCs w:val="16"/>
          <w:i w:val="1"/>
          <w:iCs w:val="1"/>
          <w:color w:val="auto"/>
        </w:rPr>
      </w:pPr>
    </w:p>
    <w:p>
      <w:pPr>
        <w:ind w:left="1960" w:hanging="656"/>
        <w:spacing w:after="0"/>
        <w:tabs>
          <w:tab w:leader="none" w:pos="1960"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has the meaning set forth in the Plan.</w:t>
      </w:r>
    </w:p>
    <w:p>
      <w:pPr>
        <w:spacing w:after="0" w:line="225" w:lineRule="exact"/>
        <w:rPr>
          <w:rFonts w:ascii="Arial" w:cs="Arial" w:eastAsia="Arial" w:hAnsi="Arial"/>
          <w:sz w:val="17"/>
          <w:szCs w:val="17"/>
          <w:i w:val="1"/>
          <w:iCs w:val="1"/>
          <w:color w:val="auto"/>
        </w:rPr>
      </w:pPr>
    </w:p>
    <w:p>
      <w:pPr>
        <w:ind w:left="1960" w:hanging="656"/>
        <w:spacing w:after="0"/>
        <w:tabs>
          <w:tab w:leader="none" w:pos="1960" w:val="left"/>
        </w:tabs>
        <w:numPr>
          <w:ilvl w:val="0"/>
          <w:numId w:val="72"/>
        </w:numPr>
        <w:rPr>
          <w:rFonts w:ascii="Arial" w:cs="Arial" w:eastAsia="Arial" w:hAnsi="Arial"/>
          <w:sz w:val="15"/>
          <w:szCs w:val="15"/>
          <w:i w:val="1"/>
          <w:iCs w:val="1"/>
          <w:color w:val="auto"/>
        </w:rPr>
      </w:pPr>
      <w:r>
        <w:rPr>
          <w:rFonts w:ascii="Arial" w:cs="Arial" w:eastAsia="Arial" w:hAnsi="Arial"/>
          <w:sz w:val="16"/>
          <w:szCs w:val="16"/>
          <w:i w:val="1"/>
          <w:iCs w:val="1"/>
          <w:color w:val="auto"/>
        </w:rPr>
        <w:t xml:space="preserve">"Grant Date" </w:t>
      </w:r>
      <w:r>
        <w:rPr>
          <w:rFonts w:ascii="Arial" w:cs="Arial" w:eastAsia="Arial" w:hAnsi="Arial"/>
          <w:sz w:val="16"/>
          <w:szCs w:val="16"/>
          <w:color w:val="auto"/>
        </w:rPr>
        <w:t>means the effective date of a grant of DRSUs made to you as set forth in the relevant Notice.</w:t>
      </w:r>
    </w:p>
    <w:p>
      <w:pPr>
        <w:spacing w:after="0" w:line="248" w:lineRule="exact"/>
        <w:rPr>
          <w:rFonts w:ascii="Arial" w:cs="Arial" w:eastAsia="Arial" w:hAnsi="Arial"/>
          <w:sz w:val="15"/>
          <w:szCs w:val="15"/>
          <w:i w:val="1"/>
          <w:iCs w:val="1"/>
          <w:color w:val="auto"/>
        </w:rPr>
      </w:pPr>
    </w:p>
    <w:p>
      <w:pPr>
        <w:ind w:firstLine="1304"/>
        <w:spacing w:after="0" w:line="277" w:lineRule="auto"/>
        <w:tabs>
          <w:tab w:leader="none" w:pos="1944"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means the statement, letter or other written notification provided to you by the Company setting forth</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a grant of DRSUs made to you.</w:t>
      </w:r>
    </w:p>
    <w:p>
      <w:pPr>
        <w:spacing w:after="0" w:line="170" w:lineRule="exact"/>
        <w:rPr>
          <w:rFonts w:ascii="Arial" w:cs="Arial" w:eastAsia="Arial" w:hAnsi="Arial"/>
          <w:sz w:val="17"/>
          <w:szCs w:val="17"/>
          <w:i w:val="1"/>
          <w:iCs w:val="1"/>
          <w:color w:val="auto"/>
        </w:rPr>
      </w:pPr>
    </w:p>
    <w:p>
      <w:pPr>
        <w:ind w:left="1960" w:hanging="656"/>
        <w:spacing w:after="0"/>
        <w:tabs>
          <w:tab w:leader="none" w:pos="1960" w:val="left"/>
        </w:tabs>
        <w:numPr>
          <w:ilvl w:val="0"/>
          <w:numId w:val="72"/>
        </w:numPr>
        <w:rPr>
          <w:rFonts w:ascii="Arial" w:cs="Arial" w:eastAsia="Arial" w:hAnsi="Arial"/>
          <w:sz w:val="15"/>
          <w:szCs w:val="15"/>
          <w:i w:val="1"/>
          <w:iCs w:val="1"/>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means the Iovance Biotherapeutics, Inc. 2018 Equity Incentive Plan, as amended and as in effect from</w:t>
      </w:r>
    </w:p>
    <w:p>
      <w:pPr>
        <w:spacing w:after="0" w:line="46" w:lineRule="exact"/>
        <w:rPr>
          <w:rFonts w:ascii="Arial" w:cs="Arial" w:eastAsia="Arial" w:hAnsi="Arial"/>
          <w:sz w:val="15"/>
          <w:szCs w:val="15"/>
          <w:i w:val="1"/>
          <w:iCs w:val="1"/>
          <w:color w:val="auto"/>
        </w:rPr>
      </w:pPr>
    </w:p>
    <w:p>
      <w:pPr>
        <w:spacing w:after="0"/>
        <w:rPr>
          <w:rFonts w:ascii="Arial" w:cs="Arial" w:eastAsia="Arial" w:hAnsi="Arial"/>
          <w:sz w:val="15"/>
          <w:szCs w:val="15"/>
          <w:i w:val="1"/>
          <w:iCs w:val="1"/>
          <w:color w:val="auto"/>
        </w:rPr>
      </w:pPr>
      <w:r>
        <w:rPr>
          <w:rFonts w:ascii="Arial" w:cs="Arial" w:eastAsia="Arial" w:hAnsi="Arial"/>
          <w:sz w:val="18"/>
          <w:szCs w:val="18"/>
          <w:color w:val="auto"/>
        </w:rPr>
        <w:t>time to time.</w:t>
      </w:r>
    </w:p>
    <w:p>
      <w:pPr>
        <w:spacing w:after="0" w:line="206" w:lineRule="exact"/>
        <w:rPr>
          <w:rFonts w:ascii="Arial" w:cs="Arial" w:eastAsia="Arial" w:hAnsi="Arial"/>
          <w:sz w:val="15"/>
          <w:szCs w:val="15"/>
          <w:i w:val="1"/>
          <w:iCs w:val="1"/>
          <w:color w:val="auto"/>
        </w:rPr>
      </w:pPr>
    </w:p>
    <w:p>
      <w:pPr>
        <w:ind w:firstLine="1304"/>
        <w:spacing w:after="0" w:line="282" w:lineRule="auto"/>
        <w:tabs>
          <w:tab w:leader="none" w:pos="1944" w:val="left"/>
        </w:tabs>
        <w:numPr>
          <w:ilvl w:val="0"/>
          <w:numId w:val="72"/>
        </w:numPr>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“Separation of Service” </w:t>
      </w:r>
      <w:r>
        <w:rPr>
          <w:rFonts w:ascii="Arial" w:cs="Arial" w:eastAsia="Arial" w:hAnsi="Arial"/>
          <w:sz w:val="18"/>
          <w:szCs w:val="18"/>
          <w:color w:val="auto"/>
        </w:rPr>
        <w:t>means your</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from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Treasury Regulation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1.409A-1(h), and includes any termination of service due to death or Disability.</w:t>
      </w:r>
    </w:p>
    <w:p>
      <w:pPr>
        <w:spacing w:after="0" w:line="166" w:lineRule="exact"/>
        <w:rPr>
          <w:rFonts w:ascii="Arial" w:cs="Arial" w:eastAsia="Arial" w:hAnsi="Arial"/>
          <w:sz w:val="17"/>
          <w:szCs w:val="17"/>
          <w:i w:val="1"/>
          <w:iCs w:val="1"/>
          <w:color w:val="auto"/>
        </w:rPr>
      </w:pPr>
    </w:p>
    <w:p>
      <w:pPr>
        <w:jc w:val="both"/>
        <w:ind w:firstLine="1304"/>
        <w:spacing w:after="0" w:line="301" w:lineRule="auto"/>
        <w:tabs>
          <w:tab w:leader="none" w:pos="1944" w:val="left"/>
        </w:tabs>
        <w:numPr>
          <w:ilvl w:val="0"/>
          <w:numId w:val="72"/>
        </w:numPr>
        <w:rPr>
          <w:rFonts w:ascii="Arial" w:cs="Arial" w:eastAsia="Arial" w:hAnsi="Arial"/>
          <w:sz w:val="15"/>
          <w:szCs w:val="15"/>
          <w:i w:val="1"/>
          <w:iCs w:val="1"/>
          <w:color w:val="auto"/>
        </w:rPr>
      </w:pPr>
      <w:r>
        <w:rPr>
          <w:rFonts w:ascii="Arial" w:cs="Arial" w:eastAsia="Arial" w:hAnsi="Arial"/>
          <w:sz w:val="16"/>
          <w:szCs w:val="16"/>
          <w:i w:val="1"/>
          <w:iCs w:val="1"/>
          <w:color w:val="auto"/>
        </w:rPr>
        <w:t xml:space="preserve">"You" </w:t>
      </w:r>
      <w:r>
        <w:rPr>
          <w:rFonts w:ascii="Arial" w:cs="Arial" w:eastAsia="Arial" w:hAnsi="Arial"/>
          <w:sz w:val="16"/>
          <w:szCs w:val="16"/>
          <w:color w:val="auto"/>
        </w:rPr>
        <w:t>or</w:t>
      </w:r>
      <w:r>
        <w:rPr>
          <w:rFonts w:ascii="Arial" w:cs="Arial" w:eastAsia="Arial" w:hAnsi="Arial"/>
          <w:sz w:val="16"/>
          <w:szCs w:val="16"/>
          <w:i w:val="1"/>
          <w:iCs w:val="1"/>
          <w:color w:val="auto"/>
        </w:rPr>
        <w:t xml:space="preserve"> "Your" </w:t>
      </w:r>
      <w:r>
        <w:rPr>
          <w:rFonts w:ascii="Arial" w:cs="Arial" w:eastAsia="Arial" w:hAnsi="Arial"/>
          <w:sz w:val="16"/>
          <w:szCs w:val="16"/>
          <w:color w:val="auto"/>
        </w:rPr>
        <w:t>means the recipient of the DRSUs as reflected on the applicable Notice. Whenever the word</w:t>
      </w:r>
      <w:r>
        <w:rPr>
          <w:rFonts w:ascii="Arial" w:cs="Arial" w:eastAsia="Arial" w:hAnsi="Arial"/>
          <w:sz w:val="16"/>
          <w:szCs w:val="16"/>
          <w:i w:val="1"/>
          <w:iCs w:val="1"/>
          <w:color w:val="auto"/>
        </w:rPr>
        <w:t xml:space="preserve"> </w:t>
      </w:r>
      <w:r>
        <w:rPr>
          <w:rFonts w:ascii="Arial" w:cs="Arial" w:eastAsia="Arial" w:hAnsi="Arial"/>
          <w:sz w:val="16"/>
          <w:szCs w:val="16"/>
          <w:color w:val="auto"/>
        </w:rPr>
        <w:t>"you" or "your" is used in any provision of this Agreement under circumstances where the provision should logically be construed, as determined by the Administrator, to apply to the estate, personal representative, or beneficiary to whom the DRSUs may be transferred by will or by the laws of descent and distribution, the words "you" and "your" shall be deemed to include such person.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(End of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36" w:right="9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Frederick G. Vogt, PhD., J.D, Interim Chief Executive Officer and President, and General Counsel of Iovance Biotherapeutics, Inc., certify that:</w:t>
      </w:r>
    </w:p>
    <w:p>
      <w:pPr>
        <w:spacing w:after="0" w:line="170" w:lineRule="exact"/>
        <w:rPr>
          <w:sz w:val="20"/>
          <w:szCs w:val="20"/>
          <w:color w:val="auto"/>
        </w:rPr>
      </w:pPr>
    </w:p>
    <w:p>
      <w:pPr>
        <w:ind w:left="680" w:hanging="672"/>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Dated: August 4, 2022</w:t>
            </w: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3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r>
        <w:trPr>
          <w:trHeight w:val="776"/>
        </w:trPr>
        <w:tc>
          <w:tcPr>
            <w:tcW w:w="3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Jean-Marc Bellemin, Chief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August 4, 2022</w:t>
            </w:r>
          </w:p>
        </w:tc>
        <w:tc>
          <w:tcPr>
            <w:tcW w:w="6620" w:type="dxa"/>
            <w:vAlign w:val="bottom"/>
            <w:gridSpan w:val="2"/>
          </w:tcPr>
          <w:p>
            <w:pPr>
              <w:ind w:left="1680"/>
              <w:spacing w:after="0"/>
              <w:rPr>
                <w:sz w:val="20"/>
                <w:szCs w:val="20"/>
                <w:color w:val="auto"/>
              </w:rPr>
            </w:pPr>
            <w:r>
              <w:rPr>
                <w:rFonts w:ascii="Arial" w:cs="Arial" w:eastAsia="Arial" w:hAnsi="Arial"/>
                <w:sz w:val="18"/>
                <w:szCs w:val="18"/>
                <w:color w:val="auto"/>
              </w:rPr>
              <w:t>By: /s/ Jean-Marc Bellemin</w:t>
            </w:r>
          </w:p>
        </w:tc>
      </w:tr>
      <w:tr>
        <w:trPr>
          <w:trHeight w:val="195"/>
        </w:trPr>
        <w:tc>
          <w:tcPr>
            <w:tcW w:w="3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Financial Officer &amp; Principal Accounting Officer)</w:t>
            </w:r>
          </w:p>
        </w:tc>
      </w:tr>
      <w:tr>
        <w:trPr>
          <w:trHeight w:val="776"/>
        </w:trPr>
        <w:tc>
          <w:tcPr>
            <w:tcW w:w="3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2022,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August 4, 2022</w:t>
            </w: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20" w:right="120" w:firstLine="648"/>
        <w:spacing w:after="0" w:line="311" w:lineRule="auto"/>
        <w:rPr>
          <w:sz w:val="20"/>
          <w:szCs w:val="20"/>
          <w:color w:val="auto"/>
        </w:rPr>
      </w:pPr>
      <w:r>
        <w:rPr>
          <w:rFonts w:ascii="Arial" w:cs="Arial" w:eastAsia="Arial" w:hAnsi="Arial"/>
          <w:sz w:val="16"/>
          <w:szCs w:val="16"/>
          <w:color w:val="auto"/>
        </w:rPr>
        <w:t>In connection with the Quarterly Report on Form 10-Q of Iovance Biotherapeutics, Inc. (the “Company”) for the quarter ended June 30, 2022 as filed with the Securities and Exchange Commission on the date hereof (the “Report”), Jean-Marc Bellemin, Chief Financial Officer, hereby certifies, pursuant to 18 U.S.C. §1350, as adopted pursuant to §906 of the Sarbanes-Oxley Act of 2002, that:</w:t>
      </w:r>
    </w:p>
    <w:p>
      <w:pPr>
        <w:spacing w:after="0" w:line="149" w:lineRule="exact"/>
        <w:rPr>
          <w:sz w:val="20"/>
          <w:szCs w:val="20"/>
          <w:color w:val="auto"/>
        </w:rPr>
      </w:pPr>
    </w:p>
    <w:p>
      <w:pPr>
        <w:ind w:left="280" w:hanging="25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0" w:firstLine="8"/>
        <w:spacing w:after="0" w:line="277" w:lineRule="auto"/>
        <w:tabs>
          <w:tab w:leader="none" w:pos="2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4880" w:val="left"/>
          <w:tab w:leader="none" w:pos="5280" w:val="left"/>
        </w:tabs>
        <w:rPr>
          <w:sz w:val="20"/>
          <w:szCs w:val="20"/>
          <w:color w:val="auto"/>
        </w:rPr>
      </w:pPr>
      <w:r>
        <w:rPr>
          <w:rFonts w:ascii="Arial" w:cs="Arial" w:eastAsia="Arial" w:hAnsi="Arial"/>
          <w:sz w:val="18"/>
          <w:szCs w:val="18"/>
          <w:color w:val="auto"/>
        </w:rPr>
        <w:t>Dated: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Jean-Marc Bellemin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-130175</wp:posOffset>
            </wp:positionV>
            <wp:extent cx="29578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38"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40"/>
      </w:cols>
      <w:pgMar w:left="96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emdash "/>
      <w:numFmt w:val="bullet"/>
      <w:start w:val="1"/>
    </w:lvl>
  </w:abstractNum>
  <w:abstractNum w:abstractNumId="4">
    <w:nsid w:val="580BD78F"/>
    <w:multiLevelType w:val="hybridMultilevel"/>
    <w:lvl w:ilvl="0">
      <w:lvlJc w:val="left"/>
      <w:lvlText w:val="&amp;"/>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lvl w:ilvl="1">
      <w:lvlJc w:val="left"/>
      <w:lvlText w:val="●"/>
      <w:numFmt w:val="bullet"/>
      <w:start w:val="1"/>
    </w:lvl>
  </w:abstractNum>
  <w:abstractNum w:abstractNumId="13">
    <w:nsid w:val="57E4CCAF"/>
    <w:multiLevelType w:val="hybridMultilevel"/>
    <w:lvl w:ilvl="0">
      <w:lvlJc w:val="left"/>
      <w:lvlText w:val="●"/>
      <w:numFmt w:val="bullet"/>
      <w:start w:val="1"/>
    </w:lvl>
    <w:lvl w:ilvl="1">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lvl w:ilvl="1">
      <w:lvlJc w:val="left"/>
      <w:lvlText w:val="%2"/>
      <w:numFmt w:val="decimal"/>
      <w:start w:val="104"/>
    </w:lvl>
  </w:abstractNum>
  <w:abstractNum w:abstractNumId="36">
    <w:nsid w:val="39386575"/>
    <w:multiLevelType w:val="hybridMultilevel"/>
    <w:lvl w:ilvl="0">
      <w:lvlJc w:val="left"/>
      <w:lvlText w:val="%1."/>
      <w:numFmt w:val="decimal"/>
      <w:start w:val="1"/>
    </w:lvl>
    <w:lvl w:ilvl="1">
      <w:lvlJc w:val="left"/>
      <w:lvlText w:val="(%2)"/>
      <w:numFmt w:val="lowerLetter"/>
      <w:start w:val="1"/>
    </w:lvl>
  </w:abstractNum>
  <w:abstractNum w:abstractNumId="37">
    <w:nsid w:val="1CF10FD8"/>
    <w:multiLevelType w:val="hybridMultilevel"/>
    <w:lvl w:ilvl="0">
      <w:lvlJc w:val="left"/>
      <w:lvlText w:val="(%1)"/>
      <w:numFmt w:val="lowerLetter"/>
      <w:start w:val="7"/>
    </w:lvl>
    <w:lvl w:ilvl="1">
      <w:lvlJc w:val="left"/>
      <w:lvlText w:val="(%2)"/>
      <w:numFmt w:val="lowerRoman"/>
      <w:start w:val="1"/>
    </w:lvl>
  </w:abstractNum>
  <w:abstractNum w:abstractNumId="38">
    <w:nsid w:val="180115BE"/>
    <w:multiLevelType w:val="hybridMultilevel"/>
    <w:lvl w:ilvl="0">
      <w:lvlJc w:val="left"/>
      <w:lvlText w:val="(%1)"/>
      <w:numFmt w:val="lowerLetter"/>
      <w:start w:val="8"/>
    </w:lvl>
  </w:abstractNum>
  <w:abstractNum w:abstractNumId="39">
    <w:nsid w:val="235BA861"/>
    <w:multiLevelType w:val="hybridMultilevel"/>
    <w:lvl w:ilvl="0">
      <w:lvlJc w:val="left"/>
      <w:lvlText w:val="(%1)"/>
      <w:numFmt w:val="lowerLetter"/>
      <w:start w:val="21"/>
    </w:lvl>
  </w:abstractNum>
  <w:abstractNum w:abstractNumId="40">
    <w:nsid w:val="47398C89"/>
    <w:multiLevelType w:val="hybridMultilevel"/>
    <w:lvl w:ilvl="0">
      <w:lvlJc w:val="left"/>
      <w:lvlText w:val="(%1)"/>
      <w:numFmt w:val="lowerLetter"/>
      <w:start w:val="23"/>
    </w:lvl>
  </w:abstractNum>
  <w:abstractNum w:abstractNumId="41">
    <w:nsid w:val="354FE9F9"/>
    <w:multiLevelType w:val="hybridMultilevel"/>
    <w:lvl w:ilvl="0">
      <w:lvlJc w:val="left"/>
      <w:lvlText w:val="%1"/>
      <w:numFmt w:val="decimal"/>
      <w:start w:val="1"/>
    </w:lvl>
    <w:lvl w:ilvl="1">
      <w:lvlJc w:val="left"/>
      <w:lvlText w:val="(%2)"/>
      <w:numFmt w:val="lowerLetter"/>
      <w:start w:val="27"/>
    </w:lvl>
  </w:abstractNum>
  <w:abstractNum w:abstractNumId="42">
    <w:nsid w:val="15B5AF5C"/>
    <w:multiLevelType w:val="hybridMultilevel"/>
    <w:lvl w:ilvl="0">
      <w:lvlJc w:val="left"/>
      <w:lvlText w:val="%1."/>
      <w:numFmt w:val="decimal"/>
      <w:start w:val="4"/>
    </w:lvl>
    <w:lvl w:ilvl="1">
      <w:lvlJc w:val="left"/>
      <w:lvlText w:val="(%2)"/>
      <w:numFmt w:val="lowerLetter"/>
      <w:start w:val="1"/>
    </w:lvl>
  </w:abstractNum>
  <w:abstractNum w:abstractNumId="43">
    <w:nsid w:val="741226BB"/>
    <w:multiLevelType w:val="hybridMultilevel"/>
    <w:lvl w:ilvl="0">
      <w:lvlJc w:val="left"/>
      <w:lvlText w:val="(%1)"/>
      <w:numFmt w:val="lowerLetter"/>
      <w:start w:val="2"/>
    </w:lvl>
  </w:abstractNum>
  <w:abstractNum w:abstractNumId="44">
    <w:nsid w:val="D34B6A8"/>
    <w:multiLevelType w:val="hybridMultilevel"/>
    <w:lvl w:ilvl="0">
      <w:lvlJc w:val="left"/>
      <w:lvlText w:val="%1"/>
      <w:numFmt w:val="decimal"/>
      <w:start w:val="1"/>
    </w:lvl>
    <w:lvl w:ilvl="1">
      <w:lvlJc w:val="left"/>
      <w:lvlText w:val="(%2)"/>
      <w:numFmt w:val="lowerLetter"/>
      <w:start w:val="6"/>
    </w:lvl>
  </w:abstractNum>
  <w:abstractNum w:abstractNumId="45">
    <w:nsid w:val="10233C99"/>
    <w:multiLevelType w:val="hybridMultilevel"/>
    <w:lvl w:ilvl="0">
      <w:lvlJc w:val="left"/>
      <w:lvlText w:val="%1."/>
      <w:numFmt w:val="decimal"/>
      <w:start w:val="5"/>
    </w:lvl>
    <w:lvl w:ilvl="1">
      <w:lvlJc w:val="left"/>
      <w:lvlText w:val="(%2)"/>
      <w:numFmt w:val="lowerLetter"/>
      <w:start w:val="1"/>
    </w:lvl>
  </w:abstractNum>
  <w:abstractNum w:abstractNumId="46">
    <w:nsid w:val="3F6AB60F"/>
    <w:multiLevelType w:val="hybridMultilevel"/>
    <w:lvl w:ilvl="0">
      <w:lvlJc w:val="left"/>
      <w:lvlText w:val="%1."/>
      <w:numFmt w:val="decimal"/>
      <w:start w:val="7"/>
    </w:lvl>
    <w:lvl w:ilvl="1">
      <w:lvlJc w:val="left"/>
      <w:lvlText w:val="(%2)"/>
      <w:numFmt w:val="lowerLetter"/>
      <w:start w:val="1"/>
    </w:lvl>
  </w:abstractNum>
  <w:abstractNum w:abstractNumId="47">
    <w:nsid w:val="61574095"/>
    <w:multiLevelType w:val="hybridMultilevel"/>
    <w:lvl w:ilvl="0">
      <w:lvlJc w:val="left"/>
      <w:lvlText w:val="%1"/>
      <w:numFmt w:val="decimal"/>
      <w:start w:val="1"/>
    </w:lvl>
    <w:lvl w:ilvl="1">
      <w:lvlJc w:val="left"/>
      <w:lvlText w:val="(%2)"/>
      <w:numFmt w:val="lowerLetter"/>
      <w:start w:val="6"/>
    </w:lvl>
  </w:abstractNum>
  <w:abstractNum w:abstractNumId="48">
    <w:nsid w:val="7E0C57B1"/>
    <w:multiLevelType w:val="hybridMultilevel"/>
    <w:lvl w:ilvl="0">
      <w:lvlJc w:val="left"/>
      <w:lvlText w:val="%1."/>
      <w:numFmt w:val="decimal"/>
      <w:start w:val="8"/>
    </w:lvl>
    <w:lvl w:ilvl="1">
      <w:lvlJc w:val="left"/>
      <w:lvlText w:val="(%2)"/>
      <w:numFmt w:val="lowerLetter"/>
      <w:start w:val="1"/>
    </w:lvl>
  </w:abstractNum>
  <w:abstractNum w:abstractNumId="49">
    <w:nsid w:val="77AE35E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0">
    <w:nsid w:val="579BE4F1"/>
    <w:multiLevelType w:val="hybridMultilevel"/>
    <w:lvl w:ilvl="0">
      <w:lvlJc w:val="left"/>
      <w:lvlText w:val="%1"/>
      <w:numFmt w:val="lowerLetter"/>
      <w:start w:val="1"/>
    </w:lvl>
    <w:lvl w:ilvl="1">
      <w:lvlJc w:val="left"/>
      <w:lvlText w:val="(%2)"/>
      <w:numFmt w:val="lowerLetter"/>
      <w:start w:val="61"/>
    </w:lvl>
  </w:abstractNum>
  <w:abstractNum w:abstractNumId="51">
    <w:nsid w:val="310C50B3"/>
    <w:multiLevelType w:val="hybridMultilevel"/>
    <w:lvl w:ilvl="0">
      <w:lvlJc w:val="left"/>
      <w:lvlText w:val="(%1)"/>
      <w:numFmt w:val="lowerLetter"/>
      <w:start w:val="5"/>
    </w:lvl>
    <w:lvl w:ilvl="1">
      <w:lvlJc w:val="left"/>
      <w:lvlText w:val="%2"/>
      <w:numFmt w:val="lowerLetter"/>
      <w:start w:val="1"/>
    </w:lvl>
  </w:abstractNum>
  <w:abstractNum w:abstractNumId="52">
    <w:nsid w:val="5FF87E05"/>
    <w:multiLevelType w:val="hybridMultilevel"/>
    <w:lvl w:ilvl="0">
      <w:lvlJc w:val="left"/>
      <w:lvlText w:val="%1."/>
      <w:numFmt w:val="decimal"/>
      <w:start w:val="10"/>
    </w:lvl>
  </w:abstractNum>
  <w:abstractNum w:abstractNumId="53">
    <w:nsid w:val="2F305DEF"/>
    <w:multiLevelType w:val="hybridMultilevel"/>
    <w:lvl w:ilvl="0">
      <w:lvlJc w:val="left"/>
      <w:lvlText w:val="(%1)"/>
      <w:numFmt w:val="lowerRoman"/>
      <w:start w:val="1"/>
    </w:lvl>
  </w:abstractNum>
  <w:abstractNum w:abstractNumId="54">
    <w:nsid w:val="25A70BF7"/>
    <w:multiLevelType w:val="hybridMultilevel"/>
    <w:lvl w:ilvl="0">
      <w:lvlJc w:val="left"/>
      <w:lvlText w:val="%1."/>
      <w:numFmt w:val="decimal"/>
      <w:start w:val="12"/>
    </w:lvl>
    <w:lvl w:ilvl="1">
      <w:lvlJc w:val="left"/>
      <w:lvlText w:val="(%2)"/>
      <w:numFmt w:val="lowerLetter"/>
      <w:start w:val="1"/>
    </w:lvl>
  </w:abstractNum>
  <w:abstractNum w:abstractNumId="55">
    <w:nsid w:val="1DBABF00"/>
    <w:multiLevelType w:val="hybridMultilevel"/>
    <w:lvl w:ilvl="0">
      <w:lvlJc w:val="left"/>
      <w:lvlText w:val="(%1)"/>
      <w:numFmt w:val="lowerLetter"/>
      <w:start w:val="2"/>
    </w:lvl>
  </w:abstractNum>
  <w:abstractNum w:abstractNumId="56">
    <w:nsid w:val="4AD084E9"/>
    <w:multiLevelType w:val="hybridMultilevel"/>
    <w:lvl w:ilvl="0">
      <w:lvlJc w:val="left"/>
      <w:lvlText w:val="%1."/>
      <w:numFmt w:val="decimal"/>
      <w:start w:val="13"/>
    </w:lvl>
    <w:lvl w:ilvl="1">
      <w:lvlJc w:val="left"/>
      <w:lvlText w:val="(%2)"/>
      <w:numFmt w:val="lowerLetter"/>
      <w:start w:val="1"/>
    </w:lvl>
  </w:abstractNum>
  <w:abstractNum w:abstractNumId="57">
    <w:nsid w:val="1F48EAA1"/>
    <w:multiLevelType w:val="hybridMultilevel"/>
    <w:lvl w:ilvl="0">
      <w:lvlJc w:val="left"/>
      <w:lvlText w:val="(%1)"/>
      <w:numFmt w:val="lowerLetter"/>
      <w:start w:val="2"/>
    </w:lvl>
    <w:lvl w:ilvl="1">
      <w:lvlJc w:val="left"/>
      <w:lvlText w:val="(%2)"/>
      <w:numFmt w:val="lowerRoman"/>
      <w:start w:val="1"/>
    </w:lvl>
  </w:abstractNum>
  <w:abstractNum w:abstractNumId="58">
    <w:nsid w:val="1381823A"/>
    <w:multiLevelType w:val="hybridMultilevel"/>
    <w:lvl w:ilvl="0">
      <w:lvlJc w:val="left"/>
      <w:lvlText w:val="(%1)"/>
      <w:numFmt w:val="lowerLetter"/>
      <w:start w:val="4"/>
    </w:lvl>
    <w:lvl w:ilvl="1">
      <w:lvlJc w:val="left"/>
      <w:lvlText w:val="(%2)"/>
      <w:numFmt w:val="lowerRoman"/>
      <w:start w:val="1"/>
    </w:lvl>
  </w:abstractNum>
  <w:abstractNum w:abstractNumId="59">
    <w:nsid w:val="5DB70AE5"/>
    <w:multiLevelType w:val="hybridMultilevel"/>
    <w:lvl w:ilvl="0">
      <w:lvlJc w:val="left"/>
      <w:lvlText w:val="(%1)"/>
      <w:numFmt w:val="lowerLetter"/>
      <w:start w:val="8"/>
    </w:lvl>
    <w:lvl w:ilvl="1">
      <w:lvlJc w:val="left"/>
      <w:lvlText w:val="(%2)"/>
      <w:numFmt w:val="lowerRoman"/>
      <w:start w:val="1"/>
    </w:lvl>
  </w:abstractNum>
  <w:abstractNum w:abstractNumId="60">
    <w:nsid w:val="100F8FCA"/>
    <w:multiLevelType w:val="hybridMultilevel"/>
    <w:lvl w:ilvl="0">
      <w:lvlJc w:val="left"/>
      <w:lvlText w:val="(%1)"/>
      <w:numFmt w:val="lowerLetter"/>
      <w:start w:val="11"/>
    </w:lvl>
  </w:abstractNum>
  <w:abstractNum w:abstractNumId="61">
    <w:nsid w:val="6590700B"/>
    <w:multiLevelType w:val="hybridMultilevel"/>
    <w:lvl w:ilvl="0">
      <w:lvlJc w:val="left"/>
      <w:lvlText w:val="(%1)"/>
      <w:numFmt w:val="lowerLetter"/>
      <w:start w:val="18"/>
    </w:lvl>
    <w:lvl w:ilvl="1">
      <w:lvlJc w:val="left"/>
      <w:lvlText w:val="(%2)"/>
      <w:numFmt w:val="lowerRoman"/>
      <w:start w:val="1"/>
    </w:lvl>
  </w:abstractNum>
  <w:abstractNum w:abstractNumId="62">
    <w:nsid w:val="15014ACB"/>
    <w:multiLevelType w:val="hybridMultilevel"/>
    <w:lvl w:ilvl="0">
      <w:lvlJc w:val="left"/>
      <w:lvlText w:val="(%1)"/>
      <w:numFmt w:val="lowerLetter"/>
      <w:start w:val="23"/>
    </w:lvl>
  </w:abstractNum>
  <w:abstractNum w:abstractNumId="63">
    <w:nsid w:val="5F5E7FD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4">
    <w:nsid w:val="98A314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5">
    <w:nsid w:val="799D0247"/>
    <w:multiLevelType w:val="hybridMultilevel"/>
    <w:lvl w:ilvl="0">
      <w:lvlJc w:val="left"/>
      <w:lvlText w:val="(%1)"/>
      <w:numFmt w:val="decimal"/>
      <w:start w:val="2"/>
    </w:lvl>
    <w:lvl w:ilvl="1">
      <w:lvlJc w:val="left"/>
      <w:lvlText w:val="%2"/>
      <w:numFmt w:val="lowerLetter"/>
      <w:start w:val="1"/>
    </w:lvl>
    <w:lvl w:ilvl="2">
      <w:lvlJc w:val="left"/>
      <w:lvlText w:val="%3."/>
      <w:numFmt w:val="decimal"/>
      <w:start w:val="6"/>
    </w:lvl>
  </w:abstractNum>
  <w:abstractNum w:abstractNumId="66">
    <w:nsid w:val="6B94764"/>
    <w:multiLevelType w:val="hybridMultilevel"/>
    <w:lvl w:ilvl="0">
      <w:lvlJc w:val="left"/>
      <w:lvlText w:val="%1"/>
      <w:numFmt w:val="lowerLetter"/>
      <w:start w:val="1"/>
    </w:lvl>
    <w:lvl w:ilvl="1">
      <w:lvlJc w:val="left"/>
      <w:lvlText w:val="%2."/>
      <w:numFmt w:val="decimal"/>
      <w:start w:val="7"/>
    </w:lvl>
  </w:abstractNum>
  <w:abstractNum w:abstractNumId="67">
    <w:nsid w:val="42C296BD"/>
    <w:multiLevelType w:val="hybridMultilevel"/>
    <w:lvl w:ilvl="0">
      <w:lvlJc w:val="left"/>
      <w:lvlText w:val="(%1)"/>
      <w:numFmt w:val="lowerLetter"/>
      <w:start w:val="1"/>
    </w:lvl>
    <w:lvl w:ilvl="1">
      <w:lvlJc w:val="left"/>
      <w:lvlText w:val="%2."/>
      <w:numFmt w:val="decimal"/>
      <w:start w:val="8"/>
    </w:lvl>
  </w:abstractNum>
  <w:abstractNum w:abstractNumId="68">
    <w:nsid w:val="168E121F"/>
    <w:multiLevelType w:val="hybridMultilevel"/>
    <w:lvl w:ilvl="0">
      <w:lvlJc w:val="left"/>
      <w:lvlText w:val="%1."/>
      <w:numFmt w:val="decimal"/>
      <w:start w:val="11"/>
    </w:lvl>
  </w:abstractNum>
  <w:abstractNum w:abstractNumId="69">
    <w:nsid w:val="1EBA5D23"/>
    <w:multiLevelType w:val="hybridMultilevel"/>
    <w:lvl w:ilvl="0">
      <w:lvlJc w:val="left"/>
      <w:lvlText w:val="%1."/>
      <w:numFmt w:val="decimal"/>
      <w:start w:val="17"/>
    </w:lvl>
  </w:abstractNum>
  <w:abstractNum w:abstractNumId="70">
    <w:nsid w:val="661E3F1E"/>
    <w:multiLevelType w:val="hybridMultilevel"/>
    <w:lvl w:ilvl="0">
      <w:lvlJc w:val="left"/>
      <w:lvlText w:val="(%1)"/>
      <w:numFmt w:val="lowerRoman"/>
      <w:start w:val="4"/>
    </w:lvl>
    <w:lvl w:ilvl="1">
      <w:lvlJc w:val="left"/>
      <w:lvlText w:val="%2."/>
      <w:numFmt w:val="decimal"/>
      <w:start w:val="25"/>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06" Type="http://schemas.openxmlformats.org/officeDocument/2006/relationships/hyperlink" Target="https://www.sec.gov/Archives/edgar/data/0001425205/000110465922053819/tm2214002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2022-08-04T16:26:50Z</dcterms:created>
  <dcterms:modified xsi:type="dcterms:W3CDTF">2022-08-04T16:26:50Z</dcterms:modified>
</cp:coreProperties>
</file>