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32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2021</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7"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34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value</w:t>
            </w:r>
          </w:p>
        </w:tc>
        <w:tc>
          <w:tcPr>
            <w:tcW w:w="140" w:type="dxa"/>
            <w:vAlign w:val="bottom"/>
          </w:tcPr>
          <w:p>
            <w:pPr>
              <w:spacing w:after="0"/>
              <w:rPr>
                <w:sz w:val="19"/>
                <w:szCs w:val="19"/>
                <w:color w:val="auto"/>
              </w:rPr>
            </w:pPr>
          </w:p>
        </w:tc>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At July 28, 2021, the issuer had 155,032,000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1068070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4.</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PART II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1.</w:t>
              </w:r>
            </w:hyperlink>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Item 2.</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Unregistered Sales of Securities and Use of Proceeds</w:t>
              </w:r>
            </w:hyperlink>
          </w:p>
        </w:tc>
        <w:tc>
          <w:tcPr>
            <w:tcW w:w="4640" w:type="dxa"/>
            <w:vAlign w:val="bottom"/>
            <w:tcBorders>
              <w:bottom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3.</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Defaults Upon Senior Securities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Item 4.</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Mine Safety Disclosure</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8460" w:type="dxa"/>
            <w:vAlign w:val="bottom"/>
            <w:gridSpan w:val="15"/>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Item 6.</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Exhibits</w:t>
              </w:r>
            </w:hyperlink>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82,763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852,790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current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auto"/>
              </w:rPr>
              <w:t>Long-term note payable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47,843</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108,377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w w:val="92"/>
              </w:rPr>
              <w:t>Series A Convertible Preferred stock, $0.001 par value; 17,000 shares designated, 194 shares issued and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outstanding as of June 30, 2021 and December 31, 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Series B Convertible Preferred stock, $0.001 par value; 11,500,000 shares designated, 2,842,158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3,581,119 shares issued and outstanding as of June 30, 2021 and December 31, 2020, respectively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w w:val="94"/>
              </w:rPr>
              <w:t>Common stock, $0.000041666 par value; 300,000,000 shares authorized, 154,799,721 and 146,874,917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shares issued and outstanding as of June 30, 2021 and December 31, 2020, respectively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1,731,363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(986,993)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744,413</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852,790</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(81,426)</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(63,627)</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(156,996)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(134,437)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(156,800)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2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6"/>
              </w:rPr>
              <w:t>Weighted Average Shares of Common Stock Outstanding, Basic and</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153,751</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133,162</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150,571</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129,848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(63,018)</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(156,800)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Other comprehensive gain/(loss):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short-term investments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6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(81,414)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(156,786)</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(132,516)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For the Three Months Ended June 30, 2021 and 2020</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4"/>
              </w:rPr>
              <w:t>Series A</w:t>
            </w:r>
          </w:p>
        </w:tc>
        <w:tc>
          <w:tcPr>
            <w:tcW w:w="1520" w:type="dxa"/>
            <w:vAlign w:val="bottom"/>
            <w:gridSpan w:val="6"/>
          </w:tcPr>
          <w:p>
            <w:pPr>
              <w:ind w:left="120"/>
              <w:spacing w:after="0"/>
              <w:rPr>
                <w:sz w:val="20"/>
                <w:szCs w:val="20"/>
                <w:color w:val="auto"/>
              </w:rPr>
            </w:pPr>
            <w:r>
              <w:rPr>
                <w:rFonts w:ascii="Arial" w:cs="Arial" w:eastAsia="Arial" w:hAnsi="Arial"/>
                <w:sz w:val="13"/>
                <w:szCs w:val="13"/>
                <w:b w:val="1"/>
                <w:bCs w:val="1"/>
                <w:color w:val="auto"/>
              </w:rPr>
              <w:t>Series B Convertible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40" w:type="dxa"/>
            <w:vAlign w:val="bottom"/>
            <w:tcBorders>
              <w:top w:val="single" w:sz="8" w:color="auto"/>
              <w:bottom w:val="single" w:sz="8" w:color="auto"/>
            </w:tcBorders>
            <w:gridSpan w:val="5"/>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160" w:type="dxa"/>
            <w:vAlign w:val="bottom"/>
          </w:tcPr>
          <w:p>
            <w:pPr>
              <w:spacing w:after="0"/>
              <w:rPr>
                <w:sz w:val="11"/>
                <w:szCs w:val="11"/>
                <w:color w:val="auto"/>
              </w:rPr>
            </w:pPr>
          </w:p>
        </w:tc>
        <w:tc>
          <w:tcPr>
            <w:tcW w:w="1360" w:type="dxa"/>
            <w:vAlign w:val="bottom"/>
            <w:tcBorders>
              <w:top w:val="single" w:sz="8" w:color="auto"/>
              <w:bottom w:val="single" w:sz="8" w:color="auto"/>
            </w:tcBorders>
            <w:gridSpan w:val="5"/>
          </w:tcPr>
          <w:p>
            <w:pPr>
              <w:jc w:val="right"/>
              <w:ind w:right="188"/>
              <w:spacing w:after="0" w:line="129" w:lineRule="exact"/>
              <w:rPr>
                <w:sz w:val="20"/>
                <w:szCs w:val="20"/>
                <w:color w:val="auto"/>
              </w:rPr>
            </w:pPr>
            <w:r>
              <w:rPr>
                <w:rFonts w:ascii="Arial" w:cs="Arial" w:eastAsia="Arial" w:hAnsi="Arial"/>
                <w:sz w:val="13"/>
                <w:szCs w:val="13"/>
                <w:b w:val="1"/>
                <w:bCs w:val="1"/>
                <w:color w:val="auto"/>
              </w:rPr>
              <w:t>Preferred Stock</w:t>
            </w:r>
          </w:p>
        </w:tc>
        <w:tc>
          <w:tcPr>
            <w:tcW w:w="160" w:type="dxa"/>
            <w:vAlign w:val="bottom"/>
          </w:tcPr>
          <w:p>
            <w:pPr>
              <w:spacing w:after="0"/>
              <w:rPr>
                <w:sz w:val="11"/>
                <w:szCs w:val="11"/>
                <w:color w:val="auto"/>
              </w:rPr>
            </w:pPr>
          </w:p>
        </w:tc>
        <w:tc>
          <w:tcPr>
            <w:tcW w:w="1220" w:type="dxa"/>
            <w:vAlign w:val="bottom"/>
            <w:tcBorders>
              <w:bottom w:val="single" w:sz="8" w:color="auto"/>
            </w:tcBorders>
            <w:gridSpan w:val="4"/>
          </w:tcPr>
          <w:p>
            <w:pPr>
              <w:ind w:left="340"/>
              <w:spacing w:after="0" w:line="129" w:lineRule="exact"/>
              <w:rPr>
                <w:sz w:val="20"/>
                <w:szCs w:val="20"/>
                <w:color w:val="auto"/>
              </w:rPr>
            </w:pPr>
            <w:r>
              <w:rPr>
                <w:rFonts w:ascii="Arial" w:cs="Arial" w:eastAsia="Arial" w:hAnsi="Arial"/>
                <w:sz w:val="13"/>
                <w:szCs w:val="13"/>
                <w:b w:val="1"/>
                <w:bCs w:val="1"/>
                <w:color w:val="auto"/>
                <w:w w:val="90"/>
              </w:rPr>
              <w:t>Common Stock</w:t>
            </w: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4"/>
              </w:rPr>
              <w:t>Comprehensive</w:t>
            </w:r>
          </w:p>
        </w:tc>
        <w:tc>
          <w:tcPr>
            <w:tcW w:w="920" w:type="dxa"/>
            <w:vAlign w:val="bottom"/>
            <w:gridSpan w:val="4"/>
          </w:tcPr>
          <w:p>
            <w:pPr>
              <w:ind w:lef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5"/>
              </w:rPr>
              <w:t>Stockholder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1"/>
                <w:szCs w:val="11"/>
                <w:color w:val="auto"/>
              </w:rPr>
            </w:pPr>
          </w:p>
        </w:tc>
        <w:tc>
          <w:tcPr>
            <w:tcW w:w="88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46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88"/>
              </w:rPr>
              <w:t>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9"/>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2021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2,842,158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149,315,299</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1,552,968</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(905,642)</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647,431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w w:val="95"/>
              </w:rPr>
              <w:t>Stock-based compensation expense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14,414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233,251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5,195,856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160,269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160,270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b w:val="1"/>
                <w:bCs w:val="1"/>
                <w:color w:val="auto"/>
              </w:rPr>
              <w:t>Balance - June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154,799,721</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1,731,363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(986,993)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744,413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Balance - March 31, 2020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126,823,156</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882,599</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(640,207)</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243,313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Stock-based compensation expense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Vesting of restricted shares issued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for services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 shares</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withheld for vested restricted stock</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129,672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Common stock sold in public</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offering, net of offering costs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w w:val="91"/>
              </w:rPr>
              <w:t>19,475,806.00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566,999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567,000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Balance - June 30, 2020</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146,434,810</w:t>
            </w:r>
          </w:p>
        </w:tc>
        <w:tc>
          <w:tcPr>
            <w:tcW w:w="2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1,461,207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(703,225)</w:t>
            </w:r>
          </w:p>
        </w:tc>
        <w:tc>
          <w:tcPr>
            <w:tcW w:w="80" w:type="dxa"/>
            <w:vAlign w:val="bottom"/>
          </w:tcPr>
          <w:p>
            <w:pPr>
              <w:spacing w:after="0"/>
              <w:rPr>
                <w:sz w:val="15"/>
                <w:szCs w:val="15"/>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758,309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89"/>
              </w:rPr>
              <w:t>Series 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Series B Convertible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200" w:type="dxa"/>
            <w:vAlign w:val="bottom"/>
            <w:tcBorders>
              <w:bottom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Accumulated</w:t>
            </w: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8"/>
              </w:rPr>
              <w:t>Stockholder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2020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146,874,917</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1,486,662</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(830,193)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656,498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31,355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31,355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employee stock</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656,429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6,474,099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preferred stock conversion</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738,961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(156,800)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(156,800)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June 30, 2021</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154,799,721</w:t>
            </w:r>
          </w:p>
        </w:tc>
        <w:tc>
          <w:tcPr>
            <w:tcW w:w="26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1,731,363</w:t>
            </w:r>
          </w:p>
        </w:tc>
        <w:tc>
          <w:tcPr>
            <w:tcW w:w="28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(986,993)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3,581,119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126,411,808</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869,354</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(570,612)</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Tax payments related to shares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withheld for vested restricted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stock units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19,475,806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566,999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(132,613)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(132,613)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Balance - June 30, 2020</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146,434,810</w:t>
            </w:r>
          </w:p>
        </w:tc>
        <w:tc>
          <w:tcPr>
            <w:tcW w:w="26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1,461,207</w:t>
            </w:r>
          </w:p>
        </w:tc>
        <w:tc>
          <w:tcPr>
            <w:tcW w:w="28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(703,225)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(156,800)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31,355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(10,523)</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(116,399)</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Maturities of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320,151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(381,784)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(20,321)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(81,954)</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Proceeds from the issuance of common stock upon exercise of options and employee stock</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plan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203,155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214,346</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88,847</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Net unrealized gain on short-term investments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Acquisitions of property and equipment included in accounts payable and accrued expense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(1,378)</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Accrued offering costs in accrued expenses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metastatic cervical cancer. Lifileucel for metastatic cervical cancer was formerly known as LN-145.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The unaudited condensed consolidated financial statements of the Company for the three and six months ended June 30, 2021 and 2020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to be obtained for a full fiscal year. The balance sheet information as of December 31, 2020, was derived from the audited financial statements included in the Company's Annual Report on Form 10-K filed with the Securities and Exchange Commission (the “SEC”) on February 25, 2021. These interim financial statements should be read in conjunction with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significant revenues from the sale or licensing of any of its product candidates during the 12 months from the date these financial statements are issued. The Company has incurred a net loss of $156.8 million for the six months ended June 30, 2021 and used $116.4 million of cash in its operating activities during the six months ended June 30, 2021. For the six months ended June 30, 2021, the Company received net proceeds of approximately $203.2 million from the “at the market” offering program the Company has in place with Jefferies LLC, acting as sales agent. As of June 30, 2021, the Company had $708.7 million in cash, cash equivalents, investments, and restricted cash ($82.8 million of cash and cash equivalents, $573.6 million in short-term investments, $46.3 million in long-term investments, and $6.1 million in restricted cash).</w:t>
      </w:r>
    </w:p>
    <w:p>
      <w:pPr>
        <w:spacing w:after="0" w:line="166"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expects to continue its research and development activities, increase pre-commercial activities and continue the construction of the tenant improvements for its new manufacturing facility as well as initiating the construction of the tenant improvements for its new headquarters in San Carlos, California, which will increase the amount of cash used during 2021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85" w:lineRule="exact"/>
        <w:rPr>
          <w:sz w:val="20"/>
          <w:szCs w:val="20"/>
          <w:color w:val="auto"/>
        </w:rPr>
      </w:pPr>
    </w:p>
    <w:p>
      <w:pPr>
        <w:ind w:right="60" w:firstLine="492"/>
        <w:spacing w:after="0" w:line="288" w:lineRule="auto"/>
        <w:rPr>
          <w:sz w:val="20"/>
          <w:szCs w:val="20"/>
          <w:color w:val="auto"/>
        </w:rPr>
      </w:pPr>
      <w:r>
        <w:rPr>
          <w:rFonts w:ascii="Arial" w:cs="Arial" w:eastAsia="Arial" w:hAnsi="Arial"/>
          <w:sz w:val="16"/>
          <w:szCs w:val="16"/>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right="360" w:firstLine="492"/>
        <w:spacing w:after="0" w:line="255" w:lineRule="auto"/>
        <w:rPr>
          <w:sz w:val="20"/>
          <w:szCs w:val="20"/>
          <w:color w:val="auto"/>
        </w:rPr>
      </w:pPr>
      <w:r>
        <w:rPr>
          <w:rFonts w:ascii="Arial" w:cs="Arial" w:eastAsia="Arial" w:hAnsi="Arial"/>
          <w:sz w:val="18"/>
          <w:szCs w:val="18"/>
          <w:color w:val="auto"/>
        </w:rPr>
        <w:t>The Company is subject to credit risk from its portfolio of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liquidity of investments sufficient to meet cash flow requirements of its business, and maximization of total return while maintaining safety and liquidity.</w:t>
      </w:r>
    </w:p>
    <w:p>
      <w:pPr>
        <w:spacing w:after="0" w:line="188" w:lineRule="exact"/>
        <w:rPr>
          <w:sz w:val="20"/>
          <w:szCs w:val="20"/>
          <w:color w:val="auto"/>
        </w:rPr>
      </w:pPr>
    </w:p>
    <w:p>
      <w:pPr>
        <w:ind w:right="448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firstLine="492"/>
        <w:spacing w:after="0" w:line="268"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investments are classified as “available-for-sale” and are presented at fair value as either a current or non-current asset based on the length of maturity from the reporting date. Unrealized gains and losses on available-for-sale securities are included in accumulated other comprehensive income. Any impairment losses related to credit losses (if any) are included in an allowance for credit losses with an offsetting entry to net loss. No impairment losses related to credit losses were recognized for the three and six months ended June 30, 2021 and 2020. The cost of debt securities is adjusted for the amortization of premiums and accretion of discounts to maturity. Such amortization and accretion are included in net interest income in the Condensed Consolidated Statements of Operations. Gains and losses on securities sold are recorded based on the specific identification method and are included in net interest income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papers, and places restrictions on maturities and concentration by type and issuer, except for securities issued by the U.S. government.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The Company maintains a required minimum balance, currently $6.1 million in a segregated bank account in connection with three letters of credit, one for $5,450,000 for the benefit of the landlord for its commercial manufacturing facility used as a security deposit for the lease (See Note 10 - Leases), the second one for $74,685 for the benefit of a utilities service provider, and the third one for $559,082 for the benefit of the landlord for its new headquarters lease. The total amount is classified as Restricted Cash on the Condensed Consolidated Balance Sheet. The first letter of credit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$1,000,000, with a minimum security deposit of $1,450,000 maintained through the end of the lease term. The second letter of credit of $74,685 expired on March 9, 2021, however, it automatically extends, without written agreement, to the expiration date of December 1, 2022. The third letter of credit of $559,082 expires on February 1, 2032, however, it will be automatically extended, without written agreement, for one year periods to February in each succeeding calendar year. As of June 30, 2021 and December 31, 2020, restricted cash consisted of $6.1 million and $5.5 million, respectively. This amount has been classified as a non-current asset on the Company’s Condensed Consolidated Balance Sheets.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2"/>
              </w:rPr>
              <w:t>Restricted cash (included in non-current assets on the condensed consolidated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balance sheets)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shares of common stock issuable upon (i) the exercise of outstanding stock options and warrants, (ii) purchases though the 2020 Employee Stock Purchase Plan (the “2020 ESPP”), (iii) vesting of restricted stock units, and (iv) conversion of preferred stock, are only included in the calculation of diluted net loss per share when their effect is dilutive.</w:t>
      </w:r>
    </w:p>
    <w:p>
      <w:pPr>
        <w:spacing w:after="0" w:line="121"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As of June 30, 2021 and 2020,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640" w:type="dxa"/>
            <w:vAlign w:val="bottom"/>
          </w:tcPr>
          <w:p>
            <w:pPr>
              <w:spacing w:after="0"/>
              <w:rPr>
                <w:sz w:val="12"/>
                <w:szCs w:val="12"/>
                <w:color w:val="auto"/>
              </w:rPr>
            </w:pPr>
          </w:p>
        </w:tc>
        <w:tc>
          <w:tcPr>
            <w:tcW w:w="8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40" w:type="dxa"/>
            <w:vAlign w:val="bottom"/>
            <w:gridSpan w:val="3"/>
          </w:tcPr>
          <w:p>
            <w:pPr>
              <w:jc w:val="right"/>
              <w:ind w:right="39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14,537,031</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12,594,736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97,000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3,581,119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2020 ESPP</w:t>
            </w:r>
          </w:p>
        </w:tc>
        <w:tc>
          <w:tcPr>
            <w:tcW w:w="860" w:type="dxa"/>
            <w:vAlign w:val="bottom"/>
          </w:tcPr>
          <w:p>
            <w:pPr>
              <w:jc w:val="right"/>
              <w:spacing w:after="0"/>
              <w:rPr>
                <w:sz w:val="20"/>
                <w:szCs w:val="20"/>
                <w:color w:val="auto"/>
              </w:rPr>
            </w:pPr>
            <w:r>
              <w:rPr>
                <w:rFonts w:ascii="Arial" w:cs="Arial" w:eastAsia="Arial" w:hAnsi="Arial"/>
                <w:sz w:val="18"/>
                <w:szCs w:val="18"/>
                <w:color w:val="auto"/>
              </w:rPr>
              <w:t>39,766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1,253,540</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18,769,495</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16,272,855</w:t>
            </w:r>
          </w:p>
        </w:tc>
      </w:tr>
      <w:tr>
        <w:trPr>
          <w:trHeight w:val="20"/>
        </w:trPr>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share of common stock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Under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31"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30"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3 as of June 30, 2021 or December 31, 2020.</w:t>
      </w:r>
    </w:p>
    <w:p>
      <w:pPr>
        <w:spacing w:after="0" w:line="185" w:lineRule="exact"/>
        <w:rPr>
          <w:sz w:val="20"/>
          <w:szCs w:val="20"/>
          <w:color w:val="auto"/>
        </w:rPr>
      </w:pPr>
    </w:p>
    <w:p>
      <w:pPr>
        <w:ind w:right="400" w:firstLine="492"/>
        <w:spacing w:after="0" w:line="308" w:lineRule="auto"/>
        <w:rPr>
          <w:sz w:val="20"/>
          <w:szCs w:val="20"/>
          <w:color w:val="auto"/>
        </w:rPr>
      </w:pPr>
      <w:r>
        <w:rPr>
          <w:rFonts w:ascii="Arial" w:cs="Arial" w:eastAsia="Arial" w:hAnsi="Arial"/>
          <w:sz w:val="17"/>
          <w:szCs w:val="17"/>
          <w:color w:val="auto"/>
        </w:rPr>
        <w:t>The Company’s financial instruments consist of cash, cash equivalents, short and long-term investments, and long-term notes payable, all of which are reported at their respective fair value on its Condensed Consolidated Balance Sheets.</w:t>
      </w:r>
    </w:p>
    <w:p>
      <w:pPr>
        <w:spacing w:after="0" w:line="106"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consist of Level 1 and Level 2 assets. Where quoted prices are available in an active market, securities are classified as Level 1.</w:t>
      </w:r>
    </w:p>
    <w:p>
      <w:pPr>
        <w:spacing w:after="0" w:line="157"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138"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As of June 30, 2021 and December 31, 2020, the fair value of the Company’s financial assets, which consist of cash equivalents and investments classified as available-for-sale securities, that were measured on a recurring basis are categorized in the table below based upon the lowest level of significant input to the valuations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Assets at Fair Value as of June 30,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277,094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46,882</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360,543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322,446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682,989</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left="534"/>
              <w:spacing w:after="0"/>
              <w:rPr>
                <w:sz w:val="20"/>
                <w:szCs w:val="20"/>
                <w:color w:val="auto"/>
              </w:rPr>
            </w:pPr>
            <w:r>
              <w:rPr>
                <w:rFonts w:ascii="Arial" w:cs="Arial" w:eastAsia="Arial" w:hAnsi="Arial"/>
                <w:sz w:val="14"/>
                <w:szCs w:val="14"/>
                <w:b w:val="1"/>
                <w:bCs w:val="1"/>
                <w:color w:val="auto"/>
                <w:w w:val="91"/>
              </w:rPr>
              <w:t>Assets at Fair Value as of December 31, 2020</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r>
      <w:tr>
        <w:trPr>
          <w:trHeight w:val="209"/>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available-for-sale securities in the Company’s Condensed Consolidated Balance Sheets are as follows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63,096</w:t>
            </w:r>
          </w:p>
        </w:tc>
        <w:tc>
          <w:tcPr>
            <w:tcW w:w="2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573,605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color w:val="auto"/>
              </w:rPr>
              <w:t>Cash Equivalents and Investments total</w:t>
            </w:r>
          </w:p>
        </w:tc>
        <w:tc>
          <w:tcPr>
            <w:tcW w:w="2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682,989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accounting for potential liabilities, capitalization of internal-use software development costs, and the valuation allowance associated with the Company’s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of the Company's consolidated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21"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46"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entities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the impact is immaterial for the three and six months ended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June 30, 2021 and December 31, 2020.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periodically grants stock options to employees in non-capital raising transactions as compensation for services rendered. The Company accounts for all stock-based payment awards made to employee, including the employee stock purchase plans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38"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47"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The Company periodically issues restricted stock units (“RSUs”) and restricted stock awards (“RSAs”)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44" w:lineRule="exact"/>
        <w:rPr>
          <w:sz w:val="20"/>
          <w:szCs w:val="20"/>
          <w:color w:val="auto"/>
        </w:rPr>
      </w:pPr>
    </w:p>
    <w:p>
      <w:pPr>
        <w:ind w:right="1180" w:firstLine="492"/>
        <w:spacing w:after="0" w:line="453" w:lineRule="auto"/>
        <w:rPr>
          <w:sz w:val="20"/>
          <w:szCs w:val="20"/>
          <w:color w:val="auto"/>
        </w:rPr>
      </w:pPr>
      <w:r>
        <w:rPr>
          <w:rFonts w:ascii="Arial" w:cs="Arial" w:eastAsia="Arial" w:hAnsi="Arial"/>
          <w:sz w:val="18"/>
          <w:szCs w:val="18"/>
          <w:color w:val="auto"/>
        </w:rPr>
        <w:t xml:space="preserve">The fair value of RSUs and RSAs is based on the closing price of the Company’s common stock on the grant date. </w:t>
      </w:r>
      <w:r>
        <w:rPr>
          <w:rFonts w:ascii="Arial" w:cs="Arial" w:eastAsia="Arial" w:hAnsi="Arial"/>
          <w:sz w:val="18"/>
          <w:szCs w:val="18"/>
          <w:b w:val="1"/>
          <w:bCs w:val="1"/>
          <w:i w:val="1"/>
          <w:iCs w:val="1"/>
          <w:color w:val="auto"/>
        </w:rPr>
        <w:t>Accrued Research and Development Costs</w:t>
      </w:r>
    </w:p>
    <w:p>
      <w:pPr>
        <w:spacing w:after="0" w:line="2"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The Company has a history of contracting with third parties that perform various clinical trial activities on its behalf. Service agreements with contract research organizations (“CROs”) and contract manufacturing organizations (“CMOs”) are recognized as the services are incurred. The Company accrues for expenses resulting from obligations under agreements with its third-parties for which the timing of payments does not match the periods over which the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judgements and estimates in determining the accrual balance in each reporting period.</w:t>
      </w:r>
    </w:p>
    <w:p>
      <w:pPr>
        <w:spacing w:after="0" w:line="139"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the Company adjusts its liabilities and assets. Inputs, such as the extent of services received and the duration of services to be performed, may vary from the Company’s estimates, which will result in adjustments to research and development expense in future periods. Changes in these estimates that result in material changes to the Company’s accruals could materially affect the Company’s results of operations. The Company’s historical estimates have not been materially different from actual amounts recorded.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applies the accounting standards for distinguishing liabilities from equity when determining the classification and measurement of its preferred stock. Preferred stock subject to mandatory redemption are classified as liability instruments and are measured at fair value. Conditionally redeemable preferred stock (including preferred stock that feature redemption rights that are either within the control of the holder or subject to redemption upon the occurrence of uncertain events not solely within the Company’s control) are classified as temporary equity. At all other times, preferred stock is classified as stockholders’ equity.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 Adopted</w:t>
      </w:r>
    </w:p>
    <w:p>
      <w:pPr>
        <w:spacing w:after="0" w:line="185" w:lineRule="exact"/>
        <w:rPr>
          <w:sz w:val="20"/>
          <w:szCs w:val="20"/>
          <w:color w:val="auto"/>
        </w:rPr>
      </w:pPr>
    </w:p>
    <w:p>
      <w:pPr>
        <w:ind w:right="280" w:firstLine="492"/>
        <w:spacing w:after="0" w:line="291" w:lineRule="auto"/>
        <w:rPr>
          <w:sz w:val="20"/>
          <w:szCs w:val="20"/>
          <w:color w:val="auto"/>
        </w:rPr>
      </w:pPr>
      <w:r>
        <w:rPr>
          <w:rFonts w:ascii="Arial" w:cs="Arial" w:eastAsia="Arial" w:hAnsi="Arial"/>
          <w:sz w:val="16"/>
          <w:szCs w:val="16"/>
          <w:color w:val="auto"/>
        </w:rPr>
        <w:t xml:space="preserve">In December 2019, the Financial Accounting Standards Board (“FASB”) issued ASU No. 2019-12, Income Taxes (Topic 740): </w:t>
      </w:r>
      <w:r>
        <w:rPr>
          <w:rFonts w:ascii="Arial" w:cs="Arial" w:eastAsia="Arial" w:hAnsi="Arial"/>
          <w:sz w:val="16"/>
          <w:szCs w:val="16"/>
          <w:i w:val="1"/>
          <w:iCs w:val="1"/>
          <w:color w:val="auto"/>
        </w:rPr>
        <w:t xml:space="preserve">Simplifying the Accounting for Income Taxes, </w:t>
      </w:r>
      <w:r>
        <w:rPr>
          <w:rFonts w:ascii="Arial" w:cs="Arial" w:eastAsia="Arial" w:hAnsi="Arial"/>
          <w:sz w:val="16"/>
          <w:szCs w:val="16"/>
          <w:color w:val="auto"/>
        </w:rPr>
        <w:t>which simplifies accounting for income taxes by eliminating certain exceptions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Topic 740 related to the approach for allocating income tax expense or benefit for the year to continuing operations, discontinued operations, other comprehensive income, and other charges or credits recorded directly to stockholders’ equity; the methodology for calculating income tax expense or benefit in an interim period; and the recognition of deferred tax liabilities outside basis difference. This ASU became effective for the Company on January 1, 2021, however, the adoption of this new standard did not have a material impact on its condensed consolidated financial statements and related disclosures.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INVESTMENTS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equivalents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63,096</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equivalents total</w:t>
            </w:r>
          </w:p>
        </w:tc>
        <w:tc>
          <w:tcPr>
            <w:tcW w:w="2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63,096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$19.7 million and $17.6 million as of June 30, 2021 and December 31, 2020, respectively (in thousands).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Company’s investments that are classified as available-for-sale debt securities (in thousands):</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573,605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investments</w:t>
            </w:r>
          </w:p>
        </w:tc>
        <w:tc>
          <w:tcPr>
            <w:tcW w:w="2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Investments total</w:t>
            </w:r>
          </w:p>
        </w:tc>
        <w:tc>
          <w:tcPr>
            <w:tcW w:w="2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619,893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firstLine="492"/>
        <w:spacing w:after="0" w:line="258" w:lineRule="auto"/>
        <w:rPr>
          <w:sz w:val="20"/>
          <w:szCs w:val="20"/>
          <w:color w:val="auto"/>
        </w:rPr>
      </w:pPr>
      <w:r>
        <w:rPr>
          <w:rFonts w:ascii="Arial" w:cs="Arial" w:eastAsia="Arial" w:hAnsi="Arial"/>
          <w:sz w:val="18"/>
          <w:szCs w:val="18"/>
          <w:color w:val="auto"/>
        </w:rPr>
        <w:t>The following table summarizes the classification of the Company’s available-for-sale debt securities in its Condensed Consolidated Balance Sheets (in thousands):</w:t>
      </w:r>
    </w:p>
    <w:tbl>
      <w:tblPr>
        <w:tblLayout w:type="fixed"/>
        <w:tblInd w:w="980" w:type="dxa"/>
        <w:tblCellMar>
          <w:top w:w="0" w:type="dxa"/>
          <w:left w:w="0" w:type="dxa"/>
          <w:bottom w:w="0" w:type="dxa"/>
          <w:right w:w="0" w:type="dxa"/>
        </w:tblCellMar>
      </w:tblPr>
      <w:tr>
        <w:trPr>
          <w:trHeight w:val="14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5"/>
              <w:spacing w:after="0" w:line="141" w:lineRule="exact"/>
              <w:rPr>
                <w:sz w:val="20"/>
                <w:szCs w:val="20"/>
                <w:color w:val="auto"/>
              </w:rPr>
            </w:pPr>
            <w:r>
              <w:rPr>
                <w:rFonts w:ascii="Arial" w:cs="Arial" w:eastAsia="Arial" w:hAnsi="Arial"/>
                <w:sz w:val="14"/>
                <w:szCs w:val="14"/>
                <w:b w:val="1"/>
                <w:bCs w:val="1"/>
                <w:color w:val="auto"/>
                <w:w w:val="92"/>
              </w:rPr>
              <w:t>June 30,</w:t>
            </w:r>
          </w:p>
        </w:tc>
        <w:tc>
          <w:tcPr>
            <w:tcW w:w="1040" w:type="dxa"/>
            <w:vAlign w:val="bottom"/>
            <w:gridSpan w:val="3"/>
          </w:tcPr>
          <w:p>
            <w:pPr>
              <w:ind w:left="160"/>
              <w:spacing w:after="0" w:line="141"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313,661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267,894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Investments total</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619,893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fair value of investments as of June 30, 2021 and December 31,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267,894</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619,893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562,089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Company’s available-for-sale debt securities by contractual maturity (in thousands):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Amortized Cost</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One year to two years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46,288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Investments total</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$ 619,893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All available-for-sale securities held as of June 30, 2021 and December 31, 2020 had contractual maturities of less than two years. No significant available-for-sale securities held as of the periods presented have been in a continuous unrealized loss position for more than 12 months. As of June 30, 2021, unrealized losses on available-for-sale investments are not attributed to credit risk.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64,737</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r>
      <w:tr>
        <w:trPr>
          <w:trHeight w:val="20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59,159</w:t>
            </w:r>
          </w:p>
        </w:tc>
      </w:tr>
      <w:tr>
        <w:trPr>
          <w:trHeight w:val="20"/>
        </w:trPr>
        <w:tc>
          <w:tcPr>
            <w:tcW w:w="5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Depreciation expense for the three months ended June 30, 2021 and 2020, was approximately $0.3 million and $0.2 million, respectively. Depreciation expense for the six months ended June 30, 2021 and 2020 was approximately $0.7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payroll and employee related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Commercial manufacturing facility related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R&amp;D Manufacturing related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185"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June 30, 2021, 154,799,721 shares of the Company’s common stock were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98"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85" w:lineRule="exact"/>
        <w:rPr>
          <w:sz w:val="20"/>
          <w:szCs w:val="20"/>
          <w:color w:val="auto"/>
        </w:rPr>
      </w:pPr>
    </w:p>
    <w:p>
      <w:pPr>
        <w:jc w:val="both"/>
        <w:ind w:right="20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June 30, 2021, 17,000 shares were designated as Series A Convertible Preferred Stock (“Series A Convertible Preferred Stock”) and 11,500,000 shares were designated as Series B Convertible Preferred Stock (“Series B Convertible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8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50" w:lineRule="exact"/>
        <w:rPr>
          <w:sz w:val="20"/>
          <w:szCs w:val="20"/>
          <w:color w:val="auto"/>
        </w:rPr>
      </w:pPr>
    </w:p>
    <w:p>
      <w:pPr>
        <w:jc w:val="both"/>
        <w:ind w:right="2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six months ended June 30, 2021 or 2020. As of June 30, 2021 and December 31, 2020, 194 shares of Series A Convertible Preferred Stock (that are convertible into 97,000 shares of common stock) remained outstanding.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8"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During the six months ended June 30, 2021, a total of 738,961 of Series B Convertible Preferred Stock were converted into 738,961 shares of common stock. No shares of Series B Convertible Preferred Stock were converted during the six months ended June 30, 2020. As of June 30, 2021 and December 31, 2020, 2,842,158 and 3,581,119 shares of Series B Preferred Stock (that are convertible into 2,842,158 and 3,581,119 shares of common stock) remained outstanding,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Program</w:t>
      </w:r>
    </w:p>
    <w:p>
      <w:pPr>
        <w:spacing w:after="0" w:line="198"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Securities and Exchange Commission on May 27, 2020.</w:t>
      </w:r>
    </w:p>
    <w:p>
      <w:pPr>
        <w:spacing w:after="0" w:line="137"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w:t>
      </w:r>
    </w:p>
    <w:p>
      <w:pPr>
        <w:spacing w:after="0" w:line="117"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The Company will pay Jefferies a commission of up to 3.0% of the gross sales proceeds of any Common Shares sold through Jefferies under the Sales Agreement.</w:t>
      </w:r>
    </w:p>
    <w:p>
      <w:pPr>
        <w:spacing w:after="0" w:line="143" w:lineRule="exact"/>
        <w:rPr>
          <w:sz w:val="20"/>
          <w:szCs w:val="20"/>
          <w:color w:val="auto"/>
        </w:rPr>
      </w:pPr>
    </w:p>
    <w:p>
      <w:pPr>
        <w:ind w:right="480" w:firstLine="492"/>
        <w:spacing w:after="0" w:line="311" w:lineRule="auto"/>
        <w:rPr>
          <w:sz w:val="20"/>
          <w:szCs w:val="20"/>
          <w:color w:val="auto"/>
        </w:rPr>
      </w:pPr>
      <w:r>
        <w:rPr>
          <w:rFonts w:ascii="Arial" w:cs="Arial" w:eastAsia="Arial" w:hAnsi="Arial"/>
          <w:sz w:val="16"/>
          <w:szCs w:val="16"/>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08"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For the three and six months ended June 30, 2021, the Company received approximately $160.3 million and $203.2 million, respectively, in net proceeds, net of offering costs, through the sale of 5,195,856 and 6,474,099 shares of its common stock through the Sales Agreement at a weighted average price per share of $31.49 and $32.12,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Board and a majority of the Company’s stockholders approved an amendment to increase the number of shares available under the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As of June 30, 2021, 11,240 shares were available for future grant under the 2011 Plan. Per the terms of the 2011 Plan, no equity awards may be granted under the 2011 Plan after the ten-year anniversary of the plan’s adoption by the Board.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Plan was approved by the Company’s stockholders at the Company’s 2014 Annual Meeting of Stockholders held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2014. The 2014 Plan, as approved by the stockholders, authorized the issuance up to an aggregate of 2,350,000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On April 10, 2015, the Board amended the 2014 Plan to increase the total number of shares that can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to 4,000,000 shares of the Company’s common stock. The increase in shares available for issuance under the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 at the Company’s 2015 Annual Meeting of Stockholders in June 2015.</w:t>
      </w:r>
    </w:p>
    <w:p>
      <w:pPr>
        <w:spacing w:after="0" w:line="184"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As of June 30, 2021, 75,023 shares were available for grant under the Company’s 2014 Plan.</w:t>
      </w:r>
    </w:p>
    <w:p>
      <w:pPr>
        <w:spacing w:after="0" w:line="143"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As of June 30, 2021, 3,608,727 shares of common stock were available for grant under the Company’s 2018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A summary of the status of stock options as of June 30, 2021, and the changes during the six months then ended, is presented in the following table: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12,615,638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4,476,724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(1,898,902)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14,537,031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June 30,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7,832,437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quarter ended June 30, 2021 and the exercise price of the options, multiplied by the number of in-the-money stock options) that would have been received by the option holders had all option holders exercised their options on June 30, 2021. The intrinsic value of the Company’s stock options changes based on the closing price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compensation expenses related to the 2020 ESPP for the three and six months ended June 30, 2021 were $0.5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$0.8 million, respectively. No compensation expenses related to the 2020 ESPP were recognized for the same periods in 2020. As of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2021, 55,315 shares were issued under the 2020 ESPP and there was $0.3 million of unrecognized compensation cost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2020 ESPP, which will be recognized over the remaining 5.4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On June 1, 2016, the Company entered into an RSU agreement with the Company’s former Chief Executive Officer, Maria Fardis, Ph.D., M.B.A., pursuant to which the Company granted Dr. Fardis 550,000 non-transferrable RSUs at a fair market value price of $5.87 per share as an inducement to her employment pursuant to the exception to The Nasdaq Global Market rules that generally require stockholder approval of equity incentive plans. The 550,000 RSUs vested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vested in equal monthly installments over the 36-month period following the first anniversary of the effective date of Dr. Fardis’ employment. These RSUs were fully vested as of June 1, 2020 and no RSUs associated with this agreement were outstanding as of June 30, 2021 or December 31, 2020.</w:t>
      </w:r>
    </w:p>
    <w:p>
      <w:pPr>
        <w:spacing w:after="0" w:line="125"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In June 2021, under the terms of the 2018 Plan, the Company granted 1,253,540 RSUs to its executives and employees. The awards are time-based and each award has one of two vesting conditions. For some RSU awards, 100% of the RSUs will vest on the first anniversary of the grant date, and for others, 50% of the RSUs will vest on the first anniversary of the grant date with the remaining 50% vesting on December 31, 2022, assuming all time-based conditions are achieved.</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RSU activity during the six months ended June 30, 2021 is presented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r>
      <w:tr>
        <w:trPr>
          <w:trHeight w:val="216"/>
        </w:trPr>
        <w:tc>
          <w:tcPr>
            <w:tcW w:w="64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64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Grant Date</w:t>
            </w:r>
          </w:p>
        </w:tc>
      </w:tr>
      <w:tr>
        <w:trPr>
          <w:trHeight w:val="201"/>
        </w:trPr>
        <w:tc>
          <w:tcPr>
            <w:tcW w:w="64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1,253,540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Pr>
          <w:p>
            <w:pPr>
              <w:spacing w:after="0"/>
              <w:rPr>
                <w:sz w:val="18"/>
                <w:szCs w:val="18"/>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Canceled/Forfeited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1,253,540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As of June 30, 2021, there was approximately $28.8 million of related unrecognized compensation cost associated with RSUs, which the Company expects to recognize over a remaining weighted-average period of 1.14 years. The aggregate intrinsic value of the nonvested RSUs outstanding as of June 30, 2021 was $32.6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stock-based compensation expenses related to all of the Company’s stock-based awards were recorded on the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8,585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17,787</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Total stock-based compensation expenses</w:t>
            </w:r>
          </w:p>
        </w:tc>
        <w:tc>
          <w:tcPr>
            <w:tcW w:w="14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60" w:type="dxa"/>
            <w:vAlign w:val="bottom"/>
            <w:vMerge w:val="restart"/>
          </w:tcPr>
          <w:p>
            <w:pPr>
              <w:jc w:val="right"/>
              <w:ind w:right="2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stock-based compensation expenses broken down based on each individual instrument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42"/>
        </w:trPr>
        <w:tc>
          <w:tcPr>
            <w:tcW w:w="5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3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shd w:val="clear" w:color="auto" w:fill="CCEEFF"/>
          </w:tcPr>
          <w:p>
            <w:pPr>
              <w:spacing w:after="0"/>
              <w:rPr>
                <w:sz w:val="12"/>
                <w:szCs w:val="12"/>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Stock option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12,783</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10,492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29,443</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19,837</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2020 ESPP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92"/>
        <w:spacing w:after="0" w:line="277" w:lineRule="auto"/>
        <w:rPr>
          <w:sz w:val="20"/>
          <w:szCs w:val="20"/>
          <w:color w:val="auto"/>
        </w:rPr>
      </w:pPr>
      <w:r>
        <w:rPr>
          <w:rFonts w:ascii="Arial" w:cs="Arial" w:eastAsia="Arial" w:hAnsi="Arial"/>
          <w:sz w:val="18"/>
          <w:szCs w:val="18"/>
          <w:color w:val="auto"/>
        </w:rPr>
        <w:t>As of June 30, 2021, there was $118.8 million of total unrecognized compensation expense related to the options to be recognized over a weighted average period of 2.02 years.</w:t>
      </w:r>
    </w:p>
    <w:p>
      <w:pPr>
        <w:spacing w:after="0" w:line="143"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six months ended June 30, 2021 and 2020 was $24.38 and $16.20. per option,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TIL therapies that are designed to destroy metastatic melanoma cells.</w:t>
      </w:r>
    </w:p>
    <w:p>
      <w:pPr>
        <w:spacing w:after="0" w:line="130"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57"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products licensed by the U.S. Food and Drug Administration (“FDA”) and commercially available reagents routinely used for adoptive cell therapy. The parties have continued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June 30, 2021 and 2020, and $1.0 million for the six months ended June 30, 2021 and 2020 respectively, as research and development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Effective October 5, 2011, the Company entered into an Exclusive Patent License Agreement (the “Patent License Agreement”) with the NIH, an agency of the U.S.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TIL adoptive cell therapy products for the treatment of metastatic melanoma, lung, breast, bladder and HPV-positive cancers (the “Indications”). The Patent License Agreement required the Company to pay royalties based on a percentage of net sales (which percentage is in the mid-single digits), a percentage of revenues from sublicensing arrangements, and lump sum benchmark</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royalty payments on the achievement of certain clinical and regulatory milestones for each of the Indications and other direct costs incurred by the NIH pursuant to the agreement.</w:t>
      </w:r>
    </w:p>
    <w:p>
      <w:pPr>
        <w:spacing w:after="0" w:line="13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(the “Amended and Restated Patent License Agreement”), which includes the grant of additional exclusive, worldwide patent rights in the Indications to cytokine-tethered TIL technology, and expands the non-exclusive, worldwide field of use to all cancers. The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a percentage of revenues from sublicensing arrangements,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Amended and Restated Patent License Agreement. The Company anticipates making a milestone payment in the low single-digit millions of dollars in conjunction with the approval of a Biologics License Application for any of its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8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December 2016, the Company entered into a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a de minimis amount and $0.1 million of research and development costs of for the three months ended June 30, 2021 and 2020 respectively, and $0.2 million for the six months ended June 30, 2021 and $0.5 million for the six months ended June 30, 2020, respectively, in connection with the research collaboration and clinical grant agreements with Moffitt.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and six months ended June 30, 2021 and 2020.</w:t>
      </w:r>
    </w:p>
    <w:p>
      <w:pPr>
        <w:spacing w:after="0" w:line="14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a de minimis amount for the three months ended June 30, 2021 and 2020, respectively, and a de minimis amount for the six months ended June 30, 2021 and 2020, respectively, as research and development expenses in connection with the Second Moffit License.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120" w:firstLine="492"/>
        <w:spacing w:after="0" w:line="269"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$0.1 million and zero expenses associated with the MDACC SAA for the three months ended June 30, 2021 and 2020, respectively, and $0.1 million and $0.2 million for the six months ended June 30, 2021 and 2020, respectively, as research and development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 Inc.</w:t>
      </w:r>
    </w:p>
    <w:p>
      <w:pPr>
        <w:spacing w:after="0" w:line="18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AppTec, Inc. (“WuXi”) pursuant to which WuXi agreed to provide manufacturing and other services, which has since been amended and assigned to its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the first suite were amended in 2019, September 2020 and February 2021, and the statement of work for the second suite was amended in 2019. The statements of work for the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fees upon written notice from the Company of 30 days and 90 days for the first and second suites, respectively. The terms of the related statements of work for the first suite currently extends to February 2022 and the terms of the second manufacturing suite were extended to December 2022.</w:t>
      </w:r>
    </w:p>
    <w:p>
      <w:pPr>
        <w:spacing w:after="0" w:line="141"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color w:val="auto"/>
        </w:rPr>
        <w:t>The Company recorded costs associated with agreements with WuXi of $4.8 million and $5.7 million for the three months ended June 30, 2021 and 2020, respectively, and $8.2 million and $12.3 million for the six months ended June 30, 2021 and 2020, respectively, as research and development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w:t>
      </w:r>
    </w:p>
    <w:p>
      <w:pPr>
        <w:spacing w:after="0" w:line="189"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On January 12, 2020, the Company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agreements with Cellectis of $0.1 million for the three months ended June 30, 2021 and 2020 and $0.2 million for the six months ended June 30, 2021 and 2020, respectively, as research and development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p>
    <w:p>
      <w:pPr>
        <w:spacing w:after="0" w:line="189" w:lineRule="exact"/>
        <w:rPr>
          <w:sz w:val="20"/>
          <w:szCs w:val="20"/>
          <w:color w:val="auto"/>
        </w:rPr>
      </w:pPr>
    </w:p>
    <w:p>
      <w:pPr>
        <w:ind w:right="100" w:firstLine="492"/>
        <w:spacing w:after="0" w:line="254" w:lineRule="auto"/>
        <w:rPr>
          <w:sz w:val="20"/>
          <w:szCs w:val="20"/>
          <w:color w:val="auto"/>
        </w:rPr>
      </w:pPr>
      <w:r>
        <w:rPr>
          <w:rFonts w:ascii="Arial" w:cs="Arial" w:eastAsia="Arial" w:hAnsi="Arial"/>
          <w:sz w:val="18"/>
          <w:szCs w:val="18"/>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No expenses were recorded for the three and six months ended June 30, 2021. The Company recorded costs associated with the license agreement from Novartis of $10.0 million as research and development expenses for the six months ended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LEGAL PROCEEDINGS</w:t>
      </w:r>
    </w:p>
    <w:p>
      <w:pPr>
        <w:spacing w:after="0" w:line="18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pacing w:after="0" w:line="151"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July 31, 2020, the Solomon Plaintiffs, through new counsel, filed a motion for reconsideration of the dismissal of the First Solomon Suit for want of prosecution. On August 11, 2020, the Company filed an opposition brief against the Solomon Plaintiffs’ motion for reconsideration. On August 17, 2020, the Solomon Plaintiffs filed a reply brief in support of their motion for reconsideration. On September 2, 2020, the Solomon Plaintiffs filed a notice of appeal of the dismissal for want of prosecution. On January 4, 2021, the court granted the Solomon Plaintiffs motion for reconsideration, and reinstituted the case. On January 15, 2021, the Company filed a notice of appeal of the court’s grant of the Solomon Plaintiffs motion for reconsideration. On February 10, 2021, the Company filed its opening brief in support of its appeal of the court’s grant of the Solomon Plaintiff’s motion for reconsideration.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On March 24, 2021, the Solomon Plaintiffs filed their brief in opposition to the Company’s appeal of the court’s grant of the Solomon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Plaintiff’s motion for reconsideration. On April 2, 2021, the Company filed its reply brief in support of the Company’s appeal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court’s grant of the Solomon Plaintiffs’ motion for reconsideration. On May 3, 2021, the Solomon Plaintiffs filed their opening brief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support of their appeal of the court’s grant of summary judgment limiting the Solomon Plaintiffs’ damages for the Equity Claim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$47,420. On May 11, 2021, the Appellate Division upheld the court’s grant of the Solomon Plaintiffs’ motion for reconsideration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dismissal of the First Solomon Suit for want of prosecution.</w:t>
      </w:r>
    </w:p>
    <w:p>
      <w:pPr>
        <w:spacing w:after="0" w:line="170" w:lineRule="exact"/>
        <w:rPr>
          <w:sz w:val="20"/>
          <w:szCs w:val="20"/>
          <w:color w:val="auto"/>
        </w:rPr>
      </w:pPr>
    </w:p>
    <w:p>
      <w:pPr>
        <w:ind w:right="20" w:firstLine="492"/>
        <w:spacing w:after="0" w:line="284"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July 17, 2020, the Solomon Plaintiffs filed an opposition brief against the Company’s motion to dismiss for lack of personal jurisdiction. On August 7, 2020, the Company filed a reply brief in support of the Company’s motion to dismiss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June 25, 2021, the Solomon Plaintiffs filed an opposition brief against the motions for judgment on the pleadings. On July 16, 2021, the Company and Singh filed reply briefs in support of the motions for judgement on the pleadings.</w:t>
      </w:r>
    </w:p>
    <w:p>
      <w:pPr>
        <w:spacing w:after="0" w:line="153"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02"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85"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On February 8, 2021, the Company entered into a lease agreement with ARE-San Francisco No. 63, LLC (the “New Headquarters Lease”) for laboratories and offices to be constructed in Suite 400 of an existing building located at 825 Industrial Road, San Carlos, California (the “Building”), commonly known as The District. Under the New Headquarters Lease, the Company will lease approximately 49,918 rentable square feet of space in the Building (the “Headquarters Premises”). The New Headquarters Lease is for a term of 120 months, commencing upon the first day of the first full month (the “Rent Commencement Date”) after the earlier to occur of</w:t>
      </w:r>
    </w:p>
    <w:p>
      <w:pPr>
        <w:spacing w:after="0" w:line="2" w:lineRule="exact"/>
        <w:rPr>
          <w:sz w:val="20"/>
          <w:szCs w:val="20"/>
          <w:color w:val="auto"/>
        </w:rPr>
      </w:pPr>
    </w:p>
    <w:p>
      <w:pPr>
        <w:ind w:firstLine="8"/>
        <w:spacing w:after="0" w:line="268"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date that is 12 months and one day after the execution date of the New Headquarters Lease (the “Commencement Date”), which is February 9, 2022, or (ii) the date that the Tenant Improvements (as defined therein) are substantially completed, which is currently expected to be at the end of 2021; provided, however, that the Rent Commencement Date shall be delayed 1 day for each day after the Commencement Date that (a) to the extent that, after the Commencement Date, any governmental authority having jurisdiction, as a result of the COVID-19 outbreak in the United States, declares or implements any order or mandate that restricts construction activities in San Mateo County, California (any such order or mandate, a “Government Mandate”), to the extent that such Government Mandate precludes the construction of tenant improvements, or (b) a landlord delay occurs. The New Headquarters Lease includes an option to extend the term of the lease for 60 months, exercisable under certain conditions and at a market rate as described in the New Headquarters Lease.</w:t>
      </w:r>
    </w:p>
    <w:p>
      <w:pPr>
        <w:spacing w:after="0" w:line="154"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the Company’s monthly base rent under the New Headquarters Lease will be approximately $280,000, subject to an annual increase of 3%. Beginning in 2022, the Company will also be responsible for paying operating expenses.</w:t>
      </w:r>
    </w:p>
    <w:p>
      <w:pPr>
        <w:spacing w:after="0" w:line="143"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The 120-month term of the New Headquarters Lease is expected to commence in late 2021. Minimum rental payments under the New Headquarters Lease total $36.5 million, which does not include rental payments related to the Company’s one-time option to extend for an additional five years. There was no right-of-use asset or lease liability reflected on the balance sheet as of June 30, 2021 for the New Headquarters Lease, as the Company has not yet obtained control over the use of the Headquarters Premises.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Existing Headquarters Leases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August 4, 2016, the Company entered into an agreement with Hudson Skyway Landing, LLC (the “Suite 150 Lease”) to lease</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8,733 square feet of space for its corporate headquarters on the first floor of the building located at 999 Skyway Road, San Carlos, California commonly known as Skyway Landing II. The term of the Lease was 54 months subsequent to the commencement date and expired in April 2021. Monthly lease payments were approximately $38,000.</w:t>
      </w:r>
    </w:p>
    <w:p>
      <w:pPr>
        <w:spacing w:after="0" w:line="149"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On October 19, 2018, the Company entered into an agreement (the “Lease”) to lease 12,322 square feet of office space located adjacent to the Company’s headquarters in San Carlos, California. The term of the lease expired on April 30, 2021. Monthly lease payments were approximately $59,000, subject to an annual increase of 3%.</w:t>
      </w:r>
    </w:p>
    <w:p>
      <w:pPr>
        <w:spacing w:after="0" w:line="143"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On June 19, 2019, the Company entered into a first amendment (the “Amended Lease”) to the Lease for additional space at its corporate headquarters in San Carlos, California. Under the Amended Lease, the Company leased an additional 8,110 square feet (the “Expansion Space”), for a total of approximately 20,432 square feet of space on the first floor of Skyway Landing II. The term of the Amended Lease expired on April 30, 2021. Monthly lease payments were approximately $39,000 for the first year and $40,000 for the second year.</w:t>
      </w:r>
    </w:p>
    <w:p>
      <w:pPr>
        <w:spacing w:after="0" w:line="161"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On February 8, 2021, the Company entered into two amendments (the “Suite 100 and 125 Second Amendment” and the “Suite 150 First Amendment”) to the Amended Lease and the Suite 150 Lease, respectively.</w:t>
      </w:r>
    </w:p>
    <w:p>
      <w:pPr>
        <w:spacing w:after="0" w:line="130" w:lineRule="exact"/>
        <w:rPr>
          <w:sz w:val="20"/>
          <w:szCs w:val="20"/>
          <w:color w:val="auto"/>
        </w:rPr>
      </w:pPr>
    </w:p>
    <w:p>
      <w:pPr>
        <w:ind w:right="160" w:firstLine="492"/>
        <w:spacing w:after="0" w:line="275" w:lineRule="auto"/>
        <w:rPr>
          <w:sz w:val="20"/>
          <w:szCs w:val="20"/>
          <w:color w:val="auto"/>
        </w:rPr>
      </w:pPr>
      <w:r>
        <w:rPr>
          <w:rFonts w:ascii="Arial" w:cs="Arial" w:eastAsia="Arial" w:hAnsi="Arial"/>
          <w:sz w:val="17"/>
          <w:szCs w:val="17"/>
          <w:color w:val="auto"/>
        </w:rPr>
        <w:t>Under the Suite 100 and Suite 125 Second Amendment, the Company extended the Amended Lease which expired on April 30, 2021, to December 31, 2021. The Company’s monthly base rent under the Suite 100 and Suite 125 Second Amendment will be approximately $103,000. The Company is also responsible for paying its portion of operating expenses and real estate taxes. The Company has an option to extend the expiration of the Suite 100 and Suite 125 Second Amendment for one month or six months, at its discretion, by providing notice as specified in the Suite 100 and Suite 125 Second Amendment.</w:t>
      </w:r>
    </w:p>
    <w:p>
      <w:pPr>
        <w:spacing w:after="0" w:line="136"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Under the Suite 150 First Amendment, the Company extended the Suite 150 Lease, which also expired on April 30, 2021, to December 31, 2021. The Company’s monthly base rent under the Suite 150 First Amendment are approximately $44,000. The Company is also responsible for paying its portion of operating expenses and real estate taxes. The Company has an option to extend the expiration of the Suite 150 First Amendment for one month or six months, at its discretion, by providing notice as specified in the Suite 150 First Amendment.</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61"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4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June 30,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leased office space in New York for a monthly rental of approximately $18,000 a month from January 2017 through July 2017. On June 5, 2017, the Company entered into an agreement to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 On September 1, 2020, the Company entered into an agreement to extend the lease term to January 31, 2021, for approximately $4,000 a month. On January 31, 2021, the lease terminated, and the Company closed its New York office.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85" w:lineRule="exact"/>
        <w:rPr>
          <w:sz w:val="20"/>
          <w:szCs w:val="20"/>
          <w:color w:val="auto"/>
        </w:rPr>
      </w:pPr>
    </w:p>
    <w:p>
      <w:pPr>
        <w:jc w:val="both"/>
        <w:ind w:right="4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38"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twelve-month term at a rate of approximately $6,500 per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leases approximately 136,000 rentable square feet of space in a building located at 300 Rouse Boulevard, Philadelphia, Pennsylvania (the “Manufacturing Premises”). The construction of the commercial manufacturing facility began in July 2019 and has been substantially completed. The construction of tenant improvements in the commercial manufacturing facility is expected to be completed in the third quarter of 2021, at which time the assets will be placed in service.</w:t>
      </w:r>
    </w:p>
    <w:p>
      <w:pPr>
        <w:spacing w:after="0" w:line="168" w:lineRule="exact"/>
        <w:rPr>
          <w:sz w:val="20"/>
          <w:szCs w:val="20"/>
          <w:color w:val="auto"/>
        </w:rPr>
      </w:pPr>
    </w:p>
    <w:p>
      <w:pPr>
        <w:ind w:right="120" w:firstLine="492"/>
        <w:spacing w:after="0" w:line="290" w:lineRule="auto"/>
        <w:rPr>
          <w:sz w:val="20"/>
          <w:szCs w:val="20"/>
          <w:color w:val="auto"/>
        </w:rPr>
      </w:pPr>
      <w:r>
        <w:rPr>
          <w:rFonts w:ascii="Arial" w:cs="Arial" w:eastAsia="Arial" w:hAnsi="Arial"/>
          <w:sz w:val="16"/>
          <w:szCs w:val="16"/>
          <w:color w:val="auto"/>
        </w:rPr>
        <w:t>The Company determined the commencement date of the Commercial Manufacturing Lease to be October 7, 2020 in accordance with Topic 842 when its landlord made the Premise available for the Company’s use and the Company obtained control over the use of the Manufacturing Premises.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 In determining the lease term, the Company did not include the periods covered by the option to extend the lease as it determined that it is not reasonably certain that the Company will exercise such option. Upon the commencement date, the Company recognized operating lease liabilities and right-of-use assets of $41.3 million and $45.7 million, respectively.</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firstLine="492"/>
        <w:spacing w:after="0" w:line="311" w:lineRule="auto"/>
        <w:rPr>
          <w:sz w:val="20"/>
          <w:szCs w:val="20"/>
          <w:color w:val="auto"/>
        </w:rPr>
      </w:pPr>
      <w:r>
        <w:rPr>
          <w:rFonts w:ascii="Arial" w:cs="Arial" w:eastAsia="Arial" w:hAnsi="Arial"/>
          <w:sz w:val="16"/>
          <w:szCs w:val="16"/>
          <w:color w:val="auto"/>
        </w:rPr>
        <w:t>The Company’s monthly base rent under the Lease will be approximately $320,000, subject to an annual increase of 2% for the first ten years, and an annual increase of the greater of 2% or 75% of the average ten-year consumer price index. The Company is also responsible for paying operating expenses, which are expected to be approximately $72,000 per month in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202"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27"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2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June 30, 2021</w:t>
            </w:r>
          </w:p>
        </w:tc>
        <w:tc>
          <w:tcPr>
            <w:tcW w:w="1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84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included in current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3"/>
              </w:rPr>
              <w:t>long-term portion included in non-current liabilities</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46,843</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51,271</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20" w:type="dxa"/>
            <w:vAlign w:val="bottom"/>
            <w:vMerge w:val="restart"/>
          </w:tcPr>
          <w:p>
            <w:pPr>
              <w:jc w:val="right"/>
              <w:ind w:right="1410"/>
              <w:spacing w:after="0"/>
              <w:rPr>
                <w:sz w:val="20"/>
                <w:szCs w:val="20"/>
                <w:color w:val="auto"/>
              </w:rPr>
            </w:pPr>
            <w:r>
              <w:rPr>
                <w:rFonts w:ascii="Arial" w:cs="Arial" w:eastAsia="Arial" w:hAnsi="Arial"/>
                <w:sz w:val="18"/>
                <w:szCs w:val="18"/>
                <w:color w:val="auto"/>
                <w:w w:val="99"/>
              </w:rPr>
              <w:t>27</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Condensed Consolidated Statement of Operations, and other information related to its operating leases as follows (in thousands except weighted-average remaining lease terms and discount rates):</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9"/>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r>
      <w:tr>
        <w:trPr>
          <w:trHeight w:val="197"/>
        </w:trPr>
        <w:tc>
          <w:tcPr>
            <w:tcW w:w="4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liabilities included in Operating cashflows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20"/>
                <w:szCs w:val="20"/>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4,834</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w w:val="91"/>
              </w:rPr>
              <w:t>Increase (decrease) in right-of-use assets from lease modifications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1,943</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87"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the maturities of the Company’s operating lease liabilities were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CMO</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embedded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9"/>
              </w:rPr>
              <w:t>leases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74,899</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98,403</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(47,132)</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LONG-TERM NOTE</w:t>
      </w:r>
    </w:p>
    <w:p>
      <w:pPr>
        <w:spacing w:after="0" w:line="202"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six months prior to the maturity date and ending on the maturity date. If the Job Creation Loan is not forgiven in full by the maturity date, the remaining balance of the loan not</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43"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color w:val="auto"/>
        </w:rPr>
        <w:t>The Company concludes that it is not reasonably assured that all or a portion of the loan will be forgiven as of June 30, 2021, and therefore accounted for the Job Creation Loan as debt in accordance with ASC Topic 470 – Debt, as opposed to an in-substance government grant, and classified as a long-term debt in its Condensed Consolidated Balance Sheet as of June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8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This stock option was fully vested in September 2020. No expense was recognized for the three and six months ended June 30, 2021 related to this consulting agreement. The Company recognized $0.1 million and $0.2 million in stock-based compensation expense related to this consulting agreement for the three and six months ended June 30,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INCOME TAXES</w:t>
      </w:r>
    </w:p>
    <w:p>
      <w:pPr>
        <w:spacing w:after="0" w:line="189"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The Company did not record income tax expenses for the three and six months ended June 30, 2021 and 2020, respectively as the Company expected to be in a taxable loss position in 2021 and 2020, and the net deferred tax assets are fully offset by a valuation allowance as it is not more likely than not that the benefit will be realized. Therefore, the Company’s effective tax rate was 0.0%, for the three and six months ended June 30, 2021 and 2020, respectively. As of June 30, 2021, the Company remains in a cumulative book loss position and does not have sufficient positive evidence to realize its net deferred tax assets. As such, the Company continues to maintain a full valuation allowance against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i w:val="1"/>
          <w:iCs w:val="1"/>
          <w:color w:val="auto"/>
        </w:rPr>
        <w:t>The management’s discussion and analysis of our financial condition as of June 30, 2021 and results of operations for the three and six months ended June 30, 2021, should be read in conjunction with management’s discussion and analysis of financial condition and results of operations included in our Annual Report on Form 10-K for the year ended December 31, 2020 which was filed with the Securities and Exchange Commission, or SEC, on February 25, 2021.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report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cell therapies as novel cancer immunotherapy products designed to harness the power of a patient’s own immune system to eradicate cancer cells. Tumor-infiltrating lymphocyte, or TIL, therapy is an autologous, polyclonal cell therapy platform technology that was originally developed by the National Cancer Institute, or NCI, which conducted initial clinical trials of this therapy in diseases such as metastatic melanoma and cervical cancer. We have developed a new, shorter TIL manufacturing process known as Gen 2, which yields a cryopreserved TIL product. This proprietary and scalable manufacturing method is being investigated in multiple indications. Our lead product candidates include lifileucel for metastatic melanoma and metastatic cervical cancer. In addition to metastatic melanoma and metastatic cervical cancer, we are investigating the effectiveness and safety of TIL therapy for the treatment of squamous cell carcinoma of the head and neck, non-small cell lung cancer, or NSCLC, and are investigating peripheral blood lymphocyte, or PBL, therapy for patients with relapsed or refractory chronic lymphocytic leukemia, or CLL, and small lymphocytic lymphoma, or SLL, through our sponsored trials, as well as in other oncology indications through collaborations.</w:t>
      </w:r>
    </w:p>
    <w:p>
      <w:pPr>
        <w:spacing w:after="0" w:line="182" w:lineRule="exact"/>
        <w:rPr>
          <w:sz w:val="20"/>
          <w:szCs w:val="20"/>
          <w:color w:val="auto"/>
        </w:rPr>
      </w:pPr>
    </w:p>
    <w:p>
      <w:pPr>
        <w:ind w:right="60" w:firstLine="492"/>
        <w:spacing w:after="0" w:line="267" w:lineRule="auto"/>
        <w:rPr>
          <w:sz w:val="20"/>
          <w:szCs w:val="20"/>
          <w:color w:val="auto"/>
        </w:rPr>
      </w:pPr>
      <w:r>
        <w:rPr>
          <w:rFonts w:ascii="Arial" w:cs="Arial" w:eastAsia="Arial" w:hAnsi="Arial"/>
          <w:sz w:val="17"/>
          <w:szCs w:val="17"/>
          <w:color w:val="auto"/>
        </w:rPr>
        <w:t>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ASCO annual meeting on June 6, 2021. As of the data extract in April 2021, in 66 patients with metastatic melanoma in Cohort 2, treatment with lifileucel resulted in an objective response rate, or ORR, of 36%, as assessed by investigator, with 3 complete responses and 21 partial responses. The disease control rate, or DCR, was 80.3%. Median duration of response, or DOR, in Cohort 2 had not been reached after 33.1 months of median study follow up. Results from Cohort 2 presented at ASCO in June 2021 also suggest that early intervention with lifileucel at the time of initial progression on anti-PD-1 therapy may maximize benefit. Patients in Cohort 2 were heavily pretreated and had a mean of 3.3 prior therapies. We have previously reported durable responses across a wide age range of metastatic melanoma patients, among those who have received prior anti-CTLA-4 and BRAF targeted treatments, regardless of BRAF mutation status, and in patients with PD-L1 high and low status. The adverse event profile was generally consistent with the underlying advanced disease and the profile of the lymphodepletion and IL-2 regimens. In addition, detailed Cohort 2 data was published in the Journal of Clinical Oncology on May 12, 2021.</w:t>
      </w:r>
    </w:p>
    <w:p>
      <w:pPr>
        <w:spacing w:after="0" w:line="191"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Pivotal Cohort 4 of the C-144-01 trial was enrolled to evaluate ORR as read out by an Independent Review Committee, or IRC, as the primary endpoint based on our interpretation of discussions with the U.S. Food and Drug Administration, or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A total of 87 patients were dosed with Gen 2 product released for Cohort 4. We previously disclosed initial results</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from Cohort 4 for 68 patients with two radiological assessments, as determined by investigator. Lifileucel showed a 32.4% ORR, including one complete response and 21 partial responses, two of which were yet to be confirmed with follow up visits at the time of the data cut, and a DCR of 72.1% as of the data cut off of March 16, 2020, corresponding to 5.3 months of median study follow up. This ORR data was consistent with the Cohort 2 data read out at a similar median duration of study follow up. The ORR of Cohort 2 at a median study follow up of 6 months was 33%. 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plan to submit additional assay data and to meet with the FDA in the second half of 2021. Our BLA submission for lifileucel in metastatic melanoma is now expected to occur during the first half of 2022.</w:t>
      </w:r>
    </w:p>
    <w:p>
      <w:pPr>
        <w:spacing w:after="0" w:line="168"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Updated results from the C-145-04 clinical trial were reported at the ASCO annual meeting on June 1,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In November 2019, we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may also allow access to TIL therapy after completion of the enrollment in the registrational cohorts. In January 2021, we announced that Cohort 2 of the C-145-04 trial had completed enrollment and that data from this cohort may be supportive of registration because of the expected changing landscape of care for cervical cancer patients. We intend to initiate a dialog with the FDA to discuss these cohorts and potential BLA submission plans for lifileucel in cervical cancer after resolution of regulatory discussions regarding our potency assays.</w:t>
      </w:r>
    </w:p>
    <w:p>
      <w:pPr>
        <w:spacing w:after="0" w:line="176"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In November 2020, we announced that we had finalized the protocol for our potential registrational clinical trial in NSCLC, IOV-LUN-202, to investigate LN-145 in patients with recurrent or metastatic NSCLC, without driver mutations, who previously received a single line of approved systemic therapy of combined checkpoint inhibitor and chemotherapy. The IOV-LUN-202 clinical trial includes three cohorts. Cohorts 1 and 3 of the IOV-LUN-202 clinical trial will enroll patients with a PD-L1 TPS of less than one percent, and Cohort 2 will enroll patients with a PD-L1 TPS of greater than or equal to one percent. In June 2021, we reported that the first patient was dosed in the IOV-LUN-202 clinical trial. We intend to continue to enroll patients in the IOV-LUN-202 clinical trial throughout 2021 and 2022.</w:t>
      </w:r>
    </w:p>
    <w:p>
      <w:pPr>
        <w:spacing w:after="0" w:line="19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C-145-03 is our Phase 2, multicenter trial to assess the safety and efficacy of our product candidate LN-145 for the treatment of patients with recurrent metastatic head and neck squamous cell carcinoma, or HNSCC. In October 2018, we reported that, to date,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78"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We are also investigating the potential of our TIL therapies in earlier lines of treatment and in combination with pembrolizumab, and we are studying LN-145 as a monotherapy in relapsed refractory NSCLC patients. IOV-COM-202 is a Phase 2, multicenter trial that is composed of seven cohorts that can enroll up to a total of 135 patients. In May 2019, we reported that the first patient was dosed in the IOV-COM-202 trial. In addition to its ongoing enrollment in the U.S., the IOV-COM-202 trial has also received regulatory approval in Canada and in certain European countries.</w:t>
      </w:r>
    </w:p>
    <w:p>
      <w:pPr>
        <w:spacing w:after="0" w:line="188" w:lineRule="exact"/>
        <w:rPr>
          <w:sz w:val="20"/>
          <w:szCs w:val="20"/>
          <w:color w:val="auto"/>
        </w:rPr>
      </w:pPr>
    </w:p>
    <w:p>
      <w:pPr>
        <w:ind w:right="140" w:firstLine="492"/>
        <w:spacing w:after="0" w:line="308" w:lineRule="auto"/>
        <w:rPr>
          <w:sz w:val="20"/>
          <w:szCs w:val="20"/>
          <w:color w:val="auto"/>
        </w:rPr>
      </w:pPr>
      <w:r>
        <w:rPr>
          <w:rFonts w:ascii="Arial" w:cs="Arial" w:eastAsia="Arial" w:hAnsi="Arial"/>
          <w:sz w:val="17"/>
          <w:szCs w:val="17"/>
          <w:color w:val="auto"/>
        </w:rPr>
        <w:t>In Cohort 1A of the IOV-COM-202 trial, we are enrolling advanced unresectable or metastatic melanoma patients who are naïve to anti-PD-1 therapy. We reported results from ongoing Cohort 1A of the IOV-COM-202 trial at the ASCO meeting in June</w:t>
      </w:r>
    </w:p>
    <w:p>
      <w:pPr>
        <w:sectPr>
          <w:pgSz w:w="11900" w:h="16838" w:orient="portrait"/>
          <w:cols w:equalWidth="0" w:num="1">
            <w:col w:w="9900"/>
          </w:cols>
          <w:pgMar w:left="980" w:top="665" w:right="101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2021, as follows. Seven patients received lifileucel in combination with pembrolizumab. Six of the seven patients had a confirmed objective response, with an ORR of 86%, including two complete responses, one unconfirmed complete response who had not yet reached the confirmatory complete response assessment, and three partial responses, with one best response of stable disease. The complete response rate, including the unconfirmed complete response, was 43%. The median follow up was 8.2 months. The Cohort 1A results also demonstrated that lifileucel can be safely combined with pembrolizumab. The treatment-emergent adverse event, or TEAE, profile was consistent with the underlying disease and known adverse event profiles of pembrolizumab, non-myeloablative lymphodepletion, or NMA-LD, and IL-2.</w:t>
      </w:r>
    </w:p>
    <w:p>
      <w:pPr>
        <w:spacing w:after="0" w:line="195"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Society for Immunotherapy in Cancer, or SITC, meeting in November 2020, as follows. As of October 16, 2020, nine HNSCC patients have received LN-145 plus pembrolizumab with a median duration of follow up of 8.6 months. Nine and eight patients were evaluable for safety and efficacy, respectively. Four patients had a confirmed, objective response with an ORR of 44% including one complete response and three partial responses. Median DOR was not reached. The DCR at data cutoff was 89% in nine patients, and seven of the eight evaluable patients, or 87.5%, had a reduction in target lesions. The median number of prior therapies was 1.0 with 89% of the patients having received prior chemotherapy. Four patients were positive for Human Papilloma Virus, or HPV, three patients were HPV negative, and two patients had unknown HPV status. The treatment emergent adverse event, or TEAE, profile was consistent with the underlying advanced disease and the known adverse event profiles of pembrolizumab, lymphodepletion, and IL-2 regimens. The most common TEAEs, occurring in more than 50% of evaluable subjects, were chills, anemia, hypotension, nausea, pyrexia, and thrombocytopenia.</w:t>
      </w:r>
    </w:p>
    <w:p>
      <w:pPr>
        <w:spacing w:after="0" w:line="16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In Cohort 3B of the IOV-COM-202 trial, we enrolled patients with metastatic NSCLC that had progressed on prior immune checkpoint inhibitor therapy, including patients with oncogene-driven tumors who received prior tyrosine kinase inhibitor therapy. Patients were treated with LN-145 monotherapy. We reported results from Cohort 3B of the IOV-COM-202 trial in June 2021, as follows. The ORR was 21.4% for the 28 patients that participated in the trial, including one complete response and five partial responses, and the DCR was 64.3%, including two responders with PD-L1 negative tumors. Median DOR was not reached at a median study follow up of 8.2 months. The treatment-emergent adverse event profile was consistent with the underlying disease and known adverse event profiles of non-myeloablative lymphodepletion and IL-2. All patients treated in Cohort 3B of the IOV-COM-202 trial received prior anti-PD-1/L1 therapy and all six responding patients also received prior chemotherapy. Historically, ORRs of approximately 20% were reported with ICIs as second-line therapy in ICI-naïve patients who progressed on front-line chemotherapy. We anticipate presenting additional Cohort 3B data at a medical meeting in the second half of 2021</w:t>
      </w:r>
    </w:p>
    <w:p>
      <w:pPr>
        <w:spacing w:after="0" w:line="18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a Phase 1/2 clinical trial evaluating the safety and efficacy of IOV-2001 in patients with relapsed or refractory CLL or SLL. The IOV-CLL-01 trial is expected to enroll up to approximately 70 patients.</w:t>
      </w:r>
    </w:p>
    <w:p>
      <w:pPr>
        <w:spacing w:after="0" w:line="188" w:lineRule="exact"/>
        <w:rPr>
          <w:sz w:val="20"/>
          <w:szCs w:val="20"/>
          <w:color w:val="auto"/>
        </w:rPr>
      </w:pPr>
    </w:p>
    <w:p>
      <w:pPr>
        <w:ind w:right="160" w:firstLine="492"/>
        <w:spacing w:after="0" w:line="293" w:lineRule="auto"/>
        <w:rPr>
          <w:sz w:val="20"/>
          <w:szCs w:val="20"/>
          <w:color w:val="auto"/>
        </w:rPr>
      </w:pPr>
      <w:r>
        <w:rPr>
          <w:rFonts w:ascii="Arial" w:cs="Arial" w:eastAsia="Arial" w:hAnsi="Arial"/>
          <w:sz w:val="16"/>
          <w:szCs w:val="16"/>
          <w:color w:val="auto"/>
        </w:rPr>
        <w:t>As part of our collaboration program with M.D. Anderson Cancer Center, or MDACC, two Phase 2 trials were initiated in 2018. Both trials are sponsored by MDACC. The first trial, NCT03449108, is intended to allow for investigation of LN-145 manufactured by us, using our manufacturing processes, to treat patients with soft tissue sarcoma, osteosarcoma, platinum resistant ovarian cancer, and thyroid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w:t>
      </w:r>
    </w:p>
    <w:p>
      <w:pPr>
        <w:spacing w:after="0" w:line="164" w:lineRule="exact"/>
        <w:rPr>
          <w:sz w:val="20"/>
          <w:szCs w:val="20"/>
          <w:color w:val="auto"/>
        </w:rPr>
      </w:pPr>
    </w:p>
    <w:p>
      <w:pPr>
        <w:ind w:right="260" w:firstLine="492"/>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figure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142875</wp:posOffset>
            </wp:positionV>
            <wp:extent cx="6172200" cy="2940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00" w:firstLine="492"/>
        <w:spacing w:after="0" w:line="263" w:lineRule="auto"/>
        <w:rPr>
          <w:sz w:val="20"/>
          <w:szCs w:val="20"/>
          <w:color w:val="auto"/>
        </w:rPr>
      </w:pPr>
      <w:r>
        <w:rPr>
          <w:rFonts w:ascii="Arial" w:cs="Arial" w:eastAsia="Arial" w:hAnsi="Arial"/>
          <w:sz w:val="18"/>
          <w:szCs w:val="18"/>
          <w:color w:val="auto"/>
        </w:rPr>
        <w:t>We have developed a third-generation TIL manufacturing process known as Gen 3. Gen 3 is a shorter process than Gen 2. We are using Gen 3 manufacturing in Cohort 1C of the IOV-COM-202 trial in melanoma and in Cohort 3 of the IOV-LUN-202 trial in NSCLC and have previously used it in the C-145-03 trial in HNSCC.</w:t>
      </w:r>
    </w:p>
    <w:p>
      <w:pPr>
        <w:spacing w:after="0" w:line="184"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currently own more than twenty-five granted or allowed U.S. and international patents for compositions and methods of treatment in a broad range of cancers relating to our Gen 2 manufacturing process, including U.S. Patent Nos. 10,130,659, 10,166,257, 10,272,113, 10,363,273, 10,398,734, 10,420,799, 10,463,697, 10,537,595, 10,639,330, 10,646,517, 10,653,723, 10,695,372, 10,894,063, 10,905,718, 10,918,666, 10,925,900, 10,933,094, 10,946,044, 10,946,045, 10,953,046, 10,953,047, and 11,013,770. We anticipate that the terms of these patents related to Gen 2 manufacturing processes will extend to January 2038, not including any patent term extensions or adjustments that may be available. Our owned and licensed intellectual property portfolio also includes patent applications and patents relating to TIL, marrow infiltrating lymphocyte, or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immune checkpoint inhibitors in combination with TIL therapies; TIL selection technologies; and methods of treating patient subpopulations.</w:t>
      </w:r>
    </w:p>
    <w:p>
      <w:pPr>
        <w:spacing w:after="0" w:line="182" w:lineRule="exact"/>
        <w:rPr>
          <w:sz w:val="20"/>
          <w:szCs w:val="20"/>
          <w:color w:val="auto"/>
        </w:rPr>
      </w:pPr>
    </w:p>
    <w:p>
      <w:pPr>
        <w:ind w:right="220" w:firstLine="492"/>
        <w:spacing w:after="0" w:line="269" w:lineRule="auto"/>
        <w:rPr>
          <w:sz w:val="20"/>
          <w:szCs w:val="20"/>
          <w:color w:val="auto"/>
        </w:rPr>
      </w:pPr>
      <w:r>
        <w:rPr>
          <w:rFonts w:ascii="Arial" w:cs="Arial" w:eastAsia="Arial" w:hAnsi="Arial"/>
          <w:sz w:val="17"/>
          <w:szCs w:val="17"/>
          <w:color w:val="auto"/>
        </w:rPr>
        <w:t>In January 2020, we obtained a license from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Novartis is also entitled to low-to-mid single digit percentage royalties from commercial sales of IOV-3001. In addition, in January 2020, we announced a research collaboration and exclusive worldwide licensing agreement with Cellectis, a clinical-stage biopharmaceutical company focused on developing immunotherapies based on gene-edited allogeneic chimeric antigen receptor modified T cells, whereby we licensed certain TALEN technology from Cellectis in order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 development, regulatory and sales milestone payments from us to Cellectis, as well as royalty payments based on net sales of TALEN-modified TIL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61"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26" w:lineRule="exact"/>
        <w:rPr>
          <w:sz w:val="20"/>
          <w:szCs w:val="20"/>
          <w:color w:val="auto"/>
        </w:rPr>
      </w:pPr>
    </w:p>
    <w:p>
      <w:pPr>
        <w:ind w:right="120" w:firstLine="492"/>
        <w:spacing w:after="0" w:line="311" w:lineRule="auto"/>
        <w:rPr>
          <w:sz w:val="20"/>
          <w:szCs w:val="20"/>
          <w:color w:val="auto"/>
        </w:rPr>
      </w:pPr>
      <w:r>
        <w:rPr>
          <w:rFonts w:ascii="Arial" w:cs="Arial" w:eastAsia="Arial" w:hAnsi="Arial"/>
          <w:sz w:val="16"/>
          <w:szCs w:val="16"/>
          <w:color w:val="auto"/>
        </w:rPr>
        <w:t>We expect our research and development expenses to increase over the next couple of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38"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in 2021 as we continue to prepare for commercialization and support an expected growth of the internal general and administrative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results from our interest-bearing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three and six months ended June 30, 2021 or June 30,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9"/>
              </w:rPr>
              <w:t>Increase /</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92"/>
              </w:rPr>
              <w:t>Increase /</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89"/>
              </w:rPr>
              <w:t>(Decrease)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$ 62,119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$ 49,274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$ 118,068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$ 106,226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included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 research and development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5,465</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800" w:type="dxa"/>
            <w:vAlign w:val="bottom"/>
          </w:tcPr>
          <w:p>
            <w:pPr>
              <w:jc w:val="right"/>
              <w:spacing w:after="0"/>
              <w:rPr>
                <w:sz w:val="20"/>
                <w:szCs w:val="20"/>
                <w:color w:val="auto"/>
              </w:rPr>
            </w:pPr>
            <w:r>
              <w:rPr>
                <w:rFonts w:ascii="Arial" w:cs="Arial" w:eastAsia="Arial" w:hAnsi="Arial"/>
                <w:sz w:val="18"/>
                <w:szCs w:val="18"/>
                <w:color w:val="auto"/>
              </w:rPr>
              <w:t>17,787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9,783</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82 %</w:t>
            </w:r>
          </w:p>
        </w:tc>
      </w:tr>
    </w:tbl>
    <w:p>
      <w:pPr>
        <w:spacing w:after="0" w:line="202"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Research and development expense for the three months ended June 30, 2021 increased by $12.8 million, or 26%, compared to the same period in 2020. The increase was primarily attributable to (i) a $7.1 million increase in payroll and related expenses, (ii) a $3.1 million increase in stock-based compensation expenses, (iii) a $2.3 million increase in our commercial manufacturing facility related cost, and (iv) a $2.8 million increase in manufacturing costs. These increases were partially offset by a $3.6 million decrease in clinical trial costs due to completion of enrollment in pivotal cohorts for melanoma and cervical cancer, and head and neck clinical trials.</w:t>
      </w:r>
    </w:p>
    <w:p>
      <w:pPr>
        <w:spacing w:after="0" w:line="121"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Research and development expense for the six months ended June 30, 2021 increased by $11.8 million, or 11%, compared to the same period in 2020. The increase was primarily attributable to (i) a $14.0 million increase in payroll and related expenses, (ii) a $8.0 million increase in stock-based compensation expenses, and (iii) a $4.0 million increase in our commercial manufacturing facility related activities. These increases were partially offset by a $10.0 million decrease in the license cost to further develop IOV-3001 obtained from Novartis for which we recognized in January 2020 in full, and a $5.6 million decrease in clinical trial costs and related manufacturing costs due to completion of enrollment in pivotal cohorts for melanoma and cervical cancer, and head and neck clinical trials.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9"/>
              </w:rPr>
              <w:t>Increase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2"/>
              </w:rPr>
              <w:t>Increase /</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$ 19,307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$ 14,353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$ 38,928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$ 28,211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1"/>
              </w:rPr>
              <w:t>Stock-based compensation expense included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in general and administrative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5,072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700" w:type="dxa"/>
            <w:vAlign w:val="bottom"/>
          </w:tcPr>
          <w:p>
            <w:pPr>
              <w:jc w:val="right"/>
              <w:spacing w:after="0"/>
              <w:rPr>
                <w:sz w:val="20"/>
                <w:szCs w:val="20"/>
                <w:color w:val="auto"/>
              </w:rPr>
            </w:pPr>
            <w:r>
              <w:rPr>
                <w:rFonts w:ascii="Arial" w:cs="Arial" w:eastAsia="Arial" w:hAnsi="Arial"/>
                <w:sz w:val="18"/>
                <w:szCs w:val="18"/>
                <w:color w:val="auto"/>
              </w:rPr>
              <w:t>13,568</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10,166</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bl>
    <w:p>
      <w:pPr>
        <w:spacing w:after="0" w:line="202" w:lineRule="exact"/>
        <w:rPr>
          <w:sz w:val="20"/>
          <w:szCs w:val="20"/>
          <w:color w:val="auto"/>
        </w:rPr>
      </w:pPr>
    </w:p>
    <w:p>
      <w:pPr>
        <w:jc w:val="both"/>
        <w:ind w:right="20" w:firstLine="492"/>
        <w:spacing w:after="0" w:line="259" w:lineRule="auto"/>
        <w:rPr>
          <w:sz w:val="20"/>
          <w:szCs w:val="20"/>
          <w:color w:val="auto"/>
        </w:rPr>
      </w:pPr>
      <w:r>
        <w:rPr>
          <w:rFonts w:ascii="Arial" w:cs="Arial" w:eastAsia="Arial" w:hAnsi="Arial"/>
          <w:sz w:val="18"/>
          <w:szCs w:val="18"/>
          <w:color w:val="auto"/>
        </w:rPr>
        <w:t>General and administrative expenses for the three months ended June 30, 2021 increased by $5.0 million, or 35%, compared to the same period in 2020. The increase was primarily attributable to (i) a $2.6 million increase in payroll and related expenses, including $0.8 million of stock-based compensation expenses, (ii) $1.4 million increase in intellectual property filing related costs, and (iii) $0.8 million increase in insurance, license and professional fees.</w:t>
      </w:r>
    </w:p>
    <w:p>
      <w:pPr>
        <w:spacing w:after="0" w:line="14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General and administrative expenses for the six months ended June 30, 2021 increased by $10.7 million, or 38%, compared to the same period in 2020. The increase was primarily attributable to (i) a $4.7 million increase in payroll and related expenses, (ii) a $3.4 million increase in stock-based compensation expenses, and (iii) $2.3 million increase in intellectual property filing related costs, insurance and license fees.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89"/>
              </w:rPr>
              <w:t>Increase /</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2"/>
              </w:rPr>
              <w:t>Increase /</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1,824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jc w:val="both"/>
        <w:ind w:right="500" w:firstLine="492"/>
        <w:spacing w:after="0" w:line="263" w:lineRule="auto"/>
        <w:rPr>
          <w:sz w:val="20"/>
          <w:szCs w:val="20"/>
          <w:color w:val="auto"/>
        </w:rPr>
      </w:pPr>
      <w:r>
        <w:rPr>
          <w:rFonts w:ascii="Arial" w:cs="Arial" w:eastAsia="Arial" w:hAnsi="Arial"/>
          <w:sz w:val="18"/>
          <w:szCs w:val="18"/>
          <w:color w:val="auto"/>
        </w:rPr>
        <w:t>Net interest income for the three and six months ended June 30, 2021 and 2020 decreased by $0.5 million, or 88%, and $1.6 million, or 89%, respectively, due primarily to less interest income earned from our investment portfolio during the continued low interest rate environment during the current COVID-19 pandemic.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Increase /</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w w:val="92"/>
              </w:rPr>
              <w:t>Increase /</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9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09"/>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(81,351)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(63,018)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(156,800)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(132,613)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Net loss for the three and six months ended June 30, 2021 increased by $18.3 million or 29% and $24.2 million or 18%, respectively, compared to the same periods in 2020. The increase in our net loss was due to the continued expansion of our research and development activities and the overall growth of our corporate infrastructure. We anticipate that we will continue to incur net losses in the future as we further invest in our research and development activities and commercial preparation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2021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18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June 30, 2021, we had outstanding 154,799,721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6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9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78"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On September 17, 2019, we filed a shelf registration statement with the SEC for the issuance up to an aggregate amount of $400 million,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5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On June 2, 2020, we sold 19,475,806 shares of our common stock at a public offering price of $31.00 per share pursuant to the 2020 Automatic Shelf Registration Statement.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71" w:lineRule="exact"/>
        <w:rPr>
          <w:sz w:val="20"/>
          <w:szCs w:val="20"/>
          <w:color w:val="auto"/>
        </w:rPr>
      </w:pPr>
    </w:p>
    <w:p>
      <w:pPr>
        <w:ind w:right="160" w:firstLine="492"/>
        <w:spacing w:after="0" w:line="293" w:lineRule="auto"/>
        <w:rPr>
          <w:sz w:val="20"/>
          <w:szCs w:val="20"/>
          <w:color w:val="auto"/>
        </w:rPr>
      </w:pPr>
      <w:r>
        <w:rPr>
          <w:rFonts w:ascii="Arial" w:cs="Arial" w:eastAsia="Arial" w:hAnsi="Arial"/>
          <w:sz w:val="16"/>
          <w:szCs w:val="16"/>
          <w:color w:val="auto"/>
        </w:rPr>
        <w:t>On February 8, 2021, we entered into an Open Market Sale Agreement, or the Sales Agreement, with Jefferies LLC, or Jefferies, with respect to an “at the market” offering program, under which we may, from time to time, in our sole discretion, issue and sell through Jefferies, acting as sales agent, up to $350.0 million of shares of our common stock. The issuance and sale, if any, of shares of our common stock under the Sales Agreement will be made pursuant to a prospectus supplement, dated February 8, 2021, to the 2020 Automatic Shelf Registration Statement. For the three and six months ended June 30, 2021, we received approximately $160.3 million and $203.2 million in net proceeds through the sale of 5,195,856 and 6,474,099 shares of our common stock, respectively.</w:t>
      </w:r>
    </w:p>
    <w:p>
      <w:pPr>
        <w:spacing w:after="0" w:line="12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2020 Automatic Shelf Registration Statement are offered for sale, a prospectus supplement will be prepared and filed with the SEC containing specific information about the terms of such offering at that time.</w:t>
      </w:r>
    </w:p>
    <w:p>
      <w:pPr>
        <w:spacing w:after="0" w:line="18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significant revenues from the sale or licensing of any products during the 12 months from the date these financial statements are issued. We have incurred a net loss of $156.8 million for the six months ended June 30, 2021 and used $116.4 million of cash in our operating activities for the same period ended June 30, 2021. As of June 30, 2021, we had $82.8 million of cash, cash equivalents, $619.9 million of investments ($573.6 million of short-term investments, and $46.3 million of long-term investments), $744.4 million of stockholders’ equity and had working capital of $606.1 million.</w:t>
      </w:r>
    </w:p>
    <w:p>
      <w:pPr>
        <w:spacing w:after="0" w:line="177"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We expect to further increase our research and development activities, especially continuing pre-commercial activities and completing the construction of our tenant improvements to our new commercial manufacturing facility, which will increase the amount of cash we will use during 2021 and beyond. Specifically, we expect increased spending on clinical trials, research and development activities, higher payroll expenses as we increase our professional and scientific staff and continue our expansion of manufacturing activities including building our own facility. Based on the funds we have available as of the date of the filing of this Quarterly Report on Form 10-Q, we believe that we have sufficient capital to fund our anticipated operating expenses and capital expenditure for at least 12 months from the date of filing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(116,399)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(101,927)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(81,954)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(323,651)</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214,346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572,298</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146,720</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2021 was $116.4 million compared to $101.9 million for the same period in 2020. The increase of $14.5 million was primarily due to the increased costs in research and development and pre-commercial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Net cash used by investing activities for periods presented primarily relate to the purchase, sale and maturity of investments used to fund the day-to-day needs of our business. Net cash used by investing activities for the six months ended June 30, 2021 was $81.9 million compared to net cash used by investing activities of $323.7 million for the same period in 2020. The decrease in cash provided by investing activities of $241.7 million was primarily due to increase in the purchase of property and equipment related to the commercial manufacturing facility and the timing of maturities and purchases of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2021 was $214.3 million compared to $572.3 million for the same period in 2020. The decrease of $358.0 million was primarily due to net proceeds of $567.4 million received from our June 2020 public offering as compared to net proceeds of $203.2 million received from the “at the market” offering program during the six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8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2020.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98"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46"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three and six months ended June 30, 2021.</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we had no obligations that would require disclosure as off-balance sheet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85"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June 30, 2021, we had $619.9 million invested in marketable securities with a maturity date of less than two years. As such we believe that we are not exposed to any material market risk. If interest rates had varied by 1% in the year ended June 30, 2021, the fair value of our investment portfolio would increase or decrease by approximately $2.7 million.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June 30,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9 to our Condensed Consolidated Financial Statements for the quarter ended June 30, 2021 contained in this Quarterly Report on Form 10-Q.</w:t>
      </w: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2">
        <w:r>
          <w:rPr>
            <w:rFonts w:ascii="Arial" w:cs="Arial" w:eastAsia="Arial" w:hAnsi="Arial"/>
            <w:sz w:val="18"/>
            <w:szCs w:val="18"/>
            <w:i w:val="1"/>
            <w:iCs w:val="1"/>
            <w:u w:val="single" w:color="auto"/>
            <w:color w:val="0000EE"/>
          </w:rPr>
          <w:t>Annual Report on Form 10-K for the year ended December 31, 2020 filed on February 25, 2021</w:t>
        </w:r>
      </w:hyperlink>
      <w:r>
        <w:rPr>
          <w:rFonts w:ascii="Arial" w:cs="Arial" w:eastAsia="Arial" w:hAnsi="Arial"/>
          <w:sz w:val="18"/>
          <w:szCs w:val="18"/>
          <w:i w:val="1"/>
          <w:iCs w:val="1"/>
          <w:color w:val="auto"/>
        </w:rPr>
        <w:t>, including our financial statements and related notes, and our other filings from time to time with the Securities and Exchange Commission or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2021.</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40" w:hanging="321"/>
        <w:spacing w:after="0" w:line="274"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4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ind w:left="680" w:right="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 w:lineRule="exact"/>
        <w:rPr>
          <w:rFonts w:ascii="Arial" w:cs="Arial" w:eastAsia="Arial" w:hAnsi="Arial"/>
          <w:sz w:val="18"/>
          <w:szCs w:val="18"/>
          <w:color w:val="auto"/>
        </w:rPr>
      </w:pPr>
    </w:p>
    <w:p>
      <w:pPr>
        <w:ind w:left="680" w:right="6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Arial" w:cs="Arial" w:eastAsia="Arial" w:hAnsi="Arial"/>
          <w:sz w:val="18"/>
          <w:szCs w:val="18"/>
          <w:color w:val="auto"/>
        </w:rPr>
      </w:pPr>
    </w:p>
    <w:p>
      <w:pPr>
        <w:ind w:left="680" w:right="140" w:hanging="321"/>
        <w:spacing w:after="0" w:line="26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ind w:left="680" w:right="120" w:hanging="321"/>
        <w:spacing w:after="0" w:line="26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ind w:left="680" w:right="42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20" w:lineRule="exact"/>
        <w:rPr>
          <w:rFonts w:ascii="Arial" w:cs="Arial" w:eastAsia="Arial" w:hAnsi="Arial"/>
          <w:sz w:val="17"/>
          <w:szCs w:val="17"/>
          <w:color w:val="auto"/>
        </w:rPr>
      </w:pPr>
    </w:p>
    <w:p>
      <w:pPr>
        <w:ind w:left="680" w:right="2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ind w:left="680" w:right="10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Arial" w:cs="Arial" w:eastAsia="Arial" w:hAnsi="Arial"/>
          <w:sz w:val="18"/>
          <w:szCs w:val="18"/>
          <w:color w:val="auto"/>
        </w:rPr>
      </w:pPr>
    </w:p>
    <w:p>
      <w:pPr>
        <w:jc w:val="both"/>
        <w:ind w:left="680" w:right="100" w:hanging="321"/>
        <w:spacing w:after="0" w:line="27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55"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2" w:lineRule="exact"/>
        <w:rPr>
          <w:rFonts w:ascii="Arial" w:cs="Arial" w:eastAsia="Arial" w:hAnsi="Arial"/>
          <w:sz w:val="18"/>
          <w:szCs w:val="18"/>
          <w:color w:val="auto"/>
        </w:rPr>
      </w:pPr>
    </w:p>
    <w:p>
      <w:pPr>
        <w:ind w:left="680" w:right="160" w:hanging="321"/>
        <w:spacing w:after="0" w:line="28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 w:lineRule="exact"/>
        <w:rPr>
          <w:rFonts w:ascii="Arial" w:cs="Arial" w:eastAsia="Arial" w:hAnsi="Arial"/>
          <w:sz w:val="16"/>
          <w:szCs w:val="16"/>
          <w:color w:val="auto"/>
        </w:rPr>
      </w:pPr>
    </w:p>
    <w:p>
      <w:pPr>
        <w:ind w:left="680" w:right="4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120" w:hanging="321"/>
        <w:spacing w:after="0" w:line="28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3" w:lineRule="exact"/>
        <w:rPr>
          <w:rFonts w:ascii="Arial" w:cs="Arial" w:eastAsia="Arial" w:hAnsi="Arial"/>
          <w:sz w:val="16"/>
          <w:szCs w:val="16"/>
          <w:color w:val="auto"/>
        </w:rPr>
      </w:pPr>
    </w:p>
    <w:p>
      <w:pPr>
        <w:ind w:left="680" w:hanging="321"/>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32" w:lineRule="exact"/>
        <w:rPr>
          <w:rFonts w:ascii="Arial" w:cs="Arial" w:eastAsia="Arial" w:hAnsi="Arial"/>
          <w:sz w:val="16"/>
          <w:szCs w:val="16"/>
          <w:color w:val="auto"/>
        </w:rPr>
      </w:pPr>
    </w:p>
    <w:p>
      <w:pPr>
        <w:ind w:left="680" w:right="1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ind w:left="680" w:right="30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ind w:left="680" w:right="38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a history of operating losses; we expect to continue to incur losses and we may never be profitable.*</w:t>
      </w:r>
    </w:p>
    <w:p>
      <w:pPr>
        <w:spacing w:after="0" w:line="21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June 30, 2021, we had an accumulated deficit of $987.0 million. In addition, during the six months ended June 30, 2021, we incurred a net loss of $156.8 million. Since our inception we have not generated any revenues from operations. We are preparing for the commercial launch of our products, if approved, in 2022.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51"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43"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43" w:lineRule="exact"/>
        <w:rPr>
          <w:sz w:val="20"/>
          <w:szCs w:val="20"/>
          <w:color w:val="auto"/>
        </w:rPr>
      </w:pPr>
    </w:p>
    <w:p>
      <w:pPr>
        <w:ind w:right="16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We face the problems, expenses, difficulties, complications and delays normally associated with a pre-commercial biotechnology company, many of which are beyond our control. Accordingly, our prospects should be considered in light of the risks,</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37"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97"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37"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17"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37" w:lineRule="exact"/>
        <w:rPr>
          <w:sz w:val="20"/>
          <w:szCs w:val="20"/>
          <w:color w:val="auto"/>
        </w:rPr>
      </w:pPr>
    </w:p>
    <w:p>
      <w:pPr>
        <w:ind w:right="140" w:firstLine="492"/>
        <w:spacing w:after="0" w:line="270" w:lineRule="auto"/>
        <w:rPr>
          <w:sz w:val="20"/>
          <w:szCs w:val="20"/>
          <w:color w:val="auto"/>
        </w:rPr>
      </w:pPr>
      <w:r>
        <w:rPr>
          <w:rFonts w:ascii="Arial" w:cs="Arial" w:eastAsia="Arial" w:hAnsi="Arial"/>
          <w:sz w:val="17"/>
          <w:szCs w:val="17"/>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metastatic cervical cancer. FDA may also consider its approvals of competing products, which may alter the treatment 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40"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43"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43" w:lineRule="exact"/>
        <w:rPr>
          <w:sz w:val="20"/>
          <w:szCs w:val="20"/>
          <w:color w:val="auto"/>
        </w:rPr>
      </w:pPr>
    </w:p>
    <w:p>
      <w:pPr>
        <w:ind w:left="820" w:right="540" w:hanging="320"/>
        <w:spacing w:after="0" w:line="258"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80" w:hanging="320"/>
        <w:spacing w:after="0" w:line="258"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spacing w:after="0" w:line="1" w:lineRule="exact"/>
        <w:rPr>
          <w:rFonts w:ascii="Arial" w:cs="Arial" w:eastAsia="Arial" w:hAnsi="Arial"/>
          <w:sz w:val="18"/>
          <w:szCs w:val="18"/>
          <w:color w:val="auto"/>
        </w:rPr>
      </w:pPr>
    </w:p>
    <w:p>
      <w:pPr>
        <w:ind w:left="820" w:right="66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3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4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4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3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20" w:firstLine="8"/>
        <w:spacing w:after="0" w:line="251"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2020, we disclosed interim results for Cohort 4 of the C-144-01 clinical trial. Although the data is consistent with the Cohort 2 data read out at a similar median duration of study follow up, the interim results speak only to data available as of March 16, 2020, and although such data have been reviewed by the investigators, they have not been reviewed by IRC. In addition, differences in patient population may affect the clinical results of Cohort 4 as compared to Cohort 4.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69" w:lineRule="exact"/>
        <w:rPr>
          <w:rFonts w:ascii="Arial" w:cs="Arial" w:eastAsia="Arial" w:hAnsi="Arial"/>
          <w:sz w:val="18"/>
          <w:szCs w:val="18"/>
          <w:color w:val="auto"/>
        </w:rPr>
      </w:pPr>
    </w:p>
    <w:p>
      <w:pPr>
        <w:ind w:left="820" w:right="260" w:hanging="320"/>
        <w:spacing w:after="0" w:line="255"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1"/>
          <w:numId w:val="8"/>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1"/>
          <w:numId w:val="8"/>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right="12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1"/>
          <w:numId w:val="8"/>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34"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34" w:lineRule="exact"/>
        <w:rPr>
          <w:sz w:val="20"/>
          <w:szCs w:val="20"/>
          <w:color w:val="auto"/>
        </w:rPr>
      </w:pPr>
    </w:p>
    <w:p>
      <w:pPr>
        <w:ind w:right="10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26"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33"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47"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8"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conducted them entirely on our own. If we fail to commence or complete, or experience delays in, any of our planned clinical trials, our stock price and our ability to conduct our business as currently planned could be harmed.</w:t>
      </w:r>
    </w:p>
    <w:p>
      <w:pPr>
        <w:spacing w:after="0" w:line="130" w:lineRule="exact"/>
        <w:rPr>
          <w:sz w:val="20"/>
          <w:szCs w:val="20"/>
          <w:color w:val="auto"/>
        </w:rPr>
      </w:pPr>
    </w:p>
    <w:p>
      <w:pPr>
        <w:jc w:val="both"/>
        <w:ind w:right="2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60"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38"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43"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44"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37"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61"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3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38" w:lineRule="exact"/>
        <w:rPr>
          <w:sz w:val="20"/>
          <w:szCs w:val="20"/>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820" w:right="18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12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40" w:right="80" w:hanging="319"/>
        <w:spacing w:after="0" w:line="250"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hanging="320"/>
        <w:spacing w:after="0" w:line="253"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41"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5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4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5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7"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160" w:firstLine="492"/>
        <w:spacing w:after="0" w:line="296"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54"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we will continue our ongoing work developing and validating our potency assays and plan to submit additional assay data and to meet with the FDA in the second half of 2021. Our BLA submission for lifileucel is now expected to occur during the first half of 2022.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36"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5"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620" w:hanging="320"/>
        <w:spacing w:after="0" w:line="258"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380" w:hanging="320"/>
        <w:spacing w:after="0" w:line="281" w:lineRule="auto"/>
        <w:tabs>
          <w:tab w:leader="none" w:pos="8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40" w:hanging="320"/>
        <w:spacing w:after="0" w:line="26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5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47"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ectPr>
          <w:pgSz w:w="11900" w:h="16838" w:orient="portrait"/>
          <w:cols w:equalWidth="0" w:num="1">
            <w:col w:w="9840"/>
          </w:cols>
          <w:pgMar w:left="980" w:top="665" w:right="1079" w:bottom="1440" w:gutter="0" w:footer="0" w:header="0"/>
        </w:sect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8"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51"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With the exception of lifileucel for metastatic melanoma and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0" w:lineRule="exact"/>
        <w:rPr>
          <w:sz w:val="20"/>
          <w:szCs w:val="20"/>
          <w:color w:val="auto"/>
        </w:rPr>
      </w:pPr>
    </w:p>
    <w:p>
      <w:pPr>
        <w:ind w:left="820" w:hanging="320"/>
        <w:spacing w:after="0" w:line="25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2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60" w:hanging="320"/>
        <w:spacing w:after="0" w:line="26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700" w:hanging="320"/>
        <w:spacing w:after="0" w:line="258"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38" w:lineRule="exact"/>
        <w:rPr>
          <w:sz w:val="20"/>
          <w:szCs w:val="20"/>
          <w:color w:val="auto"/>
        </w:rPr>
      </w:pPr>
    </w:p>
    <w:p>
      <w:pPr>
        <w:ind w:right="10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4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Our operations have consumed substantial amounts of cash since inception. From our inception to June 30, 2021, we have an accumulated deficit of $987.0 million.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For the six months ended June 30, 2021, we received</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approximately $203.2 million in net proceeds through the sale of 6,474,099 shares of our common stock. As of June 30, 2021, we had approximately $702.7 million in cash, cash equivalents and investments ($82.8 million of cash and cash equivalents, $573.6 million in short-term investments, and $46.3 million of long-term investments).</w:t>
      </w:r>
    </w:p>
    <w:p>
      <w:pPr>
        <w:spacing w:after="0" w:line="14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38"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20" w:hanging="320"/>
        <w:spacing w:after="0" w:line="258"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4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2020, we had U.S. federal net operating loss carryforwards of approximately $662.4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December 31, 2020, we may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68"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ectPr>
          <w:pgSz w:w="11900" w:h="16838" w:orient="portrait"/>
          <w:cols w:equalWidth="0" w:num="1">
            <w:col w:w="9880"/>
          </w:cols>
          <w:pgMar w:left="980" w:top="665" w:right="1039" w:bottom="1440"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recent years, various tax legislations were signed into law.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There are also potential state tax law provisions that may have an effect on our business. For example, on June 15, 2020, Assembly Bill 85 was passed in California which suspended the use of net operating losses and limited the use of credits for certain corporations. These changes to existing federal and state tax laws and newly enacted tax reform legislation in the U.S. could adversely impact our business, results of operations and financial position as the overall impact of such changes and reform is uncertain.</w:t>
      </w:r>
    </w:p>
    <w:p>
      <w:pPr>
        <w:spacing w:after="0" w:line="128"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8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3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5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68"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9"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2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6"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4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Oncosec Medical, Instil Bio, Achilles Therapeutics, WindMIL Therapeutics, Seagen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Ziopharm Therapeutics, Marker 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and Roche.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3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52" w:lineRule="exact"/>
        <w:rPr>
          <w:sz w:val="20"/>
          <w:szCs w:val="20"/>
          <w:color w:val="auto"/>
        </w:rPr>
      </w:pPr>
    </w:p>
    <w:p>
      <w:pPr>
        <w:ind w:right="240" w:firstLine="492"/>
        <w:spacing w:after="0" w:line="342" w:lineRule="auto"/>
        <w:rPr>
          <w:sz w:val="20"/>
          <w:szCs w:val="20"/>
          <w:color w:val="auto"/>
        </w:rPr>
      </w:pPr>
      <w:r>
        <w:rPr>
          <w:rFonts w:ascii="Arial" w:cs="Arial" w:eastAsia="Arial" w:hAnsi="Arial"/>
          <w:sz w:val="16"/>
          <w:szCs w:val="16"/>
          <w:color w:val="auto"/>
        </w:rPr>
        <w:t>Our lead product candidate lifileucel is a therapy for the treatment of metastatic melanoma and metastatic cervical cancer. Currently, there are numerous companies that are developing various alternate treatments for melanoma and cervical cancer, including</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7"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right="48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83" w:lineRule="exact"/>
        <w:rPr>
          <w:sz w:val="20"/>
          <w:szCs w:val="20"/>
          <w:color w:val="auto"/>
        </w:rPr>
      </w:pPr>
    </w:p>
    <w:p>
      <w:pPr>
        <w:jc w:val="both"/>
        <w:ind w:right="6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41"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6"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40" w:hanging="320"/>
        <w:spacing w:after="0" w:line="255"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0"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w:t>
      </w:r>
    </w:p>
    <w:p>
      <w:pPr>
        <w:sectPr>
          <w:pgSz w:w="11900" w:h="16838" w:orient="portrait"/>
          <w:cols w:equalWidth="0" w:num="1">
            <w:col w:w="9860"/>
          </w:cols>
          <w:pgMar w:left="980" w:top="665" w:right="1059"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54"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57"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b w:val="1"/>
          <w:bCs w:val="1"/>
          <w:i w:val="1"/>
          <w:iCs w:val="1"/>
          <w:color w:val="auto"/>
        </w:rPr>
        <w:t>While lifileucel has received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8"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47" w:lineRule="exact"/>
        <w:rPr>
          <w:sz w:val="20"/>
          <w:szCs w:val="20"/>
          <w:color w:val="auto"/>
        </w:rPr>
      </w:pPr>
    </w:p>
    <w:p>
      <w:pPr>
        <w:ind w:right="16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97"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20" w:hanging="320"/>
        <w:spacing w:after="0" w:line="291" w:lineRule="auto"/>
        <w:tabs>
          <w:tab w:leader="none" w:pos="8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0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58"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68"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8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46"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137" w:lineRule="exact"/>
        <w:rPr>
          <w:sz w:val="20"/>
          <w:szCs w:val="20"/>
          <w:color w:val="auto"/>
        </w:rPr>
      </w:pPr>
    </w:p>
    <w:p>
      <w:pPr>
        <w:ind w:right="160" w:firstLine="492"/>
        <w:spacing w:after="0" w:line="296"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U.S. and several European countries. Our headquarters is located in the San Francisco Bay Area. The President of the U.S. declared the COVID-19 pandemic a national emergency. Similarly, the State of</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w:t>
      </w:r>
    </w:p>
    <w:p>
      <w:pPr>
        <w:spacing w:after="0" w:line="12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59" w:lineRule="exact"/>
        <w:rPr>
          <w:sz w:val="20"/>
          <w:szCs w:val="20"/>
          <w:color w:val="auto"/>
        </w:rPr>
      </w:pPr>
    </w:p>
    <w:p>
      <w:pPr>
        <w:ind w:right="180" w:firstLine="492"/>
        <w:spacing w:after="0" w:line="273"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w:t>
      </w:r>
    </w:p>
    <w:p>
      <w:pPr>
        <w:spacing w:after="0" w:line="137"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67" w:lineRule="auto"/>
        <w:rPr>
          <w:sz w:val="20"/>
          <w:szCs w:val="20"/>
          <w:color w:val="auto"/>
        </w:rPr>
      </w:pPr>
      <w:r>
        <w:rPr>
          <w:rFonts w:ascii="Arial" w:cs="Arial" w:eastAsia="Arial" w:hAnsi="Arial"/>
          <w:sz w:val="17"/>
          <w:szCs w:val="17"/>
          <w:color w:val="auto"/>
        </w:rPr>
        <w:t>European Union, or EU, member states and other foreign jurisdictions, including Switzerland and the United Kingdom,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64"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HIPAA, and associated regulations. For example, California recently enacted legislation, the California Consumer Privacy Act, or CCPA, which went into effect January 1, 2020 and was recently amended and expanded by the California Privacy Rights Act, or CRPA, passed on November 3, 2020.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52"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25"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4"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 w:lineRule="exact"/>
        <w:rPr>
          <w:rFonts w:ascii="Arial" w:cs="Arial" w:eastAsia="Arial" w:hAnsi="Arial"/>
          <w:sz w:val="18"/>
          <w:szCs w:val="18"/>
          <w:color w:val="auto"/>
        </w:rPr>
      </w:pPr>
    </w:p>
    <w:p>
      <w:pPr>
        <w:ind w:left="820" w:right="56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4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20" w:hanging="320"/>
        <w:spacing w:after="0" w:line="26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51" w:lineRule="exact"/>
        <w:rPr>
          <w:sz w:val="20"/>
          <w:szCs w:val="20"/>
          <w:color w:val="auto"/>
        </w:rPr>
      </w:pPr>
    </w:p>
    <w:p>
      <w:pPr>
        <w:ind w:right="6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4"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43"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changes in the competitive environment,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46"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to occur in 2021. Previously, we reported the submission of assay data to the FDA, and on May 18, 2021, we announced that we had received regulatory feedback from the FDA regarding our potency assays for lifileucel. Following FDA feedback, we will continue our ongoing work developing and validating our potency assays and plan to submit additional assay data and to meet with the FDA in the second half of 2021. Our BLA submission for lifileucel is now expected to occur during the first half of 2022. Accordingly, the regulatory approval pathway for our product candidates may be uncertain, complex, expensive and lengthy, and approval may not be obtained.</w:t>
      </w:r>
    </w:p>
    <w:p>
      <w:pPr>
        <w:spacing w:after="0" w:line="144"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40" w:hanging="320"/>
        <w:spacing w:after="0" w:line="26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83" w:lineRule="exact"/>
        <w:rPr>
          <w:sz w:val="20"/>
          <w:szCs w:val="20"/>
          <w:color w:val="auto"/>
        </w:rPr>
      </w:pPr>
    </w:p>
    <w:p>
      <w:pPr>
        <w:ind w:right="26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7"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6"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80" w:hanging="320"/>
        <w:spacing w:after="0" w:line="258"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97"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37"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38"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ind w:right="220" w:firstLine="492"/>
        <w:spacing w:after="0" w:line="293" w:lineRule="auto"/>
        <w:rPr>
          <w:sz w:val="20"/>
          <w:szCs w:val="20"/>
          <w:color w:val="auto"/>
        </w:rPr>
      </w:pPr>
      <w:r>
        <w:rPr>
          <w:rFonts w:ascii="Arial" w:cs="Arial" w:eastAsia="Arial" w:hAnsi="Arial"/>
          <w:sz w:val="16"/>
          <w:szCs w:val="16"/>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applicable laws, they may be subject to criminal, civil, or administrative sanctions, including but not limited to, exclusions from participation in government healthcare programs, which could also materially affect our business.</w:t>
      </w:r>
    </w:p>
    <w:p>
      <w:pPr>
        <w:spacing w:after="0" w:line="130"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4"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44"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30"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4"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5"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52"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38"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84" w:lineRule="auto"/>
        <w:rPr>
          <w:sz w:val="20"/>
          <w:szCs w:val="20"/>
          <w:color w:val="auto"/>
        </w:rPr>
      </w:pPr>
      <w:r>
        <w:rPr>
          <w:rFonts w:ascii="Arial" w:cs="Arial" w:eastAsia="Arial" w:hAnsi="Arial"/>
          <w:sz w:val="16"/>
          <w:szCs w:val="16"/>
          <w:color w:val="auto"/>
        </w:rPr>
        <w:t xml:space="preserve">Since enactment of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Following appeal of the Fifth Circuit’s decision, the Supreme Court heard oral arguments in </w:t>
      </w:r>
      <w:r>
        <w:rPr>
          <w:rFonts w:ascii="Arial" w:cs="Arial" w:eastAsia="Arial" w:hAnsi="Arial"/>
          <w:sz w:val="16"/>
          <w:szCs w:val="16"/>
          <w:i w:val="1"/>
          <w:iCs w:val="1"/>
          <w:color w:val="auto"/>
        </w:rPr>
        <w:t>California v. Texas</w:t>
      </w:r>
      <w:r>
        <w:rPr>
          <w:rFonts w:ascii="Arial" w:cs="Arial" w:eastAsia="Arial" w:hAnsi="Arial"/>
          <w:sz w:val="16"/>
          <w:szCs w:val="16"/>
          <w:color w:val="auto"/>
        </w:rPr>
        <w:t xml:space="preserve"> on November 2, 2020. The Court has yet to issue its opinion, and we cannot say for certain what the decision will be or what impact, if any, it may have on our business.</w:t>
      </w:r>
    </w:p>
    <w:p>
      <w:pPr>
        <w:spacing w:after="0" w:line="13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Trump Administration there were a number of actions taken relative to drug pricing.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w:t>
      </w:r>
    </w:p>
    <w:p>
      <w:pPr>
        <w:spacing w:after="0" w:line="140"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210"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4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5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5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80" w:hanging="319"/>
        <w:spacing w:after="0" w:line="260"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2021.</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2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As of June 30, 2021, we had 154,799,721 shares of common stock outstanding. In addition, we had 18,769,495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50"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64"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have ended as of April 2020. The foregoing order may negatively impact our reputation with current and future investors, and will disqualify us from effecting private placement transactions in reliance</w:t>
      </w:r>
    </w:p>
    <w:p>
      <w:pPr>
        <w:sectPr>
          <w:pgSz w:w="11900" w:h="16838" w:orient="portrait"/>
          <w:cols w:equalWidth="0" w:num="1">
            <w:col w:w="9880"/>
          </w:cols>
          <w:pgMar w:left="980" w:top="665" w:right="1039" w:bottom="1440" w:gutter="0" w:footer="0" w:header="0"/>
        </w:sect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any of the exemptions from Securities Act registration afforded by Regulation D. As a result, the SEC’s order may it more difficult for us to raise capital in future private offerings.</w:t>
      </w:r>
    </w:p>
    <w:p>
      <w:pPr>
        <w:spacing w:after="0" w:line="13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43"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pacing w:after="0" w:line="16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2"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00" w:type="dxa"/>
            <w:vAlign w:val="bottom"/>
            <w:gridSpan w:val="1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0"/>
          </w:tcPr>
          <w:p>
            <w:pPr>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0"/>
          </w:tcPr>
          <w:p>
            <w:pPr>
              <w:ind w:left="66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auto"/>
            </w:tcBorders>
            <w:gridSpan w:val="13"/>
          </w:tcPr>
          <w:p>
            <w:pPr>
              <w:spacing w:after="0" w:line="169"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Second Amended and Restated Bylaws of Iovance Biotherapeutics, Inc. (incorporated by reference herein to Exhibit 3.1 to the</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Registrant’s Current Report on Form 8-K filed with the Commission on April 26, 2021).</w:t>
              </w:r>
            </w:hyperlink>
          </w:p>
        </w:tc>
        <w:tc>
          <w:tcPr>
            <w:tcW w:w="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 ++*</w:t>
            </w:r>
          </w:p>
        </w:tc>
        <w:tc>
          <w:tcPr>
            <w:tcW w:w="4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Amended and Restated Patent License Agreement, by and between Iovance Biotherapeutics, Inc. and the National Institutes</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of Health.</w:t>
              </w:r>
            </w:hyperlink>
          </w:p>
        </w:tc>
        <w:tc>
          <w:tcPr>
            <w:tcW w:w="8200" w:type="dxa"/>
            <w:vAlign w:val="bottom"/>
            <w:tcBorders>
              <w:top w:val="single" w:sz="8" w:color="0000EE"/>
            </w:tcBorders>
            <w:gridSpan w:val="8"/>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7"/>
                <w:szCs w:val="17"/>
                <w:color w:val="auto"/>
              </w:rPr>
            </w:pPr>
          </w:p>
        </w:tc>
        <w:tc>
          <w:tcPr>
            <w:tcW w:w="9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Form of Stock Unit Notice and Stock Unit Agreement under the Iovance Biotherapeutics, Inc. 2018 Equity Incentive Plan, as</w:t>
              </w:r>
            </w:hyperlink>
          </w:p>
        </w:tc>
        <w:tc>
          <w:tcPr>
            <w:tcW w:w="1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amended (June 2021 Retention Equity Awards).</w:t>
              </w:r>
            </w:hyperlink>
          </w:p>
        </w:tc>
        <w:tc>
          <w:tcPr>
            <w:tcW w:w="5640" w:type="dxa"/>
            <w:vAlign w:val="bottom"/>
            <w:gridSpan w:val="10"/>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10.3++#</w:t>
            </w:r>
          </w:p>
        </w:tc>
        <w:tc>
          <w:tcPr>
            <w:tcW w:w="4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Form of Nonqualified Stock Option Award Agreement under the Iovance Biotherapeutics, Inc. 2018 Equity Incentive Plan, as</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amended (June 2021 Retention Equity Awards).</w:t>
              </w:r>
            </w:hyperlink>
          </w:p>
        </w:tc>
        <w:tc>
          <w:tcPr>
            <w:tcW w:w="5600" w:type="dxa"/>
            <w:vAlign w:val="bottom"/>
            <w:tcBorders>
              <w:top w:val="single" w:sz="8" w:color="0000EE"/>
            </w:tcBorders>
            <w:gridSpan w:val="9"/>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Rule 13a-14(a)/15d-14(a) Certification of Chief Executive Officer.</w:t>
              </w:r>
            </w:hyperlink>
          </w:p>
        </w:tc>
        <w:tc>
          <w:tcPr>
            <w:tcW w:w="4320" w:type="dxa"/>
            <w:vAlign w:val="bottom"/>
            <w:gridSpan w:val="8"/>
          </w:tcPr>
          <w:p>
            <w:pPr>
              <w:spacing w:after="0"/>
              <w:rPr>
                <w:sz w:val="17"/>
                <w:szCs w:val="17"/>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Rule 13a-14(a)/15d-14(a) Certification of Chief Financial Officer.</w:t>
              </w:r>
            </w:hyperlink>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Section 1350 Certification of Chief Executive Officer (furnished herewith).</w:t>
              </w:r>
            </w:hyperlink>
          </w:p>
        </w:tc>
      </w:tr>
      <w:tr>
        <w:trPr>
          <w:trHeight w:val="196"/>
        </w:trPr>
        <w:tc>
          <w:tcPr>
            <w:tcW w:w="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Section 1350 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3700" w:type="dxa"/>
            <w:vAlign w:val="bottom"/>
            <w:gridSpan w:val="6"/>
          </w:tcPr>
          <w:p>
            <w:pPr>
              <w:spacing w:after="0"/>
              <w:rPr>
                <w:sz w:val="17"/>
                <w:szCs w:val="17"/>
                <w:color w:val="auto"/>
              </w:rPr>
            </w:pPr>
          </w:p>
        </w:tc>
      </w:tr>
    </w:tbl>
    <w:p>
      <w:pPr>
        <w:spacing w:after="0" w:line="13" w:lineRule="exact"/>
        <w:rPr>
          <w:sz w:val="20"/>
          <w:szCs w:val="20"/>
          <w:color w:val="auto"/>
        </w:rPr>
      </w:pPr>
    </w:p>
    <w:p>
      <w:pPr>
        <w:ind w:left="800" w:right="100" w:hanging="784"/>
        <w:spacing w:after="0" w:line="286"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June 30, 2021, formatted in iXBRL (Inline eXtensible Business Reporting Language): (1) Condensed Consolidated Balance Sheets as of June 30, 2021 and December 31, 2020; (2) Condensed Consolidated Statements of Operations for the three and six months ended June 30, 2021 and 2020; (3) Condensed Consolidated Statements of Comprehensive Loss for the</w:t>
      </w:r>
    </w:p>
    <w:p>
      <w:pPr>
        <w:spacing w:after="0" w:line="1" w:lineRule="exact"/>
        <w:rPr>
          <w:sz w:val="20"/>
          <w:szCs w:val="20"/>
          <w:color w:val="auto"/>
        </w:rPr>
      </w:pPr>
    </w:p>
    <w:p>
      <w:pPr>
        <w:jc w:val="both"/>
        <w:ind w:left="800" w:right="240"/>
        <w:spacing w:after="0" w:line="281" w:lineRule="auto"/>
        <w:rPr>
          <w:sz w:val="20"/>
          <w:szCs w:val="20"/>
          <w:color w:val="auto"/>
        </w:rPr>
      </w:pPr>
      <w:r>
        <w:rPr>
          <w:rFonts w:ascii="Arial" w:cs="Arial" w:eastAsia="Arial" w:hAnsi="Arial"/>
          <w:sz w:val="16"/>
          <w:szCs w:val="16"/>
          <w:color w:val="auto"/>
        </w:rPr>
        <w:t>three and six months ended June 30, 2021 and 2020; (4) Condensed Consolidated Statements of Stockholders’ Equity as of June 30, 2021 and December 31, 2020; (5) Condensed Consolidated Statements of Cash Flows for the three and six months ended June 30, 2021 and 2020; and (6) Notes to Condensed Consolidated Financial Statements.</w:t>
      </w:r>
    </w:p>
    <w:p>
      <w:pPr>
        <w:spacing w:after="0" w:line="2" w:lineRule="exact"/>
        <w:rPr>
          <w:sz w:val="20"/>
          <w:szCs w:val="20"/>
          <w:color w:val="auto"/>
        </w:rPr>
      </w:pPr>
    </w:p>
    <w:p>
      <w:pPr>
        <w:ind w:left="800" w:right="120" w:hanging="784"/>
        <w:spacing w:after="0" w:line="260" w:lineRule="auto"/>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212" w:lineRule="exact"/>
        <w:rPr>
          <w:rFonts w:ascii="Arial" w:cs="Arial" w:eastAsia="Arial" w:hAnsi="Arial"/>
          <w:sz w:val="18"/>
          <w:szCs w:val="18"/>
          <w:color w:val="auto"/>
        </w:rPr>
      </w:pPr>
    </w:p>
    <w:p>
      <w:pPr>
        <w:ind w:left="840" w:hanging="8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840" w:hanging="8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9" w:lineRule="exact"/>
        <w:rPr>
          <w:sz w:val="20"/>
          <w:szCs w:val="20"/>
          <w:color w:val="auto"/>
        </w:rPr>
      </w:pPr>
    </w:p>
    <w:p>
      <w:pPr>
        <w:ind w:left="840" w:hanging="8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8"/>
                <w:szCs w:val="18"/>
                <w:color w:val="auto"/>
              </w:rPr>
              <w:t>August 5, 2021</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Interim Chief Executive Officer and President, and General</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Counsel (Principal Executive Officer)</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August 5, 2021</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Chief Financial Officer and Treasurer (Principal Financial and</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878"/>
        </w:trPr>
        <w:tc>
          <w:tcPr>
            <w:tcW w:w="3000" w:type="dxa"/>
            <w:vAlign w:val="bottom"/>
          </w:tcPr>
          <w:p>
            <w:pPr>
              <w:spacing w:after="0"/>
              <w:rPr>
                <w:sz w:val="24"/>
                <w:szCs w:val="24"/>
                <w:color w:val="auto"/>
              </w:rPr>
            </w:pP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8" w:name="page89"/>
    <w:bookmarkEnd w:id="88"/>
    <w:p>
      <w:pPr>
        <w:ind w:left="786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center"/>
        <w:ind w:left="320" w:right="339"/>
        <w:spacing w:after="0" w:line="263" w:lineRule="auto"/>
        <w:rPr>
          <w:sz w:val="20"/>
          <w:szCs w:val="20"/>
          <w:color w:val="auto"/>
        </w:rPr>
      </w:pPr>
      <w:r>
        <w:rPr>
          <w:rFonts w:ascii="Arial" w:cs="Arial" w:eastAsia="Arial" w:hAnsi="Arial"/>
          <w:sz w:val="18"/>
          <w:szCs w:val="18"/>
          <w:b w:val="1"/>
          <w:bCs w:val="1"/>
          <w:i w:val="1"/>
          <w:iCs w:val="1"/>
          <w:color w:val="auto"/>
        </w:rPr>
        <w:t>Portions of this Exhibit have been redacted because they are both (i) not material and (ii) would be competitively harmful if publicly disclosed. Information that was omitted has been noted in this document with a placeholder identified by the mark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PUBLIC HEALTH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AMENDED AND RESTATED PATENT LICENSE AGREEMENT </w:t>
      </w:r>
      <w:r>
        <w:rPr>
          <w:rFonts w:ascii="Arial" w:cs="Arial" w:eastAsia="Arial" w:hAnsi="Arial"/>
          <w:sz w:val="22"/>
          <w:szCs w:val="22"/>
          <w:color w:val="auto"/>
          <w:strike w:val="1"/>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EXCLUSIVE</w:t>
      </w:r>
    </w:p>
    <w:p>
      <w:pPr>
        <w:spacing w:after="0" w:line="240" w:lineRule="exact"/>
        <w:rPr>
          <w:sz w:val="20"/>
          <w:szCs w:val="20"/>
          <w:color w:val="auto"/>
        </w:rPr>
      </w:pPr>
    </w:p>
    <w:p>
      <w:pPr>
        <w:jc w:val="center"/>
        <w:ind w:left="320" w:right="319"/>
        <w:spacing w:after="0" w:line="25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is based on the model Patent License Exclusive Agreement adopted by the U.S. Public Health Service (“</w:t>
      </w:r>
      <w:r>
        <w:rPr>
          <w:rFonts w:ascii="Arial" w:cs="Arial" w:eastAsia="Arial" w:hAnsi="Arial"/>
          <w:sz w:val="21"/>
          <w:szCs w:val="21"/>
          <w:b w:val="1"/>
          <w:bCs w:val="1"/>
          <w:color w:val="auto"/>
        </w:rPr>
        <w:t>PHS</w:t>
      </w:r>
      <w:r>
        <w:rPr>
          <w:rFonts w:ascii="Arial" w:cs="Arial" w:eastAsia="Arial" w:hAnsi="Arial"/>
          <w:sz w:val="21"/>
          <w:szCs w:val="21"/>
          <w:color w:val="auto"/>
        </w:rPr>
        <w:t>”) Technology Transfer Policy Board for use by components of the National Institutes of Health (“</w:t>
      </w:r>
      <w:r>
        <w:rPr>
          <w:rFonts w:ascii="Arial" w:cs="Arial" w:eastAsia="Arial" w:hAnsi="Arial"/>
          <w:sz w:val="21"/>
          <w:szCs w:val="21"/>
          <w:b w:val="1"/>
          <w:bCs w:val="1"/>
          <w:color w:val="auto"/>
        </w:rPr>
        <w:t>NIH</w:t>
      </w:r>
      <w:r>
        <w:rPr>
          <w:rFonts w:ascii="Arial" w:cs="Arial" w:eastAsia="Arial" w:hAnsi="Arial"/>
          <w:sz w:val="21"/>
          <w:szCs w:val="21"/>
          <w:color w:val="auto"/>
        </w:rPr>
        <w:t>”), the Centers for Disease Control and Prevention (“</w:t>
      </w:r>
      <w:r>
        <w:rPr>
          <w:rFonts w:ascii="Arial" w:cs="Arial" w:eastAsia="Arial" w:hAnsi="Arial"/>
          <w:sz w:val="21"/>
          <w:szCs w:val="21"/>
          <w:b w:val="1"/>
          <w:bCs w:val="1"/>
          <w:color w:val="auto"/>
        </w:rPr>
        <w:t>CDC</w:t>
      </w:r>
      <w:r>
        <w:rPr>
          <w:rFonts w:ascii="Arial" w:cs="Arial" w:eastAsia="Arial" w:hAnsi="Arial"/>
          <w:sz w:val="21"/>
          <w:szCs w:val="21"/>
          <w:color w:val="auto"/>
        </w:rPr>
        <w:t>”), and the Food and Drug Administration (“</w:t>
      </w:r>
      <w:r>
        <w:rPr>
          <w:rFonts w:ascii="Arial" w:cs="Arial" w:eastAsia="Arial" w:hAnsi="Arial"/>
          <w:sz w:val="21"/>
          <w:szCs w:val="21"/>
          <w:b w:val="1"/>
          <w:bCs w:val="1"/>
          <w:color w:val="auto"/>
        </w:rPr>
        <w:t>FDA</w:t>
      </w:r>
      <w:r>
        <w:rPr>
          <w:rFonts w:ascii="Arial" w:cs="Arial" w:eastAsia="Arial" w:hAnsi="Arial"/>
          <w:sz w:val="21"/>
          <w:szCs w:val="21"/>
          <w:color w:val="auto"/>
        </w:rPr>
        <w:t xml:space="preserve">”), which are agencies of the </w:t>
      </w:r>
      <w:r>
        <w:rPr>
          <w:rFonts w:ascii="Arial" w:cs="Arial" w:eastAsia="Arial" w:hAnsi="Arial"/>
          <w:sz w:val="21"/>
          <w:szCs w:val="21"/>
          <w:b w:val="1"/>
          <w:bCs w:val="1"/>
          <w:color w:val="auto"/>
        </w:rPr>
        <w:t>PHS</w:t>
      </w:r>
      <w:r>
        <w:rPr>
          <w:rFonts w:ascii="Arial" w:cs="Arial" w:eastAsia="Arial" w:hAnsi="Arial"/>
          <w:sz w:val="21"/>
          <w:szCs w:val="21"/>
          <w:color w:val="auto"/>
        </w:rPr>
        <w:t xml:space="preserve"> within the Department of Health and Human Services (“</w:t>
      </w:r>
      <w:r>
        <w:rPr>
          <w:rFonts w:ascii="Arial" w:cs="Arial" w:eastAsia="Arial" w:hAnsi="Arial"/>
          <w:sz w:val="21"/>
          <w:szCs w:val="21"/>
          <w:b w:val="1"/>
          <w:bCs w:val="1"/>
          <w:color w:val="auto"/>
        </w:rPr>
        <w:t>HHS</w:t>
      </w: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This Cover Page identifies the Parties to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U.S. Department of Health and Human Services, as represented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National Institutes of Health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 Institute or Center (hereinafter referred to as the “</w:t>
      </w:r>
      <w:r>
        <w:rPr>
          <w:rFonts w:ascii="Arial" w:cs="Arial" w:eastAsia="Arial" w:hAnsi="Arial"/>
          <w:sz w:val="22"/>
          <w:szCs w:val="22"/>
          <w:b w:val="1"/>
          <w:bCs w:val="1"/>
          <w:color w:val="auto"/>
        </w:rPr>
        <w:t>IC</w:t>
      </w:r>
      <w:r>
        <w:rPr>
          <w:rFonts w:ascii="Arial" w:cs="Arial" w:eastAsia="Arial" w:hAnsi="Arial"/>
          <w:sz w:val="22"/>
          <w:szCs w:val="22"/>
          <w:color w:val="auto"/>
        </w:rPr>
        <w:t>”)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left="320" w:right="339"/>
        <w:spacing w:after="0" w:line="338" w:lineRule="auto"/>
        <w:rPr>
          <w:sz w:val="20"/>
          <w:szCs w:val="20"/>
          <w:color w:val="auto"/>
        </w:rPr>
      </w:pPr>
      <w:r>
        <w:rPr>
          <w:rFonts w:ascii="Arial" w:cs="Arial" w:eastAsia="Arial" w:hAnsi="Arial"/>
          <w:sz w:val="22"/>
          <w:szCs w:val="22"/>
          <w:color w:val="auto"/>
        </w:rPr>
        <w:t>Iovance Biotherapeutics, Inc. (f/k/a Lion Biotechnologies, Inc.) hereinafter referred to as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having offices at 999 Skyway Road, Suite 150, San Carlos, CA 94070, created and operating under the laws of the State of Delaware </w:t>
      </w:r>
      <w:r>
        <w:rPr>
          <w:rFonts w:ascii="Arial" w:cs="Arial" w:eastAsia="Arial" w:hAnsi="Arial"/>
          <w:sz w:val="22"/>
          <w:szCs w:val="22"/>
          <w:b w:val="1"/>
          <w:bCs w:val="1"/>
          <w:color w:val="auto"/>
        </w:rPr>
        <w:t>Tax ID No</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75-3254381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682625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ind w:left="200"/>
        <w:spacing w:after="0"/>
        <w:rPr>
          <w:sz w:val="20"/>
          <w:szCs w:val="20"/>
          <w:color w:val="auto"/>
        </w:rPr>
      </w:pPr>
      <w:r>
        <w:rPr>
          <w:rFonts w:ascii="Arial" w:cs="Arial" w:eastAsia="Arial" w:hAnsi="Arial"/>
          <w:sz w:val="22"/>
          <w:szCs w:val="22"/>
          <w:color w:val="auto"/>
        </w:rPr>
        <w:t xml:space="preserve">For the </w:t>
      </w:r>
      <w:r>
        <w:rPr>
          <w:rFonts w:ascii="Arial" w:cs="Arial" w:eastAsia="Arial" w:hAnsi="Arial"/>
          <w:sz w:val="22"/>
          <w:szCs w:val="22"/>
          <w:b w:val="1"/>
          <w:bCs w:val="1"/>
          <w:color w:val="auto"/>
        </w:rPr>
        <w:t>IC</w:t>
      </w:r>
      <w:r>
        <w:rPr>
          <w:rFonts w:ascii="Arial" w:cs="Arial" w:eastAsia="Arial" w:hAnsi="Arial"/>
          <w:sz w:val="22"/>
          <w:szCs w:val="22"/>
          <w:color w:val="auto"/>
        </w:rPr>
        <w:t xml:space="preserve"> internal use only:</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License Number: L-107-2015-3</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License Application Numbers: A-286-2014; A-128-2015; and A-168-2021</w:t>
      </w:r>
    </w:p>
    <w:p>
      <w:pPr>
        <w:spacing w:after="0" w:line="206" w:lineRule="exact"/>
        <w:rPr>
          <w:sz w:val="20"/>
          <w:szCs w:val="20"/>
          <w:color w:val="auto"/>
        </w:rPr>
      </w:pPr>
    </w:p>
    <w:p>
      <w:pPr>
        <w:ind w:left="860" w:right="579"/>
        <w:spacing w:after="0" w:line="274" w:lineRule="auto"/>
        <w:rPr>
          <w:sz w:val="20"/>
          <w:szCs w:val="20"/>
          <w:color w:val="auto"/>
        </w:rPr>
      </w:pPr>
      <w:r>
        <w:rPr>
          <w:rFonts w:ascii="Arial" w:cs="Arial" w:eastAsia="Arial" w:hAnsi="Arial"/>
          <w:sz w:val="21"/>
          <w:szCs w:val="21"/>
          <w:color w:val="auto"/>
        </w:rPr>
        <w:t>Serial Number(s) of Licensed Patent(s) or Patent Application(s): The patents and patent applications listed in Appendix A are incorporated by reference herein.</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Licensee: Iovance Biotherapeutics, Inc.</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Cooperative Research and Development Agreement (CRADA) Number: None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Public Benefit(s):</w:t>
      </w:r>
    </w:p>
    <w:p>
      <w:pPr>
        <w:spacing w:after="0" w:line="206" w:lineRule="exact"/>
        <w:rPr>
          <w:sz w:val="20"/>
          <w:szCs w:val="20"/>
          <w:color w:val="auto"/>
        </w:rPr>
      </w:pPr>
    </w:p>
    <w:p>
      <w:pPr>
        <w:ind w:left="860" w:right="239"/>
        <w:spacing w:after="0" w:line="287" w:lineRule="auto"/>
        <w:rPr>
          <w:sz w:val="20"/>
          <w:szCs w:val="20"/>
          <w:color w:val="auto"/>
        </w:rPr>
      </w:pPr>
      <w:r>
        <w:rPr>
          <w:rFonts w:ascii="Arial" w:cs="Arial" w:eastAsia="Arial" w:hAnsi="Arial"/>
          <w:sz w:val="19"/>
          <w:szCs w:val="19"/>
          <w:color w:val="auto"/>
        </w:rPr>
        <w:t>The public will benefit from the development of Licensed Products by the Licensee that are granted FDA approval. There is a long-felt need for better treatments for metastatic melanoma. The development of novel TIL-based therapies will provide patients with new cancer treatment options in the realm of personalized medicine to support public health.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This Amended and Restated Patent License Agreement, hereinafter referred to as the</w:t>
      </w:r>
    </w:p>
    <w:p>
      <w:pPr>
        <w:spacing w:after="0" w:line="8" w:lineRule="exact"/>
        <w:rPr>
          <w:sz w:val="20"/>
          <w:szCs w:val="20"/>
          <w:color w:val="auto"/>
        </w:rPr>
      </w:pPr>
    </w:p>
    <w:p>
      <w:pPr>
        <w:jc w:val="both"/>
        <w:ind w:left="200" w:right="27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consists of this Cover Page, an attached </w:t>
      </w:r>
      <w:r>
        <w:rPr>
          <w:rFonts w:ascii="Arial" w:cs="Arial" w:eastAsia="Arial" w:hAnsi="Arial"/>
          <w:sz w:val="19"/>
          <w:szCs w:val="19"/>
          <w:b w:val="1"/>
          <w:bCs w:val="1"/>
          <w:color w:val="auto"/>
        </w:rPr>
        <w:t>Agreement</w:t>
      </w:r>
      <w:r>
        <w:rPr>
          <w:rFonts w:ascii="Arial" w:cs="Arial" w:eastAsia="Arial" w:hAnsi="Arial"/>
          <w:sz w:val="19"/>
          <w:szCs w:val="19"/>
          <w:color w:val="auto"/>
        </w:rPr>
        <w:t>, a Signature Page, Appendix A (List of Patent(s) or Patent Application(s)), Appendix B (Fields of Use and Territory), Appendix C (Royalties), Appendix D (Benchmarks and Performance), Appendix E (Commercial Development Plan), Appendix F (Example Royalty Report), and Appendix G (Royalty Payment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915035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ind w:left="20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 as follows:</w:t>
      </w:r>
    </w:p>
    <w:p>
      <w:pPr>
        <w:spacing w:after="0" w:line="200" w:lineRule="exact"/>
        <w:rPr>
          <w:sz w:val="20"/>
          <w:szCs w:val="20"/>
          <w:color w:val="auto"/>
        </w:rPr>
      </w:pPr>
    </w:p>
    <w:p>
      <w:pPr>
        <w:spacing w:after="0" w:line="256" w:lineRule="exact"/>
        <w:rPr>
          <w:sz w:val="20"/>
          <w:szCs w:val="20"/>
          <w:color w:val="auto"/>
        </w:rPr>
      </w:pPr>
    </w:p>
    <w:p>
      <w:pPr>
        <w:ind w:left="860" w:hanging="651"/>
        <w:spacing w:after="0"/>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BACKGROUND</w:t>
      </w:r>
    </w:p>
    <w:p>
      <w:pPr>
        <w:spacing w:after="0" w:line="200" w:lineRule="exact"/>
        <w:rPr>
          <w:rFonts w:ascii="Arial" w:cs="Arial" w:eastAsia="Arial" w:hAnsi="Arial"/>
          <w:sz w:val="22"/>
          <w:szCs w:val="22"/>
          <w:color w:val="auto"/>
        </w:rPr>
      </w:pPr>
    </w:p>
    <w:p>
      <w:pPr>
        <w:ind w:left="1500" w:right="319" w:hanging="648"/>
        <w:spacing w:after="0" w:line="280" w:lineRule="auto"/>
        <w:rPr>
          <w:rFonts w:ascii="Arial" w:cs="Arial" w:eastAsia="Arial" w:hAnsi="Arial"/>
          <w:sz w:val="22"/>
          <w:szCs w:val="22"/>
          <w:color w:val="auto"/>
        </w:rPr>
      </w:pPr>
      <w:r>
        <w:rPr>
          <w:rFonts w:ascii="Arial" w:cs="Arial" w:eastAsia="Arial" w:hAnsi="Arial"/>
          <w:sz w:val="21"/>
          <w:szCs w:val="21"/>
          <w:color w:val="auto"/>
        </w:rPr>
        <w:t xml:space="preserve">1.1 In the course of conducting biomedical and behavioral research, the </w:t>
      </w:r>
      <w:r>
        <w:rPr>
          <w:rFonts w:ascii="Arial" w:cs="Arial" w:eastAsia="Arial" w:hAnsi="Arial"/>
          <w:sz w:val="21"/>
          <w:szCs w:val="21"/>
          <w:b w:val="1"/>
          <w:bCs w:val="1"/>
          <w:color w:val="auto"/>
        </w:rPr>
        <w:t>IC</w:t>
      </w:r>
      <w:r>
        <w:rPr>
          <w:rFonts w:ascii="Arial" w:cs="Arial" w:eastAsia="Arial" w:hAnsi="Arial"/>
          <w:sz w:val="21"/>
          <w:szCs w:val="21"/>
          <w:color w:val="auto"/>
        </w:rPr>
        <w:t xml:space="preserve"> or the </w:t>
      </w:r>
      <w:r>
        <w:rPr>
          <w:rFonts w:ascii="Arial" w:cs="Arial" w:eastAsia="Arial" w:hAnsi="Arial"/>
          <w:sz w:val="21"/>
          <w:szCs w:val="21"/>
          <w:b w:val="1"/>
          <w:bCs w:val="1"/>
          <w:color w:val="auto"/>
        </w:rPr>
        <w:t>FDA</w:t>
      </w:r>
      <w:r>
        <w:rPr>
          <w:rFonts w:ascii="Arial" w:cs="Arial" w:eastAsia="Arial" w:hAnsi="Arial"/>
          <w:sz w:val="21"/>
          <w:szCs w:val="21"/>
          <w:color w:val="auto"/>
        </w:rPr>
        <w:t xml:space="preserve"> investigators made inventions that may have commercial applicability.</w:t>
      </w:r>
    </w:p>
    <w:p>
      <w:pPr>
        <w:spacing w:after="0" w:line="138" w:lineRule="exact"/>
        <w:rPr>
          <w:rFonts w:ascii="Arial" w:cs="Arial" w:eastAsia="Arial" w:hAnsi="Arial"/>
          <w:sz w:val="22"/>
          <w:szCs w:val="22"/>
          <w:color w:val="auto"/>
        </w:rPr>
      </w:pPr>
    </w:p>
    <w:p>
      <w:pPr>
        <w:ind w:left="1500" w:right="319" w:hanging="648"/>
        <w:spacing w:after="0" w:line="251" w:lineRule="auto"/>
        <w:rPr>
          <w:rFonts w:ascii="Arial" w:cs="Arial" w:eastAsia="Arial" w:hAnsi="Arial"/>
          <w:sz w:val="22"/>
          <w:szCs w:val="22"/>
          <w:color w:val="auto"/>
        </w:rPr>
      </w:pPr>
      <w:r>
        <w:rPr>
          <w:rFonts w:ascii="Arial" w:cs="Arial" w:eastAsia="Arial" w:hAnsi="Arial"/>
          <w:sz w:val="21"/>
          <w:szCs w:val="21"/>
          <w:color w:val="auto"/>
        </w:rPr>
        <w:t xml:space="preserve">1.2 By assignment of rights from </w:t>
      </w:r>
      <w:r>
        <w:rPr>
          <w:rFonts w:ascii="Arial" w:cs="Arial" w:eastAsia="Arial" w:hAnsi="Arial"/>
          <w:sz w:val="21"/>
          <w:szCs w:val="21"/>
          <w:b w:val="1"/>
          <w:bCs w:val="1"/>
          <w:color w:val="auto"/>
        </w:rPr>
        <w:t>IC</w:t>
      </w:r>
      <w:r>
        <w:rPr>
          <w:rFonts w:ascii="Arial" w:cs="Arial" w:eastAsia="Arial" w:hAnsi="Arial"/>
          <w:sz w:val="21"/>
          <w:szCs w:val="21"/>
          <w:color w:val="auto"/>
        </w:rPr>
        <w:t xml:space="preserve"> or </w:t>
      </w:r>
      <w:r>
        <w:rPr>
          <w:rFonts w:ascii="Arial" w:cs="Arial" w:eastAsia="Arial" w:hAnsi="Arial"/>
          <w:sz w:val="21"/>
          <w:szCs w:val="21"/>
          <w:b w:val="1"/>
          <w:bCs w:val="1"/>
          <w:color w:val="auto"/>
        </w:rPr>
        <w:t>FDA</w:t>
      </w:r>
      <w:r>
        <w:rPr>
          <w:rFonts w:ascii="Arial" w:cs="Arial" w:eastAsia="Arial" w:hAnsi="Arial"/>
          <w:sz w:val="21"/>
          <w:szCs w:val="21"/>
          <w:color w:val="auto"/>
        </w:rPr>
        <w:t xml:space="preserve"> employees and other inventors, </w:t>
      </w:r>
      <w:r>
        <w:rPr>
          <w:rFonts w:ascii="Arial" w:cs="Arial" w:eastAsia="Arial" w:hAnsi="Arial"/>
          <w:sz w:val="21"/>
          <w:szCs w:val="21"/>
          <w:b w:val="1"/>
          <w:bCs w:val="1"/>
          <w:color w:val="auto"/>
        </w:rPr>
        <w:t>HHS</w:t>
      </w:r>
      <w:r>
        <w:rPr>
          <w:rFonts w:ascii="Arial" w:cs="Arial" w:eastAsia="Arial" w:hAnsi="Arial"/>
          <w:sz w:val="21"/>
          <w:szCs w:val="21"/>
          <w:color w:val="auto"/>
        </w:rPr>
        <w:t xml:space="preserve">, on behalf of the </w:t>
      </w:r>
      <w:r>
        <w:rPr>
          <w:rFonts w:ascii="Arial" w:cs="Arial" w:eastAsia="Arial" w:hAnsi="Arial"/>
          <w:sz w:val="21"/>
          <w:szCs w:val="21"/>
          <w:b w:val="1"/>
          <w:bCs w:val="1"/>
          <w:color w:val="auto"/>
        </w:rPr>
        <w:t>Government</w:t>
      </w:r>
      <w:r>
        <w:rPr>
          <w:rFonts w:ascii="Arial" w:cs="Arial" w:eastAsia="Arial" w:hAnsi="Arial"/>
          <w:sz w:val="21"/>
          <w:szCs w:val="21"/>
          <w:color w:val="auto"/>
        </w:rPr>
        <w:t xml:space="preserve">, owns intellectual property rights claimed in any United States or foreign patent applications or patents corresponding to the assigned inventions. </w:t>
      </w:r>
      <w:r>
        <w:rPr>
          <w:rFonts w:ascii="Arial" w:cs="Arial" w:eastAsia="Arial" w:hAnsi="Arial"/>
          <w:sz w:val="21"/>
          <w:szCs w:val="21"/>
          <w:b w:val="1"/>
          <w:bCs w:val="1"/>
          <w:color w:val="auto"/>
        </w:rPr>
        <w:t>HHS</w:t>
      </w:r>
      <w:r>
        <w:rPr>
          <w:rFonts w:ascii="Arial" w:cs="Arial" w:eastAsia="Arial" w:hAnsi="Arial"/>
          <w:sz w:val="21"/>
          <w:szCs w:val="21"/>
          <w:color w:val="auto"/>
        </w:rPr>
        <w:t xml:space="preserve"> also owns any tangible embodiments of these inventions actually reduced to practice by the </w:t>
      </w:r>
      <w:r>
        <w:rPr>
          <w:rFonts w:ascii="Arial" w:cs="Arial" w:eastAsia="Arial" w:hAnsi="Arial"/>
          <w:sz w:val="21"/>
          <w:szCs w:val="21"/>
          <w:b w:val="1"/>
          <w:bCs w:val="1"/>
          <w:color w:val="auto"/>
        </w:rPr>
        <w:t>IC</w:t>
      </w:r>
      <w:r>
        <w:rPr>
          <w:rFonts w:ascii="Arial" w:cs="Arial" w:eastAsia="Arial" w:hAnsi="Arial"/>
          <w:sz w:val="21"/>
          <w:szCs w:val="21"/>
          <w:color w:val="auto"/>
        </w:rPr>
        <w:t xml:space="preserve"> or the </w:t>
      </w:r>
      <w:r>
        <w:rPr>
          <w:rFonts w:ascii="Arial" w:cs="Arial" w:eastAsia="Arial" w:hAnsi="Arial"/>
          <w:sz w:val="21"/>
          <w:szCs w:val="21"/>
          <w:b w:val="1"/>
          <w:bCs w:val="1"/>
          <w:color w:val="auto"/>
        </w:rPr>
        <w:t>FDA</w:t>
      </w:r>
      <w:r>
        <w:rPr>
          <w:rFonts w:ascii="Arial" w:cs="Arial" w:eastAsia="Arial" w:hAnsi="Arial"/>
          <w:sz w:val="21"/>
          <w:szCs w:val="21"/>
          <w:color w:val="auto"/>
        </w:rPr>
        <w:t>.</w:t>
      </w:r>
    </w:p>
    <w:p>
      <w:pPr>
        <w:spacing w:after="0" w:line="168" w:lineRule="exact"/>
        <w:rPr>
          <w:rFonts w:ascii="Arial" w:cs="Arial" w:eastAsia="Arial" w:hAnsi="Arial"/>
          <w:sz w:val="22"/>
          <w:szCs w:val="22"/>
          <w:color w:val="auto"/>
        </w:rPr>
      </w:pPr>
    </w:p>
    <w:p>
      <w:pPr>
        <w:ind w:left="1500" w:right="899" w:hanging="648"/>
        <w:spacing w:after="0" w:line="256" w:lineRule="auto"/>
        <w:rPr>
          <w:rFonts w:ascii="Arial" w:cs="Arial" w:eastAsia="Arial" w:hAnsi="Arial"/>
          <w:sz w:val="22"/>
          <w:szCs w:val="22"/>
          <w:color w:val="auto"/>
        </w:rPr>
      </w:pPr>
      <w:r>
        <w:rPr>
          <w:rFonts w:ascii="Arial" w:cs="Arial" w:eastAsia="Arial" w:hAnsi="Arial"/>
          <w:sz w:val="22"/>
          <w:szCs w:val="22"/>
          <w:color w:val="auto"/>
        </w:rPr>
        <w:t xml:space="preserve">1.3 The Secretary of </w:t>
      </w:r>
      <w:r>
        <w:rPr>
          <w:rFonts w:ascii="Arial" w:cs="Arial" w:eastAsia="Arial" w:hAnsi="Arial"/>
          <w:sz w:val="22"/>
          <w:szCs w:val="22"/>
          <w:b w:val="1"/>
          <w:bCs w:val="1"/>
          <w:color w:val="auto"/>
        </w:rPr>
        <w:t>HHS</w:t>
      </w:r>
      <w:r>
        <w:rPr>
          <w:rFonts w:ascii="Arial" w:cs="Arial" w:eastAsia="Arial" w:hAnsi="Arial"/>
          <w:sz w:val="22"/>
          <w:szCs w:val="22"/>
          <w:color w:val="auto"/>
        </w:rPr>
        <w:t xml:space="preserve"> has delegated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the authority to enter into this </w:t>
      </w:r>
      <w:r>
        <w:rPr>
          <w:rFonts w:ascii="Arial" w:cs="Arial" w:eastAsia="Arial" w:hAnsi="Arial"/>
          <w:sz w:val="22"/>
          <w:szCs w:val="22"/>
          <w:b w:val="1"/>
          <w:bCs w:val="1"/>
          <w:color w:val="auto"/>
        </w:rPr>
        <w:t xml:space="preserve">Agreement </w:t>
      </w:r>
      <w:r>
        <w:rPr>
          <w:rFonts w:ascii="Arial" w:cs="Arial" w:eastAsia="Arial" w:hAnsi="Arial"/>
          <w:sz w:val="22"/>
          <w:szCs w:val="22"/>
          <w:color w:val="auto"/>
        </w:rPr>
        <w:t>for the licensing of rights to these inventions.</w:t>
      </w:r>
    </w:p>
    <w:p>
      <w:pPr>
        <w:spacing w:after="0" w:line="162" w:lineRule="exact"/>
        <w:rPr>
          <w:rFonts w:ascii="Arial" w:cs="Arial" w:eastAsia="Arial" w:hAnsi="Arial"/>
          <w:sz w:val="22"/>
          <w:szCs w:val="22"/>
          <w:color w:val="auto"/>
        </w:rPr>
      </w:pPr>
    </w:p>
    <w:p>
      <w:pPr>
        <w:ind w:left="1500" w:right="539" w:hanging="648"/>
        <w:spacing w:after="0" w:line="243" w:lineRule="auto"/>
        <w:rPr>
          <w:rFonts w:ascii="Arial" w:cs="Arial" w:eastAsia="Arial" w:hAnsi="Arial"/>
          <w:sz w:val="22"/>
          <w:szCs w:val="22"/>
          <w:color w:val="auto"/>
        </w:rPr>
      </w:pPr>
      <w:r>
        <w:rPr>
          <w:rFonts w:ascii="Arial" w:cs="Arial" w:eastAsia="Arial" w:hAnsi="Arial"/>
          <w:sz w:val="22"/>
          <w:szCs w:val="22"/>
          <w:color w:val="auto"/>
        </w:rPr>
        <w:t xml:space="preserve">1.4 The </w:t>
      </w:r>
      <w:r>
        <w:rPr>
          <w:rFonts w:ascii="Arial" w:cs="Arial" w:eastAsia="Arial" w:hAnsi="Arial"/>
          <w:sz w:val="22"/>
          <w:szCs w:val="22"/>
          <w:b w:val="1"/>
          <w:bCs w:val="1"/>
          <w:color w:val="auto"/>
        </w:rPr>
        <w:t>IC</w:t>
      </w:r>
      <w:r>
        <w:rPr>
          <w:rFonts w:ascii="Arial" w:cs="Arial" w:eastAsia="Arial" w:hAnsi="Arial"/>
          <w:sz w:val="22"/>
          <w:szCs w:val="22"/>
          <w:color w:val="auto"/>
        </w:rPr>
        <w:t xml:space="preserve"> desires to transfer these inventions to the private sector through commercialization licenses to facilitate the commercial development of products and processes for public use and benefit.</w:t>
      </w:r>
    </w:p>
    <w:p>
      <w:pPr>
        <w:spacing w:after="0" w:line="176" w:lineRule="exact"/>
        <w:rPr>
          <w:rFonts w:ascii="Arial" w:cs="Arial" w:eastAsia="Arial" w:hAnsi="Arial"/>
          <w:sz w:val="22"/>
          <w:szCs w:val="22"/>
          <w:color w:val="auto"/>
        </w:rPr>
      </w:pPr>
    </w:p>
    <w:p>
      <w:pPr>
        <w:ind w:left="1500" w:right="799" w:hanging="648"/>
        <w:spacing w:after="0" w:line="243" w:lineRule="auto"/>
        <w:rPr>
          <w:rFonts w:ascii="Arial" w:cs="Arial" w:eastAsia="Arial" w:hAnsi="Arial"/>
          <w:sz w:val="22"/>
          <w:szCs w:val="22"/>
          <w:color w:val="auto"/>
        </w:rPr>
      </w:pPr>
      <w:r>
        <w:rPr>
          <w:rFonts w:ascii="Arial" w:cs="Arial" w:eastAsia="Arial" w:hAnsi="Arial"/>
          <w:sz w:val="22"/>
          <w:szCs w:val="22"/>
          <w:color w:val="auto"/>
        </w:rPr>
        <w:t xml:space="preserve">1.5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desires to acquire commercialization rights to certain of these inventions in order to develop processes, methods, or marketable products for public use and benefit.</w:t>
      </w:r>
    </w:p>
    <w:p>
      <w:pPr>
        <w:spacing w:after="0" w:line="182" w:lineRule="exact"/>
        <w:rPr>
          <w:rFonts w:ascii="Arial" w:cs="Arial" w:eastAsia="Arial" w:hAnsi="Arial"/>
          <w:sz w:val="22"/>
          <w:szCs w:val="22"/>
          <w:color w:val="auto"/>
        </w:rPr>
      </w:pPr>
    </w:p>
    <w:p>
      <w:pPr>
        <w:ind w:left="1500" w:right="259" w:hanging="648"/>
        <w:spacing w:after="0" w:line="282" w:lineRule="auto"/>
        <w:rPr>
          <w:rFonts w:ascii="Arial" w:cs="Arial" w:eastAsia="Arial" w:hAnsi="Arial"/>
          <w:sz w:val="22"/>
          <w:szCs w:val="22"/>
          <w:color w:val="auto"/>
        </w:rPr>
      </w:pPr>
      <w:r>
        <w:rPr>
          <w:rFonts w:ascii="Arial" w:cs="Arial" w:eastAsia="Arial" w:hAnsi="Arial"/>
          <w:sz w:val="19"/>
          <w:szCs w:val="19"/>
          <w:color w:val="auto"/>
        </w:rPr>
        <w:t>1.6 The parties previously entered into that certain Patent License Agreement, dated as of February 9, 2015 (“</w:t>
      </w:r>
      <w:r>
        <w:rPr>
          <w:rFonts w:ascii="Arial" w:cs="Arial" w:eastAsia="Arial" w:hAnsi="Arial"/>
          <w:sz w:val="19"/>
          <w:szCs w:val="19"/>
          <w:b w:val="1"/>
          <w:bCs w:val="1"/>
          <w:color w:val="auto"/>
        </w:rPr>
        <w:t>Original Agreement</w:t>
      </w:r>
      <w:r>
        <w:rPr>
          <w:rFonts w:ascii="Arial" w:cs="Arial" w:eastAsia="Arial" w:hAnsi="Arial"/>
          <w:sz w:val="19"/>
          <w:szCs w:val="19"/>
          <w:color w:val="auto"/>
        </w:rPr>
        <w:t>”), as amended by First Amendment to L-107-2015/0, dated as of October 2, 2015 and corrected as of December 10, 2015, (the “</w:t>
      </w:r>
      <w:r>
        <w:rPr>
          <w:rFonts w:ascii="Arial" w:cs="Arial" w:eastAsia="Arial" w:hAnsi="Arial"/>
          <w:sz w:val="19"/>
          <w:szCs w:val="19"/>
          <w:b w:val="1"/>
          <w:bCs w:val="1"/>
          <w:color w:val="auto"/>
        </w:rPr>
        <w:t>First Amendment</w:t>
      </w:r>
      <w:r>
        <w:rPr>
          <w:rFonts w:ascii="Arial" w:cs="Arial" w:eastAsia="Arial" w:hAnsi="Arial"/>
          <w:sz w:val="19"/>
          <w:szCs w:val="19"/>
          <w:color w:val="auto"/>
        </w:rPr>
        <w:t xml:space="preserve">”) and desire to enter into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to further amend and fully restate the </w:t>
      </w:r>
      <w:r>
        <w:rPr>
          <w:rFonts w:ascii="Arial" w:cs="Arial" w:eastAsia="Arial" w:hAnsi="Arial"/>
          <w:sz w:val="19"/>
          <w:szCs w:val="19"/>
          <w:b w:val="1"/>
          <w:bCs w:val="1"/>
          <w:color w:val="auto"/>
        </w:rPr>
        <w:t>Original Agreement</w:t>
      </w:r>
      <w:r>
        <w:rPr>
          <w:rFonts w:ascii="Arial" w:cs="Arial" w:eastAsia="Arial" w:hAnsi="Arial"/>
          <w:sz w:val="19"/>
          <w:szCs w:val="19"/>
          <w:color w:val="auto"/>
        </w:rPr>
        <w:t xml:space="preserve"> (including the </w:t>
      </w:r>
      <w:r>
        <w:rPr>
          <w:rFonts w:ascii="Arial" w:cs="Arial" w:eastAsia="Arial" w:hAnsi="Arial"/>
          <w:sz w:val="19"/>
          <w:szCs w:val="19"/>
          <w:b w:val="1"/>
          <w:bCs w:val="1"/>
          <w:color w:val="auto"/>
        </w:rPr>
        <w:t>First Amendment</w:t>
      </w:r>
      <w:r>
        <w:rPr>
          <w:rFonts w:ascii="Arial" w:cs="Arial" w:eastAsia="Arial" w:hAnsi="Arial"/>
          <w:sz w:val="19"/>
          <w:szCs w:val="19"/>
          <w:color w:val="auto"/>
        </w:rPr>
        <w:t>).</w:t>
      </w:r>
    </w:p>
    <w:p>
      <w:pPr>
        <w:spacing w:after="0" w:line="141" w:lineRule="exact"/>
        <w:rPr>
          <w:rFonts w:ascii="Arial" w:cs="Arial" w:eastAsia="Arial" w:hAnsi="Arial"/>
          <w:sz w:val="22"/>
          <w:szCs w:val="22"/>
          <w:color w:val="auto"/>
        </w:rPr>
      </w:pPr>
    </w:p>
    <w:p>
      <w:pPr>
        <w:ind w:left="1500" w:right="379" w:hanging="648"/>
        <w:spacing w:after="0" w:line="243" w:lineRule="auto"/>
        <w:rPr>
          <w:rFonts w:ascii="Arial" w:cs="Arial" w:eastAsia="Arial" w:hAnsi="Arial"/>
          <w:sz w:val="22"/>
          <w:szCs w:val="22"/>
          <w:color w:val="auto"/>
        </w:rPr>
      </w:pPr>
      <w:r>
        <w:rPr>
          <w:rFonts w:ascii="Arial" w:cs="Arial" w:eastAsia="Arial" w:hAnsi="Arial"/>
          <w:sz w:val="22"/>
          <w:szCs w:val="22"/>
          <w:color w:val="auto"/>
        </w:rPr>
        <w:t xml:space="preserve">1.7 The parties acknowledge that after execution of the </w:t>
      </w:r>
      <w:r>
        <w:rPr>
          <w:rFonts w:ascii="Arial" w:cs="Arial" w:eastAsia="Arial" w:hAnsi="Arial"/>
          <w:sz w:val="22"/>
          <w:szCs w:val="22"/>
          <w:b w:val="1"/>
          <w:bCs w:val="1"/>
          <w:color w:val="auto"/>
        </w:rPr>
        <w:t>Original Agreement</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First Amendment</w:t>
      </w:r>
      <w:r>
        <w:rPr>
          <w:rFonts w:ascii="Arial" w:cs="Arial" w:eastAsia="Arial" w:hAnsi="Arial"/>
          <w:sz w:val="22"/>
          <w:szCs w:val="22"/>
          <w:color w:val="auto"/>
        </w:rPr>
        <w:t>,</w:t>
      </w:r>
      <w:r>
        <w:rPr>
          <w:rFonts w:ascii="Arial" w:cs="Arial" w:eastAsia="Arial" w:hAnsi="Arial"/>
          <w:sz w:val="22"/>
          <w:szCs w:val="22"/>
          <w:b w:val="1"/>
          <w:bCs w:val="1"/>
          <w:color w:val="auto"/>
        </w:rPr>
        <w:t xml:space="preserve"> Licensee </w:t>
      </w:r>
      <w:r>
        <w:rPr>
          <w:rFonts w:ascii="Arial" w:cs="Arial" w:eastAsia="Arial" w:hAnsi="Arial"/>
          <w:sz w:val="22"/>
          <w:szCs w:val="22"/>
          <w:color w:val="auto"/>
        </w:rPr>
        <w:t>changed its name from Lion Biotechnologies, Inc. to</w:t>
      </w:r>
      <w:r>
        <w:rPr>
          <w:rFonts w:ascii="Arial" w:cs="Arial" w:eastAsia="Arial" w:hAnsi="Arial"/>
          <w:sz w:val="22"/>
          <w:szCs w:val="22"/>
          <w:b w:val="1"/>
          <w:bCs w:val="1"/>
          <w:color w:val="auto"/>
        </w:rPr>
        <w:t xml:space="preserve"> </w:t>
      </w:r>
      <w:r>
        <w:rPr>
          <w:rFonts w:ascii="Arial" w:cs="Arial" w:eastAsia="Arial" w:hAnsi="Arial"/>
          <w:sz w:val="22"/>
          <w:szCs w:val="22"/>
          <w:color w:val="auto"/>
        </w:rPr>
        <w:t>Iovance Biotherapeutics, Inc.</w:t>
      </w:r>
    </w:p>
    <w:p>
      <w:pPr>
        <w:spacing w:after="0" w:line="182" w:lineRule="exact"/>
        <w:rPr>
          <w:rFonts w:ascii="Arial" w:cs="Arial" w:eastAsia="Arial" w:hAnsi="Arial"/>
          <w:sz w:val="22"/>
          <w:szCs w:val="22"/>
          <w:color w:val="auto"/>
        </w:rPr>
      </w:pPr>
    </w:p>
    <w:p>
      <w:pPr>
        <w:ind w:left="860" w:hanging="651"/>
        <w:spacing w:after="0"/>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00" w:lineRule="exact"/>
        <w:rPr>
          <w:rFonts w:ascii="Arial" w:cs="Arial" w:eastAsia="Arial" w:hAnsi="Arial"/>
          <w:sz w:val="22"/>
          <w:szCs w:val="22"/>
          <w:color w:val="auto"/>
        </w:rPr>
      </w:pPr>
    </w:p>
    <w:p>
      <w:pPr>
        <w:ind w:left="1500" w:right="299" w:hanging="648"/>
        <w:spacing w:after="0" w:line="235" w:lineRule="auto"/>
        <w:rPr>
          <w:rFonts w:ascii="Arial" w:cs="Arial" w:eastAsia="Arial" w:hAnsi="Arial"/>
          <w:sz w:val="22"/>
          <w:szCs w:val="22"/>
          <w:color w:val="auto"/>
        </w:rPr>
      </w:pPr>
      <w:r>
        <w:rPr>
          <w:rFonts w:ascii="Arial" w:cs="Arial" w:eastAsia="Arial" w:hAnsi="Arial"/>
          <w:sz w:val="22"/>
          <w:szCs w:val="22"/>
          <w:color w:val="auto"/>
        </w:rPr>
        <w:t>2.1 “</w:t>
      </w:r>
      <w:r>
        <w:rPr>
          <w:rFonts w:ascii="Arial" w:cs="Arial" w:eastAsia="Arial" w:hAnsi="Arial"/>
          <w:sz w:val="22"/>
          <w:szCs w:val="22"/>
          <w:b w:val="1"/>
          <w:bCs w:val="1"/>
          <w:color w:val="auto"/>
        </w:rPr>
        <w:t>Affiliate(s)</w:t>
      </w:r>
      <w:r>
        <w:rPr>
          <w:rFonts w:ascii="Arial" w:cs="Arial" w:eastAsia="Arial" w:hAnsi="Arial"/>
          <w:sz w:val="22"/>
          <w:szCs w:val="22"/>
          <w:color w:val="auto"/>
        </w:rPr>
        <w:t xml:space="preserve">” means a corporation or other business entity, which directly or indirectly is controlled by or controls, or is under common control with the </w:t>
      </w:r>
      <w:r>
        <w:rPr>
          <w:rFonts w:ascii="Arial" w:cs="Arial" w:eastAsia="Arial" w:hAnsi="Arial"/>
          <w:sz w:val="22"/>
          <w:szCs w:val="22"/>
          <w:b w:val="1"/>
          <w:bCs w:val="1"/>
          <w:color w:val="auto"/>
        </w:rPr>
        <w:t>Licensee</w:t>
      </w:r>
      <w:r>
        <w:rPr>
          <w:rFonts w:ascii="Arial" w:cs="Arial" w:eastAsia="Arial" w:hAnsi="Arial"/>
          <w:sz w:val="22"/>
          <w:szCs w:val="22"/>
          <w:color w:val="auto"/>
        </w:rPr>
        <w:t>. For this purpose, the term “control” shall mean ownership of more than</w:t>
      </w:r>
      <w:r>
        <w:rPr>
          <w:rFonts w:ascii="Arial" w:cs="Arial" w:eastAsia="Arial" w:hAnsi="Arial"/>
          <w:sz w:val="22"/>
          <w:szCs w:val="22"/>
          <w:b w:val="1"/>
          <w:bCs w:val="1"/>
          <w:color w:val="auto"/>
        </w:rPr>
        <w:t xml:space="preserve"> </w:t>
      </w:r>
      <w:r>
        <w:rPr>
          <w:rFonts w:ascii="Arial" w:cs="Arial" w:eastAsia="Arial" w:hAnsi="Arial"/>
          <w:sz w:val="22"/>
          <w:szCs w:val="22"/>
          <w:color w:val="auto"/>
        </w:rPr>
        <w:t>fifty percent (50%) of the voting stock or other ownership interest of the corporation or other business entity, or the power to elect or appoint more than fifty percent (50%) of the members of the governing body of the corporation or other business entity.</w:t>
      </w:r>
    </w:p>
    <w:p>
      <w:pPr>
        <w:spacing w:after="0" w:line="183"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19"/>
          <w:szCs w:val="19"/>
          <w:color w:val="auto"/>
        </w:rPr>
        <w:t>2.2    “</w:t>
      </w:r>
      <w:r>
        <w:rPr>
          <w:rFonts w:ascii="Arial" w:cs="Arial" w:eastAsia="Arial" w:hAnsi="Arial"/>
          <w:sz w:val="19"/>
          <w:szCs w:val="19"/>
          <w:b w:val="1"/>
          <w:bCs w:val="1"/>
          <w:color w:val="auto"/>
        </w:rPr>
        <w:t>Benchmarks</w:t>
      </w:r>
      <w:r>
        <w:rPr>
          <w:rFonts w:ascii="Arial" w:cs="Arial" w:eastAsia="Arial" w:hAnsi="Arial"/>
          <w:sz w:val="19"/>
          <w:szCs w:val="19"/>
          <w:color w:val="auto"/>
        </w:rPr>
        <w:t>” mean the performance milestones that are set forth in 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821690</wp:posOffset>
            </wp:positionV>
            <wp:extent cx="545211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1" w:name="page92"/>
    <w:bookmarkEnd w:id="91"/>
    <w:p>
      <w:pPr>
        <w:ind w:left="1500" w:right="779" w:hanging="647"/>
        <w:spacing w:after="0" w:line="257" w:lineRule="auto"/>
        <w:tabs>
          <w:tab w:leader="none" w:pos="1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Commercial Development Plan</w:t>
      </w:r>
      <w:r>
        <w:rPr>
          <w:rFonts w:ascii="Arial" w:cs="Arial" w:eastAsia="Arial" w:hAnsi="Arial"/>
          <w:sz w:val="22"/>
          <w:szCs w:val="22"/>
          <w:color w:val="auto"/>
        </w:rPr>
        <w:t>” means the written commercialization plan attached as Appendix E.</w:t>
      </w:r>
    </w:p>
    <w:p>
      <w:pPr>
        <w:spacing w:after="0" w:line="161" w:lineRule="exact"/>
        <w:rPr>
          <w:sz w:val="20"/>
          <w:szCs w:val="20"/>
          <w:color w:val="auto"/>
        </w:rPr>
      </w:pPr>
    </w:p>
    <w:p>
      <w:pPr>
        <w:ind w:left="1500" w:right="259" w:hanging="647"/>
        <w:spacing w:after="0" w:line="272" w:lineRule="auto"/>
        <w:tabs>
          <w:tab w:leader="none" w:pos="1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xml:space="preserve">” means, with respect to the efforts to be expended by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with respect to any objective, the reasonable, diligent, good faith efforts to accomplish such objective as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would normally use to accomplish a similar objective under similar circumstances. It is understood and agreed that with respect to the research, development and sale of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Products </w:t>
      </w:r>
      <w:r>
        <w:rPr>
          <w:rFonts w:ascii="Arial" w:cs="Arial" w:eastAsia="Arial" w:hAnsi="Arial"/>
          <w:sz w:val="19"/>
          <w:szCs w:val="19"/>
          <w:color w:val="auto"/>
        </w:rPr>
        <w:t>or</w:t>
      </w:r>
      <w:r>
        <w:rPr>
          <w:rFonts w:ascii="Arial" w:cs="Arial" w:eastAsia="Arial" w:hAnsi="Arial"/>
          <w:sz w:val="19"/>
          <w:szCs w:val="19"/>
          <w:b w:val="1"/>
          <w:bCs w:val="1"/>
          <w:color w:val="auto"/>
        </w:rPr>
        <w:t xml:space="preserve"> Licensed Process(es) </w:t>
      </w:r>
      <w:r>
        <w:rPr>
          <w:rFonts w:ascii="Arial" w:cs="Arial" w:eastAsia="Arial" w:hAnsi="Arial"/>
          <w:sz w:val="19"/>
          <w:szCs w:val="19"/>
          <w:color w:val="auto"/>
        </w:rPr>
        <w:t>by</w:t>
      </w:r>
      <w:r>
        <w:rPr>
          <w:rFonts w:ascii="Arial" w:cs="Arial" w:eastAsia="Arial" w:hAnsi="Arial"/>
          <w:sz w:val="19"/>
          <w:szCs w:val="19"/>
          <w:b w:val="1"/>
          <w:bCs w:val="1"/>
          <w:color w:val="auto"/>
        </w:rPr>
        <w:t xml:space="preserve"> Licensee</w:t>
      </w:r>
      <w:r>
        <w:rPr>
          <w:rFonts w:ascii="Arial" w:cs="Arial" w:eastAsia="Arial" w:hAnsi="Arial"/>
          <w:sz w:val="19"/>
          <w:szCs w:val="19"/>
          <w:color w:val="auto"/>
        </w:rPr>
        <w:t>, such efforts shall be substantially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equivalent to those efforts and resources commonly used by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for products owned by it or to which it has rights, which product is at a similar stage in its development or product life cycle. </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xml:space="preserve"> shall be determined on a market-by-market basis, and it is anticipated that the level of effort will be different for different markets, and will change over time, reflecting changes in the status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and the market(s) involved.</w:t>
      </w:r>
    </w:p>
    <w:p>
      <w:pPr>
        <w:spacing w:after="0" w:line="15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CRADA</w:t>
      </w:r>
      <w:r>
        <w:rPr>
          <w:rFonts w:ascii="Arial" w:cs="Arial" w:eastAsia="Arial" w:hAnsi="Arial"/>
          <w:sz w:val="19"/>
          <w:szCs w:val="19"/>
          <w:color w:val="auto"/>
        </w:rPr>
        <w:t>” means a Cooperative Research and Development Agreement.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w:t>
      </w:r>
    </w:p>
    <w:p>
      <w:pPr>
        <w:spacing w:after="0" w:line="206" w:lineRule="exact"/>
        <w:rPr>
          <w:sz w:val="20"/>
          <w:szCs w:val="20"/>
          <w:color w:val="auto"/>
        </w:rPr>
      </w:pPr>
    </w:p>
    <w:p>
      <w:pPr>
        <w:ind w:left="1500" w:right="299" w:hanging="647"/>
        <w:spacing w:after="0" w:line="278" w:lineRule="auto"/>
        <w:tabs>
          <w:tab w:leader="none" w:pos="1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means the initial transfer by or on behalf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or its sublicensees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the initial practice of a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Process </w:t>
      </w:r>
      <w:r>
        <w:rPr>
          <w:rFonts w:ascii="Arial" w:cs="Arial" w:eastAsia="Arial" w:hAnsi="Arial"/>
          <w:sz w:val="19"/>
          <w:szCs w:val="19"/>
          <w:color w:val="auto"/>
        </w:rPr>
        <w:t>by or on behalf of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or its sublicensees in a country after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obtaining regulatory approval by the </w:t>
      </w:r>
      <w:r>
        <w:rPr>
          <w:rFonts w:ascii="Arial" w:cs="Arial" w:eastAsia="Arial" w:hAnsi="Arial"/>
          <w:sz w:val="19"/>
          <w:szCs w:val="19"/>
          <w:b w:val="1"/>
          <w:bCs w:val="1"/>
          <w:color w:val="auto"/>
        </w:rPr>
        <w:t>FDA</w:t>
      </w:r>
      <w:r>
        <w:rPr>
          <w:rFonts w:ascii="Arial" w:cs="Arial" w:eastAsia="Arial" w:hAnsi="Arial"/>
          <w:sz w:val="19"/>
          <w:szCs w:val="19"/>
          <w:color w:val="auto"/>
        </w:rPr>
        <w:t xml:space="preserve"> or any foreign equivalent necessary for the marketing and sale of such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or practice of such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Process </w:t>
      </w:r>
      <w:r>
        <w:rPr>
          <w:rFonts w:ascii="Arial" w:cs="Arial" w:eastAsia="Arial" w:hAnsi="Arial"/>
          <w:sz w:val="19"/>
          <w:szCs w:val="19"/>
          <w:color w:val="auto"/>
        </w:rPr>
        <w:t>in exchange for cash or some equivalent consideration to which value can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assigned for the purpose of determining </w:t>
      </w:r>
      <w:r>
        <w:rPr>
          <w:rFonts w:ascii="Arial" w:cs="Arial" w:eastAsia="Arial" w:hAnsi="Arial"/>
          <w:sz w:val="19"/>
          <w:szCs w:val="19"/>
          <w:b w:val="1"/>
          <w:bCs w:val="1"/>
          <w:color w:val="auto"/>
        </w:rPr>
        <w:t>Net Sales</w:t>
      </w:r>
      <w:r>
        <w:rPr>
          <w:rFonts w:ascii="Arial" w:cs="Arial" w:eastAsia="Arial" w:hAnsi="Arial"/>
          <w:sz w:val="19"/>
          <w:szCs w:val="19"/>
          <w:color w:val="auto"/>
        </w:rPr>
        <w:t>.</w:t>
      </w:r>
    </w:p>
    <w:p>
      <w:pPr>
        <w:spacing w:after="0" w:line="14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Government</w:t>
      </w:r>
      <w:r>
        <w:rPr>
          <w:rFonts w:ascii="Arial" w:cs="Arial" w:eastAsia="Arial" w:hAnsi="Arial"/>
          <w:sz w:val="19"/>
          <w:szCs w:val="19"/>
          <w:color w:val="auto"/>
        </w:rPr>
        <w:t>” means the Government of the United States of America.</w:t>
      </w:r>
    </w:p>
    <w:p>
      <w:pPr>
        <w:spacing w:after="0" w:line="206" w:lineRule="exact"/>
        <w:rPr>
          <w:sz w:val="20"/>
          <w:szCs w:val="20"/>
          <w:color w:val="auto"/>
        </w:rPr>
      </w:pPr>
    </w:p>
    <w:p>
      <w:pPr>
        <w:ind w:left="1500" w:right="219" w:hanging="647"/>
        <w:spacing w:after="0" w:line="300" w:lineRule="auto"/>
        <w:tabs>
          <w:tab w:leader="none" w:pos="14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Fields of Use 1 and 2</w:t>
      </w:r>
      <w:r>
        <w:rPr>
          <w:rFonts w:ascii="Arial" w:cs="Arial" w:eastAsia="Arial" w:hAnsi="Arial"/>
          <w:sz w:val="19"/>
          <w:szCs w:val="19"/>
          <w:color w:val="auto"/>
        </w:rPr>
        <w:t xml:space="preserve">” means the </w:t>
      </w:r>
      <w:r>
        <w:rPr>
          <w:rFonts w:ascii="Arial" w:cs="Arial" w:eastAsia="Arial" w:hAnsi="Arial"/>
          <w:sz w:val="19"/>
          <w:szCs w:val="19"/>
          <w:b w:val="1"/>
          <w:bCs w:val="1"/>
          <w:color w:val="auto"/>
        </w:rPr>
        <w:t>Licensed Field of Use 1</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Licensed Field of Use 2</w:t>
      </w:r>
      <w:r>
        <w:rPr>
          <w:rFonts w:ascii="Arial" w:cs="Arial" w:eastAsia="Arial" w:hAnsi="Arial"/>
          <w:sz w:val="19"/>
          <w:szCs w:val="19"/>
          <w:color w:val="auto"/>
        </w:rPr>
        <w:t>; “</w:t>
      </w:r>
      <w:r>
        <w:rPr>
          <w:rFonts w:ascii="Arial" w:cs="Arial" w:eastAsia="Arial" w:hAnsi="Arial"/>
          <w:sz w:val="19"/>
          <w:szCs w:val="19"/>
          <w:b w:val="1"/>
          <w:bCs w:val="1"/>
          <w:color w:val="auto"/>
        </w:rPr>
        <w:t>Licensed Field of Use 1</w:t>
      </w:r>
      <w:r>
        <w:rPr>
          <w:rFonts w:ascii="Arial" w:cs="Arial" w:eastAsia="Arial" w:hAnsi="Arial"/>
          <w:sz w:val="19"/>
          <w:szCs w:val="19"/>
          <w:color w:val="auto"/>
        </w:rPr>
        <w:t>” and “</w:t>
      </w:r>
      <w:r>
        <w:rPr>
          <w:rFonts w:ascii="Arial" w:cs="Arial" w:eastAsia="Arial" w:hAnsi="Arial"/>
          <w:sz w:val="19"/>
          <w:szCs w:val="19"/>
          <w:b w:val="1"/>
          <w:bCs w:val="1"/>
          <w:color w:val="auto"/>
        </w:rPr>
        <w:t>Licensed Field of Use 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fields of use identified for such terms, respectively, in Appendix B.</w:t>
      </w:r>
    </w:p>
    <w:p>
      <w:pPr>
        <w:spacing w:after="0" w:line="12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Patent Rights</w:t>
      </w:r>
      <w:r>
        <w:rPr>
          <w:rFonts w:ascii="Arial" w:cs="Arial" w:eastAsia="Arial" w:hAnsi="Arial"/>
          <w:sz w:val="19"/>
          <w:szCs w:val="19"/>
          <w:color w:val="auto"/>
        </w:rPr>
        <w:t>” shall mean:</w:t>
      </w:r>
    </w:p>
    <w:p>
      <w:pPr>
        <w:spacing w:after="0" w:line="212" w:lineRule="exact"/>
        <w:rPr>
          <w:sz w:val="20"/>
          <w:szCs w:val="20"/>
          <w:color w:val="auto"/>
        </w:rPr>
      </w:pPr>
    </w:p>
    <w:p>
      <w:pPr>
        <w:ind w:left="2160" w:right="299" w:hanging="655"/>
        <w:spacing w:after="0" w:line="236" w:lineRule="auto"/>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patent applications (including provisional patent applications and PCT patent applications) or patents listed in Appendix A, all divisions and continuations of these applications, all patents issuing from these applications, divisions, and continuations, and any reissues, reexaminations, and extensions of these patents;</w:t>
      </w:r>
    </w:p>
    <w:p>
      <w:pPr>
        <w:spacing w:after="0" w:line="187" w:lineRule="exact"/>
        <w:rPr>
          <w:rFonts w:ascii="Arial" w:cs="Arial" w:eastAsia="Arial" w:hAnsi="Arial"/>
          <w:sz w:val="22"/>
          <w:szCs w:val="22"/>
          <w:color w:val="auto"/>
        </w:rPr>
      </w:pPr>
    </w:p>
    <w:p>
      <w:pPr>
        <w:ind w:left="2160" w:right="519" w:hanging="655"/>
        <w:spacing w:after="0" w:line="274" w:lineRule="auto"/>
        <w:tabs>
          <w:tab w:leader="none" w:pos="21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the extent that the following contain one or more claims directed to the invention or inventions disclosed in Paragraph 2.10(a):</w:t>
      </w:r>
    </w:p>
    <w:p>
      <w:pPr>
        <w:spacing w:after="0" w:line="150" w:lineRule="exact"/>
        <w:rPr>
          <w:rFonts w:ascii="Arial" w:cs="Arial" w:eastAsia="Arial" w:hAnsi="Arial"/>
          <w:sz w:val="21"/>
          <w:szCs w:val="21"/>
          <w:color w:val="auto"/>
        </w:rPr>
      </w:pPr>
    </w:p>
    <w:p>
      <w:pPr>
        <w:ind w:left="2800" w:hanging="647"/>
        <w:spacing w:after="0"/>
        <w:tabs>
          <w:tab w:leader="none" w:pos="28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continuations-in-part of Paragraph 2.10(a);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795655</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2" w:name="page93"/>
    <w:bookmarkEnd w:id="92"/>
    <w:p>
      <w:pPr>
        <w:ind w:left="2800" w:hanging="647"/>
        <w:spacing w:after="0"/>
        <w:tabs>
          <w:tab w:leader="none" w:pos="2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all divisions and continuations of these continuations-in-part;</w:t>
      </w:r>
    </w:p>
    <w:p>
      <w:pPr>
        <w:spacing w:after="0" w:line="206" w:lineRule="exact"/>
        <w:rPr>
          <w:rFonts w:ascii="Arial" w:cs="Arial" w:eastAsia="Arial" w:hAnsi="Arial"/>
          <w:sz w:val="22"/>
          <w:szCs w:val="22"/>
          <w:color w:val="auto"/>
        </w:rPr>
      </w:pPr>
    </w:p>
    <w:p>
      <w:pPr>
        <w:ind w:left="2800" w:right="519" w:hanging="647"/>
        <w:spacing w:after="0" w:line="250" w:lineRule="auto"/>
        <w:tabs>
          <w:tab w:leader="none" w:pos="2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all patents issuing from these continuations-in-part, divisions, and continuations;</w:t>
      </w:r>
    </w:p>
    <w:p>
      <w:pPr>
        <w:spacing w:after="0" w:line="174" w:lineRule="exact"/>
        <w:rPr>
          <w:rFonts w:ascii="Arial" w:cs="Arial" w:eastAsia="Arial" w:hAnsi="Arial"/>
          <w:sz w:val="22"/>
          <w:szCs w:val="22"/>
          <w:color w:val="auto"/>
        </w:rPr>
      </w:pPr>
    </w:p>
    <w:p>
      <w:pPr>
        <w:ind w:left="2800" w:hanging="647"/>
        <w:spacing w:after="0"/>
        <w:tabs>
          <w:tab w:leader="none" w:pos="2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priority patent application(s) of Paragraph 2.10(a); and</w:t>
      </w:r>
    </w:p>
    <w:p>
      <w:pPr>
        <w:spacing w:after="0" w:line="206" w:lineRule="exact"/>
        <w:rPr>
          <w:rFonts w:ascii="Arial" w:cs="Arial" w:eastAsia="Arial" w:hAnsi="Arial"/>
          <w:sz w:val="22"/>
          <w:szCs w:val="22"/>
          <w:color w:val="auto"/>
        </w:rPr>
      </w:pPr>
    </w:p>
    <w:p>
      <w:pPr>
        <w:ind w:left="2800" w:hanging="647"/>
        <w:spacing w:after="0"/>
        <w:tabs>
          <w:tab w:leader="none" w:pos="2800" w:val="left"/>
        </w:tabs>
        <w:numPr>
          <w:ilvl w:val="1"/>
          <w:numId w:val="37"/>
        </w:numPr>
        <w:rPr>
          <w:rFonts w:ascii="Arial" w:cs="Arial" w:eastAsia="Arial" w:hAnsi="Arial"/>
          <w:sz w:val="21"/>
          <w:szCs w:val="21"/>
          <w:color w:val="auto"/>
        </w:rPr>
      </w:pPr>
      <w:r>
        <w:rPr>
          <w:rFonts w:ascii="Arial" w:cs="Arial" w:eastAsia="Arial" w:hAnsi="Arial"/>
          <w:sz w:val="21"/>
          <w:szCs w:val="21"/>
          <w:color w:val="auto"/>
        </w:rPr>
        <w:t>any reissues, reexaminations, and extensions of these patents;</w:t>
      </w:r>
    </w:p>
    <w:p>
      <w:pPr>
        <w:spacing w:after="0" w:line="217" w:lineRule="exact"/>
        <w:rPr>
          <w:rFonts w:ascii="Arial" w:cs="Arial" w:eastAsia="Arial" w:hAnsi="Arial"/>
          <w:sz w:val="21"/>
          <w:szCs w:val="21"/>
          <w:color w:val="auto"/>
        </w:rPr>
      </w:pPr>
    </w:p>
    <w:p>
      <w:pPr>
        <w:ind w:left="2160" w:right="459" w:hanging="655"/>
        <w:spacing w:after="0" w:line="287" w:lineRule="auto"/>
        <w:tabs>
          <w:tab w:leader="none" w:pos="21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to the extent that the following contain one or more claims directed to the invention or inventions disclosed in Paragraph 2.10(a): all counterpart foreign and U.S. patent applications and patents to Paragraphs 2.10(a) and 2.10(b), including those listed in Appendix A; and</w:t>
      </w:r>
    </w:p>
    <w:p>
      <w:pPr>
        <w:spacing w:after="0" w:line="136" w:lineRule="exact"/>
        <w:rPr>
          <w:rFonts w:ascii="Arial" w:cs="Arial" w:eastAsia="Arial" w:hAnsi="Arial"/>
          <w:sz w:val="19"/>
          <w:szCs w:val="19"/>
          <w:color w:val="auto"/>
        </w:rPr>
      </w:pPr>
    </w:p>
    <w:p>
      <w:pPr>
        <w:ind w:left="2160" w:right="239" w:hanging="655"/>
        <w:spacing w:after="0" w:line="300" w:lineRule="auto"/>
        <w:tabs>
          <w:tab w:leader="none" w:pos="216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Licensed Patent Rights </w:t>
      </w:r>
      <w:r>
        <w:rPr>
          <w:rFonts w:ascii="Arial" w:cs="Arial" w:eastAsia="Arial" w:hAnsi="Arial"/>
          <w:sz w:val="19"/>
          <w:szCs w:val="19"/>
          <w:color w:val="auto"/>
        </w:rPr>
        <w:t>shall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not</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Paragraphs 2.10(b) or 2.10(c)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that they contain one or more claims directed to new matter which is not the subject matter disclosed in Paragraph 2.10(a).</w:t>
      </w:r>
    </w:p>
    <w:p>
      <w:pPr>
        <w:spacing w:after="0" w:line="126" w:lineRule="exact"/>
        <w:rPr>
          <w:sz w:val="20"/>
          <w:szCs w:val="20"/>
          <w:color w:val="auto"/>
        </w:rPr>
      </w:pPr>
    </w:p>
    <w:p>
      <w:pPr>
        <w:ind w:left="1500" w:right="339" w:hanging="647"/>
        <w:spacing w:after="0" w:line="289" w:lineRule="auto"/>
        <w:tabs>
          <w:tab w:leader="none" w:pos="14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means processes which, in the course of being practiced, would be within the scope of one or more claims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that have not been held unpatentable, invalid or unenforceable by an unappealed or unappealable judgment of a court of competent jurisdiction.</w:t>
      </w:r>
    </w:p>
    <w:p>
      <w:pPr>
        <w:spacing w:after="0" w:line="136" w:lineRule="exact"/>
        <w:rPr>
          <w:sz w:val="20"/>
          <w:szCs w:val="20"/>
          <w:color w:val="auto"/>
        </w:rPr>
      </w:pPr>
    </w:p>
    <w:p>
      <w:pPr>
        <w:ind w:left="1500" w:right="299" w:hanging="647"/>
        <w:spacing w:after="0" w:line="237" w:lineRule="auto"/>
        <w:tabs>
          <w:tab w:leader="none" w:pos="1480" w:val="left"/>
        </w:tabs>
        <w:rPr>
          <w:sz w:val="20"/>
          <w:szCs w:val="20"/>
          <w:color w:val="auto"/>
        </w:rPr>
      </w:pPr>
      <w:r>
        <w:rPr>
          <w:rFonts w:ascii="Arial" w:cs="Arial" w:eastAsia="Arial" w:hAnsi="Arial"/>
          <w:sz w:val="22"/>
          <w:szCs w:val="22"/>
          <w:color w:val="auto"/>
        </w:rPr>
        <w:t>2.12</w:t>
        <w:tab/>
        <w:t>“</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means tangible materials which, in the course of manufacture, use, sale, or importation, would be within the scope of one or more claims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that have not been held unpatentable, invalid or unenforceable by an unappealed or unappealable judgment of a court of competent jurisdiction.</w:t>
      </w:r>
    </w:p>
    <w:p>
      <w:pPr>
        <w:spacing w:after="0" w:line="18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Territory</w:t>
      </w:r>
      <w:r>
        <w:rPr>
          <w:rFonts w:ascii="Arial" w:cs="Arial" w:eastAsia="Arial" w:hAnsi="Arial"/>
          <w:sz w:val="19"/>
          <w:szCs w:val="19"/>
          <w:color w:val="auto"/>
        </w:rPr>
        <w:t>” means the geographical area identified in Appendix B.</w:t>
      </w:r>
    </w:p>
    <w:p>
      <w:pPr>
        <w:spacing w:after="0" w:line="206" w:lineRule="exact"/>
        <w:rPr>
          <w:sz w:val="20"/>
          <w:szCs w:val="20"/>
          <w:color w:val="auto"/>
        </w:rPr>
      </w:pPr>
    </w:p>
    <w:p>
      <w:pPr>
        <w:ind w:left="1500" w:right="259" w:hanging="647"/>
        <w:spacing w:after="0" w:line="271" w:lineRule="auto"/>
        <w:tabs>
          <w:tab w:leader="none" w:pos="14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xml:space="preserve">” means the total gross receipts received by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for sales of </w:t>
      </w:r>
      <w:r>
        <w:rPr>
          <w:rFonts w:ascii="Arial" w:cs="Arial" w:eastAsia="Arial" w:hAnsi="Arial"/>
          <w:sz w:val="19"/>
          <w:szCs w:val="19"/>
          <w:b w:val="1"/>
          <w:bCs w:val="1"/>
          <w:color w:val="auto"/>
        </w:rPr>
        <w:t xml:space="preserve">Licensed Products </w:t>
      </w:r>
      <w:r>
        <w:rPr>
          <w:rFonts w:ascii="Arial" w:cs="Arial" w:eastAsia="Arial" w:hAnsi="Arial"/>
          <w:sz w:val="19"/>
          <w:szCs w:val="19"/>
          <w:color w:val="auto"/>
        </w:rPr>
        <w:t>or practice of</w:t>
      </w:r>
      <w:r>
        <w:rPr>
          <w:rFonts w:ascii="Arial" w:cs="Arial" w:eastAsia="Arial" w:hAnsi="Arial"/>
          <w:sz w:val="19"/>
          <w:szCs w:val="19"/>
          <w:b w:val="1"/>
          <w:bCs w:val="1"/>
          <w:color w:val="auto"/>
        </w:rPr>
        <w:t xml:space="preserve"> Licensed Processes </w:t>
      </w:r>
      <w:r>
        <w:rPr>
          <w:rFonts w:ascii="Arial" w:cs="Arial" w:eastAsia="Arial" w:hAnsi="Arial"/>
          <w:sz w:val="19"/>
          <w:szCs w:val="19"/>
          <w:color w:val="auto"/>
        </w:rPr>
        <w:t>by or on behalf of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or its sublicensees, and from leasing, renting, or otherwise making the</w:t>
      </w:r>
      <w:r>
        <w:rPr>
          <w:rFonts w:ascii="Arial" w:cs="Arial" w:eastAsia="Arial" w:hAnsi="Arial"/>
          <w:sz w:val="19"/>
          <w:szCs w:val="19"/>
          <w:b w:val="1"/>
          <w:bCs w:val="1"/>
          <w:color w:val="auto"/>
        </w:rPr>
        <w:t xml:space="preserve"> Licensed Products </w:t>
      </w:r>
      <w:r>
        <w:rPr>
          <w:rFonts w:ascii="Arial" w:cs="Arial" w:eastAsia="Arial" w:hAnsi="Arial"/>
          <w:sz w:val="19"/>
          <w:szCs w:val="19"/>
          <w:color w:val="auto"/>
        </w:rPr>
        <w:t>available to others for consideration without sale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dispositions, whether invoiced or not, less returns and allowances, packing costs, insurance costs, freight out, taxes or excise duties imposed on the transaction (if separately invoiced), and wholesaler and cash discounts in amounts customary in the trade to the extent actually granted. No deductions shall be made for commissions paid to individuals, whether they are with independent sales agencies or regularly employed by the </w:t>
      </w:r>
      <w:r>
        <w:rPr>
          <w:rFonts w:ascii="Arial" w:cs="Arial" w:eastAsia="Arial" w:hAnsi="Arial"/>
          <w:sz w:val="19"/>
          <w:szCs w:val="19"/>
          <w:b w:val="1"/>
          <w:bCs w:val="1"/>
          <w:color w:val="auto"/>
        </w:rPr>
        <w:t>Licensee</w:t>
      </w:r>
      <w:r>
        <w:rPr>
          <w:rFonts w:ascii="Arial" w:cs="Arial" w:eastAsia="Arial" w:hAnsi="Arial"/>
          <w:sz w:val="19"/>
          <w:szCs w:val="19"/>
          <w:color w:val="auto"/>
        </w:rPr>
        <w:t>, or sublicensees, and on its payroll, or for the cost of collections. “</w:t>
      </w:r>
      <w:r>
        <w:rPr>
          <w:rFonts w:ascii="Arial" w:cs="Arial" w:eastAsia="Arial" w:hAnsi="Arial"/>
          <w:sz w:val="19"/>
          <w:szCs w:val="19"/>
          <w:b w:val="1"/>
          <w:bCs w:val="1"/>
          <w:color w:val="auto"/>
        </w:rPr>
        <w:t>Net Sales</w:t>
      </w:r>
      <w:r>
        <w:rPr>
          <w:rFonts w:ascii="Arial" w:cs="Arial" w:eastAsia="Arial" w:hAnsi="Arial"/>
          <w:sz w:val="19"/>
          <w:szCs w:val="19"/>
          <w:color w:val="auto"/>
        </w:rPr>
        <w:t xml:space="preserve">” shall not include (a) the supply of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Products </w:t>
      </w:r>
      <w:r>
        <w:rPr>
          <w:rFonts w:ascii="Arial" w:cs="Arial" w:eastAsia="Arial" w:hAnsi="Arial"/>
          <w:sz w:val="19"/>
          <w:szCs w:val="19"/>
          <w:color w:val="auto"/>
        </w:rPr>
        <w:t>or use of</w:t>
      </w:r>
      <w:r>
        <w:rPr>
          <w:rFonts w:ascii="Arial" w:cs="Arial" w:eastAsia="Arial" w:hAnsi="Arial"/>
          <w:sz w:val="19"/>
          <w:szCs w:val="19"/>
          <w:b w:val="1"/>
          <w:bCs w:val="1"/>
          <w:color w:val="auto"/>
        </w:rPr>
        <w:t xml:space="preserve"> Licensed Processes</w:t>
      </w:r>
      <w:r>
        <w:rPr>
          <w:rFonts w:ascii="Arial" w:cs="Arial" w:eastAsia="Arial" w:hAnsi="Arial"/>
          <w:sz w:val="19"/>
          <w:szCs w:val="19"/>
          <w:color w:val="auto"/>
        </w:rPr>
        <w:t>, for use in pre-clinical or clinical studies,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process development, quality control or assurance, storage as safety stock, transfer as a charitable donation or any other transaction for which no gross revenue is received or (b) sales made in a country or region in which no </w:t>
      </w:r>
      <w:r>
        <w:rPr>
          <w:rFonts w:ascii="Arial" w:cs="Arial" w:eastAsia="Arial" w:hAnsi="Arial"/>
          <w:sz w:val="19"/>
          <w:szCs w:val="19"/>
          <w:b w:val="1"/>
          <w:bCs w:val="1"/>
          <w:color w:val="auto"/>
        </w:rPr>
        <w:t>Licensed Patent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Rights </w:t>
      </w:r>
      <w:r>
        <w:rPr>
          <w:rFonts w:ascii="Arial" w:cs="Arial" w:eastAsia="Arial" w:hAnsi="Arial"/>
          <w:sz w:val="19"/>
          <w:szCs w:val="19"/>
          <w:color w:val="auto"/>
        </w:rPr>
        <w:t>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925195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3" w:name="page94"/>
    <w:bookmarkEnd w:id="93"/>
    <w:p>
      <w:pPr>
        <w:ind w:left="1500" w:right="259" w:hanging="647"/>
        <w:spacing w:after="0" w:line="246" w:lineRule="auto"/>
        <w:tabs>
          <w:tab w:leader="none" w:pos="14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Practical Application</w:t>
      </w:r>
      <w:r>
        <w:rPr>
          <w:rFonts w:ascii="Arial" w:cs="Arial" w:eastAsia="Arial" w:hAnsi="Arial"/>
          <w:sz w:val="21"/>
          <w:szCs w:val="21"/>
          <w:color w:val="auto"/>
        </w:rPr>
        <w:t xml:space="preserve">” means to manufacture in the case of a composition or product, to practice in the case of a process or method, or to operate in the case of a machine or system; and in each case, under these conditions as to establish that the invention is being utilized and that its benefits are to the extent permitted by law or </w:t>
      </w:r>
      <w:r>
        <w:rPr>
          <w:rFonts w:ascii="Arial" w:cs="Arial" w:eastAsia="Arial" w:hAnsi="Arial"/>
          <w:sz w:val="21"/>
          <w:szCs w:val="21"/>
          <w:b w:val="1"/>
          <w:bCs w:val="1"/>
          <w:color w:val="auto"/>
        </w:rPr>
        <w:t xml:space="preserve">Government </w:t>
      </w:r>
      <w:r>
        <w:rPr>
          <w:rFonts w:ascii="Arial" w:cs="Arial" w:eastAsia="Arial" w:hAnsi="Arial"/>
          <w:sz w:val="21"/>
          <w:szCs w:val="21"/>
          <w:color w:val="auto"/>
        </w:rPr>
        <w:t>regulations available to the public on reasonable terms not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inconsistent with the terms applicable to similar products or processes and taking into account the efficacy and safety profile of the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or the utility of the </w:t>
      </w:r>
      <w:r>
        <w:rPr>
          <w:rFonts w:ascii="Arial" w:cs="Arial" w:eastAsia="Arial" w:hAnsi="Arial"/>
          <w:sz w:val="21"/>
          <w:szCs w:val="21"/>
          <w:b w:val="1"/>
          <w:bCs w:val="1"/>
          <w:color w:val="auto"/>
        </w:rPr>
        <w:t>Licensed Process</w:t>
      </w:r>
      <w:r>
        <w:rPr>
          <w:rFonts w:ascii="Arial" w:cs="Arial" w:eastAsia="Arial" w:hAnsi="Arial"/>
          <w:sz w:val="21"/>
          <w:szCs w:val="21"/>
          <w:color w:val="auto"/>
        </w:rPr>
        <w:t xml:space="preserve"> and other relevant commercial, scientific, technical and other factors.</w:t>
      </w:r>
    </w:p>
    <w:p>
      <w:pPr>
        <w:spacing w:after="0" w:line="176" w:lineRule="exact"/>
        <w:rPr>
          <w:sz w:val="20"/>
          <w:szCs w:val="20"/>
          <w:color w:val="auto"/>
        </w:rPr>
      </w:pPr>
    </w:p>
    <w:p>
      <w:pPr>
        <w:ind w:left="1500" w:right="339" w:hanging="647"/>
        <w:spacing w:after="0" w:line="289" w:lineRule="auto"/>
        <w:tabs>
          <w:tab w:leader="none" w:pos="14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License</w:t>
      </w:r>
      <w:r>
        <w:rPr>
          <w:rFonts w:ascii="Arial" w:cs="Arial" w:eastAsia="Arial" w:hAnsi="Arial"/>
          <w:sz w:val="19"/>
          <w:szCs w:val="19"/>
          <w:color w:val="auto"/>
        </w:rPr>
        <w:t xml:space="preserve">” means a nontransferable, nonexclusive license to make and to use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the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as defined by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for purposes of research only and not for purposes of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sale, manufacture or distribution or in lieu of purchase.</w:t>
      </w:r>
    </w:p>
    <w:p>
      <w:pPr>
        <w:spacing w:after="0" w:line="142" w:lineRule="exact"/>
        <w:rPr>
          <w:sz w:val="20"/>
          <w:szCs w:val="20"/>
          <w:color w:val="auto"/>
        </w:rPr>
      </w:pPr>
    </w:p>
    <w:p>
      <w:pPr>
        <w:ind w:left="860" w:hanging="651"/>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GRANT OF RIGHTS</w:t>
      </w:r>
    </w:p>
    <w:p>
      <w:pPr>
        <w:spacing w:after="0" w:line="200" w:lineRule="exact"/>
        <w:rPr>
          <w:rFonts w:ascii="Arial" w:cs="Arial" w:eastAsia="Arial" w:hAnsi="Arial"/>
          <w:sz w:val="22"/>
          <w:szCs w:val="22"/>
          <w:color w:val="auto"/>
        </w:rPr>
      </w:pPr>
    </w:p>
    <w:p>
      <w:pPr>
        <w:ind w:left="1500" w:right="259" w:hanging="648"/>
        <w:spacing w:after="0" w:line="249" w:lineRule="auto"/>
        <w:rPr>
          <w:rFonts w:ascii="Arial" w:cs="Arial" w:eastAsia="Arial" w:hAnsi="Arial"/>
          <w:sz w:val="22"/>
          <w:szCs w:val="22"/>
          <w:color w:val="auto"/>
        </w:rPr>
      </w:pPr>
      <w:r>
        <w:rPr>
          <w:rFonts w:ascii="Arial" w:cs="Arial" w:eastAsia="Arial" w:hAnsi="Arial"/>
          <w:sz w:val="21"/>
          <w:szCs w:val="21"/>
          <w:color w:val="auto"/>
        </w:rPr>
        <w:t xml:space="preserve">3.1 The </w:t>
      </w:r>
      <w:r>
        <w:rPr>
          <w:rFonts w:ascii="Arial" w:cs="Arial" w:eastAsia="Arial" w:hAnsi="Arial"/>
          <w:sz w:val="21"/>
          <w:szCs w:val="21"/>
          <w:b w:val="1"/>
          <w:bCs w:val="1"/>
          <w:color w:val="auto"/>
        </w:rPr>
        <w:t>IC</w:t>
      </w:r>
      <w:r>
        <w:rPr>
          <w:rFonts w:ascii="Arial" w:cs="Arial" w:eastAsia="Arial" w:hAnsi="Arial"/>
          <w:sz w:val="21"/>
          <w:szCs w:val="21"/>
          <w:color w:val="auto"/>
        </w:rPr>
        <w:t xml:space="preserve"> hereby grants and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accepts, subject to the terms and conditions of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an exclusive license to Group A of the </w:t>
      </w:r>
      <w:r>
        <w:rPr>
          <w:rFonts w:ascii="Arial" w:cs="Arial" w:eastAsia="Arial" w:hAnsi="Arial"/>
          <w:sz w:val="21"/>
          <w:szCs w:val="21"/>
          <w:b w:val="1"/>
          <w:bCs w:val="1"/>
          <w:color w:val="auto"/>
        </w:rPr>
        <w:t>Licensed Patent Right</w:t>
      </w:r>
      <w:r>
        <w:rPr>
          <w:rFonts w:ascii="Arial" w:cs="Arial" w:eastAsia="Arial" w:hAnsi="Arial"/>
          <w:sz w:val="21"/>
          <w:szCs w:val="21"/>
          <w:color w:val="auto"/>
        </w:rPr>
        <w:t xml:space="preserve">s in the </w:t>
      </w:r>
      <w:r>
        <w:rPr>
          <w:rFonts w:ascii="Arial" w:cs="Arial" w:eastAsia="Arial" w:hAnsi="Arial"/>
          <w:sz w:val="21"/>
          <w:szCs w:val="21"/>
          <w:b w:val="1"/>
          <w:bCs w:val="1"/>
          <w:color w:val="auto"/>
        </w:rPr>
        <w:t>Licensed Territory</w:t>
      </w:r>
      <w:r>
        <w:rPr>
          <w:rFonts w:ascii="Arial" w:cs="Arial" w:eastAsia="Arial" w:hAnsi="Arial"/>
          <w:sz w:val="21"/>
          <w:szCs w:val="21"/>
          <w:color w:val="auto"/>
        </w:rPr>
        <w:t xml:space="preserve"> to make and have made, to use and have used, to sell and have sold, to offer to sell, and to import any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in the </w:t>
      </w:r>
      <w:r>
        <w:rPr>
          <w:rFonts w:ascii="Arial" w:cs="Arial" w:eastAsia="Arial" w:hAnsi="Arial"/>
          <w:sz w:val="21"/>
          <w:szCs w:val="21"/>
          <w:b w:val="1"/>
          <w:bCs w:val="1"/>
          <w:color w:val="auto"/>
        </w:rPr>
        <w:t>Licensed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Field of Use 1 </w:t>
      </w:r>
      <w:r>
        <w:rPr>
          <w:rFonts w:ascii="Arial" w:cs="Arial" w:eastAsia="Arial" w:hAnsi="Arial"/>
          <w:sz w:val="21"/>
          <w:szCs w:val="21"/>
          <w:color w:val="auto"/>
        </w:rPr>
        <w:t>and to practice and have practiced any</w:t>
      </w:r>
      <w:r>
        <w:rPr>
          <w:rFonts w:ascii="Arial" w:cs="Arial" w:eastAsia="Arial" w:hAnsi="Arial"/>
          <w:sz w:val="21"/>
          <w:szCs w:val="21"/>
          <w:b w:val="1"/>
          <w:bCs w:val="1"/>
          <w:color w:val="auto"/>
        </w:rPr>
        <w:t xml:space="preserve"> Licensed Process(es) </w:t>
      </w:r>
      <w:r>
        <w:rPr>
          <w:rFonts w:ascii="Arial" w:cs="Arial" w:eastAsia="Arial" w:hAnsi="Arial"/>
          <w:sz w:val="21"/>
          <w:szCs w:val="21"/>
          <w:color w:val="auto"/>
        </w:rPr>
        <w:t>in such</w:t>
      </w:r>
      <w:r>
        <w:rPr>
          <w:rFonts w:ascii="Arial" w:cs="Arial" w:eastAsia="Arial" w:hAnsi="Arial"/>
          <w:sz w:val="21"/>
          <w:szCs w:val="21"/>
          <w:b w:val="1"/>
          <w:bCs w:val="1"/>
          <w:color w:val="auto"/>
        </w:rPr>
        <w:t xml:space="preserve"> Licensed Field of Use 1</w:t>
      </w:r>
      <w:r>
        <w:rPr>
          <w:rFonts w:ascii="Arial" w:cs="Arial" w:eastAsia="Arial" w:hAnsi="Arial"/>
          <w:sz w:val="21"/>
          <w:szCs w:val="21"/>
          <w:color w:val="auto"/>
        </w:rPr>
        <w:t>.</w:t>
      </w:r>
    </w:p>
    <w:p>
      <w:pPr>
        <w:spacing w:after="0" w:line="170" w:lineRule="exact"/>
        <w:rPr>
          <w:rFonts w:ascii="Arial" w:cs="Arial" w:eastAsia="Arial" w:hAnsi="Arial"/>
          <w:sz w:val="22"/>
          <w:szCs w:val="22"/>
          <w:color w:val="auto"/>
        </w:rPr>
      </w:pPr>
    </w:p>
    <w:p>
      <w:pPr>
        <w:ind w:left="1500" w:right="319" w:hanging="648"/>
        <w:spacing w:after="0" w:line="280" w:lineRule="auto"/>
        <w:rPr>
          <w:rFonts w:ascii="Arial" w:cs="Arial" w:eastAsia="Arial" w:hAnsi="Arial"/>
          <w:sz w:val="22"/>
          <w:szCs w:val="22"/>
          <w:color w:val="auto"/>
        </w:rPr>
      </w:pPr>
      <w:r>
        <w:rPr>
          <w:rFonts w:ascii="Arial" w:cs="Arial" w:eastAsia="Arial" w:hAnsi="Arial"/>
          <w:sz w:val="19"/>
          <w:szCs w:val="19"/>
          <w:color w:val="auto"/>
        </w:rPr>
        <w:t xml:space="preserve">3.2 The </w:t>
      </w:r>
      <w:r>
        <w:rPr>
          <w:rFonts w:ascii="Arial" w:cs="Arial" w:eastAsia="Arial" w:hAnsi="Arial"/>
          <w:sz w:val="19"/>
          <w:szCs w:val="19"/>
          <w:b w:val="1"/>
          <w:bCs w:val="1"/>
          <w:color w:val="auto"/>
        </w:rPr>
        <w:t>IC</w:t>
      </w:r>
      <w:r>
        <w:rPr>
          <w:rFonts w:ascii="Arial" w:cs="Arial" w:eastAsia="Arial" w:hAnsi="Arial"/>
          <w:sz w:val="19"/>
          <w:szCs w:val="19"/>
          <w:color w:val="auto"/>
        </w:rPr>
        <w:t xml:space="preserve"> hereby grants and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accepts, subject to the terms and conditions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 non-exclusive license to Group B of the </w:t>
      </w:r>
      <w:r>
        <w:rPr>
          <w:rFonts w:ascii="Arial" w:cs="Arial" w:eastAsia="Arial" w:hAnsi="Arial"/>
          <w:sz w:val="19"/>
          <w:szCs w:val="19"/>
          <w:b w:val="1"/>
          <w:bCs w:val="1"/>
          <w:color w:val="auto"/>
        </w:rPr>
        <w:t>Licensed Patent</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s in the</w:t>
      </w:r>
      <w:r>
        <w:rPr>
          <w:rFonts w:ascii="Arial" w:cs="Arial" w:eastAsia="Arial" w:hAnsi="Arial"/>
          <w:sz w:val="19"/>
          <w:szCs w:val="19"/>
          <w:b w:val="1"/>
          <w:bCs w:val="1"/>
          <w:color w:val="auto"/>
        </w:rPr>
        <w:t xml:space="preserve"> Licensed Territory </w:t>
      </w:r>
      <w:r>
        <w:rPr>
          <w:rFonts w:ascii="Arial" w:cs="Arial" w:eastAsia="Arial" w:hAnsi="Arial"/>
          <w:sz w:val="19"/>
          <w:szCs w:val="19"/>
          <w:color w:val="auto"/>
        </w:rPr>
        <w:t>to make and have made, to use and have used,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sell and have sold, to offer to sell, and to import any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in </w:t>
      </w:r>
      <w:r>
        <w:rPr>
          <w:rFonts w:ascii="Arial" w:cs="Arial" w:eastAsia="Arial" w:hAnsi="Arial"/>
          <w:sz w:val="19"/>
          <w:szCs w:val="19"/>
          <w:b w:val="1"/>
          <w:bCs w:val="1"/>
          <w:color w:val="auto"/>
        </w:rPr>
        <w:t xml:space="preserve">Licensed Fields of Use 1 </w:t>
      </w:r>
      <w:r>
        <w:rPr>
          <w:rFonts w:ascii="Arial" w:cs="Arial" w:eastAsia="Arial" w:hAnsi="Arial"/>
          <w:sz w:val="19"/>
          <w:szCs w:val="19"/>
          <w:color w:val="auto"/>
        </w:rPr>
        <w:t>and</w:t>
      </w:r>
      <w:r>
        <w:rPr>
          <w:rFonts w:ascii="Arial" w:cs="Arial" w:eastAsia="Arial" w:hAnsi="Arial"/>
          <w:sz w:val="19"/>
          <w:szCs w:val="19"/>
          <w:b w:val="1"/>
          <w:bCs w:val="1"/>
          <w:color w:val="auto"/>
        </w:rPr>
        <w:t xml:space="preserve"> 2 </w:t>
      </w:r>
      <w:r>
        <w:rPr>
          <w:rFonts w:ascii="Arial" w:cs="Arial" w:eastAsia="Arial" w:hAnsi="Arial"/>
          <w:sz w:val="19"/>
          <w:szCs w:val="19"/>
          <w:color w:val="auto"/>
        </w:rPr>
        <w:t>and to practice and have practiced any</w:t>
      </w:r>
      <w:r>
        <w:rPr>
          <w:rFonts w:ascii="Arial" w:cs="Arial" w:eastAsia="Arial" w:hAnsi="Arial"/>
          <w:sz w:val="19"/>
          <w:szCs w:val="19"/>
          <w:b w:val="1"/>
          <w:bCs w:val="1"/>
          <w:color w:val="auto"/>
        </w:rPr>
        <w:t xml:space="preserve"> Licensed Process(es) </w:t>
      </w:r>
      <w:r>
        <w:rPr>
          <w:rFonts w:ascii="Arial" w:cs="Arial" w:eastAsia="Arial" w:hAnsi="Arial"/>
          <w:sz w:val="19"/>
          <w:szCs w:val="19"/>
          <w:color w:val="auto"/>
        </w:rPr>
        <w:t>in</w:t>
      </w:r>
      <w:r>
        <w:rPr>
          <w:rFonts w:ascii="Arial" w:cs="Arial" w:eastAsia="Arial" w:hAnsi="Arial"/>
          <w:sz w:val="19"/>
          <w:szCs w:val="19"/>
          <w:b w:val="1"/>
          <w:bCs w:val="1"/>
          <w:color w:val="auto"/>
        </w:rPr>
        <w:t xml:space="preserve"> Licensed Fields of Use 1 </w:t>
      </w:r>
      <w:r>
        <w:rPr>
          <w:rFonts w:ascii="Arial" w:cs="Arial" w:eastAsia="Arial" w:hAnsi="Arial"/>
          <w:sz w:val="19"/>
          <w:szCs w:val="19"/>
          <w:color w:val="auto"/>
        </w:rPr>
        <w:t>and</w:t>
      </w:r>
      <w:r>
        <w:rPr>
          <w:rFonts w:ascii="Arial" w:cs="Arial" w:eastAsia="Arial" w:hAnsi="Arial"/>
          <w:sz w:val="19"/>
          <w:szCs w:val="19"/>
          <w:b w:val="1"/>
          <w:bCs w:val="1"/>
          <w:color w:val="auto"/>
        </w:rPr>
        <w:t xml:space="preserve"> 2</w:t>
      </w:r>
      <w:r>
        <w:rPr>
          <w:rFonts w:ascii="Arial" w:cs="Arial" w:eastAsia="Arial" w:hAnsi="Arial"/>
          <w:sz w:val="19"/>
          <w:szCs w:val="19"/>
          <w:color w:val="auto"/>
        </w:rPr>
        <w:t>.</w:t>
      </w:r>
    </w:p>
    <w:p>
      <w:pPr>
        <w:spacing w:after="0" w:line="144" w:lineRule="exact"/>
        <w:rPr>
          <w:rFonts w:ascii="Arial" w:cs="Arial" w:eastAsia="Arial" w:hAnsi="Arial"/>
          <w:sz w:val="22"/>
          <w:szCs w:val="22"/>
          <w:color w:val="auto"/>
        </w:rPr>
      </w:pPr>
    </w:p>
    <w:p>
      <w:pPr>
        <w:ind w:left="1500" w:right="359" w:hanging="648"/>
        <w:spacing w:after="0" w:line="239" w:lineRule="auto"/>
        <w:rPr>
          <w:rFonts w:ascii="Arial" w:cs="Arial" w:eastAsia="Arial" w:hAnsi="Arial"/>
          <w:sz w:val="22"/>
          <w:szCs w:val="22"/>
          <w:color w:val="auto"/>
        </w:rPr>
      </w:pPr>
      <w:r>
        <w:rPr>
          <w:rFonts w:ascii="Arial" w:cs="Arial" w:eastAsia="Arial" w:hAnsi="Arial"/>
          <w:sz w:val="22"/>
          <w:szCs w:val="22"/>
          <w:color w:val="auto"/>
        </w:rPr>
        <w:t xml:space="preserve">3.3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confers no license or rights by implication, estoppel, or otherwise under any patent applications or patents of the </w:t>
      </w:r>
      <w:r>
        <w:rPr>
          <w:rFonts w:ascii="Arial" w:cs="Arial" w:eastAsia="Arial" w:hAnsi="Arial"/>
          <w:sz w:val="22"/>
          <w:szCs w:val="22"/>
          <w:b w:val="1"/>
          <w:bCs w:val="1"/>
          <w:color w:val="auto"/>
        </w:rPr>
        <w:t>IC</w:t>
      </w:r>
      <w:r>
        <w:rPr>
          <w:rFonts w:ascii="Arial" w:cs="Arial" w:eastAsia="Arial" w:hAnsi="Arial"/>
          <w:sz w:val="22"/>
          <w:szCs w:val="22"/>
          <w:color w:val="auto"/>
        </w:rPr>
        <w:t xml:space="preserve"> other than the </w:t>
      </w:r>
      <w:r>
        <w:rPr>
          <w:rFonts w:ascii="Arial" w:cs="Arial" w:eastAsia="Arial" w:hAnsi="Arial"/>
          <w:sz w:val="22"/>
          <w:szCs w:val="22"/>
          <w:b w:val="1"/>
          <w:bCs w:val="1"/>
          <w:color w:val="auto"/>
        </w:rPr>
        <w:t>Licensed Patent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Rights </w:t>
      </w:r>
      <w:r>
        <w:rPr>
          <w:rFonts w:ascii="Arial" w:cs="Arial" w:eastAsia="Arial" w:hAnsi="Arial"/>
          <w:sz w:val="22"/>
          <w:szCs w:val="22"/>
          <w:color w:val="auto"/>
        </w:rPr>
        <w:t>regardless of whether these patents are dominant or subordinate to the</w:t>
      </w:r>
      <w:r>
        <w:rPr>
          <w:rFonts w:ascii="Arial" w:cs="Arial" w:eastAsia="Arial" w:hAnsi="Arial"/>
          <w:sz w:val="22"/>
          <w:szCs w:val="22"/>
          <w:b w:val="1"/>
          <w:bCs w:val="1"/>
          <w:color w:val="auto"/>
        </w:rPr>
        <w:t xml:space="preserve"> Licensed Patent Rights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860" w:hanging="651"/>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SUBLICENSING</w:t>
      </w:r>
    </w:p>
    <w:p>
      <w:pPr>
        <w:spacing w:after="0" w:line="206" w:lineRule="exact"/>
        <w:rPr>
          <w:rFonts w:ascii="Arial" w:cs="Arial" w:eastAsia="Arial" w:hAnsi="Arial"/>
          <w:sz w:val="22"/>
          <w:szCs w:val="22"/>
          <w:color w:val="auto"/>
        </w:rPr>
      </w:pPr>
    </w:p>
    <w:p>
      <w:pPr>
        <w:ind w:left="1500" w:right="379" w:hanging="648"/>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4.1 Upon written approval, which shall include prior review of any sublicense agreement by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and which shall not be unreasonably withheld or delayed, the </w:t>
      </w:r>
      <w:r>
        <w:rPr>
          <w:rFonts w:ascii="Arial" w:cs="Arial" w:eastAsia="Arial" w:hAnsi="Arial"/>
          <w:sz w:val="22"/>
          <w:szCs w:val="22"/>
          <w:b w:val="1"/>
          <w:bCs w:val="1"/>
          <w:color w:val="auto"/>
        </w:rPr>
        <w:t xml:space="preserve">Licensee </w:t>
      </w:r>
      <w:r>
        <w:rPr>
          <w:rFonts w:ascii="Arial" w:cs="Arial" w:eastAsia="Arial" w:hAnsi="Arial"/>
          <w:sz w:val="22"/>
          <w:szCs w:val="22"/>
          <w:color w:val="auto"/>
        </w:rPr>
        <w:t>may enter into sublicensing agreements under the</w:t>
      </w:r>
      <w:r>
        <w:rPr>
          <w:rFonts w:ascii="Arial" w:cs="Arial" w:eastAsia="Arial" w:hAnsi="Arial"/>
          <w:sz w:val="22"/>
          <w:szCs w:val="22"/>
          <w:b w:val="1"/>
          <w:bCs w:val="1"/>
          <w:color w:val="auto"/>
        </w:rPr>
        <w:t xml:space="preserve"> Licensed Patent Rights</w:t>
      </w:r>
      <w:r>
        <w:rPr>
          <w:rFonts w:ascii="Arial" w:cs="Arial" w:eastAsia="Arial" w:hAnsi="Arial"/>
          <w:sz w:val="22"/>
          <w:szCs w:val="22"/>
          <w:color w:val="auto"/>
        </w:rPr>
        <w:t>.</w:t>
      </w:r>
    </w:p>
    <w:p>
      <w:pPr>
        <w:spacing w:after="0" w:line="178" w:lineRule="exact"/>
        <w:rPr>
          <w:rFonts w:ascii="Arial" w:cs="Arial" w:eastAsia="Arial" w:hAnsi="Arial"/>
          <w:sz w:val="22"/>
          <w:szCs w:val="22"/>
          <w:color w:val="auto"/>
        </w:rPr>
      </w:pPr>
    </w:p>
    <w:p>
      <w:pPr>
        <w:ind w:left="1500" w:right="219" w:hanging="648"/>
        <w:spacing w:after="0" w:line="237" w:lineRule="auto"/>
        <w:rPr>
          <w:rFonts w:ascii="Arial" w:cs="Arial" w:eastAsia="Arial" w:hAnsi="Arial"/>
          <w:sz w:val="22"/>
          <w:szCs w:val="22"/>
          <w:color w:val="auto"/>
        </w:rPr>
      </w:pPr>
      <w:r>
        <w:rPr>
          <w:rFonts w:ascii="Arial" w:cs="Arial" w:eastAsia="Arial" w:hAnsi="Arial"/>
          <w:sz w:val="22"/>
          <w:szCs w:val="22"/>
          <w:color w:val="auto"/>
        </w:rPr>
        <w:t xml:space="preserve">4.2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that any sublicenses shall provide that the obligations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of Paragraphs 5.1-5.4, 8.1, 10.1, 10.2, 12.5, and 13.8-13.10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shall be binding upon the sublicensee as if it were a party to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 xml:space="preserve">Licensee </w:t>
      </w:r>
      <w:r>
        <w:rPr>
          <w:rFonts w:ascii="Arial" w:cs="Arial" w:eastAsia="Arial" w:hAnsi="Arial"/>
          <w:sz w:val="22"/>
          <w:szCs w:val="22"/>
          <w:color w:val="auto"/>
        </w:rPr>
        <w:t>further agrees to attach copies of these Paragraphs to all sublicense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784225</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ind w:left="1500" w:right="259" w:hanging="647"/>
        <w:spacing w:after="0" w:line="280" w:lineRule="auto"/>
        <w:tabs>
          <w:tab w:leader="none" w:pos="1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 xml:space="preserve">Any sublicenses granted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provide for the termination of the sublicense, or the conversion to a license directly between the sublicensees and the </w:t>
      </w:r>
      <w:r>
        <w:rPr>
          <w:rFonts w:ascii="Arial" w:cs="Arial" w:eastAsia="Arial" w:hAnsi="Arial"/>
          <w:sz w:val="19"/>
          <w:szCs w:val="19"/>
          <w:b w:val="1"/>
          <w:bCs w:val="1"/>
          <w:color w:val="auto"/>
        </w:rPr>
        <w:t>IC</w:t>
      </w:r>
      <w:r>
        <w:rPr>
          <w:rFonts w:ascii="Arial" w:cs="Arial" w:eastAsia="Arial" w:hAnsi="Arial"/>
          <w:sz w:val="19"/>
          <w:szCs w:val="19"/>
          <w:color w:val="auto"/>
        </w:rPr>
        <w:t>, at the option of the sublicensee, upon termination of this</w:t>
      </w:r>
      <w:r>
        <w:rPr>
          <w:rFonts w:ascii="Arial" w:cs="Arial" w:eastAsia="Arial" w:hAnsi="Arial"/>
          <w:sz w:val="19"/>
          <w:szCs w:val="19"/>
          <w:b w:val="1"/>
          <w:bCs w:val="1"/>
          <w:color w:val="auto"/>
        </w:rPr>
        <w:t xml:space="preserve"> Agreement </w:t>
      </w:r>
      <w:r>
        <w:rPr>
          <w:rFonts w:ascii="Arial" w:cs="Arial" w:eastAsia="Arial" w:hAnsi="Arial"/>
          <w:sz w:val="19"/>
          <w:szCs w:val="19"/>
          <w:color w:val="auto"/>
        </w:rPr>
        <w:t>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Article 13. This conversion is subject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approval, which will not be unreasonably denied or delayed, and contingent upon acceptance by the sublicensee of the remaining provisions of this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45" w:lineRule="exact"/>
        <w:rPr>
          <w:sz w:val="20"/>
          <w:szCs w:val="20"/>
          <w:color w:val="auto"/>
        </w:rPr>
      </w:pPr>
    </w:p>
    <w:p>
      <w:pPr>
        <w:ind w:left="1500" w:right="499" w:hanging="647"/>
        <w:spacing w:after="0" w:line="239" w:lineRule="auto"/>
        <w:tabs>
          <w:tab w:leader="none" w:pos="1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forward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 complete copy of each fully executed sublicense agreement postmarked within thirty (30) days of the execution of the agreement. To the extent permitted by law,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agrees to maintain each sublicense agreement in confidence.</w:t>
      </w:r>
    </w:p>
    <w:p>
      <w:pPr>
        <w:spacing w:after="0" w:line="186" w:lineRule="exact"/>
        <w:rPr>
          <w:sz w:val="20"/>
          <w:szCs w:val="20"/>
          <w:color w:val="auto"/>
        </w:rPr>
      </w:pPr>
    </w:p>
    <w:p>
      <w:pPr>
        <w:ind w:left="860" w:right="339" w:hanging="651"/>
        <w:spacing w:after="0" w:line="432" w:lineRule="auto"/>
        <w:tabs>
          <w:tab w:leader="none" w:pos="8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 xml:space="preserve">STATUTORY AND IC REQUIREMENTS AND RESERVED GOVERNMENT RIGHTS </w:t>
      </w:r>
      <w:r>
        <w:rPr>
          <w:rFonts w:ascii="Arial" w:cs="Arial" w:eastAsia="Arial" w:hAnsi="Arial"/>
          <w:sz w:val="22"/>
          <w:szCs w:val="22"/>
          <w:color w:val="auto"/>
        </w:rPr>
        <w:t>5.1</w:t>
      </w:r>
    </w:p>
    <w:p>
      <w:pPr>
        <w:spacing w:after="0" w:line="1" w:lineRule="exact"/>
        <w:rPr>
          <w:rFonts w:ascii="Arial" w:cs="Arial" w:eastAsia="Arial" w:hAnsi="Arial"/>
          <w:sz w:val="22"/>
          <w:szCs w:val="22"/>
          <w:color w:val="auto"/>
        </w:rPr>
      </w:pPr>
    </w:p>
    <w:p>
      <w:pPr>
        <w:ind w:left="2160" w:right="319" w:hanging="655"/>
        <w:spacing w:after="0" w:line="272" w:lineRule="auto"/>
        <w:tabs>
          <w:tab w:leader="none" w:pos="21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reserves on behalf of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an irrevocable, nonexclusive, nontransferable, royalty-free license for the practice of all inventions licensed under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throughout the world by or on behalf of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and on behalf of any foreign government or international organization pursuant to any existing or future treaty or agreement to which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is a signatory. Prior to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Commercial Sale</w:t>
      </w:r>
      <w:r>
        <w:rPr>
          <w:rFonts w:ascii="Arial" w:cs="Arial" w:eastAsia="Arial" w:hAnsi="Arial"/>
          <w:sz w:val="19"/>
          <w:szCs w:val="19"/>
          <w:color w:val="auto"/>
        </w:rPr>
        <w:t>,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agrees to provide the</w:t>
      </w:r>
      <w:r>
        <w:rPr>
          <w:rFonts w:ascii="Arial" w:cs="Arial" w:eastAsia="Arial" w:hAnsi="Arial"/>
          <w:sz w:val="19"/>
          <w:szCs w:val="19"/>
          <w:b w:val="1"/>
          <w:bCs w:val="1"/>
          <w:color w:val="auto"/>
        </w:rPr>
        <w:t xml:space="preserve"> IC </w:t>
      </w:r>
      <w:r>
        <w:rPr>
          <w:rFonts w:ascii="Arial" w:cs="Arial" w:eastAsia="Arial" w:hAnsi="Arial"/>
          <w:sz w:val="19"/>
          <w:szCs w:val="19"/>
          <w:color w:val="auto"/>
        </w:rPr>
        <w:t>with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quantities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materials made through the </w:t>
      </w:r>
      <w:r>
        <w:rPr>
          <w:rFonts w:ascii="Arial" w:cs="Arial" w:eastAsia="Arial" w:hAnsi="Arial"/>
          <w:sz w:val="19"/>
          <w:szCs w:val="19"/>
          <w:b w:val="1"/>
          <w:bCs w:val="1"/>
          <w:color w:val="auto"/>
        </w:rPr>
        <w:t xml:space="preserve">Licensed Processes </w:t>
      </w:r>
      <w:r>
        <w:rPr>
          <w:rFonts w:ascii="Arial" w:cs="Arial" w:eastAsia="Arial" w:hAnsi="Arial"/>
          <w:sz w:val="19"/>
          <w:szCs w:val="19"/>
          <w:color w:val="auto"/>
        </w:rPr>
        <w:t>for</w:t>
      </w:r>
      <w:r>
        <w:rPr>
          <w:rFonts w:ascii="Arial" w:cs="Arial" w:eastAsia="Arial" w:hAnsi="Arial"/>
          <w:sz w:val="19"/>
          <w:szCs w:val="19"/>
          <w:b w:val="1"/>
          <w:bCs w:val="1"/>
          <w:color w:val="auto"/>
        </w:rPr>
        <w:t xml:space="preserve"> IC </w:t>
      </w:r>
      <w:r>
        <w:rPr>
          <w:rFonts w:ascii="Arial" w:cs="Arial" w:eastAsia="Arial" w:hAnsi="Arial"/>
          <w:sz w:val="19"/>
          <w:szCs w:val="19"/>
          <w:color w:val="auto"/>
        </w:rPr>
        <w:t>research use. Given the nature of the envisioned</w:t>
      </w:r>
      <w:r>
        <w:rPr>
          <w:rFonts w:ascii="Arial" w:cs="Arial" w:eastAsia="Arial" w:hAnsi="Arial"/>
          <w:sz w:val="19"/>
          <w:szCs w:val="19"/>
          <w:b w:val="1"/>
          <w:bCs w:val="1"/>
          <w:color w:val="auto"/>
        </w:rPr>
        <w:t xml:space="preserve"> Licensed Products </w:t>
      </w:r>
      <w:r>
        <w:rPr>
          <w:rFonts w:ascii="Arial" w:cs="Arial" w:eastAsia="Arial" w:hAnsi="Arial"/>
          <w:sz w:val="19"/>
          <w:szCs w:val="19"/>
          <w:color w:val="auto"/>
        </w:rPr>
        <w:t>as personalized autologous cell therapy products, if any</w:t>
      </w:r>
      <w:r>
        <w:rPr>
          <w:rFonts w:ascii="Arial" w:cs="Arial" w:eastAsia="Arial" w:hAnsi="Arial"/>
          <w:sz w:val="19"/>
          <w:szCs w:val="19"/>
          <w:b w:val="1"/>
          <w:bCs w:val="1"/>
          <w:color w:val="auto"/>
        </w:rPr>
        <w:t xml:space="preserve"> Licensed Products </w:t>
      </w:r>
      <w:r>
        <w:rPr>
          <w:rFonts w:ascii="Arial" w:cs="Arial" w:eastAsia="Arial" w:hAnsi="Arial"/>
          <w:sz w:val="19"/>
          <w:szCs w:val="19"/>
          <w:color w:val="auto"/>
        </w:rPr>
        <w:t>and/or materials made through the</w:t>
      </w:r>
      <w:r>
        <w:rPr>
          <w:rFonts w:ascii="Arial" w:cs="Arial" w:eastAsia="Arial" w:hAnsi="Arial"/>
          <w:sz w:val="19"/>
          <w:szCs w:val="19"/>
          <w:b w:val="1"/>
          <w:bCs w:val="1"/>
          <w:color w:val="auto"/>
        </w:rPr>
        <w:t xml:space="preserve"> Licensed Processes </w:t>
      </w:r>
      <w:r>
        <w:rPr>
          <w:rFonts w:ascii="Arial" w:cs="Arial" w:eastAsia="Arial" w:hAnsi="Arial"/>
          <w:sz w:val="19"/>
          <w:szCs w:val="19"/>
          <w:color w:val="auto"/>
        </w:rPr>
        <w:t xml:space="preserve">are not available in reasonable quantities for </w:t>
      </w:r>
      <w:r>
        <w:rPr>
          <w:rFonts w:ascii="Arial" w:cs="Arial" w:eastAsia="Arial" w:hAnsi="Arial"/>
          <w:sz w:val="19"/>
          <w:szCs w:val="19"/>
          <w:b w:val="1"/>
          <w:bCs w:val="1"/>
          <w:color w:val="auto"/>
        </w:rPr>
        <w:t>IC</w:t>
      </w:r>
      <w:r>
        <w:rPr>
          <w:rFonts w:ascii="Arial" w:cs="Arial" w:eastAsia="Arial" w:hAnsi="Arial"/>
          <w:sz w:val="19"/>
          <w:szCs w:val="19"/>
          <w:color w:val="auto"/>
        </w:rPr>
        <w:t xml:space="preserve"> research use, they shall not be subject to the foregoing obligation; and</w:t>
      </w:r>
    </w:p>
    <w:p>
      <w:pPr>
        <w:spacing w:after="0" w:line="155" w:lineRule="exact"/>
        <w:rPr>
          <w:rFonts w:ascii="Arial" w:cs="Arial" w:eastAsia="Arial" w:hAnsi="Arial"/>
          <w:sz w:val="19"/>
          <w:szCs w:val="19"/>
          <w:color w:val="auto"/>
        </w:rPr>
      </w:pPr>
    </w:p>
    <w:p>
      <w:pPr>
        <w:ind w:left="2160" w:right="279" w:hanging="655"/>
        <w:spacing w:after="0" w:line="271" w:lineRule="auto"/>
        <w:tabs>
          <w:tab w:leader="none" w:pos="21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in the event that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are Subject Inventions made under </w:t>
      </w:r>
      <w:r>
        <w:rPr>
          <w:rFonts w:ascii="Arial" w:cs="Arial" w:eastAsia="Arial" w:hAnsi="Arial"/>
          <w:sz w:val="19"/>
          <w:szCs w:val="19"/>
          <w:b w:val="1"/>
          <w:bCs w:val="1"/>
          <w:color w:val="auto"/>
        </w:rPr>
        <w:t>CRADA</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grants to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15</w:t>
      </w:r>
      <w:r>
        <w:rPr>
          <w:rFonts w:ascii="Arial" w:cs="Arial" w:eastAsia="Arial" w:hAnsi="Arial"/>
          <w:sz w:val="19"/>
          <w:szCs w:val="19"/>
          <w:color w:val="auto"/>
        </w:rPr>
        <w:t xml:space="preserve"> </w:t>
      </w:r>
      <w:r>
        <w:rPr>
          <w:rFonts w:ascii="Arial" w:cs="Arial" w:eastAsia="Arial" w:hAnsi="Arial"/>
          <w:sz w:val="19"/>
          <w:szCs w:val="19"/>
          <w:u w:val="single" w:color="auto"/>
          <w:color w:val="auto"/>
        </w:rPr>
        <w:t>U.S.C. §3710a(b)(1)(A)</w:t>
      </w:r>
      <w:r>
        <w:rPr>
          <w:rFonts w:ascii="Arial" w:cs="Arial" w:eastAsia="Arial" w:hAnsi="Arial"/>
          <w:sz w:val="19"/>
          <w:szCs w:val="19"/>
          <w:color w:val="auto"/>
        </w:rPr>
        <w:t xml:space="preserve">, a nonexclusive, nontransferable, irrevocable, paid-up license to practice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or have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practiced throughout the world by or on behalf of the</w:t>
      </w:r>
      <w:r>
        <w:rPr>
          <w:rFonts w:ascii="Arial" w:cs="Arial" w:eastAsia="Arial" w:hAnsi="Arial"/>
          <w:sz w:val="19"/>
          <w:szCs w:val="19"/>
          <w:b w:val="1"/>
          <w:bCs w:val="1"/>
          <w:color w:val="auto"/>
        </w:rPr>
        <w:t xml:space="preserve"> Government</w:t>
      </w:r>
      <w:r>
        <w:rPr>
          <w:rFonts w:ascii="Arial" w:cs="Arial" w:eastAsia="Arial" w:hAnsi="Arial"/>
          <w:sz w:val="19"/>
          <w:szCs w:val="19"/>
          <w:color w:val="auto"/>
        </w:rPr>
        <w:t>. In the exercise of this license, the</w:t>
      </w:r>
      <w:r>
        <w:rPr>
          <w:rFonts w:ascii="Arial" w:cs="Arial" w:eastAsia="Arial" w:hAnsi="Arial"/>
          <w:sz w:val="19"/>
          <w:szCs w:val="19"/>
          <w:b w:val="1"/>
          <w:bCs w:val="1"/>
          <w:color w:val="auto"/>
        </w:rPr>
        <w:t xml:space="preserve"> Government </w:t>
      </w:r>
      <w:r>
        <w:rPr>
          <w:rFonts w:ascii="Arial" w:cs="Arial" w:eastAsia="Arial" w:hAnsi="Arial"/>
          <w:sz w:val="19"/>
          <w:szCs w:val="19"/>
          <w:color w:val="auto"/>
        </w:rPr>
        <w:t>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publicly disclose trade secrets or commercial or financial information that is privileged or confidential within the meaning of </w:t>
      </w:r>
      <w:r>
        <w:rPr>
          <w:rFonts w:ascii="Arial" w:cs="Arial" w:eastAsia="Arial" w:hAnsi="Arial"/>
          <w:sz w:val="19"/>
          <w:szCs w:val="19"/>
          <w:u w:val="single" w:color="auto"/>
          <w:color w:val="auto"/>
        </w:rPr>
        <w:t>5 U.S.C. §552(b)(4)</w:t>
      </w:r>
      <w:r>
        <w:rPr>
          <w:rFonts w:ascii="Arial" w:cs="Arial" w:eastAsia="Arial" w:hAnsi="Arial"/>
          <w:sz w:val="19"/>
          <w:szCs w:val="19"/>
          <w:color w:val="auto"/>
        </w:rPr>
        <w:t xml:space="preserve"> or which would be considered as such if it had been obtained from a non-Federal party. Prior to the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provide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with reasonable quantities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materials made through the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for </w:t>
      </w:r>
      <w:r>
        <w:rPr>
          <w:rFonts w:ascii="Arial" w:cs="Arial" w:eastAsia="Arial" w:hAnsi="Arial"/>
          <w:sz w:val="19"/>
          <w:szCs w:val="19"/>
          <w:b w:val="1"/>
          <w:bCs w:val="1"/>
          <w:color w:val="auto"/>
        </w:rPr>
        <w:t>IC</w:t>
      </w:r>
      <w:r>
        <w:rPr>
          <w:rFonts w:ascii="Arial" w:cs="Arial" w:eastAsia="Arial" w:hAnsi="Arial"/>
          <w:sz w:val="19"/>
          <w:szCs w:val="19"/>
          <w:color w:val="auto"/>
        </w:rPr>
        <w:t xml:space="preserve"> research use. Given the nature of the envisioned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as personalized autologous cell therapy products, if any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and/or materials made through the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are not available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770890</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5" w:name="page96"/>
    <w:bookmarkEnd w:id="95"/>
    <w:p>
      <w:pPr>
        <w:ind w:left="2160" w:right="599"/>
        <w:spacing w:after="0" w:line="257" w:lineRule="auto"/>
        <w:rPr>
          <w:sz w:val="20"/>
          <w:szCs w:val="20"/>
          <w:color w:val="auto"/>
        </w:rPr>
      </w:pPr>
      <w:r>
        <w:rPr>
          <w:rFonts w:ascii="Arial" w:cs="Arial" w:eastAsia="Arial" w:hAnsi="Arial"/>
          <w:sz w:val="22"/>
          <w:szCs w:val="22"/>
          <w:color w:val="auto"/>
        </w:rPr>
        <w:t xml:space="preserve">reasonable quantities for </w:t>
      </w:r>
      <w:r>
        <w:rPr>
          <w:rFonts w:ascii="Arial" w:cs="Arial" w:eastAsia="Arial" w:hAnsi="Arial"/>
          <w:sz w:val="22"/>
          <w:szCs w:val="22"/>
          <w:b w:val="1"/>
          <w:bCs w:val="1"/>
          <w:color w:val="auto"/>
        </w:rPr>
        <w:t>IC</w:t>
      </w:r>
      <w:r>
        <w:rPr>
          <w:rFonts w:ascii="Arial" w:cs="Arial" w:eastAsia="Arial" w:hAnsi="Arial"/>
          <w:sz w:val="22"/>
          <w:szCs w:val="22"/>
          <w:color w:val="auto"/>
        </w:rPr>
        <w:t xml:space="preserve"> research use, they shall not be subject to the foregoing obligation.</w:t>
      </w:r>
    </w:p>
    <w:p>
      <w:pPr>
        <w:spacing w:after="0" w:line="161" w:lineRule="exact"/>
        <w:rPr>
          <w:sz w:val="20"/>
          <w:szCs w:val="20"/>
          <w:color w:val="auto"/>
        </w:rPr>
      </w:pPr>
    </w:p>
    <w:p>
      <w:pPr>
        <w:ind w:left="1500" w:right="319" w:hanging="647"/>
        <w:spacing w:after="0" w:line="239" w:lineRule="auto"/>
        <w:tabs>
          <w:tab w:leader="none" w:pos="1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that products used or sold in the United States embodying the </w:t>
      </w:r>
      <w:r>
        <w:rPr>
          <w:rFonts w:ascii="Arial" w:cs="Arial" w:eastAsia="Arial" w:hAnsi="Arial"/>
          <w:sz w:val="22"/>
          <w:szCs w:val="22"/>
          <w:b w:val="1"/>
          <w:bCs w:val="1"/>
          <w:color w:val="auto"/>
        </w:rPr>
        <w:t xml:space="preserve">Licensed Products </w:t>
      </w:r>
      <w:r>
        <w:rPr>
          <w:rFonts w:ascii="Arial" w:cs="Arial" w:eastAsia="Arial" w:hAnsi="Arial"/>
          <w:sz w:val="22"/>
          <w:szCs w:val="22"/>
          <w:color w:val="auto"/>
        </w:rPr>
        <w:t>or produced through use of the</w:t>
      </w:r>
      <w:r>
        <w:rPr>
          <w:rFonts w:ascii="Arial" w:cs="Arial" w:eastAsia="Arial" w:hAnsi="Arial"/>
          <w:sz w:val="22"/>
          <w:szCs w:val="22"/>
          <w:b w:val="1"/>
          <w:bCs w:val="1"/>
          <w:color w:val="auto"/>
        </w:rPr>
        <w:t xml:space="preserve"> Licensed Processes </w:t>
      </w:r>
      <w:r>
        <w:rPr>
          <w:rFonts w:ascii="Arial" w:cs="Arial" w:eastAsia="Arial" w:hAnsi="Arial"/>
          <w:sz w:val="22"/>
          <w:szCs w:val="22"/>
          <w:color w:val="auto"/>
        </w:rPr>
        <w:t>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manufactured substantially in the United States, unless a written waiver is obtained in advance from the </w:t>
      </w:r>
      <w:r>
        <w:rPr>
          <w:rFonts w:ascii="Arial" w:cs="Arial" w:eastAsia="Arial" w:hAnsi="Arial"/>
          <w:sz w:val="22"/>
          <w:szCs w:val="22"/>
          <w:b w:val="1"/>
          <w:bCs w:val="1"/>
          <w:color w:val="auto"/>
        </w:rPr>
        <w:t>IC</w:t>
      </w:r>
      <w:r>
        <w:rPr>
          <w:rFonts w:ascii="Arial" w:cs="Arial" w:eastAsia="Arial" w:hAnsi="Arial"/>
          <w:sz w:val="22"/>
          <w:szCs w:val="22"/>
          <w:color w:val="auto"/>
        </w:rPr>
        <w:t>.</w:t>
      </w:r>
    </w:p>
    <w:p>
      <w:pPr>
        <w:spacing w:after="0" w:line="180" w:lineRule="exact"/>
        <w:rPr>
          <w:sz w:val="20"/>
          <w:szCs w:val="20"/>
          <w:color w:val="auto"/>
        </w:rPr>
      </w:pPr>
    </w:p>
    <w:p>
      <w:pPr>
        <w:ind w:left="1500" w:right="259" w:hanging="647"/>
        <w:spacing w:after="0" w:line="280" w:lineRule="auto"/>
        <w:tabs>
          <w:tab w:leader="none" w:pos="1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acknowledges that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may enter into future </w:t>
      </w:r>
      <w:r>
        <w:rPr>
          <w:rFonts w:ascii="Arial" w:cs="Arial" w:eastAsia="Arial" w:hAnsi="Arial"/>
          <w:sz w:val="19"/>
          <w:szCs w:val="19"/>
          <w:b w:val="1"/>
          <w:bCs w:val="1"/>
          <w:color w:val="auto"/>
        </w:rPr>
        <w:t>CRADAs</w:t>
      </w:r>
      <w:r>
        <w:rPr>
          <w:rFonts w:ascii="Arial" w:cs="Arial" w:eastAsia="Arial" w:hAnsi="Arial"/>
          <w:sz w:val="19"/>
          <w:szCs w:val="19"/>
          <w:color w:val="auto"/>
        </w:rPr>
        <w:t xml:space="preserve"> under the </w:t>
      </w:r>
      <w:r>
        <w:rPr>
          <w:rFonts w:ascii="Arial" w:cs="Arial" w:eastAsia="Arial" w:hAnsi="Arial"/>
          <w:sz w:val="19"/>
          <w:szCs w:val="19"/>
          <w:u w:val="single" w:color="auto"/>
          <w:color w:val="auto"/>
        </w:rPr>
        <w:t>Federal Technology Transfer Act of 1986</w:t>
      </w:r>
      <w:r>
        <w:rPr>
          <w:rFonts w:ascii="Arial" w:cs="Arial" w:eastAsia="Arial" w:hAnsi="Arial"/>
          <w:sz w:val="19"/>
          <w:szCs w:val="19"/>
          <w:color w:val="auto"/>
        </w:rPr>
        <w:t xml:space="preserve"> that relate to the subject matter of this </w:t>
      </w:r>
      <w:r>
        <w:rPr>
          <w:rFonts w:ascii="Arial" w:cs="Arial" w:eastAsia="Arial" w:hAnsi="Arial"/>
          <w:sz w:val="19"/>
          <w:szCs w:val="19"/>
          <w:b w:val="1"/>
          <w:bCs w:val="1"/>
          <w:color w:val="auto"/>
        </w:rPr>
        <w:t>Agreement</w:t>
      </w:r>
      <w:r>
        <w:rPr>
          <w:rFonts w:ascii="Arial" w:cs="Arial" w:eastAsia="Arial" w:hAnsi="Arial"/>
          <w:sz w:val="19"/>
          <w:szCs w:val="19"/>
          <w:color w:val="auto"/>
        </w:rPr>
        <w:t>.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agrees not to unreasonably deny requests for a</w:t>
      </w:r>
      <w:r>
        <w:rPr>
          <w:rFonts w:ascii="Arial" w:cs="Arial" w:eastAsia="Arial" w:hAnsi="Arial"/>
          <w:sz w:val="19"/>
          <w:szCs w:val="19"/>
          <w:b w:val="1"/>
          <w:bCs w:val="1"/>
          <w:color w:val="auto"/>
        </w:rPr>
        <w:t xml:space="preserve"> Research License </w:t>
      </w:r>
      <w:r>
        <w:rPr>
          <w:rFonts w:ascii="Arial" w:cs="Arial" w:eastAsia="Arial" w:hAnsi="Arial"/>
          <w:sz w:val="19"/>
          <w:szCs w:val="19"/>
          <w:color w:val="auto"/>
        </w:rPr>
        <w:t>from future collaborators with the</w:t>
      </w:r>
      <w:r>
        <w:rPr>
          <w:rFonts w:ascii="Arial" w:cs="Arial" w:eastAsia="Arial" w:hAnsi="Arial"/>
          <w:sz w:val="19"/>
          <w:szCs w:val="19"/>
          <w:b w:val="1"/>
          <w:bCs w:val="1"/>
          <w:color w:val="auto"/>
        </w:rPr>
        <w:t xml:space="preserve"> IC </w:t>
      </w:r>
      <w:r>
        <w:rPr>
          <w:rFonts w:ascii="Arial" w:cs="Arial" w:eastAsia="Arial" w:hAnsi="Arial"/>
          <w:sz w:val="19"/>
          <w:szCs w:val="19"/>
          <w:color w:val="auto"/>
        </w:rPr>
        <w:t>when acquiring these rights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necessary in order to make a </w:t>
      </w:r>
      <w:r>
        <w:rPr>
          <w:rFonts w:ascii="Arial" w:cs="Arial" w:eastAsia="Arial" w:hAnsi="Arial"/>
          <w:sz w:val="19"/>
          <w:szCs w:val="19"/>
          <w:b w:val="1"/>
          <w:bCs w:val="1"/>
          <w:color w:val="auto"/>
        </w:rPr>
        <w:t>CRADA</w:t>
      </w:r>
      <w:r>
        <w:rPr>
          <w:rFonts w:ascii="Arial" w:cs="Arial" w:eastAsia="Arial" w:hAnsi="Arial"/>
          <w:sz w:val="19"/>
          <w:szCs w:val="19"/>
          <w:color w:val="auto"/>
        </w:rPr>
        <w:t xml:space="preserve"> project feasible.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request an opportunity to join as a party to the proposed </w:t>
      </w:r>
      <w:r>
        <w:rPr>
          <w:rFonts w:ascii="Arial" w:cs="Arial" w:eastAsia="Arial" w:hAnsi="Arial"/>
          <w:sz w:val="19"/>
          <w:szCs w:val="19"/>
          <w:b w:val="1"/>
          <w:bCs w:val="1"/>
          <w:color w:val="auto"/>
        </w:rPr>
        <w:t>CRADA</w:t>
      </w:r>
      <w:r>
        <w:rPr>
          <w:rFonts w:ascii="Arial" w:cs="Arial" w:eastAsia="Arial" w:hAnsi="Arial"/>
          <w:sz w:val="19"/>
          <w:szCs w:val="19"/>
          <w:color w:val="auto"/>
        </w:rPr>
        <w:t>.</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5.4</w:t>
      </w:r>
    </w:p>
    <w:p>
      <w:pPr>
        <w:spacing w:after="0" w:line="200" w:lineRule="exact"/>
        <w:rPr>
          <w:sz w:val="20"/>
          <w:szCs w:val="20"/>
          <w:color w:val="auto"/>
        </w:rPr>
      </w:pPr>
    </w:p>
    <w:p>
      <w:pPr>
        <w:ind w:left="2160" w:right="259" w:hanging="655"/>
        <w:spacing w:after="0" w:line="276" w:lineRule="auto"/>
        <w:tabs>
          <w:tab w:leader="none" w:pos="21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in addition to the reserved license of Paragraph 5.1, 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reserves the right to grant </w:t>
      </w:r>
      <w:r>
        <w:rPr>
          <w:rFonts w:ascii="Arial" w:cs="Arial" w:eastAsia="Arial" w:hAnsi="Arial"/>
          <w:sz w:val="19"/>
          <w:szCs w:val="19"/>
          <w:b w:val="1"/>
          <w:bCs w:val="1"/>
          <w:color w:val="auto"/>
        </w:rPr>
        <w:t>Research Licenses</w:t>
      </w:r>
      <w:r>
        <w:rPr>
          <w:rFonts w:ascii="Arial" w:cs="Arial" w:eastAsia="Arial" w:hAnsi="Arial"/>
          <w:sz w:val="19"/>
          <w:szCs w:val="19"/>
          <w:color w:val="auto"/>
        </w:rPr>
        <w:t xml:space="preserve"> directly or to require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to grant </w:t>
      </w:r>
      <w:r>
        <w:rPr>
          <w:rFonts w:ascii="Arial" w:cs="Arial" w:eastAsia="Arial" w:hAnsi="Arial"/>
          <w:sz w:val="19"/>
          <w:szCs w:val="19"/>
          <w:b w:val="1"/>
          <w:bCs w:val="1"/>
          <w:color w:val="auto"/>
        </w:rPr>
        <w:t xml:space="preserve">Research Licenses </w:t>
      </w:r>
      <w:r>
        <w:rPr>
          <w:rFonts w:ascii="Arial" w:cs="Arial" w:eastAsia="Arial" w:hAnsi="Arial"/>
          <w:sz w:val="19"/>
          <w:szCs w:val="19"/>
          <w:color w:val="auto"/>
        </w:rPr>
        <w:t>on reasonable terms. The purpose of these</w:t>
      </w:r>
      <w:r>
        <w:rPr>
          <w:rFonts w:ascii="Arial" w:cs="Arial" w:eastAsia="Arial" w:hAnsi="Arial"/>
          <w:sz w:val="19"/>
          <w:szCs w:val="19"/>
          <w:b w:val="1"/>
          <w:bCs w:val="1"/>
          <w:color w:val="auto"/>
        </w:rPr>
        <w:t xml:space="preserve"> Research Licenses </w:t>
      </w:r>
      <w:r>
        <w:rPr>
          <w:rFonts w:ascii="Arial" w:cs="Arial" w:eastAsia="Arial" w:hAnsi="Arial"/>
          <w:sz w:val="19"/>
          <w:szCs w:val="19"/>
          <w:color w:val="auto"/>
        </w:rPr>
        <w:t>is to encourage basic research, whether conducted at an academic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corporate facility. In order to safeguard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however,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consult with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before granting to commercial entities a </w:t>
      </w:r>
      <w:r>
        <w:rPr>
          <w:rFonts w:ascii="Arial" w:cs="Arial" w:eastAsia="Arial" w:hAnsi="Arial"/>
          <w:sz w:val="19"/>
          <w:szCs w:val="19"/>
          <w:b w:val="1"/>
          <w:bCs w:val="1"/>
          <w:color w:val="auto"/>
        </w:rPr>
        <w:t>Research License</w:t>
      </w:r>
      <w:r>
        <w:rPr>
          <w:rFonts w:ascii="Arial" w:cs="Arial" w:eastAsia="Arial" w:hAnsi="Arial"/>
          <w:sz w:val="19"/>
          <w:szCs w:val="19"/>
          <w:color w:val="auto"/>
        </w:rPr>
        <w:t xml:space="preserve"> or providing to them research samples of materials made through the </w:t>
      </w:r>
      <w:r>
        <w:rPr>
          <w:rFonts w:ascii="Arial" w:cs="Arial" w:eastAsia="Arial" w:hAnsi="Arial"/>
          <w:sz w:val="19"/>
          <w:szCs w:val="19"/>
          <w:b w:val="1"/>
          <w:bCs w:val="1"/>
          <w:color w:val="auto"/>
        </w:rPr>
        <w:t>Licensed Processes</w:t>
      </w:r>
      <w:r>
        <w:rPr>
          <w:rFonts w:ascii="Arial" w:cs="Arial" w:eastAsia="Arial" w:hAnsi="Arial"/>
          <w:sz w:val="19"/>
          <w:szCs w:val="19"/>
          <w:color w:val="auto"/>
        </w:rPr>
        <w:t>; and</w:t>
      </w:r>
    </w:p>
    <w:p>
      <w:pPr>
        <w:spacing w:after="0" w:line="149" w:lineRule="exact"/>
        <w:rPr>
          <w:rFonts w:ascii="Arial" w:cs="Arial" w:eastAsia="Arial" w:hAnsi="Arial"/>
          <w:sz w:val="19"/>
          <w:szCs w:val="19"/>
          <w:color w:val="auto"/>
        </w:rPr>
      </w:pPr>
    </w:p>
    <w:p>
      <w:pPr>
        <w:ind w:left="2160" w:right="259" w:hanging="655"/>
        <w:spacing w:after="0" w:line="274" w:lineRule="auto"/>
        <w:tabs>
          <w:tab w:leader="none" w:pos="21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in exceptional circumstances, and in the event that the </w:t>
      </w:r>
      <w:r>
        <w:rPr>
          <w:rFonts w:ascii="Arial" w:cs="Arial" w:eastAsia="Arial" w:hAnsi="Arial"/>
          <w:sz w:val="19"/>
          <w:szCs w:val="19"/>
          <w:b w:val="1"/>
          <w:bCs w:val="1"/>
          <w:color w:val="auto"/>
        </w:rPr>
        <w:t>Licensed Patent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Rights </w:t>
      </w:r>
      <w:r>
        <w:rPr>
          <w:rFonts w:ascii="Arial" w:cs="Arial" w:eastAsia="Arial" w:hAnsi="Arial"/>
          <w:sz w:val="19"/>
          <w:szCs w:val="19"/>
          <w:color w:val="auto"/>
        </w:rPr>
        <w:t>are Subject Inventions made under a</w:t>
      </w:r>
      <w:r>
        <w:rPr>
          <w:rFonts w:ascii="Arial" w:cs="Arial" w:eastAsia="Arial" w:hAnsi="Arial"/>
          <w:sz w:val="19"/>
          <w:szCs w:val="19"/>
          <w:b w:val="1"/>
          <w:bCs w:val="1"/>
          <w:color w:val="auto"/>
        </w:rPr>
        <w:t xml:space="preserve"> CRADA</w:t>
      </w:r>
      <w:r>
        <w:rPr>
          <w:rFonts w:ascii="Arial" w:cs="Arial" w:eastAsia="Arial" w:hAnsi="Arial"/>
          <w:sz w:val="19"/>
          <w:szCs w:val="19"/>
          <w:color w:val="auto"/>
        </w:rPr>
        <w:t>, the</w:t>
      </w:r>
      <w:r>
        <w:rPr>
          <w:rFonts w:ascii="Arial" w:cs="Arial" w:eastAsia="Arial" w:hAnsi="Arial"/>
          <w:sz w:val="19"/>
          <w:szCs w:val="19"/>
          <w:b w:val="1"/>
          <w:bCs w:val="1"/>
          <w:color w:val="auto"/>
        </w:rPr>
        <w:t xml:space="preserve"> Government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15 U.S.C. §3710a(b)(1)(B)</w:t>
      </w:r>
      <w:r>
        <w:rPr>
          <w:rFonts w:ascii="Arial" w:cs="Arial" w:eastAsia="Arial" w:hAnsi="Arial"/>
          <w:sz w:val="19"/>
          <w:szCs w:val="19"/>
          <w:color w:val="auto"/>
        </w:rPr>
        <w:t xml:space="preserve">, retains the right to require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to grant to a responsible applicant a nonexclusive, partially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exclusive, or exclusive sublicense to use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in the </w:t>
      </w:r>
      <w:r>
        <w:rPr>
          <w:rFonts w:ascii="Arial" w:cs="Arial" w:eastAsia="Arial" w:hAnsi="Arial"/>
          <w:sz w:val="19"/>
          <w:szCs w:val="19"/>
          <w:b w:val="1"/>
          <w:bCs w:val="1"/>
          <w:color w:val="auto"/>
        </w:rPr>
        <w:t xml:space="preserve">Licensed Fields of Use 1 and 2 </w:t>
      </w:r>
      <w:r>
        <w:rPr>
          <w:rFonts w:ascii="Arial" w:cs="Arial" w:eastAsia="Arial" w:hAnsi="Arial"/>
          <w:sz w:val="19"/>
          <w:szCs w:val="19"/>
          <w:color w:val="auto"/>
        </w:rPr>
        <w:t>on terms that are reasonable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circumstances, or if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fails to grant this license,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retains the right to grant the license itself. The exercise of these rights by the </w:t>
      </w:r>
      <w:r>
        <w:rPr>
          <w:rFonts w:ascii="Arial" w:cs="Arial" w:eastAsia="Arial" w:hAnsi="Arial"/>
          <w:sz w:val="19"/>
          <w:szCs w:val="19"/>
          <w:b w:val="1"/>
          <w:bCs w:val="1"/>
          <w:color w:val="auto"/>
        </w:rPr>
        <w:t xml:space="preserve">Government </w:t>
      </w:r>
      <w:r>
        <w:rPr>
          <w:rFonts w:ascii="Arial" w:cs="Arial" w:eastAsia="Arial" w:hAnsi="Arial"/>
          <w:sz w:val="19"/>
          <w:szCs w:val="19"/>
          <w:color w:val="auto"/>
        </w:rPr>
        <w:t>shall only be in exceptional circumstances and only if the</w:t>
      </w:r>
      <w:r>
        <w:rPr>
          <w:rFonts w:ascii="Arial" w:cs="Arial" w:eastAsia="Arial" w:hAnsi="Arial"/>
          <w:sz w:val="19"/>
          <w:szCs w:val="19"/>
          <w:b w:val="1"/>
          <w:bCs w:val="1"/>
          <w:color w:val="auto"/>
        </w:rPr>
        <w:t xml:space="preserve"> Government </w:t>
      </w:r>
      <w:r>
        <w:rPr>
          <w:rFonts w:ascii="Arial" w:cs="Arial" w:eastAsia="Arial" w:hAnsi="Arial"/>
          <w:sz w:val="19"/>
          <w:szCs w:val="19"/>
          <w:color w:val="auto"/>
        </w:rPr>
        <w:t>determines:</w:t>
      </w:r>
    </w:p>
    <w:p>
      <w:pPr>
        <w:spacing w:after="0" w:line="157" w:lineRule="exact"/>
        <w:rPr>
          <w:rFonts w:ascii="Arial" w:cs="Arial" w:eastAsia="Arial" w:hAnsi="Arial"/>
          <w:sz w:val="19"/>
          <w:szCs w:val="19"/>
          <w:color w:val="auto"/>
        </w:rPr>
      </w:pPr>
    </w:p>
    <w:p>
      <w:pPr>
        <w:ind w:left="2800" w:right="619" w:hanging="647"/>
        <w:spacing w:after="0" w:line="250" w:lineRule="auto"/>
        <w:tabs>
          <w:tab w:leader="none" w:pos="28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the action is necessary to meet health or safety needs that are not reasonably satisfied by the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800" w:right="319" w:hanging="647"/>
        <w:spacing w:after="0"/>
        <w:tabs>
          <w:tab w:leader="none" w:pos="28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the action is necessary to meet requirements for public use specified by Federal regulations, and these requirements are not reasonably satisfied by the </w:t>
      </w:r>
      <w:r>
        <w:rPr>
          <w:rFonts w:ascii="Arial" w:cs="Arial" w:eastAsia="Arial" w:hAnsi="Arial"/>
          <w:sz w:val="22"/>
          <w:szCs w:val="22"/>
          <w:b w:val="1"/>
          <w:bCs w:val="1"/>
          <w:color w:val="auto"/>
        </w:rPr>
        <w:t>Licensee</w:t>
      </w:r>
      <w:r>
        <w:rPr>
          <w:rFonts w:ascii="Arial" w:cs="Arial" w:eastAsia="Arial" w:hAnsi="Arial"/>
          <w:sz w:val="22"/>
          <w:szCs w:val="22"/>
          <w:color w:val="auto"/>
        </w:rPr>
        <w:t>; or</w:t>
      </w:r>
    </w:p>
    <w:p>
      <w:pPr>
        <w:spacing w:after="0" w:line="180" w:lineRule="exact"/>
        <w:rPr>
          <w:rFonts w:ascii="Arial" w:cs="Arial" w:eastAsia="Arial" w:hAnsi="Arial"/>
          <w:sz w:val="22"/>
          <w:szCs w:val="22"/>
          <w:color w:val="auto"/>
        </w:rPr>
      </w:pPr>
    </w:p>
    <w:p>
      <w:pPr>
        <w:ind w:left="2800" w:right="679" w:hanging="647"/>
        <w:spacing w:after="0" w:line="334" w:lineRule="auto"/>
        <w:tabs>
          <w:tab w:leader="none" w:pos="28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has failed to comply with an agreement containing provisions described in </w:t>
      </w:r>
      <w:r>
        <w:rPr>
          <w:rFonts w:ascii="Arial" w:cs="Arial" w:eastAsia="Arial" w:hAnsi="Arial"/>
          <w:sz w:val="19"/>
          <w:szCs w:val="19"/>
          <w:u w:val="single" w:color="auto"/>
          <w:color w:val="auto"/>
        </w:rPr>
        <w:t>15 U.S.C. §3710a(c)(4)(B)</w:t>
      </w:r>
      <w:r>
        <w:rPr>
          <w:rFonts w:ascii="Arial" w:cs="Arial" w:eastAsia="Arial" w:hAnsi="Arial"/>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728345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6" w:name="page97"/>
    <w:bookmarkEnd w:id="96"/>
    <w:p>
      <w:pPr>
        <w:ind w:left="2160" w:right="659" w:hanging="655"/>
        <w:spacing w:after="0" w:line="243" w:lineRule="auto"/>
        <w:tabs>
          <w:tab w:leader="none" w:pos="21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the determination made by the </w:t>
      </w:r>
      <w:r>
        <w:rPr>
          <w:rFonts w:ascii="Arial" w:cs="Arial" w:eastAsia="Arial" w:hAnsi="Arial"/>
          <w:sz w:val="22"/>
          <w:szCs w:val="22"/>
          <w:b w:val="1"/>
          <w:bCs w:val="1"/>
          <w:color w:val="auto"/>
        </w:rPr>
        <w:t>Government</w:t>
      </w:r>
      <w:r>
        <w:rPr>
          <w:rFonts w:ascii="Arial" w:cs="Arial" w:eastAsia="Arial" w:hAnsi="Arial"/>
          <w:sz w:val="22"/>
          <w:szCs w:val="22"/>
          <w:color w:val="auto"/>
        </w:rPr>
        <w:t xml:space="preserve"> under this Paragraph 5.4 is subject to administrative appeal and judicial review under </w:t>
      </w:r>
      <w:r>
        <w:rPr>
          <w:rFonts w:ascii="Arial" w:cs="Arial" w:eastAsia="Arial" w:hAnsi="Arial"/>
          <w:sz w:val="22"/>
          <w:szCs w:val="22"/>
          <w:u w:val="single" w:color="auto"/>
          <w:color w:val="auto"/>
        </w:rPr>
        <w:t>35 U.S.C.</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§203(b)</w:t>
      </w:r>
      <w:r>
        <w:rPr>
          <w:rFonts w:ascii="Arial" w:cs="Arial" w:eastAsia="Arial" w:hAnsi="Arial"/>
          <w:sz w:val="22"/>
          <w:szCs w:val="22"/>
          <w:color w:val="auto"/>
        </w:rPr>
        <w:t>.</w:t>
      </w:r>
    </w:p>
    <w:p>
      <w:pPr>
        <w:spacing w:after="0" w:line="183" w:lineRule="exact"/>
        <w:rPr>
          <w:rFonts w:ascii="Arial" w:cs="Arial" w:eastAsia="Arial" w:hAnsi="Arial"/>
          <w:sz w:val="22"/>
          <w:szCs w:val="22"/>
          <w:color w:val="auto"/>
        </w:rPr>
      </w:pPr>
    </w:p>
    <w:p>
      <w:pPr>
        <w:ind w:left="860" w:hanging="651"/>
        <w:spacing w:after="0"/>
        <w:tabs>
          <w:tab w:leader="none" w:pos="8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ROYALTIES AND REIMBURSEMENT</w:t>
      </w:r>
    </w:p>
    <w:p>
      <w:pPr>
        <w:spacing w:after="0" w:line="200" w:lineRule="exact"/>
        <w:rPr>
          <w:rFonts w:ascii="Arial" w:cs="Arial" w:eastAsia="Arial" w:hAnsi="Arial"/>
          <w:sz w:val="22"/>
          <w:szCs w:val="22"/>
          <w:color w:val="auto"/>
        </w:rPr>
      </w:pPr>
    </w:p>
    <w:p>
      <w:pPr>
        <w:ind w:left="1500" w:right="579" w:hanging="648"/>
        <w:spacing w:after="0" w:line="256" w:lineRule="auto"/>
        <w:rPr>
          <w:rFonts w:ascii="Arial" w:cs="Arial" w:eastAsia="Arial" w:hAnsi="Arial"/>
          <w:sz w:val="22"/>
          <w:szCs w:val="22"/>
          <w:color w:val="auto"/>
        </w:rPr>
      </w:pPr>
      <w:r>
        <w:rPr>
          <w:rFonts w:ascii="Arial" w:cs="Arial" w:eastAsia="Arial" w:hAnsi="Arial"/>
          <w:sz w:val="22"/>
          <w:szCs w:val="22"/>
          <w:color w:val="auto"/>
        </w:rPr>
        <w:t xml:space="preserve">6.1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 non-creditable, nonrefundable license issue royalty as set forth in Appendix C.</w:t>
      </w:r>
    </w:p>
    <w:p>
      <w:pPr>
        <w:spacing w:after="0" w:line="162" w:lineRule="exact"/>
        <w:rPr>
          <w:rFonts w:ascii="Arial" w:cs="Arial" w:eastAsia="Arial" w:hAnsi="Arial"/>
          <w:sz w:val="22"/>
          <w:szCs w:val="22"/>
          <w:color w:val="auto"/>
        </w:rPr>
      </w:pPr>
    </w:p>
    <w:p>
      <w:pPr>
        <w:ind w:left="1500" w:right="359" w:hanging="648"/>
        <w:spacing w:after="0" w:line="256" w:lineRule="auto"/>
        <w:rPr>
          <w:rFonts w:ascii="Arial" w:cs="Arial" w:eastAsia="Arial" w:hAnsi="Arial"/>
          <w:sz w:val="22"/>
          <w:szCs w:val="22"/>
          <w:color w:val="auto"/>
        </w:rPr>
      </w:pPr>
      <w:r>
        <w:rPr>
          <w:rFonts w:ascii="Arial" w:cs="Arial" w:eastAsia="Arial" w:hAnsi="Arial"/>
          <w:sz w:val="22"/>
          <w:szCs w:val="22"/>
          <w:color w:val="auto"/>
        </w:rPr>
        <w:t xml:space="preserve">6.2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 nonrefundable minimum annual royalty as set forth in Appendix C.</w:t>
      </w:r>
    </w:p>
    <w:p>
      <w:pPr>
        <w:spacing w:after="0" w:line="162"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1"/>
          <w:szCs w:val="21"/>
          <w:color w:val="auto"/>
        </w:rPr>
        <w:t xml:space="preserve">6.3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to pay the </w:t>
      </w:r>
      <w:r>
        <w:rPr>
          <w:rFonts w:ascii="Arial" w:cs="Arial" w:eastAsia="Arial" w:hAnsi="Arial"/>
          <w:sz w:val="21"/>
          <w:szCs w:val="21"/>
          <w:b w:val="1"/>
          <w:bCs w:val="1"/>
          <w:color w:val="auto"/>
        </w:rPr>
        <w:t>IC</w:t>
      </w:r>
      <w:r>
        <w:rPr>
          <w:rFonts w:ascii="Arial" w:cs="Arial" w:eastAsia="Arial" w:hAnsi="Arial"/>
          <w:sz w:val="21"/>
          <w:szCs w:val="21"/>
          <w:color w:val="auto"/>
        </w:rPr>
        <w:t xml:space="preserve"> earned royalties as set forth in Appendix C.</w:t>
      </w:r>
    </w:p>
    <w:p>
      <w:pPr>
        <w:spacing w:after="0" w:line="217"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19"/>
          <w:szCs w:val="19"/>
          <w:color w:val="auto"/>
        </w:rPr>
        <w:t xml:space="preserve">6.4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pay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benchmark royalties as set forth in Appendix C.</w:t>
      </w:r>
    </w:p>
    <w:p>
      <w:pPr>
        <w:spacing w:after="0" w:line="240" w:lineRule="exact"/>
        <w:rPr>
          <w:rFonts w:ascii="Arial" w:cs="Arial" w:eastAsia="Arial" w:hAnsi="Arial"/>
          <w:sz w:val="22"/>
          <w:szCs w:val="22"/>
          <w:color w:val="auto"/>
        </w:rPr>
      </w:pPr>
    </w:p>
    <w:p>
      <w:pPr>
        <w:ind w:left="1500" w:right="459" w:hanging="648"/>
        <w:spacing w:after="0" w:line="256" w:lineRule="auto"/>
        <w:rPr>
          <w:rFonts w:ascii="Arial" w:cs="Arial" w:eastAsia="Arial" w:hAnsi="Arial"/>
          <w:sz w:val="22"/>
          <w:szCs w:val="22"/>
          <w:color w:val="auto"/>
        </w:rPr>
      </w:pPr>
      <w:r>
        <w:rPr>
          <w:rFonts w:ascii="Arial" w:cs="Arial" w:eastAsia="Arial" w:hAnsi="Arial"/>
          <w:sz w:val="22"/>
          <w:szCs w:val="22"/>
          <w:color w:val="auto"/>
        </w:rPr>
        <w:t xml:space="preserve">6.5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sublicensing royalties as set forth in Appendix C.</w:t>
      </w:r>
    </w:p>
    <w:p>
      <w:pPr>
        <w:spacing w:after="0" w:line="162" w:lineRule="exact"/>
        <w:rPr>
          <w:rFonts w:ascii="Arial" w:cs="Arial" w:eastAsia="Arial" w:hAnsi="Arial"/>
          <w:sz w:val="22"/>
          <w:szCs w:val="22"/>
          <w:color w:val="auto"/>
        </w:rPr>
      </w:pPr>
    </w:p>
    <w:p>
      <w:pPr>
        <w:ind w:left="1500" w:right="599" w:hanging="648"/>
        <w:spacing w:after="0" w:line="300" w:lineRule="auto"/>
        <w:rPr>
          <w:rFonts w:ascii="Arial" w:cs="Arial" w:eastAsia="Arial" w:hAnsi="Arial"/>
          <w:sz w:val="22"/>
          <w:szCs w:val="22"/>
          <w:color w:val="auto"/>
        </w:rPr>
      </w:pPr>
      <w:r>
        <w:rPr>
          <w:rFonts w:ascii="Arial" w:cs="Arial" w:eastAsia="Arial" w:hAnsi="Arial"/>
          <w:sz w:val="19"/>
          <w:szCs w:val="19"/>
          <w:color w:val="auto"/>
        </w:rPr>
        <w:t xml:space="preserve">6.6 A patent or patent application licensed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cease to fall within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for the purpose of computing earned royalty payments in any given country on the earliest of the dates that:</w:t>
      </w:r>
    </w:p>
    <w:p>
      <w:pPr>
        <w:spacing w:after="0" w:line="131" w:lineRule="exact"/>
        <w:rPr>
          <w:rFonts w:ascii="Arial" w:cs="Arial" w:eastAsia="Arial" w:hAnsi="Arial"/>
          <w:sz w:val="22"/>
          <w:szCs w:val="22"/>
          <w:color w:val="auto"/>
        </w:rPr>
      </w:pPr>
    </w:p>
    <w:p>
      <w:pPr>
        <w:ind w:left="2160" w:hanging="655"/>
        <w:spacing w:after="0"/>
        <w:tabs>
          <w:tab w:leader="none" w:pos="21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application has been abandoned and not continued;</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patent expires or irrevocably lapses, or</w:t>
      </w:r>
    </w:p>
    <w:p>
      <w:pPr>
        <w:spacing w:after="0" w:line="206" w:lineRule="exact"/>
        <w:rPr>
          <w:rFonts w:ascii="Arial" w:cs="Arial" w:eastAsia="Arial" w:hAnsi="Arial"/>
          <w:sz w:val="22"/>
          <w:szCs w:val="22"/>
          <w:color w:val="auto"/>
        </w:rPr>
      </w:pPr>
    </w:p>
    <w:p>
      <w:pPr>
        <w:jc w:val="both"/>
        <w:ind w:left="2160" w:right="319" w:hanging="655"/>
        <w:spacing w:after="0"/>
        <w:tabs>
          <w:tab w:leader="none" w:pos="21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patent has been held to be invalid or unenforceable by an unappealed or unappealable decision of a court of competent jurisdiction or administrative agency.</w:t>
      </w:r>
    </w:p>
    <w:p>
      <w:pPr>
        <w:spacing w:after="0" w:line="180" w:lineRule="exact"/>
        <w:rPr>
          <w:sz w:val="20"/>
          <w:szCs w:val="20"/>
          <w:color w:val="auto"/>
        </w:rPr>
      </w:pPr>
    </w:p>
    <w:p>
      <w:pPr>
        <w:ind w:left="1500" w:right="279" w:hanging="647"/>
        <w:spacing w:after="0" w:line="334" w:lineRule="auto"/>
        <w:tabs>
          <w:tab w:leader="none" w:pos="1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 xml:space="preserve">No multiple royalties shall be payable because any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Processes </w:t>
      </w:r>
      <w:r>
        <w:rPr>
          <w:rFonts w:ascii="Arial" w:cs="Arial" w:eastAsia="Arial" w:hAnsi="Arial"/>
          <w:sz w:val="19"/>
          <w:szCs w:val="19"/>
          <w:color w:val="auto"/>
        </w:rPr>
        <w:t>are covered by more than one of the</w:t>
      </w:r>
      <w:r>
        <w:rPr>
          <w:rFonts w:ascii="Arial" w:cs="Arial" w:eastAsia="Arial" w:hAnsi="Arial"/>
          <w:sz w:val="19"/>
          <w:szCs w:val="19"/>
          <w:b w:val="1"/>
          <w:bCs w:val="1"/>
          <w:color w:val="auto"/>
        </w:rPr>
        <w:t xml:space="preserve"> Licensed Patent Rights</w:t>
      </w:r>
      <w:r>
        <w:rPr>
          <w:rFonts w:ascii="Arial" w:cs="Arial" w:eastAsia="Arial" w:hAnsi="Arial"/>
          <w:sz w:val="19"/>
          <w:szCs w:val="19"/>
          <w:color w:val="auto"/>
        </w:rPr>
        <w:t>.</w:t>
      </w:r>
    </w:p>
    <w:p>
      <w:pPr>
        <w:spacing w:after="0" w:line="94" w:lineRule="exact"/>
        <w:rPr>
          <w:sz w:val="20"/>
          <w:szCs w:val="20"/>
          <w:color w:val="auto"/>
        </w:rPr>
      </w:pPr>
    </w:p>
    <w:p>
      <w:pPr>
        <w:ind w:left="1500" w:right="259" w:hanging="647"/>
        <w:spacing w:after="0" w:line="251" w:lineRule="auto"/>
        <w:tabs>
          <w:tab w:leader="none" w:pos="14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1"/>
          <w:szCs w:val="21"/>
          <w:color w:val="auto"/>
        </w:rPr>
        <w:t xml:space="preserve">On sales of the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to sublicensees or on sales made in other than an arms-length transaction, the value of the </w:t>
      </w:r>
      <w:r>
        <w:rPr>
          <w:rFonts w:ascii="Arial" w:cs="Arial" w:eastAsia="Arial" w:hAnsi="Arial"/>
          <w:sz w:val="21"/>
          <w:szCs w:val="21"/>
          <w:b w:val="1"/>
          <w:bCs w:val="1"/>
          <w:color w:val="auto"/>
        </w:rPr>
        <w:t>Net Sales</w:t>
      </w:r>
      <w:r>
        <w:rPr>
          <w:rFonts w:ascii="Arial" w:cs="Arial" w:eastAsia="Arial" w:hAnsi="Arial"/>
          <w:sz w:val="21"/>
          <w:szCs w:val="21"/>
          <w:color w:val="auto"/>
        </w:rPr>
        <w:t xml:space="preserve"> attributed under this Article 6 to this transaction shall be that which would have been received in an arms-length transaction, based on sales of like quantity and quality products on or about the time of this transaction.</w:t>
      </w:r>
    </w:p>
    <w:p>
      <w:pPr>
        <w:spacing w:after="0" w:line="174" w:lineRule="exact"/>
        <w:rPr>
          <w:sz w:val="20"/>
          <w:szCs w:val="20"/>
          <w:color w:val="auto"/>
        </w:rPr>
      </w:pPr>
    </w:p>
    <w:p>
      <w:pPr>
        <w:ind w:left="1500" w:right="239" w:hanging="647"/>
        <w:spacing w:after="0" w:line="279" w:lineRule="auto"/>
        <w:tabs>
          <w:tab w:leader="none" w:pos="14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color w:val="auto"/>
        </w:rPr>
        <w:t xml:space="preserve">With regard to unreimbursed expenses associated with the preparation, filing, prosecution, and maintenance of all patent applications and patents in the E-068-2018 patent family within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and paid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prior to the effective date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pay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as an additional royalty, within sixty (60) days of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submission of a statement and request for payment to the </w:t>
      </w:r>
      <w:r>
        <w:rPr>
          <w:rFonts w:ascii="Arial" w:cs="Arial" w:eastAsia="Arial" w:hAnsi="Arial"/>
          <w:sz w:val="19"/>
          <w:szCs w:val="19"/>
          <w:b w:val="1"/>
          <w:bCs w:val="1"/>
          <w:color w:val="auto"/>
        </w:rPr>
        <w:t>Licensee</w:t>
      </w:r>
      <w:r>
        <w:rPr>
          <w:rFonts w:ascii="Arial" w:cs="Arial" w:eastAsia="Arial" w:hAnsi="Arial"/>
          <w:sz w:val="19"/>
          <w:szCs w:val="19"/>
          <w:color w:val="auto"/>
        </w:rPr>
        <w:t>, an amount equivalent to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760730</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7" w:name="page98"/>
    <w:bookmarkEnd w:id="97"/>
    <w:p>
      <w:pPr>
        <w:ind w:left="1500" w:right="919"/>
        <w:spacing w:after="0" w:line="257" w:lineRule="auto"/>
        <w:rPr>
          <w:sz w:val="20"/>
          <w:szCs w:val="20"/>
          <w:color w:val="auto"/>
        </w:rPr>
      </w:pPr>
      <w:r>
        <w:rPr>
          <w:rFonts w:ascii="Arial" w:cs="Arial" w:eastAsia="Arial" w:hAnsi="Arial"/>
          <w:sz w:val="22"/>
          <w:szCs w:val="22"/>
          <w:color w:val="auto"/>
        </w:rPr>
        <w:t xml:space="preserve">unreimbursed expenses previously paid by the </w:t>
      </w:r>
      <w:r>
        <w:rPr>
          <w:rFonts w:ascii="Arial" w:cs="Arial" w:eastAsia="Arial" w:hAnsi="Arial"/>
          <w:sz w:val="22"/>
          <w:szCs w:val="22"/>
          <w:b w:val="1"/>
          <w:bCs w:val="1"/>
          <w:color w:val="auto"/>
        </w:rPr>
        <w:t>IC</w:t>
      </w:r>
      <w:r>
        <w:rPr>
          <w:rFonts w:ascii="Arial" w:cs="Arial" w:eastAsia="Arial" w:hAnsi="Arial"/>
          <w:sz w:val="22"/>
          <w:szCs w:val="22"/>
          <w:color w:val="auto"/>
        </w:rPr>
        <w:t>. As of April 5, 2021 these unreimbursed expenses are approximately [***].</w:t>
      </w:r>
    </w:p>
    <w:p>
      <w:pPr>
        <w:spacing w:after="0" w:line="167" w:lineRule="exact"/>
        <w:rPr>
          <w:sz w:val="20"/>
          <w:szCs w:val="20"/>
          <w:color w:val="auto"/>
        </w:rPr>
      </w:pPr>
    </w:p>
    <w:p>
      <w:pPr>
        <w:ind w:left="1500" w:right="599" w:hanging="647"/>
        <w:spacing w:after="0" w:line="236" w:lineRule="auto"/>
        <w:tabs>
          <w:tab w:leader="none" w:pos="1480" w:val="left"/>
        </w:tabs>
        <w:rPr>
          <w:sz w:val="20"/>
          <w:szCs w:val="20"/>
          <w:color w:val="auto"/>
        </w:rPr>
      </w:pPr>
      <w:r>
        <w:rPr>
          <w:rFonts w:ascii="Arial" w:cs="Arial" w:eastAsia="Arial" w:hAnsi="Arial"/>
          <w:sz w:val="22"/>
          <w:szCs w:val="22"/>
          <w:color w:val="auto"/>
        </w:rPr>
        <w:t>6.10</w:t>
        <w:tab/>
        <w:t xml:space="preserve">With regard to unreimbursed expenses associated with the preparation, filing, prosecution, and maintenance of all patent applications and patents to the extent included within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and paid by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on or after the effective date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at its sole option, may require the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181" w:lineRule="exact"/>
        <w:rPr>
          <w:sz w:val="20"/>
          <w:szCs w:val="20"/>
          <w:color w:val="auto"/>
        </w:rPr>
      </w:pPr>
    </w:p>
    <w:p>
      <w:pPr>
        <w:ind w:left="2160" w:right="219" w:hanging="655"/>
        <w:spacing w:after="0" w:line="271" w:lineRule="auto"/>
        <w:tabs>
          <w:tab w:leader="none" w:pos="21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to pay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on an annual basis, within sixty (60) days of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submission of a statement and request for payment, a royalty amount equivalent to these unreimbursed expenses paid during the previous calendar year(s) provided, however, that if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grants a commercialization license under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to one or more third parties, then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shall pay the</w:t>
      </w:r>
      <w:r>
        <w:rPr>
          <w:rFonts w:ascii="Arial" w:cs="Arial" w:eastAsia="Arial" w:hAnsi="Arial"/>
          <w:sz w:val="19"/>
          <w:szCs w:val="19"/>
          <w:b w:val="1"/>
          <w:bCs w:val="1"/>
          <w:color w:val="auto"/>
        </w:rPr>
        <w:t xml:space="preserve"> IC </w:t>
      </w:r>
      <w:r>
        <w:rPr>
          <w:rFonts w:ascii="Arial" w:cs="Arial" w:eastAsia="Arial" w:hAnsi="Arial"/>
          <w:sz w:val="19"/>
          <w:szCs w:val="19"/>
          <w:color w:val="auto"/>
        </w:rPr>
        <w:t>a pro-rated portion of such unreimbursed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expenses calculated by dividing the total patent costs paid during the previous calendar year(s) by the number of commercialization licensees of record whose licenses have a licensed field of use which includes the development of therapeutic or diagnostic products and falls within the scope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as of the date of this statement. For avoidance of doubt, if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is the only commercialization licensee of record whose license has a licensed field of use which includes the development of therapeutic or diagnostic products and falls within the scope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as of the date of this statement,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pay </w:t>
      </w:r>
      <w:r>
        <w:rPr>
          <w:rFonts w:ascii="Arial" w:cs="Arial" w:eastAsia="Arial" w:hAnsi="Arial"/>
          <w:sz w:val="19"/>
          <w:szCs w:val="19"/>
          <w:b w:val="1"/>
          <w:bCs w:val="1"/>
          <w:color w:val="auto"/>
        </w:rPr>
        <w:t>IC</w:t>
      </w:r>
      <w:r>
        <w:rPr>
          <w:rFonts w:ascii="Arial" w:cs="Arial" w:eastAsia="Arial" w:hAnsi="Arial"/>
          <w:sz w:val="19"/>
          <w:szCs w:val="19"/>
          <w:color w:val="auto"/>
        </w:rPr>
        <w:t xml:space="preserve"> a royalty amount equivalent to one hundred percent (100%) of these unreimbursed expenses paid during the previous calendar year(s);</w:t>
      </w:r>
    </w:p>
    <w:p>
      <w:pPr>
        <w:spacing w:after="0" w:line="158" w:lineRule="exact"/>
        <w:rPr>
          <w:rFonts w:ascii="Arial" w:cs="Arial" w:eastAsia="Arial" w:hAnsi="Arial"/>
          <w:sz w:val="19"/>
          <w:szCs w:val="19"/>
          <w:color w:val="auto"/>
        </w:rPr>
      </w:pPr>
    </w:p>
    <w:p>
      <w:pPr>
        <w:ind w:left="2160" w:right="359" w:hanging="655"/>
        <w:spacing w:after="0" w:line="257" w:lineRule="auto"/>
        <w:tabs>
          <w:tab w:leader="none" w:pos="21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to pay these unreimbursed expenses directly to the law firm employed by the </w:t>
      </w:r>
      <w:r>
        <w:rPr>
          <w:rFonts w:ascii="Arial" w:cs="Arial" w:eastAsia="Arial" w:hAnsi="Arial"/>
          <w:sz w:val="21"/>
          <w:szCs w:val="21"/>
          <w:b w:val="1"/>
          <w:bCs w:val="1"/>
          <w:color w:val="auto"/>
        </w:rPr>
        <w:t>IC</w:t>
      </w:r>
      <w:r>
        <w:rPr>
          <w:rFonts w:ascii="Arial" w:cs="Arial" w:eastAsia="Arial" w:hAnsi="Arial"/>
          <w:sz w:val="21"/>
          <w:szCs w:val="21"/>
          <w:color w:val="auto"/>
        </w:rPr>
        <w:t xml:space="preserve"> to handle these functions. However, in this event, the </w:t>
      </w:r>
      <w:r>
        <w:rPr>
          <w:rFonts w:ascii="Arial" w:cs="Arial" w:eastAsia="Arial" w:hAnsi="Arial"/>
          <w:sz w:val="21"/>
          <w:szCs w:val="21"/>
          <w:b w:val="1"/>
          <w:bCs w:val="1"/>
          <w:color w:val="auto"/>
        </w:rPr>
        <w:t>IC</w:t>
      </w:r>
      <w:r>
        <w:rPr>
          <w:rFonts w:ascii="Arial" w:cs="Arial" w:eastAsia="Arial" w:hAnsi="Arial"/>
          <w:sz w:val="21"/>
          <w:szCs w:val="21"/>
          <w:color w:val="auto"/>
        </w:rPr>
        <w:t xml:space="preserve"> and not the </w:t>
      </w:r>
      <w:r>
        <w:rPr>
          <w:rFonts w:ascii="Arial" w:cs="Arial" w:eastAsia="Arial" w:hAnsi="Arial"/>
          <w:sz w:val="21"/>
          <w:szCs w:val="21"/>
          <w:b w:val="1"/>
          <w:bCs w:val="1"/>
          <w:color w:val="auto"/>
        </w:rPr>
        <w:t xml:space="preserve">Licensee </w:t>
      </w:r>
      <w:r>
        <w:rPr>
          <w:rFonts w:ascii="Arial" w:cs="Arial" w:eastAsia="Arial" w:hAnsi="Arial"/>
          <w:sz w:val="21"/>
          <w:szCs w:val="21"/>
          <w:color w:val="auto"/>
        </w:rPr>
        <w:t>shall be the client of the law firm; or</w:t>
      </w:r>
    </w:p>
    <w:p>
      <w:pPr>
        <w:spacing w:after="0" w:line="163" w:lineRule="exact"/>
        <w:rPr>
          <w:rFonts w:ascii="Arial" w:cs="Arial" w:eastAsia="Arial" w:hAnsi="Arial"/>
          <w:sz w:val="21"/>
          <w:szCs w:val="21"/>
          <w:color w:val="auto"/>
        </w:rPr>
      </w:pPr>
    </w:p>
    <w:p>
      <w:pPr>
        <w:ind w:left="2160" w:right="299" w:hanging="655"/>
        <w:spacing w:after="0" w:line="278" w:lineRule="auto"/>
        <w:tabs>
          <w:tab w:leader="none" w:pos="21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 limited circumstances,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be given the right to assume responsibility for the preparation, filing, prosecution, or maintenance of any patent application or patent included with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In such event,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directly pay the attorneys or agents engaged to prepare, file, prosecute, or maintain these patent applications or patents and shall provide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with copies of each invoice associated with these services as well as documentation that these invoices have been paid.</w:t>
      </w:r>
    </w:p>
    <w:p>
      <w:pPr>
        <w:spacing w:after="0" w:line="145" w:lineRule="exact"/>
        <w:rPr>
          <w:sz w:val="20"/>
          <w:szCs w:val="20"/>
          <w:color w:val="auto"/>
        </w:rPr>
      </w:pPr>
    </w:p>
    <w:p>
      <w:pPr>
        <w:ind w:left="1500" w:right="419" w:hanging="647"/>
        <w:spacing w:after="0" w:line="283" w:lineRule="auto"/>
        <w:tabs>
          <w:tab w:leader="none" w:pos="14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agrees, upon written request, to provide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with summaries of patent prosecution invoices for which the </w:t>
      </w:r>
      <w:r>
        <w:rPr>
          <w:rFonts w:ascii="Arial" w:cs="Arial" w:eastAsia="Arial" w:hAnsi="Arial"/>
          <w:sz w:val="19"/>
          <w:szCs w:val="19"/>
          <w:b w:val="1"/>
          <w:bCs w:val="1"/>
          <w:color w:val="auto"/>
        </w:rPr>
        <w:t>IC</w:t>
      </w:r>
      <w:r>
        <w:rPr>
          <w:rFonts w:ascii="Arial" w:cs="Arial" w:eastAsia="Arial" w:hAnsi="Arial"/>
          <w:sz w:val="19"/>
          <w:szCs w:val="19"/>
          <w:color w:val="auto"/>
        </w:rPr>
        <w:t xml:space="preserve"> has requested payment from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under Paragraphs 6.9 and 6.10.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agrees that all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related to patent prosecution costs shall be treated as confidential commercial information and shall not be released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759460</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8" w:name="page99"/>
    <w:bookmarkEnd w:id="98"/>
    <w:p>
      <w:pPr>
        <w:ind w:left="1500" w:right="679"/>
        <w:spacing w:after="0" w:line="257" w:lineRule="auto"/>
        <w:rPr>
          <w:sz w:val="20"/>
          <w:szCs w:val="20"/>
          <w:color w:val="auto"/>
        </w:rPr>
      </w:pPr>
      <w:r>
        <w:rPr>
          <w:rFonts w:ascii="Arial" w:cs="Arial" w:eastAsia="Arial" w:hAnsi="Arial"/>
          <w:sz w:val="22"/>
          <w:szCs w:val="22"/>
          <w:color w:val="auto"/>
        </w:rPr>
        <w:t xml:space="preserve">(other than its </w:t>
      </w:r>
      <w:r>
        <w:rPr>
          <w:rFonts w:ascii="Arial" w:cs="Arial" w:eastAsia="Arial" w:hAnsi="Arial"/>
          <w:sz w:val="22"/>
          <w:szCs w:val="22"/>
          <w:b w:val="1"/>
          <w:bCs w:val="1"/>
          <w:color w:val="auto"/>
        </w:rPr>
        <w:t>Affiliates</w:t>
      </w:r>
      <w:r>
        <w:rPr>
          <w:rFonts w:ascii="Arial" w:cs="Arial" w:eastAsia="Arial" w:hAnsi="Arial"/>
          <w:sz w:val="22"/>
          <w:szCs w:val="22"/>
          <w:color w:val="auto"/>
        </w:rPr>
        <w:t xml:space="preserve"> or sublicensee) except as required by law or a court of competent jurisdiction.</w:t>
      </w:r>
    </w:p>
    <w:p>
      <w:pPr>
        <w:spacing w:after="0" w:line="161" w:lineRule="exact"/>
        <w:rPr>
          <w:sz w:val="20"/>
          <w:szCs w:val="20"/>
          <w:color w:val="auto"/>
        </w:rPr>
      </w:pPr>
    </w:p>
    <w:p>
      <w:pPr>
        <w:ind w:left="1500" w:right="319" w:hanging="647"/>
        <w:spacing w:after="0" w:line="237" w:lineRule="auto"/>
        <w:tabs>
          <w:tab w:leader="none" w:pos="1480" w:val="left"/>
        </w:tabs>
        <w:rPr>
          <w:sz w:val="20"/>
          <w:szCs w:val="20"/>
          <w:color w:val="auto"/>
        </w:rPr>
      </w:pPr>
      <w:r>
        <w:rPr>
          <w:rFonts w:ascii="Arial" w:cs="Arial" w:eastAsia="Arial" w:hAnsi="Arial"/>
          <w:sz w:val="22"/>
          <w:szCs w:val="22"/>
          <w:color w:val="auto"/>
        </w:rPr>
        <w:t>6.12</w:t>
        <w:tab/>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may elect to surrender its rights in any country of the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Territory </w:t>
      </w:r>
      <w:r>
        <w:rPr>
          <w:rFonts w:ascii="Arial" w:cs="Arial" w:eastAsia="Arial" w:hAnsi="Arial"/>
          <w:sz w:val="22"/>
          <w:szCs w:val="22"/>
          <w:color w:val="auto"/>
        </w:rPr>
        <w:t>under any of the</w:t>
      </w:r>
      <w:r>
        <w:rPr>
          <w:rFonts w:ascii="Arial" w:cs="Arial" w:eastAsia="Arial" w:hAnsi="Arial"/>
          <w:sz w:val="22"/>
          <w:szCs w:val="22"/>
          <w:b w:val="1"/>
          <w:bCs w:val="1"/>
          <w:color w:val="auto"/>
        </w:rPr>
        <w:t xml:space="preserve"> Licensed Patent Rights </w:t>
      </w:r>
      <w:r>
        <w:rPr>
          <w:rFonts w:ascii="Arial" w:cs="Arial" w:eastAsia="Arial" w:hAnsi="Arial"/>
          <w:sz w:val="22"/>
          <w:szCs w:val="22"/>
          <w:color w:val="auto"/>
        </w:rPr>
        <w:t>upon ninety (90) days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notice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and owe no payment obligation under Paragraph 6.10 for patent-related expenses incurred in that country after ninety (90) days of the effective date of the written notice.</w:t>
      </w:r>
    </w:p>
    <w:p>
      <w:pPr>
        <w:spacing w:after="0" w:line="188" w:lineRule="exact"/>
        <w:rPr>
          <w:sz w:val="20"/>
          <w:szCs w:val="20"/>
          <w:color w:val="auto"/>
        </w:rPr>
      </w:pPr>
    </w:p>
    <w:p>
      <w:pPr>
        <w:ind w:left="860" w:hanging="651"/>
        <w:spacing w:after="0"/>
        <w:tabs>
          <w:tab w:leader="none" w:pos="8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PATENT FILING, PROSECUTION, AND MAINTENANCE</w:t>
      </w:r>
    </w:p>
    <w:p>
      <w:pPr>
        <w:spacing w:after="0" w:line="200" w:lineRule="exact"/>
        <w:rPr>
          <w:rFonts w:ascii="Arial" w:cs="Arial" w:eastAsia="Arial" w:hAnsi="Arial"/>
          <w:sz w:val="22"/>
          <w:szCs w:val="22"/>
          <w:color w:val="auto"/>
        </w:rPr>
      </w:pPr>
    </w:p>
    <w:p>
      <w:pPr>
        <w:ind w:left="1500" w:right="399" w:hanging="648"/>
        <w:spacing w:after="0" w:line="237" w:lineRule="auto"/>
        <w:rPr>
          <w:rFonts w:ascii="Arial" w:cs="Arial" w:eastAsia="Arial" w:hAnsi="Arial"/>
          <w:sz w:val="22"/>
          <w:szCs w:val="22"/>
          <w:color w:val="auto"/>
        </w:rPr>
      </w:pPr>
      <w:r>
        <w:rPr>
          <w:rFonts w:ascii="Arial" w:cs="Arial" w:eastAsia="Arial" w:hAnsi="Arial"/>
          <w:sz w:val="22"/>
          <w:szCs w:val="22"/>
          <w:color w:val="auto"/>
        </w:rPr>
        <w:t xml:space="preserve">7.1 Except as otherwise provided in this Article 7,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agrees to take responsibility for, but to consult with,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in the preparation, filing, prosecution, and maintenance of any and all patent applications or patents included in the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Patent Rights </w:t>
      </w:r>
      <w:r>
        <w:rPr>
          <w:rFonts w:ascii="Arial" w:cs="Arial" w:eastAsia="Arial" w:hAnsi="Arial"/>
          <w:sz w:val="22"/>
          <w:szCs w:val="22"/>
          <w:color w:val="auto"/>
        </w:rPr>
        <w:t>and shall furnish copies of relevant patent-related documents to the</w:t>
      </w:r>
      <w:r>
        <w:rPr>
          <w:rFonts w:ascii="Arial" w:cs="Arial" w:eastAsia="Arial" w:hAnsi="Arial"/>
          <w:sz w:val="22"/>
          <w:szCs w:val="22"/>
          <w:b w:val="1"/>
          <w:bCs w:val="1"/>
          <w:color w:val="auto"/>
        </w:rPr>
        <w:t xml:space="preserve"> Licensee</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left="1500" w:right="259" w:hanging="648"/>
        <w:spacing w:after="0" w:line="272" w:lineRule="auto"/>
        <w:rPr>
          <w:rFonts w:ascii="Arial" w:cs="Arial" w:eastAsia="Arial" w:hAnsi="Arial"/>
          <w:sz w:val="22"/>
          <w:szCs w:val="22"/>
          <w:color w:val="auto"/>
        </w:rPr>
      </w:pPr>
      <w:r>
        <w:rPr>
          <w:rFonts w:ascii="Arial" w:cs="Arial" w:eastAsia="Arial" w:hAnsi="Arial"/>
          <w:sz w:val="19"/>
          <w:szCs w:val="19"/>
          <w:color w:val="auto"/>
        </w:rPr>
        <w:t xml:space="preserve">7.2 Upon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written request,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assume the responsibility for the preparation, filing, prosecution, and maintenance of any and all patent applications or patents included 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and shall, on an ongoing basis, promptly furnish copies of all patent-related documents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In this event,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shall, subject to the prior approval of the</w:t>
      </w:r>
      <w:r>
        <w:rPr>
          <w:rFonts w:ascii="Arial" w:cs="Arial" w:eastAsia="Arial" w:hAnsi="Arial"/>
          <w:sz w:val="19"/>
          <w:szCs w:val="19"/>
          <w:b w:val="1"/>
          <w:bCs w:val="1"/>
          <w:color w:val="auto"/>
        </w:rPr>
        <w:t xml:space="preserve"> IC</w:t>
      </w:r>
      <w:r>
        <w:rPr>
          <w:rFonts w:ascii="Arial" w:cs="Arial" w:eastAsia="Arial" w:hAnsi="Arial"/>
          <w:sz w:val="19"/>
          <w:szCs w:val="19"/>
          <w:color w:val="auto"/>
        </w:rPr>
        <w:t>, select registered patent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attorneys or patent agents to provide these services on behalf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IC</w:t>
      </w:r>
      <w:r>
        <w:rPr>
          <w:rFonts w:ascii="Arial" w:cs="Arial" w:eastAsia="Arial" w:hAnsi="Arial"/>
          <w:sz w:val="19"/>
          <w:szCs w:val="19"/>
          <w:color w:val="auto"/>
        </w:rPr>
        <w:t xml:space="preserv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provide appropriate powers of attorney and other documents necessary to undertake this action to the patent attorneys or patent agents providing these services.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its attorneys or agents shall consult with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in all aspects of the preparation, filing, prosecution and maintenance of patent applications and patents included within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and shall provide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sufficient opportunity to comment on any document that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intends to file or to cause to be filed with the relevant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or patent office.</w:t>
      </w:r>
    </w:p>
    <w:p>
      <w:pPr>
        <w:spacing w:after="0" w:line="151" w:lineRule="exact"/>
        <w:rPr>
          <w:rFonts w:ascii="Arial" w:cs="Arial" w:eastAsia="Arial" w:hAnsi="Arial"/>
          <w:sz w:val="22"/>
          <w:szCs w:val="22"/>
          <w:color w:val="auto"/>
        </w:rPr>
      </w:pPr>
    </w:p>
    <w:p>
      <w:pPr>
        <w:ind w:left="1500" w:right="239" w:hanging="648"/>
        <w:spacing w:after="0" w:line="272" w:lineRule="auto"/>
        <w:rPr>
          <w:rFonts w:ascii="Arial" w:cs="Arial" w:eastAsia="Arial" w:hAnsi="Arial"/>
          <w:sz w:val="22"/>
          <w:szCs w:val="22"/>
          <w:color w:val="auto"/>
        </w:rPr>
      </w:pPr>
      <w:r>
        <w:rPr>
          <w:rFonts w:ascii="Arial" w:cs="Arial" w:eastAsia="Arial" w:hAnsi="Arial"/>
          <w:sz w:val="19"/>
          <w:szCs w:val="19"/>
          <w:color w:val="auto"/>
        </w:rPr>
        <w:t xml:space="preserve">7.3 At any time, after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has assumed responsibility for the preparation, filing, prosecution, and maintenance of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as provided in Paragraph 7.2, the </w:t>
      </w:r>
      <w:r>
        <w:rPr>
          <w:rFonts w:ascii="Arial" w:cs="Arial" w:eastAsia="Arial" w:hAnsi="Arial"/>
          <w:sz w:val="19"/>
          <w:szCs w:val="19"/>
          <w:b w:val="1"/>
          <w:bCs w:val="1"/>
          <w:color w:val="auto"/>
        </w:rPr>
        <w:t>IC</w:t>
      </w:r>
      <w:r>
        <w:rPr>
          <w:rFonts w:ascii="Arial" w:cs="Arial" w:eastAsia="Arial" w:hAnsi="Arial"/>
          <w:sz w:val="19"/>
          <w:szCs w:val="19"/>
          <w:color w:val="auto"/>
        </w:rPr>
        <w:t xml:space="preserve"> may provide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with written notice that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wishes to re-assume control of the preparation, filing, prosecution, and maintenance of any and all patent applications or patents included 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If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elects to reassume these responsibilities,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cooperate fully with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its attorneys, and agents in the preparation, filing, prosecution, and maintenance of any and all patent applications or patents included in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and to provide the</w:t>
      </w:r>
      <w:r>
        <w:rPr>
          <w:rFonts w:ascii="Arial" w:cs="Arial" w:eastAsia="Arial" w:hAnsi="Arial"/>
          <w:sz w:val="19"/>
          <w:szCs w:val="19"/>
          <w:b w:val="1"/>
          <w:bCs w:val="1"/>
          <w:color w:val="auto"/>
        </w:rPr>
        <w:t xml:space="preserve"> IC </w:t>
      </w:r>
      <w:r>
        <w:rPr>
          <w:rFonts w:ascii="Arial" w:cs="Arial" w:eastAsia="Arial" w:hAnsi="Arial"/>
          <w:sz w:val="19"/>
          <w:szCs w:val="19"/>
          <w:color w:val="auto"/>
        </w:rPr>
        <w:t>with complete copies of any and all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other materials in </w:t>
      </w:r>
      <w:r>
        <w:rPr>
          <w:rFonts w:ascii="Arial" w:cs="Arial" w:eastAsia="Arial" w:hAnsi="Arial"/>
          <w:sz w:val="19"/>
          <w:szCs w:val="19"/>
          <w:b w:val="1"/>
          <w:bCs w:val="1"/>
          <w:color w:val="auto"/>
        </w:rPr>
        <w:t>Licensee’s</w:t>
      </w:r>
      <w:r>
        <w:rPr>
          <w:rFonts w:ascii="Arial" w:cs="Arial" w:eastAsia="Arial" w:hAnsi="Arial"/>
          <w:sz w:val="19"/>
          <w:szCs w:val="19"/>
          <w:color w:val="auto"/>
        </w:rPr>
        <w:t xml:space="preserve"> possession or control that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deems necessary to undertake such responsibilities.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be responsible for all costs associated with transferring patent prosecution responsibilities to an attorney or agent of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767715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9" w:name="page100"/>
    <w:bookmarkEnd w:id="99"/>
    <w:p>
      <w:pPr>
        <w:ind w:left="1500" w:right="259" w:hanging="647"/>
        <w:spacing w:after="0" w:line="235" w:lineRule="auto"/>
        <w:tabs>
          <w:tab w:leader="none" w:pos="14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 xml:space="preserve">Each party shall promptly inform the other as to all material matters that come to its attention that may affect the preparation, filing, prosecution, or maintenance of the </w:t>
      </w:r>
      <w:r>
        <w:rPr>
          <w:rFonts w:ascii="Arial" w:cs="Arial" w:eastAsia="Arial" w:hAnsi="Arial"/>
          <w:sz w:val="22"/>
          <w:szCs w:val="22"/>
          <w:b w:val="1"/>
          <w:bCs w:val="1"/>
          <w:color w:val="auto"/>
        </w:rPr>
        <w:t xml:space="preserve">Licensed Patent Rights </w:t>
      </w:r>
      <w:r>
        <w:rPr>
          <w:rFonts w:ascii="Arial" w:cs="Arial" w:eastAsia="Arial" w:hAnsi="Arial"/>
          <w:sz w:val="22"/>
          <w:szCs w:val="22"/>
          <w:color w:val="auto"/>
        </w:rPr>
        <w:t>and permit each other to provide comments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suggestions with respect to the preparation, filing, prosecution, and maintenance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which comments and suggestions shall be considered by the other party.</w:t>
      </w:r>
    </w:p>
    <w:p>
      <w:pPr>
        <w:spacing w:after="0" w:line="188" w:lineRule="exact"/>
        <w:rPr>
          <w:sz w:val="20"/>
          <w:szCs w:val="20"/>
          <w:color w:val="auto"/>
        </w:rPr>
      </w:pPr>
    </w:p>
    <w:p>
      <w:pPr>
        <w:ind w:left="860" w:hanging="651"/>
        <w:spacing w:after="0"/>
        <w:tabs>
          <w:tab w:leader="none" w:pos="8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RECORD KEEPING</w:t>
      </w:r>
    </w:p>
    <w:p>
      <w:pPr>
        <w:spacing w:after="0" w:line="200" w:lineRule="exact"/>
        <w:rPr>
          <w:rFonts w:ascii="Arial" w:cs="Arial" w:eastAsia="Arial" w:hAnsi="Arial"/>
          <w:sz w:val="22"/>
          <w:szCs w:val="22"/>
          <w:color w:val="auto"/>
        </w:rPr>
      </w:pPr>
    </w:p>
    <w:p>
      <w:pPr>
        <w:ind w:left="1500" w:right="259" w:hanging="648"/>
        <w:spacing w:after="0" w:line="271" w:lineRule="auto"/>
        <w:rPr>
          <w:rFonts w:ascii="Arial" w:cs="Arial" w:eastAsia="Arial" w:hAnsi="Arial"/>
          <w:sz w:val="22"/>
          <w:szCs w:val="22"/>
          <w:color w:val="auto"/>
        </w:rPr>
      </w:pPr>
      <w:r>
        <w:rPr>
          <w:rFonts w:ascii="Arial" w:cs="Arial" w:eastAsia="Arial" w:hAnsi="Arial"/>
          <w:sz w:val="19"/>
          <w:szCs w:val="19"/>
          <w:color w:val="auto"/>
        </w:rPr>
        <w:t xml:space="preserve">8.1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keep accurate and correct records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made, used, sold, or imported and the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practiced under this </w:t>
      </w:r>
      <w:r>
        <w:rPr>
          <w:rFonts w:ascii="Arial" w:cs="Arial" w:eastAsia="Arial" w:hAnsi="Arial"/>
          <w:sz w:val="19"/>
          <w:szCs w:val="19"/>
          <w:b w:val="1"/>
          <w:bCs w:val="1"/>
          <w:color w:val="auto"/>
        </w:rPr>
        <w:t xml:space="preserve">Agreement </w:t>
      </w:r>
      <w:r>
        <w:rPr>
          <w:rFonts w:ascii="Arial" w:cs="Arial" w:eastAsia="Arial" w:hAnsi="Arial"/>
          <w:sz w:val="19"/>
          <w:szCs w:val="19"/>
          <w:color w:val="auto"/>
        </w:rPr>
        <w:t>appropriate to determine the amount of royalties due the</w:t>
      </w:r>
      <w:r>
        <w:rPr>
          <w:rFonts w:ascii="Arial" w:cs="Arial" w:eastAsia="Arial" w:hAnsi="Arial"/>
          <w:sz w:val="19"/>
          <w:szCs w:val="19"/>
          <w:b w:val="1"/>
          <w:bCs w:val="1"/>
          <w:color w:val="auto"/>
        </w:rPr>
        <w:t xml:space="preserve"> IC</w:t>
      </w:r>
      <w:r>
        <w:rPr>
          <w:rFonts w:ascii="Arial" w:cs="Arial" w:eastAsia="Arial" w:hAnsi="Arial"/>
          <w:sz w:val="19"/>
          <w:szCs w:val="19"/>
          <w:color w:val="auto"/>
        </w:rPr>
        <w:t>. These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records shall be retained for at least five (5) years following a given reporting period and shall be available during normal business hours for inspection, at the expense of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by an accountant or other designated auditor selected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for the sole purpose of verifying reports and royalty payments hereunder.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require such auditor or accountant to enter into a confidentiality agreement with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containing reasonable terms and conditions for the protection of </w:t>
      </w:r>
      <w:r>
        <w:rPr>
          <w:rFonts w:ascii="Arial" w:cs="Arial" w:eastAsia="Arial" w:hAnsi="Arial"/>
          <w:sz w:val="19"/>
          <w:szCs w:val="19"/>
          <w:b w:val="1"/>
          <w:bCs w:val="1"/>
          <w:color w:val="auto"/>
        </w:rPr>
        <w:t>Licensee</w:t>
      </w:r>
      <w:r>
        <w:rPr>
          <w:rFonts w:ascii="Arial" w:cs="Arial" w:eastAsia="Arial" w:hAnsi="Arial"/>
          <w:sz w:val="19"/>
          <w:szCs w:val="19"/>
          <w:color w:val="auto"/>
        </w:rPr>
        <w:t>’s non-public and proprietary information. The accountant or auditor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only disclose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information relating to the accuracy of reports and royalty payments made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If an inspection shows an underreporting or underpayment in excess of [***]for any twelve (12) month period, then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shall reimburse the</w:t>
      </w:r>
      <w:r>
        <w:rPr>
          <w:rFonts w:ascii="Arial" w:cs="Arial" w:eastAsia="Arial" w:hAnsi="Arial"/>
          <w:sz w:val="19"/>
          <w:szCs w:val="19"/>
          <w:b w:val="1"/>
          <w:bCs w:val="1"/>
          <w:color w:val="auto"/>
        </w:rPr>
        <w:t xml:space="preserve"> IC </w:t>
      </w:r>
      <w:r>
        <w:rPr>
          <w:rFonts w:ascii="Arial" w:cs="Arial" w:eastAsia="Arial" w:hAnsi="Arial"/>
          <w:sz w:val="19"/>
          <w:szCs w:val="19"/>
          <w:color w:val="auto"/>
        </w:rPr>
        <w:t>for the cost of the inspection at the time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pays the unreported royalties, including any additional royalties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by Paragraph 9.8. All royalty payments required under this Paragraph 8.1 shall be due within sixty (60) days of the date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provides to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notice of the payment due.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860" w:hanging="651"/>
        <w:spacing w:after="0"/>
        <w:tabs>
          <w:tab w:leader="none" w:pos="8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REPORTS ON PROGRESS, BENCHMARKS, SALES, AND PAYMENTS</w:t>
      </w:r>
    </w:p>
    <w:p>
      <w:pPr>
        <w:spacing w:after="0" w:line="200" w:lineRule="exact"/>
        <w:rPr>
          <w:rFonts w:ascii="Arial" w:cs="Arial" w:eastAsia="Arial" w:hAnsi="Arial"/>
          <w:sz w:val="22"/>
          <w:szCs w:val="22"/>
          <w:color w:val="auto"/>
        </w:rPr>
      </w:pPr>
    </w:p>
    <w:p>
      <w:pPr>
        <w:ind w:left="1500" w:right="239" w:hanging="648"/>
        <w:spacing w:after="0" w:line="278" w:lineRule="auto"/>
        <w:rPr>
          <w:rFonts w:ascii="Arial" w:cs="Arial" w:eastAsia="Arial" w:hAnsi="Arial"/>
          <w:sz w:val="22"/>
          <w:szCs w:val="22"/>
          <w:color w:val="auto"/>
        </w:rPr>
      </w:pPr>
      <w:r>
        <w:rPr>
          <w:rFonts w:ascii="Arial" w:cs="Arial" w:eastAsia="Arial" w:hAnsi="Arial"/>
          <w:sz w:val="19"/>
          <w:szCs w:val="19"/>
          <w:color w:val="auto"/>
        </w:rPr>
        <w:t xml:space="preserve">9.1 Prior to signing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has provided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with the </w:t>
      </w:r>
      <w:r>
        <w:rPr>
          <w:rFonts w:ascii="Arial" w:cs="Arial" w:eastAsia="Arial" w:hAnsi="Arial"/>
          <w:sz w:val="19"/>
          <w:szCs w:val="19"/>
          <w:b w:val="1"/>
          <w:bCs w:val="1"/>
          <w:color w:val="auto"/>
        </w:rPr>
        <w:t xml:space="preserve">Commercial Development Plan </w:t>
      </w:r>
      <w:r>
        <w:rPr>
          <w:rFonts w:ascii="Arial" w:cs="Arial" w:eastAsia="Arial" w:hAnsi="Arial"/>
          <w:sz w:val="19"/>
          <w:szCs w:val="19"/>
          <w:color w:val="auto"/>
        </w:rPr>
        <w:t>in Appendix E, under which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intends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use </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xml:space="preserve"> to bring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w:t>
      </w:r>
      <w:r>
        <w:rPr>
          <w:rFonts w:ascii="Arial" w:cs="Arial" w:eastAsia="Arial" w:hAnsi="Arial"/>
          <w:sz w:val="19"/>
          <w:szCs w:val="19"/>
          <w:b w:val="1"/>
          <w:bCs w:val="1"/>
          <w:color w:val="auto"/>
        </w:rPr>
        <w:t xml:space="preserve">Licensed Process(es) </w:t>
      </w:r>
      <w:r>
        <w:rPr>
          <w:rFonts w:ascii="Arial" w:cs="Arial" w:eastAsia="Arial" w:hAnsi="Arial"/>
          <w:sz w:val="19"/>
          <w:szCs w:val="19"/>
          <w:color w:val="auto"/>
        </w:rPr>
        <w:t>within the subject matter of the</w:t>
      </w:r>
      <w:r>
        <w:rPr>
          <w:rFonts w:ascii="Arial" w:cs="Arial" w:eastAsia="Arial" w:hAnsi="Arial"/>
          <w:sz w:val="19"/>
          <w:szCs w:val="19"/>
          <w:b w:val="1"/>
          <w:bCs w:val="1"/>
          <w:color w:val="auto"/>
        </w:rPr>
        <w:t xml:space="preserve"> Licensed Patent Rights </w:t>
      </w:r>
      <w:r>
        <w:rPr>
          <w:rFonts w:ascii="Arial" w:cs="Arial" w:eastAsia="Arial" w:hAnsi="Arial"/>
          <w:sz w:val="19"/>
          <w:szCs w:val="19"/>
          <w:color w:val="auto"/>
        </w:rPr>
        <w:t>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point of </w:t>
      </w:r>
      <w:r>
        <w:rPr>
          <w:rFonts w:ascii="Arial" w:cs="Arial" w:eastAsia="Arial" w:hAnsi="Arial"/>
          <w:sz w:val="19"/>
          <w:szCs w:val="19"/>
          <w:b w:val="1"/>
          <w:bCs w:val="1"/>
          <w:color w:val="auto"/>
        </w:rPr>
        <w:t>Practical Application</w:t>
      </w:r>
      <w:r>
        <w:rPr>
          <w:rFonts w:ascii="Arial" w:cs="Arial" w:eastAsia="Arial" w:hAnsi="Arial"/>
          <w:sz w:val="19"/>
          <w:szCs w:val="19"/>
          <w:color w:val="auto"/>
        </w:rPr>
        <w:t xml:space="preserve">. This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is hereby incorporated by reference into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Based on this plan, performance </w:t>
      </w:r>
      <w:r>
        <w:rPr>
          <w:rFonts w:ascii="Arial" w:cs="Arial" w:eastAsia="Arial" w:hAnsi="Arial"/>
          <w:sz w:val="19"/>
          <w:szCs w:val="19"/>
          <w:b w:val="1"/>
          <w:bCs w:val="1"/>
          <w:color w:val="auto"/>
        </w:rPr>
        <w:t xml:space="preserve">Benchmarks </w:t>
      </w:r>
      <w:r>
        <w:rPr>
          <w:rFonts w:ascii="Arial" w:cs="Arial" w:eastAsia="Arial" w:hAnsi="Arial"/>
          <w:sz w:val="19"/>
          <w:szCs w:val="19"/>
          <w:color w:val="auto"/>
        </w:rPr>
        <w:t>are determined as specified in Appendix D.</w:t>
      </w:r>
    </w:p>
    <w:p>
      <w:pPr>
        <w:spacing w:after="0" w:line="145" w:lineRule="exact"/>
        <w:rPr>
          <w:rFonts w:ascii="Arial" w:cs="Arial" w:eastAsia="Arial" w:hAnsi="Arial"/>
          <w:sz w:val="22"/>
          <w:szCs w:val="22"/>
          <w:color w:val="auto"/>
        </w:rPr>
      </w:pPr>
    </w:p>
    <w:p>
      <w:pPr>
        <w:ind w:left="1500" w:right="259" w:hanging="648"/>
        <w:spacing w:after="0" w:line="275" w:lineRule="auto"/>
        <w:rPr>
          <w:rFonts w:ascii="Arial" w:cs="Arial" w:eastAsia="Arial" w:hAnsi="Arial"/>
          <w:sz w:val="22"/>
          <w:szCs w:val="22"/>
          <w:color w:val="auto"/>
        </w:rPr>
      </w:pPr>
      <w:r>
        <w:rPr>
          <w:rFonts w:ascii="Arial" w:cs="Arial" w:eastAsia="Arial" w:hAnsi="Arial"/>
          <w:sz w:val="19"/>
          <w:szCs w:val="19"/>
          <w:color w:val="auto"/>
        </w:rPr>
        <w:t xml:space="preserve">9.2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provide written annual reports on its product development progress or efforts to commercialize any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under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Development Plan </w:t>
      </w:r>
      <w:r>
        <w:rPr>
          <w:rFonts w:ascii="Arial" w:cs="Arial" w:eastAsia="Arial" w:hAnsi="Arial"/>
          <w:sz w:val="19"/>
          <w:szCs w:val="19"/>
          <w:color w:val="auto"/>
        </w:rPr>
        <w:t>within sixty (60) days after December 31 of each calendar year.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These progress reports shall include, but not be limited to: progress on research and development, status of applications for regulatory approvals, manufacturing, sublicensing, marketing, importing, and sales during the preceding calendar year, as well as, plans for the present calendar year.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also encourages these reports to include information on any of the </w:t>
      </w:r>
      <w:r>
        <w:rPr>
          <w:rFonts w:ascii="Arial" w:cs="Arial" w:eastAsia="Arial" w:hAnsi="Arial"/>
          <w:sz w:val="19"/>
          <w:szCs w:val="19"/>
          <w:b w:val="1"/>
          <w:bCs w:val="1"/>
          <w:color w:val="auto"/>
        </w:rPr>
        <w:t>Licensee’s</w:t>
      </w:r>
      <w:r>
        <w:rPr>
          <w:rFonts w:ascii="Arial" w:cs="Arial" w:eastAsia="Arial" w:hAnsi="Arial"/>
          <w:sz w:val="19"/>
          <w:szCs w:val="19"/>
          <w:color w:val="auto"/>
        </w:rPr>
        <w:t xml:space="preserve"> public service activities that relate to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If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763905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0" w:name="page101"/>
    <w:bookmarkEnd w:id="100"/>
    <w:p>
      <w:pPr>
        <w:ind w:left="1500" w:right="239"/>
        <w:spacing w:after="0" w:line="271" w:lineRule="auto"/>
        <w:rPr>
          <w:sz w:val="20"/>
          <w:szCs w:val="20"/>
          <w:color w:val="auto"/>
        </w:rPr>
      </w:pPr>
      <w:r>
        <w:rPr>
          <w:rFonts w:ascii="Arial" w:cs="Arial" w:eastAsia="Arial" w:hAnsi="Arial"/>
          <w:sz w:val="19"/>
          <w:szCs w:val="19"/>
          <w:color w:val="auto"/>
        </w:rPr>
        <w:t xml:space="preserve">progress differs from that projected in the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and </w:t>
      </w:r>
      <w:r>
        <w:rPr>
          <w:rFonts w:ascii="Arial" w:cs="Arial" w:eastAsia="Arial" w:hAnsi="Arial"/>
          <w:sz w:val="19"/>
          <w:szCs w:val="19"/>
          <w:b w:val="1"/>
          <w:bCs w:val="1"/>
          <w:color w:val="auto"/>
        </w:rPr>
        <w:t>Benchmarks</w:t>
      </w:r>
      <w:r>
        <w:rPr>
          <w:rFonts w:ascii="Arial" w:cs="Arial" w:eastAsia="Arial" w:hAnsi="Arial"/>
          <w:sz w:val="19"/>
          <w:szCs w:val="19"/>
          <w:color w:val="auto"/>
        </w:rPr>
        <w:t>,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shall explain the reasons for these differences.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annual report,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propose amendments to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 Plan</w:t>
      </w:r>
      <w:r>
        <w:rPr>
          <w:rFonts w:ascii="Arial" w:cs="Arial" w:eastAsia="Arial" w:hAnsi="Arial"/>
          <w:sz w:val="19"/>
          <w:szCs w:val="19"/>
          <w:color w:val="auto"/>
        </w:rPr>
        <w:t>, acceptance of which by the</w:t>
      </w:r>
      <w:r>
        <w:rPr>
          <w:rFonts w:ascii="Arial" w:cs="Arial" w:eastAsia="Arial" w:hAnsi="Arial"/>
          <w:sz w:val="19"/>
          <w:szCs w:val="19"/>
          <w:b w:val="1"/>
          <w:bCs w:val="1"/>
          <w:color w:val="auto"/>
        </w:rPr>
        <w:t xml:space="preserve"> IC </w:t>
      </w:r>
      <w:r>
        <w:rPr>
          <w:rFonts w:ascii="Arial" w:cs="Arial" w:eastAsia="Arial" w:hAnsi="Arial"/>
          <w:sz w:val="19"/>
          <w:szCs w:val="19"/>
          <w:color w:val="auto"/>
        </w:rPr>
        <w:t>may not be denied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unreasonably.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provide any additional information reasonably required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to evaluate the </w:t>
      </w:r>
      <w:r>
        <w:rPr>
          <w:rFonts w:ascii="Arial" w:cs="Arial" w:eastAsia="Arial" w:hAnsi="Arial"/>
          <w:sz w:val="19"/>
          <w:szCs w:val="19"/>
          <w:b w:val="1"/>
          <w:bCs w:val="1"/>
          <w:color w:val="auto"/>
        </w:rPr>
        <w:t>Licensee’s</w:t>
      </w:r>
      <w:r>
        <w:rPr>
          <w:rFonts w:ascii="Arial" w:cs="Arial" w:eastAsia="Arial" w:hAnsi="Arial"/>
          <w:sz w:val="19"/>
          <w:szCs w:val="19"/>
          <w:color w:val="auto"/>
        </w:rPr>
        <w:t xml:space="preserve"> performance under this </w:t>
      </w:r>
      <w:r>
        <w:rPr>
          <w:rFonts w:ascii="Arial" w:cs="Arial" w:eastAsia="Arial" w:hAnsi="Arial"/>
          <w:sz w:val="19"/>
          <w:szCs w:val="19"/>
          <w:b w:val="1"/>
          <w:bCs w:val="1"/>
          <w:color w:val="auto"/>
        </w:rPr>
        <w:t>Agreement</w:t>
      </w:r>
      <w:r>
        <w:rPr>
          <w:rFonts w:ascii="Arial" w:cs="Arial" w:eastAsia="Arial" w:hAnsi="Arial"/>
          <w:sz w:val="19"/>
          <w:szCs w:val="19"/>
          <w:color w:val="auto"/>
        </w:rPr>
        <w:t>.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may amend the</w:t>
      </w:r>
      <w:r>
        <w:rPr>
          <w:rFonts w:ascii="Arial" w:cs="Arial" w:eastAsia="Arial" w:hAnsi="Arial"/>
          <w:sz w:val="19"/>
          <w:szCs w:val="19"/>
          <w:b w:val="1"/>
          <w:bCs w:val="1"/>
          <w:color w:val="auto"/>
        </w:rPr>
        <w:t xml:space="preserve"> Benchmarks </w:t>
      </w:r>
      <w:r>
        <w:rPr>
          <w:rFonts w:ascii="Arial" w:cs="Arial" w:eastAsia="Arial" w:hAnsi="Arial"/>
          <w:sz w:val="19"/>
          <w:szCs w:val="19"/>
          <w:color w:val="auto"/>
        </w:rPr>
        <w:t>at any time upon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approval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not unreasonably withhold approval of any request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to extend the time periods of this schedule if the request is supported by a reasonable showing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of diligence in its performance under the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and toward bringing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Products </w:t>
      </w:r>
      <w:r>
        <w:rPr>
          <w:rFonts w:ascii="Arial" w:cs="Arial" w:eastAsia="Arial" w:hAnsi="Arial"/>
          <w:sz w:val="19"/>
          <w:szCs w:val="19"/>
          <w:color w:val="auto"/>
        </w:rPr>
        <w:t>to the point of</w:t>
      </w:r>
      <w:r>
        <w:rPr>
          <w:rFonts w:ascii="Arial" w:cs="Arial" w:eastAsia="Arial" w:hAnsi="Arial"/>
          <w:sz w:val="19"/>
          <w:szCs w:val="19"/>
          <w:b w:val="1"/>
          <w:bCs w:val="1"/>
          <w:color w:val="auto"/>
        </w:rPr>
        <w:t xml:space="preserve"> Practical Application </w:t>
      </w:r>
      <w:r>
        <w:rPr>
          <w:rFonts w:ascii="Arial" w:cs="Arial" w:eastAsia="Arial" w:hAnsi="Arial"/>
          <w:sz w:val="19"/>
          <w:szCs w:val="19"/>
          <w:color w:val="auto"/>
        </w:rPr>
        <w:t>as defined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37 C.F.R. §404.3(d)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amend the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and </w:t>
      </w:r>
      <w:r>
        <w:rPr>
          <w:rFonts w:ascii="Arial" w:cs="Arial" w:eastAsia="Arial" w:hAnsi="Arial"/>
          <w:sz w:val="19"/>
          <w:szCs w:val="19"/>
          <w:b w:val="1"/>
          <w:bCs w:val="1"/>
          <w:color w:val="auto"/>
        </w:rPr>
        <w:t>Benchmarks</w:t>
      </w:r>
      <w:r>
        <w:rPr>
          <w:rFonts w:ascii="Arial" w:cs="Arial" w:eastAsia="Arial" w:hAnsi="Arial"/>
          <w:sz w:val="19"/>
          <w:szCs w:val="19"/>
          <w:color w:val="auto"/>
        </w:rPr>
        <w:t xml:space="preserve"> at the request of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to address any </w:t>
      </w:r>
      <w:r>
        <w:rPr>
          <w:rFonts w:ascii="Arial" w:cs="Arial" w:eastAsia="Arial" w:hAnsi="Arial"/>
          <w:sz w:val="19"/>
          <w:szCs w:val="19"/>
          <w:b w:val="1"/>
          <w:bCs w:val="1"/>
          <w:color w:val="auto"/>
        </w:rPr>
        <w:t>Licensed Field of Use 1</w:t>
      </w:r>
      <w:r>
        <w:rPr>
          <w:rFonts w:ascii="Arial" w:cs="Arial" w:eastAsia="Arial" w:hAnsi="Arial"/>
          <w:sz w:val="19"/>
          <w:szCs w:val="19"/>
          <w:color w:val="auto"/>
        </w:rPr>
        <w:t xml:space="preserve"> not specifically addressed in the plan originally submitted.</w:t>
      </w:r>
    </w:p>
    <w:p>
      <w:pPr>
        <w:spacing w:after="0" w:line="200" w:lineRule="exact"/>
        <w:rPr>
          <w:sz w:val="20"/>
          <w:szCs w:val="20"/>
          <w:color w:val="auto"/>
        </w:rPr>
      </w:pPr>
    </w:p>
    <w:p>
      <w:pPr>
        <w:spacing w:after="0" w:line="208" w:lineRule="exact"/>
        <w:rPr>
          <w:sz w:val="20"/>
          <w:szCs w:val="20"/>
          <w:color w:val="auto"/>
        </w:rPr>
      </w:pPr>
    </w:p>
    <w:p>
      <w:pPr>
        <w:ind w:left="1500" w:right="399" w:hanging="647"/>
        <w:spacing w:after="0" w:line="243" w:lineRule="auto"/>
        <w:tabs>
          <w:tab w:leader="none" w:pos="1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report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the dates for achieving </w:t>
      </w:r>
      <w:r>
        <w:rPr>
          <w:rFonts w:ascii="Arial" w:cs="Arial" w:eastAsia="Arial" w:hAnsi="Arial"/>
          <w:sz w:val="22"/>
          <w:szCs w:val="22"/>
          <w:b w:val="1"/>
          <w:bCs w:val="1"/>
          <w:color w:val="auto"/>
        </w:rPr>
        <w:t>Benchmarks</w:t>
      </w:r>
      <w:r>
        <w:rPr>
          <w:rFonts w:ascii="Arial" w:cs="Arial" w:eastAsia="Arial" w:hAnsi="Arial"/>
          <w:sz w:val="22"/>
          <w:szCs w:val="22"/>
          <w:color w:val="auto"/>
        </w:rPr>
        <w:t xml:space="preserve"> specified in Appendix D and the </w:t>
      </w:r>
      <w:r>
        <w:rPr>
          <w:rFonts w:ascii="Arial" w:cs="Arial" w:eastAsia="Arial" w:hAnsi="Arial"/>
          <w:sz w:val="22"/>
          <w:szCs w:val="22"/>
          <w:b w:val="1"/>
          <w:bCs w:val="1"/>
          <w:color w:val="auto"/>
        </w:rPr>
        <w:t>First Commercial Sale</w:t>
      </w:r>
      <w:r>
        <w:rPr>
          <w:rFonts w:ascii="Arial" w:cs="Arial" w:eastAsia="Arial" w:hAnsi="Arial"/>
          <w:sz w:val="22"/>
          <w:szCs w:val="22"/>
          <w:color w:val="auto"/>
        </w:rPr>
        <w:t xml:space="preserve"> in each country in the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Territory </w:t>
      </w:r>
      <w:r>
        <w:rPr>
          <w:rFonts w:ascii="Arial" w:cs="Arial" w:eastAsia="Arial" w:hAnsi="Arial"/>
          <w:sz w:val="22"/>
          <w:szCs w:val="22"/>
          <w:color w:val="auto"/>
        </w:rPr>
        <w:t>within thirty (30) days of such occurrences.</w:t>
      </w:r>
    </w:p>
    <w:p>
      <w:pPr>
        <w:spacing w:after="0" w:line="177" w:lineRule="exact"/>
        <w:rPr>
          <w:sz w:val="20"/>
          <w:szCs w:val="20"/>
          <w:color w:val="auto"/>
        </w:rPr>
      </w:pPr>
    </w:p>
    <w:p>
      <w:pPr>
        <w:ind w:left="1500" w:right="279" w:hanging="647"/>
        <w:spacing w:after="0" w:line="272" w:lineRule="auto"/>
        <w:tabs>
          <w:tab w:leader="none" w:pos="1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 xml:space="preserve">Following the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submit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within sixty (60) days after each calendar half-year ending June 30 and December 31, a royalty report, as described in the example in Appendix F, setting forth for the preceding half-year period the amount of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sold or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Processes </w:t>
      </w:r>
      <w:r>
        <w:rPr>
          <w:rFonts w:ascii="Arial" w:cs="Arial" w:eastAsia="Arial" w:hAnsi="Arial"/>
          <w:sz w:val="19"/>
          <w:szCs w:val="19"/>
          <w:color w:val="auto"/>
        </w:rPr>
        <w:t>practiced by or on behalf of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in each country within the</w:t>
      </w:r>
      <w:r>
        <w:rPr>
          <w:rFonts w:ascii="Arial" w:cs="Arial" w:eastAsia="Arial" w:hAnsi="Arial"/>
          <w:sz w:val="19"/>
          <w:szCs w:val="19"/>
          <w:b w:val="1"/>
          <w:bCs w:val="1"/>
          <w:color w:val="auto"/>
        </w:rPr>
        <w:t xml:space="preserve"> Licensed Territory</w:t>
      </w:r>
      <w:r>
        <w:rPr>
          <w:rFonts w:ascii="Arial" w:cs="Arial" w:eastAsia="Arial" w:hAnsi="Arial"/>
          <w:sz w:val="19"/>
          <w:szCs w:val="19"/>
          <w:color w:val="auto"/>
        </w:rPr>
        <w:t>, the</w:t>
      </w:r>
      <w:r>
        <w:rPr>
          <w:rFonts w:ascii="Arial" w:cs="Arial" w:eastAsia="Arial" w:hAnsi="Arial"/>
          <w:sz w:val="19"/>
          <w:szCs w:val="19"/>
          <w:b w:val="1"/>
          <w:bCs w:val="1"/>
          <w:color w:val="auto"/>
        </w:rPr>
        <w:t xml:space="preserve"> Net Sales</w:t>
      </w:r>
      <w:r>
        <w:rPr>
          <w:rFonts w:ascii="Arial" w:cs="Arial" w:eastAsia="Arial" w:hAnsi="Arial"/>
          <w:sz w:val="19"/>
          <w:szCs w:val="19"/>
          <w:color w:val="auto"/>
        </w:rPr>
        <w:t>, and the amount of royalty accordingly due.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each royalty report,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submit payment of earned royalties due. If no earned royalties are due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for any reporting period, the written report shall so state. The royalty report shall be certified as correct by an authorized officer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shall include a detailed listing of all deductions made under Paragraph 2.14 to determine </w:t>
      </w:r>
      <w:r>
        <w:rPr>
          <w:rFonts w:ascii="Arial" w:cs="Arial" w:eastAsia="Arial" w:hAnsi="Arial"/>
          <w:sz w:val="19"/>
          <w:szCs w:val="19"/>
          <w:b w:val="1"/>
          <w:bCs w:val="1"/>
          <w:color w:val="auto"/>
        </w:rPr>
        <w:t>Net Sales</w:t>
      </w:r>
      <w:r>
        <w:rPr>
          <w:rFonts w:ascii="Arial" w:cs="Arial" w:eastAsia="Arial" w:hAnsi="Arial"/>
          <w:sz w:val="19"/>
          <w:szCs w:val="19"/>
          <w:color w:val="auto"/>
        </w:rPr>
        <w:t xml:space="preserve"> made under Article 6 to determine royalties due. The royalty report shall also identify the site of manufacture for the </w:t>
      </w:r>
      <w:r>
        <w:rPr>
          <w:rFonts w:ascii="Arial" w:cs="Arial" w:eastAsia="Arial" w:hAnsi="Arial"/>
          <w:sz w:val="19"/>
          <w:szCs w:val="19"/>
          <w:b w:val="1"/>
          <w:bCs w:val="1"/>
          <w:color w:val="auto"/>
        </w:rPr>
        <w:t xml:space="preserve">Licensed Product(s) </w:t>
      </w:r>
      <w:r>
        <w:rPr>
          <w:rFonts w:ascii="Arial" w:cs="Arial" w:eastAsia="Arial" w:hAnsi="Arial"/>
          <w:sz w:val="19"/>
          <w:szCs w:val="19"/>
          <w:color w:val="auto"/>
        </w:rPr>
        <w:t>sold in the United States.</w:t>
      </w:r>
    </w:p>
    <w:p>
      <w:pPr>
        <w:spacing w:after="0" w:line="156" w:lineRule="exact"/>
        <w:rPr>
          <w:sz w:val="20"/>
          <w:szCs w:val="20"/>
          <w:color w:val="auto"/>
        </w:rPr>
      </w:pPr>
    </w:p>
    <w:p>
      <w:pPr>
        <w:ind w:left="1500" w:right="579" w:hanging="647"/>
        <w:spacing w:after="0" w:line="254" w:lineRule="auto"/>
        <w:tabs>
          <w:tab w:leader="none" w:pos="1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to forward semi-annually to the </w:t>
      </w:r>
      <w:r>
        <w:rPr>
          <w:rFonts w:ascii="Arial" w:cs="Arial" w:eastAsia="Arial" w:hAnsi="Arial"/>
          <w:sz w:val="21"/>
          <w:szCs w:val="21"/>
          <w:b w:val="1"/>
          <w:bCs w:val="1"/>
          <w:color w:val="auto"/>
        </w:rPr>
        <w:t>IC</w:t>
      </w:r>
      <w:r>
        <w:rPr>
          <w:rFonts w:ascii="Arial" w:cs="Arial" w:eastAsia="Arial" w:hAnsi="Arial"/>
          <w:sz w:val="21"/>
          <w:szCs w:val="21"/>
          <w:color w:val="auto"/>
        </w:rPr>
        <w:t xml:space="preserve"> a copy of these reports received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from its sublicensees during the preceding half-year period as shall be pertinent to a royalty accounting to the </w:t>
      </w:r>
      <w:r>
        <w:rPr>
          <w:rFonts w:ascii="Arial" w:cs="Arial" w:eastAsia="Arial" w:hAnsi="Arial"/>
          <w:sz w:val="21"/>
          <w:szCs w:val="21"/>
          <w:b w:val="1"/>
          <w:bCs w:val="1"/>
          <w:color w:val="auto"/>
        </w:rPr>
        <w:t>IC</w:t>
      </w:r>
      <w:r>
        <w:rPr>
          <w:rFonts w:ascii="Arial" w:cs="Arial" w:eastAsia="Arial" w:hAnsi="Arial"/>
          <w:sz w:val="21"/>
          <w:szCs w:val="21"/>
          <w:color w:val="auto"/>
        </w:rPr>
        <w:t xml:space="preserve">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for activities under the sublicense.</w:t>
      </w:r>
    </w:p>
    <w:p>
      <w:pPr>
        <w:spacing w:after="0" w:line="172" w:lineRule="exact"/>
        <w:rPr>
          <w:sz w:val="20"/>
          <w:szCs w:val="20"/>
          <w:color w:val="auto"/>
        </w:rPr>
      </w:pPr>
    </w:p>
    <w:p>
      <w:pPr>
        <w:ind w:left="1500" w:right="359" w:hanging="647"/>
        <w:spacing w:after="0" w:line="275" w:lineRule="auto"/>
        <w:tabs>
          <w:tab w:leader="none" w:pos="14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 xml:space="preserve">Royalties due under Article 6 shall be paid in U.S. dollars and payment options are listed in Appendix G. For conversion of foreign currency to U.S. dollars, the conversion rate shall be the New York foreign exchange rate quoted in </w:t>
      </w:r>
      <w:r>
        <w:rPr>
          <w:rFonts w:ascii="Arial" w:cs="Arial" w:eastAsia="Arial" w:hAnsi="Arial"/>
          <w:sz w:val="19"/>
          <w:szCs w:val="19"/>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Journal </w:t>
      </w:r>
      <w:r>
        <w:rPr>
          <w:rFonts w:ascii="Arial" w:cs="Arial" w:eastAsia="Arial" w:hAnsi="Arial"/>
          <w:sz w:val="19"/>
          <w:szCs w:val="19"/>
          <w:color w:val="auto"/>
        </w:rPr>
        <w:t>on the day preceding the day that the payment is due. Any loss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exchange, value, taxes, or other expenses incurred in the transfer or conversion to U.S. dollars shall be paid entirely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The royalty report required by Paragraph 9.4 shall be mailed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at its address for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Notices indicated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765175</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1" w:name="page102"/>
    <w:bookmarkEnd w:id="101"/>
    <w:p>
      <w:pPr>
        <w:ind w:left="1500" w:right="399" w:hanging="647"/>
        <w:spacing w:after="0" w:line="284" w:lineRule="auto"/>
        <w:tabs>
          <w:tab w:leader="none" w:pos="14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be solely responsible for determining if any tax on royalty income is owed outside the United States and shall pay the tax and be responsible for all filings with appropriate agencies of foreign governments. As reasonably requested by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cooperate with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in applying for any valid exemption or obtaining any valid refund of such taxes paid by </w:t>
      </w:r>
      <w:r>
        <w:rPr>
          <w:rFonts w:ascii="Arial" w:cs="Arial" w:eastAsia="Arial" w:hAnsi="Arial"/>
          <w:sz w:val="19"/>
          <w:szCs w:val="19"/>
          <w:b w:val="1"/>
          <w:bCs w:val="1"/>
          <w:color w:val="auto"/>
        </w:rPr>
        <w:t>Licensee</w:t>
      </w:r>
      <w:r>
        <w:rPr>
          <w:rFonts w:ascii="Arial" w:cs="Arial" w:eastAsia="Arial" w:hAnsi="Arial"/>
          <w:sz w:val="19"/>
          <w:szCs w:val="19"/>
          <w:color w:val="auto"/>
        </w:rPr>
        <w:t>.</w:t>
      </w:r>
    </w:p>
    <w:p>
      <w:pPr>
        <w:spacing w:after="0" w:line="139" w:lineRule="exact"/>
        <w:rPr>
          <w:sz w:val="20"/>
          <w:szCs w:val="20"/>
          <w:color w:val="auto"/>
        </w:rPr>
      </w:pPr>
    </w:p>
    <w:p>
      <w:pPr>
        <w:ind w:left="1500" w:right="359" w:hanging="647"/>
        <w:spacing w:after="0" w:line="235" w:lineRule="auto"/>
        <w:tabs>
          <w:tab w:leader="none" w:pos="14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2"/>
          <w:szCs w:val="22"/>
          <w:color w:val="auto"/>
        </w:rPr>
        <w:t xml:space="preserve">Additional royalties may be assessed by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on any payment that is more than ninety (90) days overdue at the rate of [***] percent ([***]%) per [***]. This [***]percent ([***]%) per [***]rate may be applied retroactively from the original due date until the date of receipt by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of the overdue payment and additional royalties. The payment of any additional royalties shall not prevent the </w:t>
      </w:r>
      <w:r>
        <w:rPr>
          <w:rFonts w:ascii="Arial" w:cs="Arial" w:eastAsia="Arial" w:hAnsi="Arial"/>
          <w:sz w:val="22"/>
          <w:szCs w:val="22"/>
          <w:b w:val="1"/>
          <w:bCs w:val="1"/>
          <w:color w:val="auto"/>
        </w:rPr>
        <w:t>IC</w:t>
      </w:r>
      <w:r>
        <w:rPr>
          <w:rFonts w:ascii="Arial" w:cs="Arial" w:eastAsia="Arial" w:hAnsi="Arial"/>
          <w:sz w:val="22"/>
          <w:szCs w:val="22"/>
          <w:color w:val="auto"/>
        </w:rPr>
        <w:t xml:space="preserve"> from exercising any other rights it may have as a consequence of the lateness of any payment.</w:t>
      </w:r>
    </w:p>
    <w:p>
      <w:pPr>
        <w:spacing w:after="0" w:line="189" w:lineRule="exact"/>
        <w:rPr>
          <w:sz w:val="20"/>
          <w:szCs w:val="20"/>
          <w:color w:val="auto"/>
        </w:rPr>
      </w:pPr>
    </w:p>
    <w:p>
      <w:pPr>
        <w:ind w:left="1500" w:right="239" w:hanging="647"/>
        <w:spacing w:after="0" w:line="248" w:lineRule="auto"/>
        <w:tabs>
          <w:tab w:leader="none" w:pos="14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21"/>
          <w:szCs w:val="21"/>
          <w:color w:val="auto"/>
        </w:rPr>
        <w:t xml:space="preserve">All plans and reports required by this Article 9 and marked “confidential” by the </w:t>
      </w:r>
      <w:r>
        <w:rPr>
          <w:rFonts w:ascii="Arial" w:cs="Arial" w:eastAsia="Arial" w:hAnsi="Arial"/>
          <w:sz w:val="21"/>
          <w:szCs w:val="21"/>
          <w:b w:val="1"/>
          <w:bCs w:val="1"/>
          <w:color w:val="auto"/>
        </w:rPr>
        <w:t xml:space="preserve">Licensee </w:t>
      </w:r>
      <w:r>
        <w:rPr>
          <w:rFonts w:ascii="Arial" w:cs="Arial" w:eastAsia="Arial" w:hAnsi="Arial"/>
          <w:sz w:val="21"/>
          <w:szCs w:val="21"/>
          <w:color w:val="auto"/>
        </w:rPr>
        <w:t>shall, to the extent permitted by law, be treated by the</w:t>
      </w:r>
      <w:r>
        <w:rPr>
          <w:rFonts w:ascii="Arial" w:cs="Arial" w:eastAsia="Arial" w:hAnsi="Arial"/>
          <w:sz w:val="21"/>
          <w:szCs w:val="21"/>
          <w:b w:val="1"/>
          <w:bCs w:val="1"/>
          <w:color w:val="auto"/>
        </w:rPr>
        <w:t xml:space="preserve"> IC </w:t>
      </w:r>
      <w:r>
        <w:rPr>
          <w:rFonts w:ascii="Arial" w:cs="Arial" w:eastAsia="Arial" w:hAnsi="Arial"/>
          <w:sz w:val="21"/>
          <w:szCs w:val="21"/>
          <w:color w:val="auto"/>
        </w:rPr>
        <w:t>as commercial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financial information obtained from a person and as privileged and confidential, and any proposed disclosure of these records by the </w:t>
      </w:r>
      <w:r>
        <w:rPr>
          <w:rFonts w:ascii="Arial" w:cs="Arial" w:eastAsia="Arial" w:hAnsi="Arial"/>
          <w:sz w:val="21"/>
          <w:szCs w:val="21"/>
          <w:b w:val="1"/>
          <w:bCs w:val="1"/>
          <w:color w:val="auto"/>
        </w:rPr>
        <w:t>IC</w:t>
      </w:r>
      <w:r>
        <w:rPr>
          <w:rFonts w:ascii="Arial" w:cs="Arial" w:eastAsia="Arial" w:hAnsi="Arial"/>
          <w:sz w:val="21"/>
          <w:szCs w:val="21"/>
          <w:color w:val="auto"/>
        </w:rPr>
        <w:t xml:space="preserve"> under the Freedom of Information Act (FOIA), </w:t>
      </w:r>
      <w:r>
        <w:rPr>
          <w:rFonts w:ascii="Arial" w:cs="Arial" w:eastAsia="Arial" w:hAnsi="Arial"/>
          <w:sz w:val="21"/>
          <w:szCs w:val="21"/>
          <w:u w:val="single" w:color="auto"/>
          <w:color w:val="auto"/>
        </w:rPr>
        <w:t>5 U.S.C. §552</w:t>
      </w:r>
      <w:r>
        <w:rPr>
          <w:rFonts w:ascii="Arial" w:cs="Arial" w:eastAsia="Arial" w:hAnsi="Arial"/>
          <w:sz w:val="21"/>
          <w:szCs w:val="21"/>
          <w:color w:val="auto"/>
        </w:rPr>
        <w:t xml:space="preserve"> shall be subject to the predisclosure notification requirements of </w:t>
      </w:r>
      <w:r>
        <w:rPr>
          <w:rFonts w:ascii="Arial" w:cs="Arial" w:eastAsia="Arial" w:hAnsi="Arial"/>
          <w:sz w:val="21"/>
          <w:szCs w:val="21"/>
          <w:u w:val="single" w:color="auto"/>
          <w:color w:val="auto"/>
        </w:rPr>
        <w:t>45 C.F.R. §5.65(d)</w:t>
      </w:r>
      <w:r>
        <w:rPr>
          <w:rFonts w:ascii="Arial" w:cs="Arial" w:eastAsia="Arial" w:hAnsi="Arial"/>
          <w:sz w:val="21"/>
          <w:szCs w:val="21"/>
          <w:color w:val="auto"/>
        </w:rPr>
        <w:t>.</w:t>
      </w:r>
    </w:p>
    <w:p>
      <w:pPr>
        <w:spacing w:after="0" w:line="177" w:lineRule="exact"/>
        <w:rPr>
          <w:sz w:val="20"/>
          <w:szCs w:val="20"/>
          <w:color w:val="auto"/>
        </w:rPr>
      </w:pPr>
    </w:p>
    <w:p>
      <w:pPr>
        <w:ind w:left="860" w:hanging="651"/>
        <w:spacing w:after="0"/>
        <w:tabs>
          <w:tab w:leader="none" w:pos="8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PERFORMANCE</w:t>
      </w:r>
    </w:p>
    <w:p>
      <w:pPr>
        <w:spacing w:after="0" w:line="200" w:lineRule="exact"/>
        <w:rPr>
          <w:rFonts w:ascii="Arial" w:cs="Arial" w:eastAsia="Arial" w:hAnsi="Arial"/>
          <w:sz w:val="22"/>
          <w:szCs w:val="22"/>
          <w:color w:val="auto"/>
        </w:rPr>
      </w:pPr>
    </w:p>
    <w:p>
      <w:pPr>
        <w:ind w:left="1500" w:right="299" w:hanging="648"/>
        <w:spacing w:after="0" w:line="278" w:lineRule="auto"/>
        <w:rPr>
          <w:rFonts w:ascii="Arial" w:cs="Arial" w:eastAsia="Arial" w:hAnsi="Arial"/>
          <w:sz w:val="22"/>
          <w:szCs w:val="22"/>
          <w:color w:val="auto"/>
        </w:rPr>
      </w:pPr>
      <w:r>
        <w:rPr>
          <w:rFonts w:ascii="Arial" w:cs="Arial" w:eastAsia="Arial" w:hAnsi="Arial"/>
          <w:sz w:val="19"/>
          <w:szCs w:val="19"/>
          <w:color w:val="auto"/>
        </w:rPr>
        <w:t xml:space="preserve">10.1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use its </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xml:space="preserve"> to bring the </w:t>
      </w:r>
      <w:r>
        <w:rPr>
          <w:rFonts w:ascii="Arial" w:cs="Arial" w:eastAsia="Arial" w:hAnsi="Arial"/>
          <w:sz w:val="19"/>
          <w:szCs w:val="19"/>
          <w:b w:val="1"/>
          <w:bCs w:val="1"/>
          <w:color w:val="auto"/>
        </w:rPr>
        <w:t xml:space="preserve">Licensed Products </w:t>
      </w:r>
      <w:r>
        <w:rPr>
          <w:rFonts w:ascii="Arial" w:cs="Arial" w:eastAsia="Arial" w:hAnsi="Arial"/>
          <w:sz w:val="19"/>
          <w:szCs w:val="19"/>
          <w:color w:val="auto"/>
        </w:rPr>
        <w:t>and the</w:t>
      </w:r>
      <w:r>
        <w:rPr>
          <w:rFonts w:ascii="Arial" w:cs="Arial" w:eastAsia="Arial" w:hAnsi="Arial"/>
          <w:sz w:val="19"/>
          <w:szCs w:val="19"/>
          <w:b w:val="1"/>
          <w:bCs w:val="1"/>
          <w:color w:val="auto"/>
        </w:rPr>
        <w:t xml:space="preserve"> Licensed Processes </w:t>
      </w:r>
      <w:r>
        <w:rPr>
          <w:rFonts w:ascii="Arial" w:cs="Arial" w:eastAsia="Arial" w:hAnsi="Arial"/>
          <w:sz w:val="19"/>
          <w:szCs w:val="19"/>
          <w:color w:val="auto"/>
        </w:rPr>
        <w:t>to</w:t>
      </w:r>
      <w:r>
        <w:rPr>
          <w:rFonts w:ascii="Arial" w:cs="Arial" w:eastAsia="Arial" w:hAnsi="Arial"/>
          <w:sz w:val="19"/>
          <w:szCs w:val="19"/>
          <w:b w:val="1"/>
          <w:bCs w:val="1"/>
          <w:color w:val="auto"/>
        </w:rPr>
        <w:t xml:space="preserve"> Practical Application</w:t>
      </w:r>
      <w:r>
        <w:rPr>
          <w:rFonts w:ascii="Arial" w:cs="Arial" w:eastAsia="Arial" w:hAnsi="Arial"/>
          <w:sz w:val="19"/>
          <w:szCs w:val="19"/>
          <w:color w:val="auto"/>
        </w:rPr>
        <w:t>.</w:t>
      </w:r>
      <w:r>
        <w:rPr>
          <w:rFonts w:ascii="Arial" w:cs="Arial" w:eastAsia="Arial" w:hAnsi="Arial"/>
          <w:sz w:val="19"/>
          <w:szCs w:val="19"/>
          <w:b w:val="1"/>
          <w:bCs w:val="1"/>
          <w:color w:val="auto"/>
        </w:rPr>
        <w:t xml:space="preserve"> Commercially Reasonable Efforts </w:t>
      </w:r>
      <w:r>
        <w:rPr>
          <w:rFonts w:ascii="Arial" w:cs="Arial" w:eastAsia="Arial" w:hAnsi="Arial"/>
          <w:sz w:val="19"/>
          <w:szCs w:val="19"/>
          <w:color w:val="auto"/>
        </w:rPr>
        <w:t>for the purposes of this provision shall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reasonable adherence to the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in Appendix E and performance of the </w:t>
      </w:r>
      <w:r>
        <w:rPr>
          <w:rFonts w:ascii="Arial" w:cs="Arial" w:eastAsia="Arial" w:hAnsi="Arial"/>
          <w:sz w:val="19"/>
          <w:szCs w:val="19"/>
          <w:b w:val="1"/>
          <w:bCs w:val="1"/>
          <w:color w:val="auto"/>
        </w:rPr>
        <w:t>Benchmarks</w:t>
      </w:r>
      <w:r>
        <w:rPr>
          <w:rFonts w:ascii="Arial" w:cs="Arial" w:eastAsia="Arial" w:hAnsi="Arial"/>
          <w:sz w:val="19"/>
          <w:szCs w:val="19"/>
          <w:color w:val="auto"/>
        </w:rPr>
        <w:t xml:space="preserve"> in Appendix D in each case as either may be amended from time to time. The efforts of a sublicensee or an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of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be considered the efforts of the </w:t>
      </w:r>
      <w:r>
        <w:rPr>
          <w:rFonts w:ascii="Arial" w:cs="Arial" w:eastAsia="Arial" w:hAnsi="Arial"/>
          <w:sz w:val="19"/>
          <w:szCs w:val="19"/>
          <w:b w:val="1"/>
          <w:bCs w:val="1"/>
          <w:color w:val="auto"/>
        </w:rPr>
        <w:t>Licensee</w:t>
      </w:r>
      <w:r>
        <w:rPr>
          <w:rFonts w:ascii="Arial" w:cs="Arial" w:eastAsia="Arial" w:hAnsi="Arial"/>
          <w:sz w:val="19"/>
          <w:szCs w:val="19"/>
          <w:color w:val="auto"/>
        </w:rPr>
        <w:t>.</w:t>
      </w:r>
    </w:p>
    <w:p>
      <w:pPr>
        <w:spacing w:after="0" w:line="145" w:lineRule="exact"/>
        <w:rPr>
          <w:rFonts w:ascii="Arial" w:cs="Arial" w:eastAsia="Arial" w:hAnsi="Arial"/>
          <w:sz w:val="22"/>
          <w:szCs w:val="22"/>
          <w:color w:val="auto"/>
        </w:rPr>
      </w:pPr>
    </w:p>
    <w:p>
      <w:pPr>
        <w:ind w:left="1500" w:right="459" w:hanging="648"/>
        <w:spacing w:after="0" w:line="254" w:lineRule="auto"/>
        <w:rPr>
          <w:rFonts w:ascii="Arial" w:cs="Arial" w:eastAsia="Arial" w:hAnsi="Arial"/>
          <w:sz w:val="22"/>
          <w:szCs w:val="22"/>
          <w:color w:val="auto"/>
        </w:rPr>
      </w:pPr>
      <w:r>
        <w:rPr>
          <w:rFonts w:ascii="Arial" w:cs="Arial" w:eastAsia="Arial" w:hAnsi="Arial"/>
          <w:sz w:val="21"/>
          <w:szCs w:val="21"/>
          <w:color w:val="auto"/>
        </w:rPr>
        <w:t xml:space="preserve">10.2 Upon the </w:t>
      </w:r>
      <w:r>
        <w:rPr>
          <w:rFonts w:ascii="Arial" w:cs="Arial" w:eastAsia="Arial" w:hAnsi="Arial"/>
          <w:sz w:val="21"/>
          <w:szCs w:val="21"/>
          <w:b w:val="1"/>
          <w:bCs w:val="1"/>
          <w:color w:val="auto"/>
        </w:rPr>
        <w:t>First Commercial Sale</w:t>
      </w:r>
      <w:r>
        <w:rPr>
          <w:rFonts w:ascii="Arial" w:cs="Arial" w:eastAsia="Arial" w:hAnsi="Arial"/>
          <w:sz w:val="21"/>
          <w:szCs w:val="21"/>
          <w:color w:val="auto"/>
        </w:rPr>
        <w:t xml:space="preserve"> in the United States, until the expiration or termination of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shall use its </w:t>
      </w:r>
      <w:r>
        <w:rPr>
          <w:rFonts w:ascii="Arial" w:cs="Arial" w:eastAsia="Arial" w:hAnsi="Arial"/>
          <w:sz w:val="21"/>
          <w:szCs w:val="21"/>
          <w:b w:val="1"/>
          <w:bCs w:val="1"/>
          <w:color w:val="auto"/>
        </w:rPr>
        <w:t>Commercially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Reasonable Efforts </w:t>
      </w:r>
      <w:r>
        <w:rPr>
          <w:rFonts w:ascii="Arial" w:cs="Arial" w:eastAsia="Arial" w:hAnsi="Arial"/>
          <w:sz w:val="21"/>
          <w:szCs w:val="21"/>
          <w:color w:val="auto"/>
        </w:rPr>
        <w:t>to make the</w:t>
      </w:r>
      <w:r>
        <w:rPr>
          <w:rFonts w:ascii="Arial" w:cs="Arial" w:eastAsia="Arial" w:hAnsi="Arial"/>
          <w:sz w:val="21"/>
          <w:szCs w:val="21"/>
          <w:b w:val="1"/>
          <w:bCs w:val="1"/>
          <w:color w:val="auto"/>
        </w:rPr>
        <w:t xml:space="preserve"> Licensed Products </w:t>
      </w:r>
      <w:r>
        <w:rPr>
          <w:rFonts w:ascii="Arial" w:cs="Arial" w:eastAsia="Arial" w:hAnsi="Arial"/>
          <w:sz w:val="21"/>
          <w:szCs w:val="21"/>
          <w:color w:val="auto"/>
        </w:rPr>
        <w:t>and the</w:t>
      </w:r>
      <w:r>
        <w:rPr>
          <w:rFonts w:ascii="Arial" w:cs="Arial" w:eastAsia="Arial" w:hAnsi="Arial"/>
          <w:sz w:val="21"/>
          <w:szCs w:val="21"/>
          <w:b w:val="1"/>
          <w:bCs w:val="1"/>
          <w:color w:val="auto"/>
        </w:rPr>
        <w:t xml:space="preserve"> Licensed Processes </w:t>
      </w:r>
      <w:r>
        <w:rPr>
          <w:rFonts w:ascii="Arial" w:cs="Arial" w:eastAsia="Arial" w:hAnsi="Arial"/>
          <w:sz w:val="21"/>
          <w:szCs w:val="21"/>
          <w:color w:val="auto"/>
        </w:rPr>
        <w:t>reasonably accessible to the United States public.</w:t>
      </w:r>
    </w:p>
    <w:p>
      <w:pPr>
        <w:spacing w:after="0" w:line="165" w:lineRule="exact"/>
        <w:rPr>
          <w:rFonts w:ascii="Arial" w:cs="Arial" w:eastAsia="Arial" w:hAnsi="Arial"/>
          <w:sz w:val="22"/>
          <w:szCs w:val="22"/>
          <w:color w:val="auto"/>
        </w:rPr>
      </w:pPr>
    </w:p>
    <w:p>
      <w:pPr>
        <w:ind w:left="1500" w:right="319" w:hanging="648"/>
        <w:spacing w:after="0" w:line="239" w:lineRule="auto"/>
        <w:rPr>
          <w:rFonts w:ascii="Arial" w:cs="Arial" w:eastAsia="Arial" w:hAnsi="Arial"/>
          <w:sz w:val="22"/>
          <w:szCs w:val="22"/>
          <w:color w:val="auto"/>
        </w:rPr>
      </w:pPr>
      <w:r>
        <w:rPr>
          <w:rFonts w:ascii="Arial" w:cs="Arial" w:eastAsia="Arial" w:hAnsi="Arial"/>
          <w:sz w:val="22"/>
          <w:szCs w:val="22"/>
          <w:color w:val="auto"/>
        </w:rPr>
        <w:t xml:space="preserve">10.3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after its </w:t>
      </w:r>
      <w:r>
        <w:rPr>
          <w:rFonts w:ascii="Arial" w:cs="Arial" w:eastAsia="Arial" w:hAnsi="Arial"/>
          <w:sz w:val="22"/>
          <w:szCs w:val="22"/>
          <w:b w:val="1"/>
          <w:bCs w:val="1"/>
          <w:color w:val="auto"/>
        </w:rPr>
        <w:t>First Commercial Sale</w:t>
      </w:r>
      <w:r>
        <w:rPr>
          <w:rFonts w:ascii="Arial" w:cs="Arial" w:eastAsia="Arial" w:hAnsi="Arial"/>
          <w:sz w:val="22"/>
          <w:szCs w:val="22"/>
          <w:color w:val="auto"/>
        </w:rPr>
        <w:t xml:space="preserve">, to make reasonable quantities of the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materials produced through the use of the </w:t>
      </w:r>
      <w:r>
        <w:rPr>
          <w:rFonts w:ascii="Arial" w:cs="Arial" w:eastAsia="Arial" w:hAnsi="Arial"/>
          <w:sz w:val="22"/>
          <w:szCs w:val="22"/>
          <w:b w:val="1"/>
          <w:bCs w:val="1"/>
          <w:color w:val="auto"/>
        </w:rPr>
        <w:t xml:space="preserve">Licensed Processes </w:t>
      </w:r>
      <w:r>
        <w:rPr>
          <w:rFonts w:ascii="Arial" w:cs="Arial" w:eastAsia="Arial" w:hAnsi="Arial"/>
          <w:sz w:val="22"/>
          <w:szCs w:val="22"/>
          <w:color w:val="auto"/>
        </w:rPr>
        <w:t>within the</w:t>
      </w:r>
      <w:r>
        <w:rPr>
          <w:rFonts w:ascii="Arial" w:cs="Arial" w:eastAsia="Arial" w:hAnsi="Arial"/>
          <w:sz w:val="22"/>
          <w:szCs w:val="22"/>
          <w:b w:val="1"/>
          <w:bCs w:val="1"/>
          <w:color w:val="auto"/>
        </w:rPr>
        <w:t xml:space="preserve"> Licensed Fields of Use 1 and 2 </w:t>
      </w:r>
      <w:r>
        <w:rPr>
          <w:rFonts w:ascii="Arial" w:cs="Arial" w:eastAsia="Arial" w:hAnsi="Arial"/>
          <w:sz w:val="22"/>
          <w:szCs w:val="22"/>
          <w:color w:val="auto"/>
        </w:rPr>
        <w:t>available to patient</w:t>
      </w:r>
      <w:r>
        <w:rPr>
          <w:rFonts w:ascii="Arial" w:cs="Arial" w:eastAsia="Arial" w:hAnsi="Arial"/>
          <w:sz w:val="22"/>
          <w:szCs w:val="22"/>
          <w:b w:val="1"/>
          <w:bCs w:val="1"/>
          <w:color w:val="auto"/>
        </w:rPr>
        <w:t xml:space="preserve"> </w:t>
      </w:r>
      <w:r>
        <w:rPr>
          <w:rFonts w:ascii="Arial" w:cs="Arial" w:eastAsia="Arial" w:hAnsi="Arial"/>
          <w:sz w:val="22"/>
          <w:szCs w:val="22"/>
          <w:color w:val="auto"/>
        </w:rPr>
        <w:t>assistance programs.</w:t>
      </w:r>
    </w:p>
    <w:p>
      <w:pPr>
        <w:spacing w:after="0" w:line="180" w:lineRule="exact"/>
        <w:rPr>
          <w:rFonts w:ascii="Arial" w:cs="Arial" w:eastAsia="Arial" w:hAnsi="Arial"/>
          <w:sz w:val="22"/>
          <w:szCs w:val="22"/>
          <w:color w:val="auto"/>
        </w:rPr>
      </w:pPr>
    </w:p>
    <w:p>
      <w:pPr>
        <w:ind w:left="1500" w:right="259" w:hanging="648"/>
        <w:spacing w:after="0" w:line="289" w:lineRule="auto"/>
        <w:rPr>
          <w:rFonts w:ascii="Arial" w:cs="Arial" w:eastAsia="Arial" w:hAnsi="Arial"/>
          <w:sz w:val="22"/>
          <w:szCs w:val="22"/>
          <w:color w:val="auto"/>
        </w:rPr>
      </w:pPr>
      <w:r>
        <w:rPr>
          <w:rFonts w:ascii="Arial" w:cs="Arial" w:eastAsia="Arial" w:hAnsi="Arial"/>
          <w:sz w:val="19"/>
          <w:szCs w:val="19"/>
          <w:color w:val="auto"/>
        </w:rPr>
        <w:t xml:space="preserve">10.4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after its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and as part of its marketing and product promotion, to develop educational materials (e.g., brochures, website, etc.) directed to patients and physicians detailing the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medical aspects of the prophylactic and therapeutic uses of the </w:t>
      </w:r>
      <w:r>
        <w:rPr>
          <w:rFonts w:ascii="Arial" w:cs="Arial" w:eastAsia="Arial" w:hAnsi="Arial"/>
          <w:sz w:val="19"/>
          <w:szCs w:val="19"/>
          <w:b w:val="1"/>
          <w:bCs w:val="1"/>
          <w:color w:val="auto"/>
        </w:rPr>
        <w:t>Licensed Products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755015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2" w:name="page103"/>
    <w:bookmarkEnd w:id="102"/>
    <w:p>
      <w:pPr>
        <w:ind w:left="1500" w:right="239" w:hanging="647"/>
        <w:spacing w:after="0" w:line="254" w:lineRule="auto"/>
        <w:tabs>
          <w:tab w:leader="none" w:pos="14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agrees to supply, to the Mailing Address for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notices indicated on the Signature Page, the Office of Technology Transfer, </w:t>
      </w:r>
      <w:r>
        <w:rPr>
          <w:rFonts w:ascii="Arial" w:cs="Arial" w:eastAsia="Arial" w:hAnsi="Arial"/>
          <w:sz w:val="21"/>
          <w:szCs w:val="21"/>
          <w:b w:val="1"/>
          <w:bCs w:val="1"/>
          <w:color w:val="auto"/>
        </w:rPr>
        <w:t>NIH</w:t>
      </w:r>
      <w:r>
        <w:rPr>
          <w:rFonts w:ascii="Arial" w:cs="Arial" w:eastAsia="Arial" w:hAnsi="Arial"/>
          <w:sz w:val="21"/>
          <w:szCs w:val="21"/>
          <w:color w:val="auto"/>
        </w:rPr>
        <w:t xml:space="preserve"> with inert samples of the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the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or their packaging for educational and display purposes only.</w:t>
      </w:r>
    </w:p>
    <w:p>
      <w:pPr>
        <w:spacing w:after="0" w:line="172" w:lineRule="exact"/>
        <w:rPr>
          <w:sz w:val="20"/>
          <w:szCs w:val="20"/>
          <w:color w:val="auto"/>
        </w:rPr>
      </w:pPr>
    </w:p>
    <w:p>
      <w:pPr>
        <w:ind w:left="860" w:hanging="651"/>
        <w:spacing w:after="0"/>
        <w:tabs>
          <w:tab w:leader="none" w:pos="8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INFRINGEMENT AND PATENT ENFORCEMENT</w:t>
      </w:r>
    </w:p>
    <w:p>
      <w:pPr>
        <w:spacing w:after="0" w:line="200" w:lineRule="exact"/>
        <w:rPr>
          <w:rFonts w:ascii="Arial" w:cs="Arial" w:eastAsia="Arial" w:hAnsi="Arial"/>
          <w:sz w:val="22"/>
          <w:szCs w:val="22"/>
          <w:color w:val="auto"/>
        </w:rPr>
      </w:pPr>
    </w:p>
    <w:p>
      <w:pPr>
        <w:ind w:left="1500" w:right="259" w:hanging="648"/>
        <w:spacing w:after="0" w:line="239" w:lineRule="auto"/>
        <w:rPr>
          <w:rFonts w:ascii="Arial" w:cs="Arial" w:eastAsia="Arial" w:hAnsi="Arial"/>
          <w:sz w:val="22"/>
          <w:szCs w:val="22"/>
          <w:color w:val="auto"/>
        </w:rPr>
      </w:pPr>
      <w:r>
        <w:rPr>
          <w:rFonts w:ascii="Arial" w:cs="Arial" w:eastAsia="Arial" w:hAnsi="Arial"/>
          <w:sz w:val="22"/>
          <w:szCs w:val="22"/>
          <w:color w:val="auto"/>
        </w:rPr>
        <w:t xml:space="preserve">11.1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 to notify each other promptly of each infringement or possible infringement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as well as, any facts which may affect the validity, scope, or enforceability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of which either party becomes aware.</w:t>
      </w:r>
    </w:p>
    <w:p>
      <w:pPr>
        <w:spacing w:after="0" w:line="180" w:lineRule="exact"/>
        <w:rPr>
          <w:rFonts w:ascii="Arial" w:cs="Arial" w:eastAsia="Arial" w:hAnsi="Arial"/>
          <w:sz w:val="22"/>
          <w:szCs w:val="22"/>
          <w:color w:val="auto"/>
        </w:rPr>
      </w:pPr>
    </w:p>
    <w:p>
      <w:pPr>
        <w:ind w:left="1500" w:right="939" w:hanging="648"/>
        <w:spacing w:after="0" w:line="256" w:lineRule="auto"/>
        <w:rPr>
          <w:rFonts w:ascii="Arial" w:cs="Arial" w:eastAsia="Arial" w:hAnsi="Arial"/>
          <w:sz w:val="22"/>
          <w:szCs w:val="22"/>
          <w:color w:val="auto"/>
        </w:rPr>
      </w:pPr>
      <w:r>
        <w:rPr>
          <w:rFonts w:ascii="Arial" w:cs="Arial" w:eastAsia="Arial" w:hAnsi="Arial"/>
          <w:sz w:val="22"/>
          <w:szCs w:val="22"/>
          <w:color w:val="auto"/>
        </w:rPr>
        <w:t xml:space="preserve">11.2 Pursuant to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and the provisions of </w:t>
      </w:r>
      <w:r>
        <w:rPr>
          <w:rFonts w:ascii="Arial" w:cs="Arial" w:eastAsia="Arial" w:hAnsi="Arial"/>
          <w:sz w:val="22"/>
          <w:szCs w:val="22"/>
          <w:u w:val="single" w:color="auto"/>
          <w:color w:val="auto"/>
        </w:rPr>
        <w:t>35 U.S.C. Chapter 29</w:t>
      </w:r>
      <w:r>
        <w:rPr>
          <w:rFonts w:ascii="Arial" w:cs="Arial" w:eastAsia="Arial" w:hAnsi="Arial"/>
          <w:sz w:val="22"/>
          <w:szCs w:val="22"/>
          <w:color w:val="auto"/>
        </w:rPr>
        <w:t xml:space="preserve">, the </w:t>
      </w:r>
      <w:r>
        <w:rPr>
          <w:rFonts w:ascii="Arial" w:cs="Arial" w:eastAsia="Arial" w:hAnsi="Arial"/>
          <w:sz w:val="22"/>
          <w:szCs w:val="22"/>
          <w:b w:val="1"/>
          <w:bCs w:val="1"/>
          <w:color w:val="auto"/>
        </w:rPr>
        <w:t xml:space="preserve">Licensee </w:t>
      </w:r>
      <w:r>
        <w:rPr>
          <w:rFonts w:ascii="Arial" w:cs="Arial" w:eastAsia="Arial" w:hAnsi="Arial"/>
          <w:sz w:val="22"/>
          <w:szCs w:val="22"/>
          <w:color w:val="auto"/>
        </w:rPr>
        <w:t>may:</w:t>
      </w:r>
    </w:p>
    <w:p>
      <w:pPr>
        <w:spacing w:after="0" w:line="168" w:lineRule="exact"/>
        <w:rPr>
          <w:rFonts w:ascii="Arial" w:cs="Arial" w:eastAsia="Arial" w:hAnsi="Arial"/>
          <w:sz w:val="22"/>
          <w:szCs w:val="22"/>
          <w:color w:val="auto"/>
        </w:rPr>
      </w:pPr>
    </w:p>
    <w:p>
      <w:pPr>
        <w:jc w:val="both"/>
        <w:ind w:left="2160" w:right="579" w:hanging="655"/>
        <w:spacing w:after="0" w:line="328" w:lineRule="auto"/>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bring suit in its own name, at its own expense, and on its own behalf for infringement of presumably valid claims in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2160" w:right="299" w:hanging="655"/>
        <w:spacing w:after="0" w:line="328" w:lineRule="auto"/>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any suit, enjoin infringement and collect for its use, damages, profits, and awards of whatever nature recoverable for the infringement; or</w:t>
      </w:r>
    </w:p>
    <w:p>
      <w:pPr>
        <w:spacing w:after="0" w:line="98" w:lineRule="exact"/>
        <w:rPr>
          <w:rFonts w:ascii="Arial" w:cs="Arial" w:eastAsia="Arial" w:hAnsi="Arial"/>
          <w:sz w:val="19"/>
          <w:szCs w:val="19"/>
          <w:color w:val="auto"/>
        </w:rPr>
      </w:pPr>
    </w:p>
    <w:p>
      <w:pPr>
        <w:ind w:left="2160" w:right="619" w:hanging="655"/>
        <w:spacing w:after="0" w:line="300" w:lineRule="auto"/>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settle any claim or suit for infringement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provided, however, that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and appropriate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authorities shall have the first right to take such actions; and</w:t>
      </w:r>
    </w:p>
    <w:p>
      <w:pPr>
        <w:spacing w:after="0" w:line="125" w:lineRule="exact"/>
        <w:rPr>
          <w:rFonts w:ascii="Arial" w:cs="Arial" w:eastAsia="Arial" w:hAnsi="Arial"/>
          <w:sz w:val="19"/>
          <w:szCs w:val="19"/>
          <w:color w:val="auto"/>
        </w:rPr>
      </w:pPr>
    </w:p>
    <w:p>
      <w:pPr>
        <w:ind w:left="2160" w:right="259" w:hanging="655"/>
        <w:spacing w:after="0" w:line="271" w:lineRule="auto"/>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if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desires to initiate a suit for patent infringement,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notify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in writing. If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does not notify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of its intent to pursue legal action within ninety (90) days,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be free to initiate suit.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have a continuing right to intervene in the suit.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take no action to compel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either to initiate or to join in any suit for patent infringement.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request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to initiate or join in any suit if necessary to avoid dismissal of the suit. Should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be made a party to any suit,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reimburse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for any costs, expenses, or fees which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incurs as a result of the motion or other action, including all costs incurred by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in opposing the motion or other action. In all cases,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keep 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reasonably apprised of the status and progress of any litigation. Before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commences an infringement action,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notify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and give careful consideration to the views of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and to any potential effects of the litigation on the public health in deciding whether to bring suit.</w:t>
      </w:r>
    </w:p>
    <w:p>
      <w:pPr>
        <w:spacing w:after="0" w:line="163" w:lineRule="exact"/>
        <w:rPr>
          <w:sz w:val="20"/>
          <w:szCs w:val="20"/>
          <w:color w:val="auto"/>
        </w:rPr>
      </w:pPr>
    </w:p>
    <w:p>
      <w:pPr>
        <w:ind w:left="1500" w:right="539" w:hanging="647"/>
        <w:spacing w:after="0" w:line="287" w:lineRule="auto"/>
        <w:tabs>
          <w:tab w:leader="none" w:pos="14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 xml:space="preserve">In the event that a declaratory judgment action alleging invalidity or non-infringement of any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shall be brought against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or raised by way of counterclaim or affirmative defense in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infringement suit brought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under Paragraph 11.2,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755650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3" w:name="page104"/>
    <w:bookmarkEnd w:id="103"/>
    <w:p>
      <w:pPr>
        <w:ind w:left="1500"/>
        <w:spacing w:after="0"/>
        <w:rPr>
          <w:sz w:val="20"/>
          <w:szCs w:val="20"/>
          <w:color w:val="auto"/>
        </w:rPr>
      </w:pPr>
      <w:r>
        <w:rPr>
          <w:rFonts w:ascii="Arial" w:cs="Arial" w:eastAsia="Arial" w:hAnsi="Arial"/>
          <w:sz w:val="21"/>
          <w:szCs w:val="21"/>
          <w:b w:val="1"/>
          <w:bCs w:val="1"/>
          <w:color w:val="auto"/>
        </w:rPr>
        <w:t xml:space="preserve">Agreement </w:t>
      </w:r>
      <w:r>
        <w:rPr>
          <w:rFonts w:ascii="Arial" w:cs="Arial" w:eastAsia="Arial" w:hAnsi="Arial"/>
          <w:sz w:val="21"/>
          <w:szCs w:val="21"/>
          <w:color w:val="auto"/>
        </w:rPr>
        <w:t>and the provisions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35 U.S.C. Chapter 29</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statutes, the</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Licensee </w:t>
      </w:r>
      <w:r>
        <w:rPr>
          <w:rFonts w:ascii="Arial" w:cs="Arial" w:eastAsia="Arial" w:hAnsi="Arial"/>
          <w:sz w:val="22"/>
          <w:szCs w:val="22"/>
          <w:color w:val="auto"/>
        </w:rPr>
        <w:t>may:</w:t>
      </w:r>
    </w:p>
    <w:p>
      <w:pPr>
        <w:spacing w:after="0" w:line="188" w:lineRule="exact"/>
        <w:rPr>
          <w:sz w:val="20"/>
          <w:szCs w:val="20"/>
          <w:color w:val="auto"/>
        </w:rPr>
      </w:pPr>
    </w:p>
    <w:p>
      <w:pPr>
        <w:ind w:left="2160" w:right="499" w:hanging="655"/>
        <w:spacing w:after="0" w:line="274" w:lineRule="auto"/>
        <w:tabs>
          <w:tab w:leader="none" w:pos="21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defend the suit in its own name, at its own expense, and on its own behalf for presumably valid claims in the </w:t>
      </w:r>
      <w:r>
        <w:rPr>
          <w:rFonts w:ascii="Arial" w:cs="Arial" w:eastAsia="Arial" w:hAnsi="Arial"/>
          <w:sz w:val="21"/>
          <w:szCs w:val="21"/>
          <w:b w:val="1"/>
          <w:bCs w:val="1"/>
          <w:color w:val="auto"/>
        </w:rPr>
        <w:t>Licensed Patent Rights</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left="2160" w:right="819" w:hanging="655"/>
        <w:spacing w:after="0"/>
        <w:tabs>
          <w:tab w:leader="none" w:pos="21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any suit, ultimately to enjoin infringement and to collect for its use, damages, profits, and awards of whatever nature recoverable for the infringement; and</w:t>
      </w:r>
    </w:p>
    <w:p>
      <w:pPr>
        <w:spacing w:after="0" w:line="180" w:lineRule="exact"/>
        <w:rPr>
          <w:rFonts w:ascii="Arial" w:cs="Arial" w:eastAsia="Arial" w:hAnsi="Arial"/>
          <w:sz w:val="22"/>
          <w:szCs w:val="22"/>
          <w:color w:val="auto"/>
        </w:rPr>
      </w:pPr>
    </w:p>
    <w:p>
      <w:pPr>
        <w:ind w:left="2160" w:right="459" w:hanging="655"/>
        <w:spacing w:after="0" w:line="289" w:lineRule="auto"/>
        <w:tabs>
          <w:tab w:leader="none" w:pos="21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settle any claim or suit for declaratory judgment involving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Patent Rights</w:t>
      </w:r>
      <w:r>
        <w:rPr>
          <w:rFonts w:ascii="Arial" w:cs="Arial" w:eastAsia="Arial" w:hAnsi="Arial"/>
          <w:sz w:val="19"/>
          <w:szCs w:val="19"/>
          <w:color w:val="auto"/>
        </w:rPr>
        <w:t>; provided, however, that the</w:t>
      </w:r>
      <w:r>
        <w:rPr>
          <w:rFonts w:ascii="Arial" w:cs="Arial" w:eastAsia="Arial" w:hAnsi="Arial"/>
          <w:sz w:val="19"/>
          <w:szCs w:val="19"/>
          <w:b w:val="1"/>
          <w:bCs w:val="1"/>
          <w:color w:val="auto"/>
        </w:rPr>
        <w:t xml:space="preserve"> IC </w:t>
      </w:r>
      <w:r>
        <w:rPr>
          <w:rFonts w:ascii="Arial" w:cs="Arial" w:eastAsia="Arial" w:hAnsi="Arial"/>
          <w:sz w:val="19"/>
          <w:szCs w:val="19"/>
          <w:color w:val="auto"/>
        </w:rPr>
        <w:t>and appropriate</w:t>
      </w:r>
      <w:r>
        <w:rPr>
          <w:rFonts w:ascii="Arial" w:cs="Arial" w:eastAsia="Arial" w:hAnsi="Arial"/>
          <w:sz w:val="19"/>
          <w:szCs w:val="19"/>
          <w:b w:val="1"/>
          <w:bCs w:val="1"/>
          <w:color w:val="auto"/>
        </w:rPr>
        <w:t xml:space="preserve"> Government </w:t>
      </w:r>
      <w:r>
        <w:rPr>
          <w:rFonts w:ascii="Arial" w:cs="Arial" w:eastAsia="Arial" w:hAnsi="Arial"/>
          <w:sz w:val="19"/>
          <w:szCs w:val="19"/>
          <w:color w:val="auto"/>
        </w:rPr>
        <w:t>authorities shall have the first right to take these actions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a continuing right to intervene in the suit; and</w:t>
      </w:r>
    </w:p>
    <w:p>
      <w:pPr>
        <w:spacing w:after="0" w:line="135" w:lineRule="exact"/>
        <w:rPr>
          <w:rFonts w:ascii="Arial" w:cs="Arial" w:eastAsia="Arial" w:hAnsi="Arial"/>
          <w:sz w:val="19"/>
          <w:szCs w:val="19"/>
          <w:color w:val="auto"/>
        </w:rPr>
      </w:pPr>
    </w:p>
    <w:p>
      <w:pPr>
        <w:ind w:left="2160" w:right="239" w:hanging="655"/>
        <w:spacing w:after="0" w:line="271" w:lineRule="auto"/>
        <w:tabs>
          <w:tab w:leader="none" w:pos="21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if the </w:t>
      </w:r>
      <w:r>
        <w:rPr>
          <w:rFonts w:ascii="Arial" w:cs="Arial" w:eastAsia="Arial" w:hAnsi="Arial"/>
          <w:sz w:val="19"/>
          <w:szCs w:val="19"/>
          <w:b w:val="1"/>
          <w:bCs w:val="1"/>
          <w:color w:val="auto"/>
        </w:rPr>
        <w:t>IC</w:t>
      </w:r>
      <w:r>
        <w:rPr>
          <w:rFonts w:ascii="Arial" w:cs="Arial" w:eastAsia="Arial" w:hAnsi="Arial"/>
          <w:sz w:val="19"/>
          <w:szCs w:val="19"/>
          <w:color w:val="auto"/>
        </w:rPr>
        <w:t xml:space="preserve"> does not notify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of its intent to respond to the legal action within a reasonable time,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be free to do so.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shall take no action to compel the</w:t>
      </w:r>
      <w:r>
        <w:rPr>
          <w:rFonts w:ascii="Arial" w:cs="Arial" w:eastAsia="Arial" w:hAnsi="Arial"/>
          <w:sz w:val="19"/>
          <w:szCs w:val="19"/>
          <w:b w:val="1"/>
          <w:bCs w:val="1"/>
          <w:color w:val="auto"/>
        </w:rPr>
        <w:t xml:space="preserve"> Government </w:t>
      </w:r>
      <w:r>
        <w:rPr>
          <w:rFonts w:ascii="Arial" w:cs="Arial" w:eastAsia="Arial" w:hAnsi="Arial"/>
          <w:sz w:val="19"/>
          <w:szCs w:val="19"/>
          <w:color w:val="auto"/>
        </w:rPr>
        <w:t>either to initiate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join in any declaratory judgment action.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request the </w:t>
      </w:r>
      <w:r>
        <w:rPr>
          <w:rFonts w:ascii="Arial" w:cs="Arial" w:eastAsia="Arial" w:hAnsi="Arial"/>
          <w:sz w:val="19"/>
          <w:szCs w:val="19"/>
          <w:b w:val="1"/>
          <w:bCs w:val="1"/>
          <w:color w:val="auto"/>
        </w:rPr>
        <w:t xml:space="preserve">Government </w:t>
      </w:r>
      <w:r>
        <w:rPr>
          <w:rFonts w:ascii="Arial" w:cs="Arial" w:eastAsia="Arial" w:hAnsi="Arial"/>
          <w:sz w:val="19"/>
          <w:szCs w:val="19"/>
          <w:color w:val="auto"/>
        </w:rPr>
        <w:t>to initiate or to join any suit if necessary to avoid dismissal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suit. Should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be made a party to any suit by motion or any other action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reimburse the </w:t>
      </w:r>
      <w:r>
        <w:rPr>
          <w:rFonts w:ascii="Arial" w:cs="Arial" w:eastAsia="Arial" w:hAnsi="Arial"/>
          <w:sz w:val="19"/>
          <w:szCs w:val="19"/>
          <w:b w:val="1"/>
          <w:bCs w:val="1"/>
          <w:color w:val="auto"/>
        </w:rPr>
        <w:t xml:space="preserve">Government </w:t>
      </w:r>
      <w:r>
        <w:rPr>
          <w:rFonts w:ascii="Arial" w:cs="Arial" w:eastAsia="Arial" w:hAnsi="Arial"/>
          <w:sz w:val="19"/>
          <w:szCs w:val="19"/>
          <w:color w:val="auto"/>
        </w:rPr>
        <w:t>for any costs, expenses, or fees, which the</w:t>
      </w:r>
      <w:r>
        <w:rPr>
          <w:rFonts w:ascii="Arial" w:cs="Arial" w:eastAsia="Arial" w:hAnsi="Arial"/>
          <w:sz w:val="19"/>
          <w:szCs w:val="19"/>
          <w:b w:val="1"/>
          <w:bCs w:val="1"/>
          <w:color w:val="auto"/>
        </w:rPr>
        <w:t xml:space="preserve"> Government </w:t>
      </w:r>
      <w:r>
        <w:rPr>
          <w:rFonts w:ascii="Arial" w:cs="Arial" w:eastAsia="Arial" w:hAnsi="Arial"/>
          <w:sz w:val="19"/>
          <w:szCs w:val="19"/>
          <w:color w:val="auto"/>
        </w:rPr>
        <w:t xml:space="preserve">incurs as a result of the motion or other action. If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elects not to defend against the declaratory judgment action,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at its option, may do so at its own expense. In all cases,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keep 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reasonably apprised of the status and progress of any litigation. Before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commences an infringement action,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shall notify the</w:t>
      </w:r>
      <w:r>
        <w:rPr>
          <w:rFonts w:ascii="Arial" w:cs="Arial" w:eastAsia="Arial" w:hAnsi="Arial"/>
          <w:sz w:val="19"/>
          <w:szCs w:val="19"/>
          <w:b w:val="1"/>
          <w:bCs w:val="1"/>
          <w:color w:val="auto"/>
        </w:rPr>
        <w:t xml:space="preserve"> IC </w:t>
      </w:r>
      <w:r>
        <w:rPr>
          <w:rFonts w:ascii="Arial" w:cs="Arial" w:eastAsia="Arial" w:hAnsi="Arial"/>
          <w:sz w:val="19"/>
          <w:szCs w:val="19"/>
          <w:color w:val="auto"/>
        </w:rPr>
        <w:t>and give careful consideration to the views of the</w:t>
      </w:r>
      <w:r>
        <w:rPr>
          <w:rFonts w:ascii="Arial" w:cs="Arial" w:eastAsia="Arial" w:hAnsi="Arial"/>
          <w:sz w:val="19"/>
          <w:szCs w:val="19"/>
          <w:b w:val="1"/>
          <w:bCs w:val="1"/>
          <w:color w:val="auto"/>
        </w:rPr>
        <w:t xml:space="preserve"> IC </w:t>
      </w:r>
      <w:r>
        <w:rPr>
          <w:rFonts w:ascii="Arial" w:cs="Arial" w:eastAsia="Arial" w:hAnsi="Arial"/>
          <w:sz w:val="19"/>
          <w:szCs w:val="19"/>
          <w:color w:val="auto"/>
        </w:rPr>
        <w:t>and to any potential</w:t>
      </w:r>
      <w:r>
        <w:rPr>
          <w:rFonts w:ascii="Arial" w:cs="Arial" w:eastAsia="Arial" w:hAnsi="Arial"/>
          <w:sz w:val="19"/>
          <w:szCs w:val="19"/>
          <w:b w:val="1"/>
          <w:bCs w:val="1"/>
          <w:color w:val="auto"/>
        </w:rPr>
        <w:t xml:space="preserve"> </w:t>
      </w:r>
      <w:r>
        <w:rPr>
          <w:rFonts w:ascii="Arial" w:cs="Arial" w:eastAsia="Arial" w:hAnsi="Arial"/>
          <w:sz w:val="19"/>
          <w:szCs w:val="19"/>
          <w:color w:val="auto"/>
        </w:rPr>
        <w:t>effects of the litigation on the public health in deciding whether to bring suit.</w:t>
      </w:r>
    </w:p>
    <w:p>
      <w:pPr>
        <w:spacing w:after="0" w:line="200" w:lineRule="exact"/>
        <w:rPr>
          <w:sz w:val="20"/>
          <w:szCs w:val="20"/>
          <w:color w:val="auto"/>
        </w:rPr>
      </w:pPr>
    </w:p>
    <w:p>
      <w:pPr>
        <w:spacing w:after="0" w:line="209" w:lineRule="exact"/>
        <w:rPr>
          <w:sz w:val="20"/>
          <w:szCs w:val="20"/>
          <w:color w:val="auto"/>
        </w:rPr>
      </w:pPr>
    </w:p>
    <w:p>
      <w:pPr>
        <w:ind w:left="1500" w:right="439" w:hanging="647"/>
        <w:spacing w:after="0" w:line="246" w:lineRule="auto"/>
        <w:tabs>
          <w:tab w:leader="none" w:pos="14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color w:val="auto"/>
        </w:rPr>
        <w:t xml:space="preserve">In any action under Paragraphs 11.2 or 11.3 the expenses including costs, fees, attorney fees, and disbursements, shall be paid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The value of any recovery made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through court judgment or settlement actually collected shall first be applied by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to reimburse it for all of its costs and expenses (including attorneys’ fees, expert witness fees, and any reimbursement payments made to </w:t>
      </w:r>
      <w:r>
        <w:rPr>
          <w:rFonts w:ascii="Arial" w:cs="Arial" w:eastAsia="Arial" w:hAnsi="Arial"/>
          <w:sz w:val="21"/>
          <w:szCs w:val="21"/>
          <w:b w:val="1"/>
          <w:bCs w:val="1"/>
          <w:color w:val="auto"/>
        </w:rPr>
        <w:t>IC</w:t>
      </w:r>
      <w:r>
        <w:rPr>
          <w:rFonts w:ascii="Arial" w:cs="Arial" w:eastAsia="Arial" w:hAnsi="Arial"/>
          <w:sz w:val="21"/>
          <w:szCs w:val="21"/>
          <w:color w:val="auto"/>
        </w:rPr>
        <w:t xml:space="preserve"> or the </w:t>
      </w:r>
      <w:r>
        <w:rPr>
          <w:rFonts w:ascii="Arial" w:cs="Arial" w:eastAsia="Arial" w:hAnsi="Arial"/>
          <w:sz w:val="21"/>
          <w:szCs w:val="21"/>
          <w:b w:val="1"/>
          <w:bCs w:val="1"/>
          <w:color w:val="auto"/>
        </w:rPr>
        <w:t>Government</w:t>
      </w:r>
      <w:r>
        <w:rPr>
          <w:rFonts w:ascii="Arial" w:cs="Arial" w:eastAsia="Arial" w:hAnsi="Arial"/>
          <w:sz w:val="21"/>
          <w:szCs w:val="21"/>
          <w:color w:val="auto"/>
        </w:rPr>
        <w:t xml:space="preserve">) and the balance shall be treated as </w:t>
      </w:r>
      <w:r>
        <w:rPr>
          <w:rFonts w:ascii="Arial" w:cs="Arial" w:eastAsia="Arial" w:hAnsi="Arial"/>
          <w:sz w:val="21"/>
          <w:szCs w:val="21"/>
          <w:b w:val="1"/>
          <w:bCs w:val="1"/>
          <w:color w:val="auto"/>
        </w:rPr>
        <w:t>Net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Sales </w:t>
      </w:r>
      <w:r>
        <w:rPr>
          <w:rFonts w:ascii="Arial" w:cs="Arial" w:eastAsia="Arial" w:hAnsi="Arial"/>
          <w:sz w:val="21"/>
          <w:szCs w:val="21"/>
          <w:color w:val="auto"/>
        </w:rPr>
        <w:t>and subject to earned royalties as provided in</w:t>
      </w:r>
      <w:r>
        <w:rPr>
          <w:rFonts w:ascii="Arial" w:cs="Arial" w:eastAsia="Arial" w:hAnsi="Arial"/>
          <w:sz w:val="21"/>
          <w:szCs w:val="21"/>
          <w:b w:val="1"/>
          <w:bCs w:val="1"/>
          <w:color w:val="auto"/>
        </w:rPr>
        <w:t xml:space="preserve"> Appendix C </w:t>
      </w:r>
      <w:r>
        <w:rPr>
          <w:rFonts w:ascii="Arial" w:cs="Arial" w:eastAsia="Arial" w:hAnsi="Arial"/>
          <w:sz w:val="21"/>
          <w:szCs w:val="21"/>
          <w:color w:val="auto"/>
        </w:rPr>
        <w:t>when and as</w:t>
      </w:r>
      <w:r>
        <w:rPr>
          <w:rFonts w:ascii="Arial" w:cs="Arial" w:eastAsia="Arial" w:hAnsi="Arial"/>
          <w:sz w:val="21"/>
          <w:szCs w:val="21"/>
          <w:b w:val="1"/>
          <w:bCs w:val="1"/>
          <w:color w:val="auto"/>
        </w:rPr>
        <w:t xml:space="preserve"> </w:t>
      </w:r>
      <w:r>
        <w:rPr>
          <w:rFonts w:ascii="Arial" w:cs="Arial" w:eastAsia="Arial" w:hAnsi="Arial"/>
          <w:sz w:val="21"/>
          <w:szCs w:val="21"/>
          <w:color w:val="auto"/>
        </w:rPr>
        <w:t>collected.</w:t>
      </w:r>
    </w:p>
    <w:p>
      <w:pPr>
        <w:spacing w:after="0" w:line="174" w:lineRule="exact"/>
        <w:rPr>
          <w:sz w:val="20"/>
          <w:szCs w:val="20"/>
          <w:color w:val="auto"/>
        </w:rPr>
      </w:pPr>
    </w:p>
    <w:p>
      <w:pPr>
        <w:ind w:left="1500" w:right="319" w:hanging="647"/>
        <w:spacing w:after="0" w:line="239" w:lineRule="auto"/>
        <w:tabs>
          <w:tab w:leader="none" w:pos="1480" w:val="left"/>
        </w:tabs>
        <w:rPr>
          <w:sz w:val="20"/>
          <w:szCs w:val="20"/>
          <w:color w:val="auto"/>
        </w:rPr>
      </w:pPr>
      <w:r>
        <w:rPr>
          <w:rFonts w:ascii="Arial" w:cs="Arial" w:eastAsia="Arial" w:hAnsi="Arial"/>
          <w:sz w:val="22"/>
          <w:szCs w:val="22"/>
          <w:color w:val="auto"/>
        </w:rPr>
        <w:t>11.5</w:t>
        <w:tab/>
        <w:t xml:space="preserve">The </w:t>
      </w:r>
      <w:r>
        <w:rPr>
          <w:rFonts w:ascii="Arial" w:cs="Arial" w:eastAsia="Arial" w:hAnsi="Arial"/>
          <w:sz w:val="22"/>
          <w:szCs w:val="22"/>
          <w:b w:val="1"/>
          <w:bCs w:val="1"/>
          <w:color w:val="auto"/>
        </w:rPr>
        <w:t>IC</w:t>
      </w:r>
      <w:r>
        <w:rPr>
          <w:rFonts w:ascii="Arial" w:cs="Arial" w:eastAsia="Arial" w:hAnsi="Arial"/>
          <w:sz w:val="22"/>
          <w:szCs w:val="22"/>
          <w:color w:val="auto"/>
        </w:rPr>
        <w:t xml:space="preserve"> shall cooperate fully with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in connection with any action under Paragraphs 11.2 or 11.3.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agrees promptly to provide access to all necessary documents and to render reasonable assistance in response to a request by the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186" w:lineRule="exact"/>
        <w:rPr>
          <w:sz w:val="20"/>
          <w:szCs w:val="20"/>
          <w:color w:val="auto"/>
        </w:rPr>
      </w:pPr>
    </w:p>
    <w:p>
      <w:pPr>
        <w:ind w:left="860" w:hanging="651"/>
        <w:spacing w:after="0"/>
        <w:tabs>
          <w:tab w:leader="none" w:pos="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NEGATION OF WARRANTIES AND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795655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4" w:name="page105"/>
    <w:bookmarkEnd w:id="104"/>
    <w:p>
      <w:pPr>
        <w:ind w:left="860"/>
        <w:spacing w:after="0"/>
        <w:tabs>
          <w:tab w:leader="none" w:pos="14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offers no warranties other than those specified in Article 1.</w:t>
      </w:r>
    </w:p>
    <w:p>
      <w:pPr>
        <w:spacing w:after="0" w:line="207" w:lineRule="exact"/>
        <w:rPr>
          <w:sz w:val="20"/>
          <w:szCs w:val="20"/>
          <w:color w:val="auto"/>
        </w:rPr>
      </w:pPr>
    </w:p>
    <w:p>
      <w:pPr>
        <w:ind w:left="1500" w:right="259" w:hanging="647"/>
        <w:spacing w:after="0" w:line="289" w:lineRule="auto"/>
        <w:tabs>
          <w:tab w:leader="none" w:pos="14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does not warrant the validity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and makes no representations whatsoever with regard to the scope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or that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may be exploited without infringing other patents or other intellectual property rights of third parties.</w:t>
      </w:r>
    </w:p>
    <w:p>
      <w:pPr>
        <w:spacing w:after="0" w:line="136" w:lineRule="exact"/>
        <w:rPr>
          <w:sz w:val="20"/>
          <w:szCs w:val="20"/>
          <w:color w:val="auto"/>
        </w:rPr>
      </w:pPr>
    </w:p>
    <w:p>
      <w:pPr>
        <w:ind w:left="1500" w:right="279" w:hanging="647"/>
        <w:spacing w:after="0" w:line="254" w:lineRule="auto"/>
        <w:tabs>
          <w:tab w:leader="none" w:pos="14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IC</w:t>
      </w:r>
      <w:r>
        <w:rPr>
          <w:rFonts w:ascii="Arial" w:cs="Arial" w:eastAsia="Arial" w:hAnsi="Arial"/>
          <w:sz w:val="21"/>
          <w:szCs w:val="21"/>
          <w:color w:val="auto"/>
        </w:rPr>
        <w:t xml:space="preserve"> MAKES NO WARRANTIES, EXPRESS OR IMPLIED, OF MERCHANTABILITY OR FITNESS FOR A PARTICULAR PURPOSE OF ANY SUBJECT MATTER DEFINED BY THE CLAIMS OF THE </w:t>
      </w:r>
      <w:r>
        <w:rPr>
          <w:rFonts w:ascii="Arial" w:cs="Arial" w:eastAsia="Arial" w:hAnsi="Arial"/>
          <w:sz w:val="21"/>
          <w:szCs w:val="21"/>
          <w:b w:val="1"/>
          <w:bCs w:val="1"/>
          <w:color w:val="auto"/>
        </w:rPr>
        <w:t>LICENSED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PATENT RIGHTS </w:t>
      </w:r>
      <w:r>
        <w:rPr>
          <w:rFonts w:ascii="Arial" w:cs="Arial" w:eastAsia="Arial" w:hAnsi="Arial"/>
          <w:sz w:val="21"/>
          <w:szCs w:val="21"/>
          <w:color w:val="auto"/>
        </w:rPr>
        <w:t>OR TANGIBLE MATERIALS RELATED THERETO.</w:t>
      </w:r>
    </w:p>
    <w:p>
      <w:pPr>
        <w:spacing w:after="0" w:line="166" w:lineRule="exact"/>
        <w:rPr>
          <w:sz w:val="20"/>
          <w:szCs w:val="20"/>
          <w:color w:val="auto"/>
        </w:rPr>
      </w:pPr>
    </w:p>
    <w:p>
      <w:pPr>
        <w:ind w:left="1500" w:right="359" w:hanging="647"/>
        <w:spacing w:after="0" w:line="256" w:lineRule="auto"/>
        <w:tabs>
          <w:tab w:leader="none" w:pos="1480" w:val="left"/>
        </w:tabs>
        <w:rPr>
          <w:sz w:val="20"/>
          <w:szCs w:val="20"/>
          <w:color w:val="auto"/>
        </w:rPr>
      </w:pPr>
      <w:r>
        <w:rPr>
          <w:rFonts w:ascii="Arial" w:cs="Arial" w:eastAsia="Arial" w:hAnsi="Arial"/>
          <w:sz w:val="22"/>
          <w:szCs w:val="22"/>
          <w:color w:val="auto"/>
        </w:rPr>
        <w:t>12.4</w:t>
        <w:tab/>
        <w:t xml:space="preserve">The </w:t>
      </w:r>
      <w:r>
        <w:rPr>
          <w:rFonts w:ascii="Arial" w:cs="Arial" w:eastAsia="Arial" w:hAnsi="Arial"/>
          <w:sz w:val="22"/>
          <w:szCs w:val="22"/>
          <w:b w:val="1"/>
          <w:bCs w:val="1"/>
          <w:color w:val="auto"/>
        </w:rPr>
        <w:t>IC</w:t>
      </w:r>
      <w:r>
        <w:rPr>
          <w:rFonts w:ascii="Arial" w:cs="Arial" w:eastAsia="Arial" w:hAnsi="Arial"/>
          <w:sz w:val="22"/>
          <w:szCs w:val="22"/>
          <w:color w:val="auto"/>
        </w:rPr>
        <w:t xml:space="preserve"> does not represent that it shall commence legal actions against third parties infringing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w:t>
      </w:r>
    </w:p>
    <w:p>
      <w:pPr>
        <w:spacing w:after="0" w:line="162" w:lineRule="exact"/>
        <w:rPr>
          <w:sz w:val="20"/>
          <w:szCs w:val="20"/>
          <w:color w:val="auto"/>
        </w:rPr>
      </w:pPr>
    </w:p>
    <w:p>
      <w:pPr>
        <w:ind w:left="1500" w:right="399" w:hanging="647"/>
        <w:spacing w:after="0" w:line="289" w:lineRule="auto"/>
        <w:tabs>
          <w:tab w:leader="none" w:pos="14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indemnify and hold the </w:t>
      </w:r>
      <w:r>
        <w:rPr>
          <w:rFonts w:ascii="Arial" w:cs="Arial" w:eastAsia="Arial" w:hAnsi="Arial"/>
          <w:sz w:val="19"/>
          <w:szCs w:val="19"/>
          <w:b w:val="1"/>
          <w:bCs w:val="1"/>
          <w:color w:val="auto"/>
        </w:rPr>
        <w:t>IC</w:t>
      </w:r>
      <w:r>
        <w:rPr>
          <w:rFonts w:ascii="Arial" w:cs="Arial" w:eastAsia="Arial" w:hAnsi="Arial"/>
          <w:sz w:val="19"/>
          <w:szCs w:val="19"/>
          <w:color w:val="auto"/>
        </w:rPr>
        <w:t>, its employees, students, fellows, agents, and consultants harmless from and against all liability, demands, damages, expenses, and losses, including but not limited to death, personal injury, illness, or property damage in connection with or arising out of:</w:t>
      </w:r>
    </w:p>
    <w:p>
      <w:pPr>
        <w:spacing w:after="0" w:line="136" w:lineRule="exact"/>
        <w:rPr>
          <w:sz w:val="20"/>
          <w:szCs w:val="20"/>
          <w:color w:val="auto"/>
        </w:rPr>
      </w:pPr>
    </w:p>
    <w:p>
      <w:pPr>
        <w:ind w:left="2160" w:right="1139" w:hanging="655"/>
        <w:spacing w:after="0" w:line="334" w:lineRule="auto"/>
        <w:tabs>
          <w:tab w:leader="none" w:pos="21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use by or on behalf 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its sublicensees, directors, employees, or third parties of any </w:t>
      </w:r>
      <w:r>
        <w:rPr>
          <w:rFonts w:ascii="Arial" w:cs="Arial" w:eastAsia="Arial" w:hAnsi="Arial"/>
          <w:sz w:val="19"/>
          <w:szCs w:val="19"/>
          <w:b w:val="1"/>
          <w:bCs w:val="1"/>
          <w:color w:val="auto"/>
        </w:rPr>
        <w:t>Licensed Patent Rights</w:t>
      </w:r>
      <w:r>
        <w:rPr>
          <w:rFonts w:ascii="Arial" w:cs="Arial" w:eastAsia="Arial" w:hAnsi="Arial"/>
          <w:sz w:val="19"/>
          <w:szCs w:val="19"/>
          <w:color w:val="auto"/>
        </w:rPr>
        <w:t>; or</w:t>
      </w:r>
    </w:p>
    <w:p>
      <w:pPr>
        <w:spacing w:after="0" w:line="93" w:lineRule="exact"/>
        <w:rPr>
          <w:rFonts w:ascii="Arial" w:cs="Arial" w:eastAsia="Arial" w:hAnsi="Arial"/>
          <w:sz w:val="19"/>
          <w:szCs w:val="19"/>
          <w:color w:val="auto"/>
        </w:rPr>
      </w:pPr>
    </w:p>
    <w:p>
      <w:pPr>
        <w:ind w:left="2160" w:right="659" w:hanging="655"/>
        <w:spacing w:after="0" w:line="239" w:lineRule="auto"/>
        <w:tabs>
          <w:tab w:leader="none" w:pos="2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design, manufacture, distribution, or use of any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Licensed Processes </w:t>
      </w:r>
      <w:r>
        <w:rPr>
          <w:rFonts w:ascii="Arial" w:cs="Arial" w:eastAsia="Arial" w:hAnsi="Arial"/>
          <w:sz w:val="22"/>
          <w:szCs w:val="22"/>
          <w:color w:val="auto"/>
        </w:rPr>
        <w:t>or materials by the</w:t>
      </w:r>
      <w:r>
        <w:rPr>
          <w:rFonts w:ascii="Arial" w:cs="Arial" w:eastAsia="Arial" w:hAnsi="Arial"/>
          <w:sz w:val="22"/>
          <w:szCs w:val="22"/>
          <w:b w:val="1"/>
          <w:bCs w:val="1"/>
          <w:color w:val="auto"/>
        </w:rPr>
        <w:t xml:space="preserve"> Licensee</w:t>
      </w:r>
      <w:r>
        <w:rPr>
          <w:rFonts w:ascii="Arial" w:cs="Arial" w:eastAsia="Arial" w:hAnsi="Arial"/>
          <w:sz w:val="22"/>
          <w:szCs w:val="22"/>
          <w:color w:val="auto"/>
        </w:rPr>
        <w:t>, or other products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processes developed in connection with or arising out of the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Patent Rights</w:t>
      </w:r>
      <w:r>
        <w:rPr>
          <w:rFonts w:ascii="Arial" w:cs="Arial" w:eastAsia="Arial" w:hAnsi="Arial"/>
          <w:sz w:val="22"/>
          <w:szCs w:val="22"/>
          <w:color w:val="auto"/>
        </w:rPr>
        <w:t>.</w:t>
      </w:r>
    </w:p>
    <w:p>
      <w:pPr>
        <w:spacing w:after="0" w:line="180" w:lineRule="exact"/>
        <w:rPr>
          <w:sz w:val="20"/>
          <w:szCs w:val="20"/>
          <w:color w:val="auto"/>
        </w:rPr>
      </w:pPr>
    </w:p>
    <w:p>
      <w:pPr>
        <w:ind w:left="1500" w:right="219" w:hanging="647"/>
        <w:spacing w:after="0" w:line="256" w:lineRule="auto"/>
        <w:tabs>
          <w:tab w:leader="none" w:pos="1480" w:val="left"/>
        </w:tabs>
        <w:rPr>
          <w:sz w:val="20"/>
          <w:szCs w:val="20"/>
          <w:color w:val="auto"/>
        </w:rPr>
      </w:pPr>
      <w:r>
        <w:rPr>
          <w:rFonts w:ascii="Arial" w:cs="Arial" w:eastAsia="Arial" w:hAnsi="Arial"/>
          <w:sz w:val="22"/>
          <w:szCs w:val="22"/>
          <w:color w:val="auto"/>
        </w:rPr>
        <w:t>12.6</w:t>
        <w:tab/>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maintain a liability insurance program consistent with sound business practice.</w:t>
      </w:r>
    </w:p>
    <w:p>
      <w:pPr>
        <w:spacing w:after="0" w:line="168" w:lineRule="exact"/>
        <w:rPr>
          <w:sz w:val="20"/>
          <w:szCs w:val="20"/>
          <w:color w:val="auto"/>
        </w:rPr>
      </w:pPr>
    </w:p>
    <w:p>
      <w:pPr>
        <w:ind w:left="860" w:hanging="651"/>
        <w:spacing w:after="0"/>
        <w:tabs>
          <w:tab w:leader="none" w:pos="8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 TERMINATION, AND MODIFICATION OF RIGHTS</w:t>
      </w:r>
    </w:p>
    <w:p>
      <w:pPr>
        <w:spacing w:after="0" w:line="200" w:lineRule="exact"/>
        <w:rPr>
          <w:rFonts w:ascii="Arial" w:cs="Arial" w:eastAsia="Arial" w:hAnsi="Arial"/>
          <w:sz w:val="22"/>
          <w:szCs w:val="22"/>
          <w:color w:val="auto"/>
        </w:rPr>
      </w:pPr>
    </w:p>
    <w:p>
      <w:pPr>
        <w:ind w:left="1500" w:right="399" w:hanging="648"/>
        <w:spacing w:after="0" w:line="239" w:lineRule="auto"/>
        <w:rPr>
          <w:rFonts w:ascii="Arial" w:cs="Arial" w:eastAsia="Arial" w:hAnsi="Arial"/>
          <w:sz w:val="22"/>
          <w:szCs w:val="22"/>
          <w:color w:val="auto"/>
        </w:rPr>
      </w:pPr>
      <w:r>
        <w:rPr>
          <w:rFonts w:ascii="Arial" w:cs="Arial" w:eastAsia="Arial" w:hAnsi="Arial"/>
          <w:sz w:val="22"/>
          <w:szCs w:val="22"/>
          <w:color w:val="auto"/>
        </w:rPr>
        <w:t xml:space="preserve">13.1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is effective when signed by all parties, unless the provisions of Paragraph 14.16 are not fulfilled, and shall extend to the expiration of the last to expire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unless sooner terminated as provided in this Article 13.</w:t>
      </w:r>
    </w:p>
    <w:p>
      <w:pPr>
        <w:spacing w:after="0" w:line="180" w:lineRule="exact"/>
        <w:rPr>
          <w:rFonts w:ascii="Arial" w:cs="Arial" w:eastAsia="Arial" w:hAnsi="Arial"/>
          <w:sz w:val="22"/>
          <w:szCs w:val="22"/>
          <w:color w:val="auto"/>
        </w:rPr>
      </w:pPr>
    </w:p>
    <w:p>
      <w:pPr>
        <w:ind w:left="1500" w:right="239" w:hanging="648"/>
        <w:spacing w:after="0" w:line="276" w:lineRule="auto"/>
        <w:rPr>
          <w:rFonts w:ascii="Arial" w:cs="Arial" w:eastAsia="Arial" w:hAnsi="Arial"/>
          <w:sz w:val="22"/>
          <w:szCs w:val="22"/>
          <w:color w:val="auto"/>
        </w:rPr>
      </w:pPr>
      <w:r>
        <w:rPr>
          <w:rFonts w:ascii="Arial" w:cs="Arial" w:eastAsia="Arial" w:hAnsi="Arial"/>
          <w:sz w:val="19"/>
          <w:szCs w:val="19"/>
          <w:color w:val="auto"/>
        </w:rPr>
        <w:t xml:space="preserve">13.2 In the event that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is in default in the performance of any material obligations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including but not limited to the obligations listed in Paragraph 13.5, and if the default has not been remedied within ninety (90) days after the date of notice in writing of the default, or if not reasonably capable of remedy within such period,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has not taken substantial steps to remedy the alleged default within such ninety (90) day period, the </w:t>
      </w:r>
      <w:r>
        <w:rPr>
          <w:rFonts w:ascii="Arial" w:cs="Arial" w:eastAsia="Arial" w:hAnsi="Arial"/>
          <w:sz w:val="19"/>
          <w:szCs w:val="19"/>
          <w:b w:val="1"/>
          <w:bCs w:val="1"/>
          <w:color w:val="auto"/>
        </w:rPr>
        <w:t>IC</w:t>
      </w:r>
      <w:r>
        <w:rPr>
          <w:rFonts w:ascii="Arial" w:cs="Arial" w:eastAsia="Arial" w:hAnsi="Arial"/>
          <w:sz w:val="19"/>
          <w:szCs w:val="19"/>
          <w:color w:val="auto"/>
        </w:rPr>
        <w:t xml:space="preserve"> may terminate this </w:t>
      </w:r>
      <w:r>
        <w:rPr>
          <w:rFonts w:ascii="Arial" w:cs="Arial" w:eastAsia="Arial" w:hAnsi="Arial"/>
          <w:sz w:val="19"/>
          <w:szCs w:val="19"/>
          <w:b w:val="1"/>
          <w:bCs w:val="1"/>
          <w:color w:val="auto"/>
        </w:rPr>
        <w:t xml:space="preserve">Agreement </w:t>
      </w:r>
      <w:r>
        <w:rPr>
          <w:rFonts w:ascii="Arial" w:cs="Arial" w:eastAsia="Arial" w:hAnsi="Arial"/>
          <w:sz w:val="19"/>
          <w:szCs w:val="19"/>
          <w:color w:val="auto"/>
        </w:rPr>
        <w:t>by written notice and pursue outstanding royalties owed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procedures provided by the </w:t>
      </w:r>
      <w:r>
        <w:rPr>
          <w:rFonts w:ascii="Arial" w:cs="Arial" w:eastAsia="Arial" w:hAnsi="Arial"/>
          <w:sz w:val="19"/>
          <w:szCs w:val="19"/>
          <w:u w:val="single" w:color="auto"/>
          <w:color w:val="auto"/>
        </w:rPr>
        <w:t>Federal Debt Collection Act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763905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5" w:name="page106"/>
    <w:bookmarkEnd w:id="105"/>
    <w:p>
      <w:pPr>
        <w:ind w:left="1500" w:right="299" w:hanging="647"/>
        <w:spacing w:after="0" w:line="239" w:lineRule="auto"/>
        <w:tabs>
          <w:tab w:leader="none" w:pos="1480" w:val="left"/>
        </w:tabs>
        <w:rPr>
          <w:sz w:val="20"/>
          <w:szCs w:val="20"/>
          <w:color w:val="auto"/>
        </w:rPr>
      </w:pPr>
      <w:r>
        <w:rPr>
          <w:rFonts w:ascii="Arial" w:cs="Arial" w:eastAsia="Arial" w:hAnsi="Arial"/>
          <w:sz w:val="22"/>
          <w:szCs w:val="22"/>
          <w:color w:val="auto"/>
        </w:rPr>
        <w:t>13.3</w:t>
        <w:tab/>
        <w:t xml:space="preserve">In the event that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 becomes insolvent or (b) files a petition in bankruptcy, or has such a petition filed against it and, in either case, such petition is not dismissed within sixty (60) days,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immediately notify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in writing.</w:t>
      </w:r>
    </w:p>
    <w:p>
      <w:pPr>
        <w:spacing w:after="0" w:line="181" w:lineRule="exact"/>
        <w:rPr>
          <w:sz w:val="20"/>
          <w:szCs w:val="20"/>
          <w:color w:val="auto"/>
        </w:rPr>
      </w:pPr>
    </w:p>
    <w:p>
      <w:pPr>
        <w:ind w:left="1500" w:right="239" w:hanging="647"/>
        <w:spacing w:after="0" w:line="236" w:lineRule="auto"/>
        <w:tabs>
          <w:tab w:leader="none" w:pos="1480" w:val="left"/>
        </w:tabs>
        <w:rPr>
          <w:sz w:val="20"/>
          <w:szCs w:val="20"/>
          <w:color w:val="auto"/>
        </w:rPr>
      </w:pPr>
      <w:r>
        <w:rPr>
          <w:rFonts w:ascii="Arial" w:cs="Arial" w:eastAsia="Arial" w:hAnsi="Arial"/>
          <w:sz w:val="22"/>
          <w:szCs w:val="22"/>
          <w:color w:val="auto"/>
        </w:rPr>
        <w:t>13.4</w:t>
        <w:tab/>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have a unilateral right to terminate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or any licenses in any country or territory by giving the </w:t>
      </w:r>
      <w:r>
        <w:rPr>
          <w:rFonts w:ascii="Arial" w:cs="Arial" w:eastAsia="Arial" w:hAnsi="Arial"/>
          <w:sz w:val="22"/>
          <w:szCs w:val="22"/>
          <w:b w:val="1"/>
          <w:bCs w:val="1"/>
          <w:color w:val="auto"/>
        </w:rPr>
        <w:t>IC</w:t>
      </w:r>
      <w:r>
        <w:rPr>
          <w:rFonts w:ascii="Arial" w:cs="Arial" w:eastAsia="Arial" w:hAnsi="Arial"/>
          <w:sz w:val="22"/>
          <w:szCs w:val="22"/>
          <w:color w:val="auto"/>
        </w:rPr>
        <w:t xml:space="preserve"> sixty (60) days written notice to that effect. For clarity, in accordance with the foregoing,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have a unilateral right to terminate any license in any country or territory on a patent (or patent application)-by-patent (or patent application) and country (or territory)-by-country (or territory) basis.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specifically have the right to terminate or modify, at its option, this</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Agreement</w:t>
      </w:r>
      <w:r>
        <w:rPr>
          <w:rFonts w:ascii="Arial" w:cs="Arial" w:eastAsia="Arial" w:hAnsi="Arial"/>
          <w:sz w:val="22"/>
          <w:szCs w:val="22"/>
          <w:color w:val="auto"/>
        </w:rPr>
        <w:t>, if the</w:t>
      </w:r>
      <w:r>
        <w:rPr>
          <w:rFonts w:ascii="Arial" w:cs="Arial" w:eastAsia="Arial" w:hAnsi="Arial"/>
          <w:sz w:val="22"/>
          <w:szCs w:val="22"/>
          <w:b w:val="1"/>
          <w:bCs w:val="1"/>
          <w:color w:val="auto"/>
        </w:rPr>
        <w:t xml:space="preserve"> IC </w:t>
      </w:r>
      <w:r>
        <w:rPr>
          <w:rFonts w:ascii="Arial" w:cs="Arial" w:eastAsia="Arial" w:hAnsi="Arial"/>
          <w:sz w:val="22"/>
          <w:szCs w:val="22"/>
          <w:color w:val="auto"/>
        </w:rPr>
        <w:t>determines that the</w:t>
      </w:r>
      <w:r>
        <w:rPr>
          <w:rFonts w:ascii="Arial" w:cs="Arial" w:eastAsia="Arial" w:hAnsi="Arial"/>
          <w:sz w:val="22"/>
          <w:szCs w:val="22"/>
          <w:b w:val="1"/>
          <w:bCs w:val="1"/>
          <w:color w:val="auto"/>
        </w:rPr>
        <w:t xml:space="preserve"> Licensee</w:t>
      </w:r>
      <w:r>
        <w:rPr>
          <w:rFonts w:ascii="Arial" w:cs="Arial" w:eastAsia="Arial" w:hAnsi="Arial"/>
          <w:sz w:val="22"/>
          <w:szCs w:val="22"/>
          <w:color w:val="auto"/>
        </w:rPr>
        <w:t>:</w:t>
      </w:r>
    </w:p>
    <w:p>
      <w:pPr>
        <w:spacing w:after="0" w:line="182" w:lineRule="exact"/>
        <w:rPr>
          <w:sz w:val="20"/>
          <w:szCs w:val="20"/>
          <w:color w:val="auto"/>
        </w:rPr>
      </w:pPr>
    </w:p>
    <w:p>
      <w:pPr>
        <w:ind w:left="2160" w:right="339" w:hanging="655"/>
        <w:spacing w:after="0" w:line="283" w:lineRule="auto"/>
        <w:tabs>
          <w:tab w:leader="none" w:pos="21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is not executing the </w:t>
      </w:r>
      <w:r>
        <w:rPr>
          <w:rFonts w:ascii="Arial" w:cs="Arial" w:eastAsia="Arial" w:hAnsi="Arial"/>
          <w:sz w:val="19"/>
          <w:szCs w:val="19"/>
          <w:b w:val="1"/>
          <w:bCs w:val="1"/>
          <w:color w:val="auto"/>
        </w:rPr>
        <w:t>Commercial Development Plan</w:t>
      </w:r>
      <w:r>
        <w:rPr>
          <w:rFonts w:ascii="Arial" w:cs="Arial" w:eastAsia="Arial" w:hAnsi="Arial"/>
          <w:sz w:val="19"/>
          <w:szCs w:val="19"/>
          <w:color w:val="auto"/>
        </w:rPr>
        <w:t xml:space="preserve"> in accordance with Appendix E and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cannot otherwise demonstrate to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satisfaction that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has taken, or can be expected to take within a reasonable time, effective steps to achieve the </w:t>
      </w:r>
      <w:r>
        <w:rPr>
          <w:rFonts w:ascii="Arial" w:cs="Arial" w:eastAsia="Arial" w:hAnsi="Arial"/>
          <w:sz w:val="19"/>
          <w:szCs w:val="19"/>
          <w:b w:val="1"/>
          <w:bCs w:val="1"/>
          <w:color w:val="auto"/>
        </w:rPr>
        <w:t>Practical Application</w:t>
      </w:r>
      <w:r>
        <w:rPr>
          <w:rFonts w:ascii="Arial" w:cs="Arial" w:eastAsia="Arial" w:hAnsi="Arial"/>
          <w:sz w:val="19"/>
          <w:szCs w:val="19"/>
          <w:color w:val="auto"/>
        </w:rPr>
        <w:t xml:space="preserve"> of the </w:t>
      </w:r>
      <w:r>
        <w:rPr>
          <w:rFonts w:ascii="Arial" w:cs="Arial" w:eastAsia="Arial" w:hAnsi="Arial"/>
          <w:sz w:val="19"/>
          <w:szCs w:val="19"/>
          <w:b w:val="1"/>
          <w:bCs w:val="1"/>
          <w:color w:val="auto"/>
        </w:rPr>
        <w:t xml:space="preserve">Licensed Products </w:t>
      </w:r>
      <w:r>
        <w:rPr>
          <w:rFonts w:ascii="Arial" w:cs="Arial" w:eastAsia="Arial" w:hAnsi="Arial"/>
          <w:sz w:val="19"/>
          <w:szCs w:val="19"/>
          <w:color w:val="auto"/>
        </w:rPr>
        <w:t>or the</w:t>
      </w:r>
      <w:r>
        <w:rPr>
          <w:rFonts w:ascii="Arial" w:cs="Arial" w:eastAsia="Arial" w:hAnsi="Arial"/>
          <w:sz w:val="19"/>
          <w:szCs w:val="19"/>
          <w:b w:val="1"/>
          <w:bCs w:val="1"/>
          <w:color w:val="auto"/>
        </w:rPr>
        <w:t xml:space="preserve"> Licensed Processes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2160" w:right="299" w:hanging="655"/>
        <w:spacing w:after="0" w:line="256" w:lineRule="auto"/>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has not achieved and is not reasonably likely to achieve the </w:t>
      </w:r>
      <w:r>
        <w:rPr>
          <w:rFonts w:ascii="Arial" w:cs="Arial" w:eastAsia="Arial" w:hAnsi="Arial"/>
          <w:sz w:val="22"/>
          <w:szCs w:val="22"/>
          <w:b w:val="1"/>
          <w:bCs w:val="1"/>
          <w:color w:val="auto"/>
        </w:rPr>
        <w:t>Benchmarks</w:t>
      </w:r>
      <w:r>
        <w:rPr>
          <w:rFonts w:ascii="Arial" w:cs="Arial" w:eastAsia="Arial" w:hAnsi="Arial"/>
          <w:sz w:val="22"/>
          <w:szCs w:val="22"/>
          <w:color w:val="auto"/>
        </w:rPr>
        <w:t xml:space="preserve"> as may be modified under Paragraph 9.2;</w:t>
      </w:r>
    </w:p>
    <w:p>
      <w:pPr>
        <w:spacing w:after="0" w:line="168" w:lineRule="exact"/>
        <w:rPr>
          <w:rFonts w:ascii="Arial" w:cs="Arial" w:eastAsia="Arial" w:hAnsi="Arial"/>
          <w:sz w:val="22"/>
          <w:szCs w:val="22"/>
          <w:color w:val="auto"/>
        </w:rPr>
      </w:pPr>
    </w:p>
    <w:p>
      <w:pPr>
        <w:ind w:left="2160" w:right="719" w:hanging="655"/>
        <w:spacing w:after="0"/>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has willfully made a material false statement of, or willfully omitted a material fact in, the license application or in any report required by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160" w:right="539" w:hanging="655"/>
        <w:spacing w:after="0" w:line="250" w:lineRule="auto"/>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has committed a material breach of a covenant or agreement contained in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2160" w:right="319" w:hanging="655"/>
        <w:spacing w:after="0" w:line="260" w:lineRule="auto"/>
        <w:tabs>
          <w:tab w:leader="none" w:pos="21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is not keeping the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or the </w:t>
      </w:r>
      <w:r>
        <w:rPr>
          <w:rFonts w:ascii="Arial" w:cs="Arial" w:eastAsia="Arial" w:hAnsi="Arial"/>
          <w:sz w:val="21"/>
          <w:szCs w:val="21"/>
          <w:b w:val="1"/>
          <w:bCs w:val="1"/>
          <w:color w:val="auto"/>
        </w:rPr>
        <w:t>Licensed Processes</w:t>
      </w:r>
      <w:r>
        <w:rPr>
          <w:rFonts w:ascii="Arial" w:cs="Arial" w:eastAsia="Arial" w:hAnsi="Arial"/>
          <w:sz w:val="21"/>
          <w:szCs w:val="21"/>
          <w:color w:val="auto"/>
        </w:rPr>
        <w:t xml:space="preserve"> within the scope of the </w:t>
      </w:r>
      <w:r>
        <w:rPr>
          <w:rFonts w:ascii="Arial" w:cs="Arial" w:eastAsia="Arial" w:hAnsi="Arial"/>
          <w:sz w:val="21"/>
          <w:szCs w:val="21"/>
          <w:b w:val="1"/>
          <w:bCs w:val="1"/>
          <w:color w:val="auto"/>
        </w:rPr>
        <w:t>Licensed Fields of Use 1 and 2</w:t>
      </w:r>
      <w:r>
        <w:rPr>
          <w:rFonts w:ascii="Arial" w:cs="Arial" w:eastAsia="Arial" w:hAnsi="Arial"/>
          <w:sz w:val="21"/>
          <w:szCs w:val="21"/>
          <w:color w:val="auto"/>
        </w:rPr>
        <w:t xml:space="preserve"> reasonably accessible to the public after commercial use commences;</w:t>
      </w:r>
    </w:p>
    <w:p>
      <w:pPr>
        <w:spacing w:after="0" w:line="166" w:lineRule="exact"/>
        <w:rPr>
          <w:rFonts w:ascii="Arial" w:cs="Arial" w:eastAsia="Arial" w:hAnsi="Arial"/>
          <w:sz w:val="21"/>
          <w:szCs w:val="21"/>
          <w:color w:val="auto"/>
        </w:rPr>
      </w:pPr>
    </w:p>
    <w:p>
      <w:pPr>
        <w:ind w:left="2160" w:right="319" w:hanging="655"/>
        <w:spacing w:after="0" w:line="250" w:lineRule="auto"/>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cannot reasonably satisfy unmet health and safety needs within the scope of the </w:t>
      </w:r>
      <w:r>
        <w:rPr>
          <w:rFonts w:ascii="Arial" w:cs="Arial" w:eastAsia="Arial" w:hAnsi="Arial"/>
          <w:sz w:val="22"/>
          <w:szCs w:val="22"/>
          <w:b w:val="1"/>
          <w:bCs w:val="1"/>
          <w:color w:val="auto"/>
        </w:rPr>
        <w:t>Licensed Fields of Use 1 and 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160" w:right="419" w:hanging="655"/>
        <w:spacing w:after="0" w:line="250" w:lineRule="auto"/>
        <w:tabs>
          <w:tab w:leader="none" w:pos="21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cannot reasonably justify a failure to comply with the domestic production requirement of Paragraph 5.2 unless waived; or</w:t>
      </w:r>
    </w:p>
    <w:p>
      <w:pPr>
        <w:spacing w:after="0" w:line="174" w:lineRule="exact"/>
        <w:rPr>
          <w:rFonts w:ascii="Arial" w:cs="Arial" w:eastAsia="Arial" w:hAnsi="Arial"/>
          <w:sz w:val="22"/>
          <w:szCs w:val="22"/>
          <w:color w:val="auto"/>
        </w:rPr>
      </w:pPr>
    </w:p>
    <w:p>
      <w:pPr>
        <w:ind w:left="2160" w:right="659" w:hanging="655"/>
        <w:spacing w:after="0" w:line="297" w:lineRule="auto"/>
        <w:tabs>
          <w:tab w:leader="none" w:pos="21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has been found by a court of competent jurisdiction to have violated the Federal antitrust laws in connection with its performance under this </w:t>
      </w:r>
      <w:r>
        <w:rPr>
          <w:rFonts w:ascii="Arial" w:cs="Arial" w:eastAsia="Arial" w:hAnsi="Arial"/>
          <w:sz w:val="19"/>
          <w:szCs w:val="19"/>
          <w:b w:val="1"/>
          <w:bCs w:val="1"/>
          <w:color w:val="auto"/>
        </w:rPr>
        <w:t xml:space="preserve">Agreement </w:t>
      </w:r>
      <w:r>
        <w:rPr>
          <w:rFonts w:ascii="Arial" w:cs="Arial" w:eastAsia="Arial" w:hAnsi="Arial"/>
          <w:sz w:val="19"/>
          <w:szCs w:val="19"/>
          <w:color w:val="auto"/>
        </w:rPr>
        <w:t>without the possibility of appeal.</w:t>
      </w:r>
    </w:p>
    <w:p>
      <w:pPr>
        <w:spacing w:after="0" w:line="128" w:lineRule="exact"/>
        <w:rPr>
          <w:sz w:val="20"/>
          <w:szCs w:val="20"/>
          <w:color w:val="auto"/>
        </w:rPr>
      </w:pPr>
    </w:p>
    <w:p>
      <w:pPr>
        <w:jc w:val="both"/>
        <w:ind w:left="1500" w:right="399" w:hanging="647"/>
        <w:spacing w:after="0" w:line="300" w:lineRule="auto"/>
        <w:tabs>
          <w:tab w:leader="none" w:pos="14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 xml:space="preserve">In making the determination referenced in Paragraph 13.5,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take into account the normal course of such commercial development programs conducted with sound and reasonable business practices and judgment and the 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748665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6" w:name="page107"/>
    <w:bookmarkEnd w:id="106"/>
    <w:p>
      <w:pPr>
        <w:ind w:left="1500" w:right="339"/>
        <w:spacing w:after="0" w:line="247" w:lineRule="auto"/>
        <w:rPr>
          <w:sz w:val="20"/>
          <w:szCs w:val="20"/>
          <w:color w:val="auto"/>
        </w:rPr>
      </w:pPr>
      <w:r>
        <w:rPr>
          <w:rFonts w:ascii="Arial" w:cs="Arial" w:eastAsia="Arial" w:hAnsi="Arial"/>
          <w:sz w:val="21"/>
          <w:szCs w:val="21"/>
          <w:color w:val="auto"/>
        </w:rPr>
        <w:t xml:space="preserve">submitted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under Paragraph 9.2. Prior to invoking termination or modification of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under Paragraph 13.5, the </w:t>
      </w:r>
      <w:r>
        <w:rPr>
          <w:rFonts w:ascii="Arial" w:cs="Arial" w:eastAsia="Arial" w:hAnsi="Arial"/>
          <w:sz w:val="21"/>
          <w:szCs w:val="21"/>
          <w:b w:val="1"/>
          <w:bCs w:val="1"/>
          <w:color w:val="auto"/>
        </w:rPr>
        <w:t>IC</w:t>
      </w:r>
      <w:r>
        <w:rPr>
          <w:rFonts w:ascii="Arial" w:cs="Arial" w:eastAsia="Arial" w:hAnsi="Arial"/>
          <w:sz w:val="21"/>
          <w:szCs w:val="21"/>
          <w:color w:val="auto"/>
        </w:rPr>
        <w:t xml:space="preserve"> shall give written notice to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providing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specific notice of, and a ninety (90) day opportunity to respond to, the </w:t>
      </w:r>
      <w:r>
        <w:rPr>
          <w:rFonts w:ascii="Arial" w:cs="Arial" w:eastAsia="Arial" w:hAnsi="Arial"/>
          <w:sz w:val="21"/>
          <w:szCs w:val="21"/>
          <w:b w:val="1"/>
          <w:bCs w:val="1"/>
          <w:color w:val="auto"/>
        </w:rPr>
        <w:t>IC’s</w:t>
      </w:r>
      <w:r>
        <w:rPr>
          <w:rFonts w:ascii="Arial" w:cs="Arial" w:eastAsia="Arial" w:hAnsi="Arial"/>
          <w:sz w:val="21"/>
          <w:szCs w:val="21"/>
          <w:color w:val="auto"/>
        </w:rPr>
        <w:t xml:space="preserve"> concerns as to the items referenced in Paragraphs 13.5(a)-13.5(h). If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fails to alleviate the </w:t>
      </w:r>
      <w:r>
        <w:rPr>
          <w:rFonts w:ascii="Arial" w:cs="Arial" w:eastAsia="Arial" w:hAnsi="Arial"/>
          <w:sz w:val="21"/>
          <w:szCs w:val="21"/>
          <w:b w:val="1"/>
          <w:bCs w:val="1"/>
          <w:color w:val="auto"/>
        </w:rPr>
        <w:t>IC’s</w:t>
      </w:r>
      <w:r>
        <w:rPr>
          <w:rFonts w:ascii="Arial" w:cs="Arial" w:eastAsia="Arial" w:hAnsi="Arial"/>
          <w:sz w:val="21"/>
          <w:szCs w:val="21"/>
          <w:color w:val="auto"/>
        </w:rPr>
        <w:t xml:space="preserve"> reasonable concerns as to the items referenced in Paragraphs 13.5(a)-13.5(h) or fails to initiate corrective action to the </w:t>
      </w:r>
      <w:r>
        <w:rPr>
          <w:rFonts w:ascii="Arial" w:cs="Arial" w:eastAsia="Arial" w:hAnsi="Arial"/>
          <w:sz w:val="21"/>
          <w:szCs w:val="21"/>
          <w:b w:val="1"/>
          <w:bCs w:val="1"/>
          <w:color w:val="auto"/>
        </w:rPr>
        <w:t>IC’s</w:t>
      </w:r>
      <w:r>
        <w:rPr>
          <w:rFonts w:ascii="Arial" w:cs="Arial" w:eastAsia="Arial" w:hAnsi="Arial"/>
          <w:sz w:val="21"/>
          <w:szCs w:val="21"/>
          <w:color w:val="auto"/>
        </w:rPr>
        <w:t xml:space="preserve"> reasonable satisfaction, the </w:t>
      </w:r>
      <w:r>
        <w:rPr>
          <w:rFonts w:ascii="Arial" w:cs="Arial" w:eastAsia="Arial" w:hAnsi="Arial"/>
          <w:sz w:val="21"/>
          <w:szCs w:val="21"/>
          <w:b w:val="1"/>
          <w:bCs w:val="1"/>
          <w:color w:val="auto"/>
        </w:rPr>
        <w:t>IC</w:t>
      </w:r>
      <w:r>
        <w:rPr>
          <w:rFonts w:ascii="Arial" w:cs="Arial" w:eastAsia="Arial" w:hAnsi="Arial"/>
          <w:sz w:val="21"/>
          <w:szCs w:val="21"/>
          <w:color w:val="auto"/>
        </w:rPr>
        <w:t xml:space="preserve"> may terminate this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78" w:lineRule="exact"/>
        <w:rPr>
          <w:sz w:val="20"/>
          <w:szCs w:val="20"/>
          <w:color w:val="auto"/>
        </w:rPr>
      </w:pPr>
    </w:p>
    <w:p>
      <w:pPr>
        <w:ind w:left="1500" w:right="259" w:hanging="647"/>
        <w:spacing w:after="0" w:line="273" w:lineRule="auto"/>
        <w:tabs>
          <w:tab w:leader="none" w:pos="14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 xml:space="preserve">When the public health and safety so require, and after written notice to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providing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a sixty (60) day opportunity to respond, the</w:t>
      </w:r>
      <w:r>
        <w:rPr>
          <w:rFonts w:ascii="Arial" w:cs="Arial" w:eastAsia="Arial" w:hAnsi="Arial"/>
          <w:sz w:val="19"/>
          <w:szCs w:val="19"/>
          <w:b w:val="1"/>
          <w:bCs w:val="1"/>
          <w:color w:val="auto"/>
        </w:rPr>
        <w:t xml:space="preserve"> IC </w:t>
      </w:r>
      <w:r>
        <w:rPr>
          <w:rFonts w:ascii="Arial" w:cs="Arial" w:eastAsia="Arial" w:hAnsi="Arial"/>
          <w:sz w:val="19"/>
          <w:szCs w:val="19"/>
          <w:color w:val="auto"/>
        </w:rPr>
        <w:t xml:space="preserve">shall have the right to require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to grant sublicenses to responsible applicants, on commercially reasonable terms, in any </w:t>
      </w:r>
      <w:r>
        <w:rPr>
          <w:rFonts w:ascii="Arial" w:cs="Arial" w:eastAsia="Arial" w:hAnsi="Arial"/>
          <w:sz w:val="19"/>
          <w:szCs w:val="19"/>
          <w:b w:val="1"/>
          <w:bCs w:val="1"/>
          <w:color w:val="auto"/>
        </w:rPr>
        <w:t>Licensed Fields of Use 1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 </w:t>
      </w:r>
      <w:r>
        <w:rPr>
          <w:rFonts w:ascii="Arial" w:cs="Arial" w:eastAsia="Arial" w:hAnsi="Arial"/>
          <w:sz w:val="19"/>
          <w:szCs w:val="19"/>
          <w:color w:val="auto"/>
        </w:rPr>
        <w:t>under the</w:t>
      </w:r>
      <w:r>
        <w:rPr>
          <w:rFonts w:ascii="Arial" w:cs="Arial" w:eastAsia="Arial" w:hAnsi="Arial"/>
          <w:sz w:val="19"/>
          <w:szCs w:val="19"/>
          <w:b w:val="1"/>
          <w:bCs w:val="1"/>
          <w:color w:val="auto"/>
        </w:rPr>
        <w:t xml:space="preserve"> Licensed Patent Rights</w:t>
      </w:r>
      <w:r>
        <w:rPr>
          <w:rFonts w:ascii="Arial" w:cs="Arial" w:eastAsia="Arial" w:hAnsi="Arial"/>
          <w:sz w:val="19"/>
          <w:szCs w:val="19"/>
          <w:color w:val="auto"/>
        </w:rPr>
        <w:t>, unless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can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demonstrate that the granting of the sublicense would not materially increase the availability to the public of the subject matter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The </w:t>
      </w:r>
      <w:r>
        <w:rPr>
          <w:rFonts w:ascii="Arial" w:cs="Arial" w:eastAsia="Arial" w:hAnsi="Arial"/>
          <w:sz w:val="19"/>
          <w:szCs w:val="19"/>
          <w:b w:val="1"/>
          <w:bCs w:val="1"/>
          <w:color w:val="auto"/>
        </w:rPr>
        <w:t xml:space="preserve">IC </w:t>
      </w:r>
      <w:r>
        <w:rPr>
          <w:rFonts w:ascii="Arial" w:cs="Arial" w:eastAsia="Arial" w:hAnsi="Arial"/>
          <w:sz w:val="19"/>
          <w:szCs w:val="19"/>
          <w:color w:val="auto"/>
        </w:rPr>
        <w:t>shall not require the granting of a sublicense unless the responsible applicant has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first negotiated in good faith with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for a sublicense on commercially reasonable terms and conditions.</w:t>
      </w:r>
    </w:p>
    <w:p>
      <w:pPr>
        <w:spacing w:after="0" w:line="155" w:lineRule="exact"/>
        <w:rPr>
          <w:sz w:val="20"/>
          <w:szCs w:val="20"/>
          <w:color w:val="auto"/>
        </w:rPr>
      </w:pPr>
    </w:p>
    <w:p>
      <w:pPr>
        <w:ind w:left="1500" w:right="319" w:hanging="647"/>
        <w:spacing w:after="0" w:line="289" w:lineRule="auto"/>
        <w:tabs>
          <w:tab w:leader="none" w:pos="14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IC</w:t>
      </w:r>
      <w:r>
        <w:rPr>
          <w:rFonts w:ascii="Arial" w:cs="Arial" w:eastAsia="Arial" w:hAnsi="Arial"/>
          <w:sz w:val="19"/>
          <w:szCs w:val="19"/>
          <w:color w:val="auto"/>
        </w:rPr>
        <w:t xml:space="preserve"> reserves the right according to </w:t>
      </w:r>
      <w:r>
        <w:rPr>
          <w:rFonts w:ascii="Arial" w:cs="Arial" w:eastAsia="Arial" w:hAnsi="Arial"/>
          <w:sz w:val="19"/>
          <w:szCs w:val="19"/>
          <w:u w:val="single" w:color="auto"/>
          <w:color w:val="auto"/>
        </w:rPr>
        <w:t>35 U.S.C. §209(d)(3)</w:t>
      </w:r>
      <w:r>
        <w:rPr>
          <w:rFonts w:ascii="Arial" w:cs="Arial" w:eastAsia="Arial" w:hAnsi="Arial"/>
          <w:sz w:val="19"/>
          <w:szCs w:val="19"/>
          <w:color w:val="auto"/>
        </w:rPr>
        <w:t xml:space="preserve"> to terminate or modify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if it is determined that this action is necessary to meet the requirements for public use specified by federal regulations issued after the date of the license and these requirements are not reasonably satisfied by the </w:t>
      </w:r>
      <w:r>
        <w:rPr>
          <w:rFonts w:ascii="Arial" w:cs="Arial" w:eastAsia="Arial" w:hAnsi="Arial"/>
          <w:sz w:val="19"/>
          <w:szCs w:val="19"/>
          <w:b w:val="1"/>
          <w:bCs w:val="1"/>
          <w:color w:val="auto"/>
        </w:rPr>
        <w:t>Licensee</w:t>
      </w:r>
      <w:r>
        <w:rPr>
          <w:rFonts w:ascii="Arial" w:cs="Arial" w:eastAsia="Arial" w:hAnsi="Arial"/>
          <w:sz w:val="19"/>
          <w:szCs w:val="19"/>
          <w:color w:val="auto"/>
        </w:rPr>
        <w:t>.</w:t>
      </w:r>
    </w:p>
    <w:p>
      <w:pPr>
        <w:spacing w:after="0" w:line="136" w:lineRule="exact"/>
        <w:rPr>
          <w:sz w:val="20"/>
          <w:szCs w:val="20"/>
          <w:color w:val="auto"/>
        </w:rPr>
      </w:pPr>
    </w:p>
    <w:p>
      <w:pPr>
        <w:jc w:val="center"/>
        <w:ind w:right="-540"/>
        <w:spacing w:after="0"/>
        <w:tabs>
          <w:tab w:leader="none" w:pos="2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 xml:space="preserve">Within thirty (30) days of receipt of written notice of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unilateral decision to</w:t>
      </w:r>
    </w:p>
    <w:p>
      <w:pPr>
        <w:spacing w:after="0" w:line="14" w:lineRule="exact"/>
        <w:rPr>
          <w:sz w:val="20"/>
          <w:szCs w:val="20"/>
          <w:color w:val="auto"/>
        </w:rPr>
      </w:pPr>
    </w:p>
    <w:p>
      <w:pPr>
        <w:ind w:left="1500" w:right="239"/>
        <w:spacing w:after="0" w:line="245" w:lineRule="auto"/>
        <w:rPr>
          <w:sz w:val="20"/>
          <w:szCs w:val="20"/>
          <w:color w:val="auto"/>
        </w:rPr>
      </w:pPr>
      <w:r>
        <w:rPr>
          <w:rFonts w:ascii="Arial" w:cs="Arial" w:eastAsia="Arial" w:hAnsi="Arial"/>
          <w:sz w:val="21"/>
          <w:szCs w:val="21"/>
          <w:color w:val="auto"/>
        </w:rPr>
        <w:t xml:space="preserve">modify or terminate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may, consistent with the provisions of </w:t>
      </w:r>
      <w:r>
        <w:rPr>
          <w:rFonts w:ascii="Arial" w:cs="Arial" w:eastAsia="Arial" w:hAnsi="Arial"/>
          <w:sz w:val="21"/>
          <w:szCs w:val="21"/>
          <w:u w:val="single" w:color="auto"/>
          <w:color w:val="auto"/>
        </w:rPr>
        <w:t>37 C.F.R. §404.11</w:t>
      </w:r>
      <w:r>
        <w:rPr>
          <w:rFonts w:ascii="Arial" w:cs="Arial" w:eastAsia="Arial" w:hAnsi="Arial"/>
          <w:sz w:val="21"/>
          <w:szCs w:val="21"/>
          <w:color w:val="auto"/>
        </w:rPr>
        <w:t xml:space="preserve">, appeal the decision by written submission to the designated </w:t>
      </w:r>
      <w:r>
        <w:rPr>
          <w:rFonts w:ascii="Arial" w:cs="Arial" w:eastAsia="Arial" w:hAnsi="Arial"/>
          <w:sz w:val="21"/>
          <w:szCs w:val="21"/>
          <w:b w:val="1"/>
          <w:bCs w:val="1"/>
          <w:color w:val="auto"/>
        </w:rPr>
        <w:t>IC</w:t>
      </w:r>
      <w:r>
        <w:rPr>
          <w:rFonts w:ascii="Arial" w:cs="Arial" w:eastAsia="Arial" w:hAnsi="Arial"/>
          <w:sz w:val="21"/>
          <w:szCs w:val="21"/>
          <w:color w:val="auto"/>
        </w:rPr>
        <w:t xml:space="preserve"> official. The decision of the designated </w:t>
      </w:r>
      <w:r>
        <w:rPr>
          <w:rFonts w:ascii="Arial" w:cs="Arial" w:eastAsia="Arial" w:hAnsi="Arial"/>
          <w:sz w:val="21"/>
          <w:szCs w:val="21"/>
          <w:b w:val="1"/>
          <w:bCs w:val="1"/>
          <w:color w:val="auto"/>
        </w:rPr>
        <w:t>IC</w:t>
      </w:r>
      <w:r>
        <w:rPr>
          <w:rFonts w:ascii="Arial" w:cs="Arial" w:eastAsia="Arial" w:hAnsi="Arial"/>
          <w:sz w:val="21"/>
          <w:szCs w:val="21"/>
          <w:color w:val="auto"/>
        </w:rPr>
        <w:t xml:space="preserve"> official shall be the final agency decision.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may thereafter exercise any and all administrative or judicial remedies that may be available.</w:t>
      </w:r>
    </w:p>
    <w:p>
      <w:pPr>
        <w:spacing w:after="0" w:line="174" w:lineRule="exact"/>
        <w:rPr>
          <w:sz w:val="20"/>
          <w:szCs w:val="20"/>
          <w:color w:val="auto"/>
        </w:rPr>
      </w:pPr>
    </w:p>
    <w:p>
      <w:pPr>
        <w:ind w:left="1500" w:right="259" w:hanging="647"/>
        <w:spacing w:after="0" w:line="273" w:lineRule="auto"/>
        <w:rPr>
          <w:sz w:val="20"/>
          <w:szCs w:val="20"/>
          <w:color w:val="auto"/>
        </w:rPr>
      </w:pPr>
      <w:r>
        <w:rPr>
          <w:rFonts w:ascii="Arial" w:cs="Arial" w:eastAsia="Arial" w:hAnsi="Arial"/>
          <w:sz w:val="19"/>
          <w:szCs w:val="19"/>
          <w:color w:val="auto"/>
        </w:rPr>
        <w:t xml:space="preserve">13.10 Within ninety (90) days of expiration or termination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under this Article 13, a final report shall be submitted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Any royalty payments, including those incurred but not yet paid (such as the full minimum annual royalty), and those related to patent expenses, due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shall become immediately due and payable upon termination or expiration. If terminated under this Article 13, sublicensees may elect to convert their sublicenses to direct licenses with the </w:t>
      </w:r>
      <w:r>
        <w:rPr>
          <w:rFonts w:ascii="Arial" w:cs="Arial" w:eastAsia="Arial" w:hAnsi="Arial"/>
          <w:sz w:val="19"/>
          <w:szCs w:val="19"/>
          <w:b w:val="1"/>
          <w:bCs w:val="1"/>
          <w:color w:val="auto"/>
        </w:rPr>
        <w:t>IC</w:t>
      </w:r>
      <w:r>
        <w:rPr>
          <w:rFonts w:ascii="Arial" w:cs="Arial" w:eastAsia="Arial" w:hAnsi="Arial"/>
          <w:sz w:val="19"/>
          <w:szCs w:val="19"/>
          <w:color w:val="auto"/>
        </w:rPr>
        <w:t xml:space="preserve"> pursuant to Paragraph 4.3. Unless otherwise specifically provided for under this </w:t>
      </w:r>
      <w:r>
        <w:rPr>
          <w:rFonts w:ascii="Arial" w:cs="Arial" w:eastAsia="Arial" w:hAnsi="Arial"/>
          <w:sz w:val="19"/>
          <w:szCs w:val="19"/>
          <w:b w:val="1"/>
          <w:bCs w:val="1"/>
          <w:color w:val="auto"/>
        </w:rPr>
        <w:t>Agreement</w:t>
      </w:r>
      <w:r>
        <w:rPr>
          <w:rFonts w:ascii="Arial" w:cs="Arial" w:eastAsia="Arial" w:hAnsi="Arial"/>
          <w:sz w:val="19"/>
          <w:szCs w:val="19"/>
          <w:color w:val="auto"/>
        </w:rPr>
        <w:t>, upon termination or expiration of this</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the</w:t>
      </w:r>
      <w:r>
        <w:rPr>
          <w:rFonts w:ascii="Arial" w:cs="Arial" w:eastAsia="Arial" w:hAnsi="Arial"/>
          <w:sz w:val="19"/>
          <w:szCs w:val="19"/>
          <w:b w:val="1"/>
          <w:bCs w:val="1"/>
          <w:color w:val="auto"/>
        </w:rPr>
        <w:t xml:space="preserve"> Licensee </w:t>
      </w:r>
      <w:r>
        <w:rPr>
          <w:rFonts w:ascii="Arial" w:cs="Arial" w:eastAsia="Arial" w:hAnsi="Arial"/>
          <w:sz w:val="19"/>
          <w:szCs w:val="19"/>
          <w:color w:val="auto"/>
        </w:rPr>
        <w:t>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return all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other materials included within the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to the</w:t>
      </w:r>
      <w:r>
        <w:rPr>
          <w:rFonts w:ascii="Arial" w:cs="Arial" w:eastAsia="Arial" w:hAnsi="Arial"/>
          <w:sz w:val="19"/>
          <w:szCs w:val="19"/>
          <w:b w:val="1"/>
          <w:bCs w:val="1"/>
          <w:color w:val="auto"/>
        </w:rPr>
        <w:t xml:space="preserve"> IC </w:t>
      </w:r>
      <w:r>
        <w:rPr>
          <w:rFonts w:ascii="Arial" w:cs="Arial" w:eastAsia="Arial" w:hAnsi="Arial"/>
          <w:sz w:val="19"/>
          <w:szCs w:val="19"/>
          <w:color w:val="auto"/>
        </w:rPr>
        <w:t>or provide the</w:t>
      </w:r>
      <w:r>
        <w:rPr>
          <w:rFonts w:ascii="Arial" w:cs="Arial" w:eastAsia="Arial" w:hAnsi="Arial"/>
          <w:sz w:val="19"/>
          <w:szCs w:val="19"/>
          <w:b w:val="1"/>
          <w:bCs w:val="1"/>
          <w:color w:val="auto"/>
        </w:rPr>
        <w:t xml:space="preserve"> IC </w:t>
      </w:r>
      <w:r>
        <w:rPr>
          <w:rFonts w:ascii="Arial" w:cs="Arial" w:eastAsia="Arial" w:hAnsi="Arial"/>
          <w:sz w:val="19"/>
          <w:szCs w:val="19"/>
          <w:color w:val="auto"/>
        </w:rPr>
        <w:t>with certification of the destruction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thereof.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not be granted additional </w:t>
      </w:r>
      <w:r>
        <w:rPr>
          <w:rFonts w:ascii="Arial" w:cs="Arial" w:eastAsia="Arial" w:hAnsi="Arial"/>
          <w:sz w:val="19"/>
          <w:szCs w:val="19"/>
          <w:b w:val="1"/>
          <w:bCs w:val="1"/>
          <w:color w:val="auto"/>
        </w:rPr>
        <w:t>IC</w:t>
      </w:r>
      <w:r>
        <w:rPr>
          <w:rFonts w:ascii="Arial" w:cs="Arial" w:eastAsia="Arial" w:hAnsi="Arial"/>
          <w:sz w:val="19"/>
          <w:szCs w:val="19"/>
          <w:color w:val="auto"/>
        </w:rPr>
        <w:t xml:space="preserve"> licenses if the final reporting requirement is not fulfilled.</w:t>
      </w:r>
    </w:p>
    <w:p>
      <w:pPr>
        <w:spacing w:after="0" w:line="200" w:lineRule="exact"/>
        <w:rPr>
          <w:sz w:val="20"/>
          <w:szCs w:val="20"/>
          <w:color w:val="auto"/>
        </w:rPr>
      </w:pPr>
    </w:p>
    <w:p>
      <w:pPr>
        <w:spacing w:after="0" w:line="204" w:lineRule="exact"/>
        <w:rPr>
          <w:sz w:val="20"/>
          <w:szCs w:val="20"/>
          <w:color w:val="auto"/>
        </w:rPr>
      </w:pPr>
    </w:p>
    <w:p>
      <w:pPr>
        <w:ind w:left="860" w:hanging="651"/>
        <w:spacing w:after="0"/>
        <w:tabs>
          <w:tab w:leader="none" w:pos="8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795655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7" w:name="page108"/>
    <w:bookmarkEnd w:id="107"/>
    <w:p>
      <w:pPr>
        <w:ind w:left="1500" w:right="279" w:hanging="647"/>
        <w:spacing w:after="0" w:line="284" w:lineRule="auto"/>
        <w:tabs>
          <w:tab w:leader="none" w:pos="14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 xml:space="preserve">Neither party may waive or release any of its rights or interests in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except in writing. The failure of either party to assert a right hereunder or to insist upon compliance with any term or condition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not constitute a waiver of that right by that party or excuse a similar subsequent failure to perform any of these terms or conditions by the that party.</w:t>
      </w:r>
    </w:p>
    <w:p>
      <w:pPr>
        <w:spacing w:after="0" w:line="139" w:lineRule="exact"/>
        <w:rPr>
          <w:sz w:val="20"/>
          <w:szCs w:val="20"/>
          <w:color w:val="auto"/>
        </w:rPr>
      </w:pPr>
    </w:p>
    <w:p>
      <w:pPr>
        <w:ind w:left="1500" w:right="299" w:hanging="647"/>
        <w:spacing w:after="0" w:line="251" w:lineRule="auto"/>
        <w:tabs>
          <w:tab w:leader="none" w:pos="14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 xml:space="preserve">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constitutes the entire agreement between the parties relating to the subject matter of the </w:t>
      </w:r>
      <w:r>
        <w:rPr>
          <w:rFonts w:ascii="Arial" w:cs="Arial" w:eastAsia="Arial" w:hAnsi="Arial"/>
          <w:sz w:val="21"/>
          <w:szCs w:val="21"/>
          <w:b w:val="1"/>
          <w:bCs w:val="1"/>
          <w:color w:val="auto"/>
        </w:rPr>
        <w:t>Licensed Patent Rights</w:t>
      </w:r>
      <w:r>
        <w:rPr>
          <w:rFonts w:ascii="Arial" w:cs="Arial" w:eastAsia="Arial" w:hAnsi="Arial"/>
          <w:sz w:val="21"/>
          <w:szCs w:val="21"/>
          <w:color w:val="auto"/>
        </w:rPr>
        <w:t xml:space="preserve">, the </w:t>
      </w:r>
      <w:r>
        <w:rPr>
          <w:rFonts w:ascii="Arial" w:cs="Arial" w:eastAsia="Arial" w:hAnsi="Arial"/>
          <w:sz w:val="21"/>
          <w:szCs w:val="21"/>
          <w:b w:val="1"/>
          <w:bCs w:val="1"/>
          <w:color w:val="auto"/>
        </w:rPr>
        <w:t>Licensed Products</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Licensed Processes</w:t>
      </w:r>
      <w:r>
        <w:rPr>
          <w:rFonts w:ascii="Arial" w:cs="Arial" w:eastAsia="Arial" w:hAnsi="Arial"/>
          <w:sz w:val="21"/>
          <w:szCs w:val="21"/>
          <w:color w:val="auto"/>
        </w:rPr>
        <w:t>, and all prior negotiations, representations, agreements,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understandings are merged into, extinguished by, and completely expressed by this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68" w:lineRule="exact"/>
        <w:rPr>
          <w:sz w:val="20"/>
          <w:szCs w:val="20"/>
          <w:color w:val="auto"/>
        </w:rPr>
      </w:pPr>
    </w:p>
    <w:p>
      <w:pPr>
        <w:ind w:left="1500" w:right="279" w:hanging="647"/>
        <w:spacing w:after="0" w:line="289" w:lineRule="auto"/>
        <w:tabs>
          <w:tab w:leader="none" w:pos="14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 xml:space="preserve">The provisions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are severable, and in the event that any provision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be determined to be invalid or unenforceable under any controlling body of law, this determination shall not in any way affect the validity or enforceability of the remaining provisions of this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36" w:lineRule="exact"/>
        <w:rPr>
          <w:sz w:val="20"/>
          <w:szCs w:val="20"/>
          <w:color w:val="auto"/>
        </w:rPr>
      </w:pPr>
    </w:p>
    <w:p>
      <w:pPr>
        <w:ind w:left="1500" w:right="579" w:hanging="647"/>
        <w:spacing w:after="0" w:line="251" w:lineRule="auto"/>
        <w:tabs>
          <w:tab w:leader="none" w:pos="14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 xml:space="preserve">If either party desires a modification to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the parties shall, upon reasonable notice of the proposed modification by the party desiring the change, confer in good faith to determine the desirability of the modification. No modification shall be effective until a written amendment is signed by the signatories to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or their designees.</w:t>
      </w:r>
    </w:p>
    <w:p>
      <w:pPr>
        <w:spacing w:after="0" w:line="168" w:lineRule="exact"/>
        <w:rPr>
          <w:sz w:val="20"/>
          <w:szCs w:val="20"/>
          <w:color w:val="auto"/>
        </w:rPr>
      </w:pPr>
    </w:p>
    <w:p>
      <w:pPr>
        <w:ind w:left="1500" w:right="759" w:hanging="647"/>
        <w:spacing w:after="0" w:line="243" w:lineRule="auto"/>
        <w:tabs>
          <w:tab w:leader="none" w:pos="1480" w:val="left"/>
        </w:tabs>
        <w:rPr>
          <w:sz w:val="20"/>
          <w:szCs w:val="20"/>
          <w:color w:val="auto"/>
        </w:rPr>
      </w:pPr>
      <w:r>
        <w:rPr>
          <w:rFonts w:ascii="Arial" w:cs="Arial" w:eastAsia="Arial" w:hAnsi="Arial"/>
          <w:sz w:val="22"/>
          <w:szCs w:val="22"/>
          <w:color w:val="auto"/>
        </w:rPr>
        <w:t>14.5</w:t>
        <w:tab/>
        <w:t xml:space="preserve">The construction, validity, performance, and effect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shall be governed by Federal law as applied by the Federal courts in the District of Columbia.</w:t>
      </w:r>
    </w:p>
    <w:p>
      <w:pPr>
        <w:spacing w:after="0" w:line="177" w:lineRule="exact"/>
        <w:rPr>
          <w:sz w:val="20"/>
          <w:szCs w:val="20"/>
          <w:color w:val="auto"/>
        </w:rPr>
      </w:pPr>
    </w:p>
    <w:p>
      <w:pPr>
        <w:ind w:left="1500" w:right="379" w:hanging="647"/>
        <w:spacing w:after="0" w:line="273" w:lineRule="auto"/>
        <w:tabs>
          <w:tab w:leader="none" w:pos="14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 xml:space="preserve">All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notices required or permitted by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be given by prepaid, first class, registered or certified mail or by an express/overnight delivery service provided by a commercial carrier, properly addressed to the other party at the address designated on the following Signature Page, or to another address as may be designated in writing by the other party.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notices shall be considered timely if the notices are received on or before the established deadline date or sent on or before the deadline date as verifiable by U.S. Postal Service postmark or dated receipt from a commercial carrier. Parties should request a legibly dated U.S. Postal Service postmark or obtain a dated receipt from a commercial carrier or the U.S. Postal Service. Private metered postmarks shall not be acceptable as proof of timely mailing.</w:t>
      </w:r>
    </w:p>
    <w:p>
      <w:pPr>
        <w:spacing w:after="0" w:line="155" w:lineRule="exact"/>
        <w:rPr>
          <w:sz w:val="20"/>
          <w:szCs w:val="20"/>
          <w:color w:val="auto"/>
        </w:rPr>
      </w:pPr>
    </w:p>
    <w:p>
      <w:pPr>
        <w:ind w:left="1500" w:right="379" w:hanging="647"/>
        <w:spacing w:after="0" w:line="276" w:lineRule="auto"/>
        <w:tabs>
          <w:tab w:leader="none" w:pos="14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 xml:space="preserve">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not be assigned or otherwise transferred (including any transfer by legal process or by operation of law, and any transfer in bankruptcy or insolvency, or in any other compulsory procedure or order of court) except to the </w:t>
      </w:r>
      <w:r>
        <w:rPr>
          <w:rFonts w:ascii="Arial" w:cs="Arial" w:eastAsia="Arial" w:hAnsi="Arial"/>
          <w:sz w:val="19"/>
          <w:szCs w:val="19"/>
          <w:b w:val="1"/>
          <w:bCs w:val="1"/>
          <w:color w:val="auto"/>
        </w:rPr>
        <w:t xml:space="preserve">Licensee’s Affiliate(s) </w:t>
      </w:r>
      <w:r>
        <w:rPr>
          <w:rFonts w:ascii="Arial" w:cs="Arial" w:eastAsia="Arial" w:hAnsi="Arial"/>
          <w:sz w:val="19"/>
          <w:szCs w:val="19"/>
          <w:color w:val="auto"/>
        </w:rPr>
        <w:t>without the prior written consent of the</w:t>
      </w:r>
      <w:r>
        <w:rPr>
          <w:rFonts w:ascii="Arial" w:cs="Arial" w:eastAsia="Arial" w:hAnsi="Arial"/>
          <w:sz w:val="19"/>
          <w:szCs w:val="19"/>
          <w:b w:val="1"/>
          <w:bCs w:val="1"/>
          <w:color w:val="auto"/>
        </w:rPr>
        <w:t xml:space="preserve"> IC</w:t>
      </w:r>
      <w:r>
        <w:rPr>
          <w:rFonts w:ascii="Arial" w:cs="Arial" w:eastAsia="Arial" w:hAnsi="Arial"/>
          <w:sz w:val="19"/>
          <w:szCs w:val="19"/>
          <w:color w:val="auto"/>
        </w:rPr>
        <w:t>.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 that the identity of the parties is material to the formation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and that the obligations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are nondelegable. In the event that the </w:t>
      </w:r>
      <w:r>
        <w:rPr>
          <w:rFonts w:ascii="Arial" w:cs="Arial" w:eastAsia="Arial" w:hAnsi="Arial"/>
          <w:sz w:val="19"/>
          <w:szCs w:val="19"/>
          <w:b w:val="1"/>
          <w:bCs w:val="1"/>
          <w:color w:val="auto"/>
        </w:rPr>
        <w:t>IC</w:t>
      </w:r>
      <w:r>
        <w:rPr>
          <w:rFonts w:ascii="Arial" w:cs="Arial" w:eastAsia="Arial" w:hAnsi="Arial"/>
          <w:sz w:val="19"/>
          <w:szCs w:val="19"/>
          <w:color w:val="auto"/>
        </w:rPr>
        <w:t xml:space="preserve"> approves a proposed assignment,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pay the </w:t>
      </w:r>
      <w:r>
        <w:rPr>
          <w:rFonts w:ascii="Arial" w:cs="Arial" w:eastAsia="Arial" w:hAnsi="Arial"/>
          <w:sz w:val="19"/>
          <w:szCs w:val="19"/>
          <w:b w:val="1"/>
          <w:bCs w:val="1"/>
          <w:color w:val="auto"/>
        </w:rPr>
        <w:t>IC</w:t>
      </w:r>
      <w:r>
        <w:rPr>
          <w:rFonts w:ascii="Arial" w:cs="Arial" w:eastAsia="Arial" w:hAnsi="Arial"/>
          <w:sz w:val="19"/>
          <w:szCs w:val="19"/>
          <w:color w:val="auto"/>
        </w:rPr>
        <w:t>, as an additional royalty, [***] percent ([***]%) of the fair 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763905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8" w:name="page109"/>
    <w:bookmarkEnd w:id="108"/>
    <w:p>
      <w:pPr>
        <w:ind w:left="1500"/>
        <w:spacing w:after="0"/>
        <w:rPr>
          <w:sz w:val="20"/>
          <w:szCs w:val="20"/>
          <w:color w:val="auto"/>
        </w:rPr>
      </w:pPr>
      <w:r>
        <w:rPr>
          <w:rFonts w:ascii="Arial" w:cs="Arial" w:eastAsia="Arial" w:hAnsi="Arial"/>
          <w:sz w:val="19"/>
          <w:szCs w:val="19"/>
          <w:color w:val="auto"/>
        </w:rPr>
        <w:t xml:space="preserve">any consideration received for any assignment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within sixty (60)</w:t>
      </w:r>
    </w:p>
    <w:p>
      <w:pPr>
        <w:spacing w:after="0" w:line="4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days of the assignment.</w:t>
      </w:r>
    </w:p>
    <w:p>
      <w:pPr>
        <w:spacing w:after="0" w:line="182" w:lineRule="exact"/>
        <w:rPr>
          <w:sz w:val="20"/>
          <w:szCs w:val="20"/>
          <w:color w:val="auto"/>
        </w:rPr>
      </w:pPr>
    </w:p>
    <w:p>
      <w:pPr>
        <w:ind w:left="1500" w:right="239" w:hanging="647"/>
        <w:spacing w:after="0" w:line="273" w:lineRule="auto"/>
        <w:tabs>
          <w:tab w:leader="none" w:pos="14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in its use of any </w:t>
      </w:r>
      <w:r>
        <w:rPr>
          <w:rFonts w:ascii="Arial" w:cs="Arial" w:eastAsia="Arial" w:hAnsi="Arial"/>
          <w:sz w:val="19"/>
          <w:szCs w:val="19"/>
          <w:b w:val="1"/>
          <w:bCs w:val="1"/>
          <w:color w:val="auto"/>
        </w:rPr>
        <w:t>IC</w:t>
      </w:r>
      <w:r>
        <w:rPr>
          <w:rFonts w:ascii="Arial" w:cs="Arial" w:eastAsia="Arial" w:hAnsi="Arial"/>
          <w:sz w:val="19"/>
          <w:szCs w:val="19"/>
          <w:color w:val="auto"/>
        </w:rPr>
        <w:t xml:space="preserve">-supplied biological materials that are supplied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to comply with all applicable statutes, regulations, and guidelines, including </w:t>
      </w:r>
      <w:r>
        <w:rPr>
          <w:rFonts w:ascii="Arial" w:cs="Arial" w:eastAsia="Arial" w:hAnsi="Arial"/>
          <w:sz w:val="19"/>
          <w:szCs w:val="19"/>
          <w:b w:val="1"/>
          <w:bCs w:val="1"/>
          <w:color w:val="auto"/>
        </w:rPr>
        <w:t>IC</w:t>
      </w:r>
      <w:r>
        <w:rPr>
          <w:rFonts w:ascii="Arial" w:cs="Arial" w:eastAsia="Arial" w:hAnsi="Arial"/>
          <w:sz w:val="19"/>
          <w:szCs w:val="19"/>
          <w:color w:val="auto"/>
        </w:rPr>
        <w:t xml:space="preserve"> and </w:t>
      </w:r>
      <w:r>
        <w:rPr>
          <w:rFonts w:ascii="Arial" w:cs="Arial" w:eastAsia="Arial" w:hAnsi="Arial"/>
          <w:sz w:val="19"/>
          <w:szCs w:val="19"/>
          <w:b w:val="1"/>
          <w:bCs w:val="1"/>
          <w:color w:val="auto"/>
        </w:rPr>
        <w:t>HHS</w:t>
      </w:r>
      <w:r>
        <w:rPr>
          <w:rFonts w:ascii="Arial" w:cs="Arial" w:eastAsia="Arial" w:hAnsi="Arial"/>
          <w:sz w:val="19"/>
          <w:szCs w:val="19"/>
          <w:color w:val="auto"/>
        </w:rPr>
        <w:t xml:space="preserve"> regulations and guidelines.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not to use such biological materials for research involving human subjects or clinical trials in the United States without complying with </w:t>
      </w:r>
      <w:r>
        <w:rPr>
          <w:rFonts w:ascii="Arial" w:cs="Arial" w:eastAsia="Arial" w:hAnsi="Arial"/>
          <w:sz w:val="19"/>
          <w:szCs w:val="19"/>
          <w:u w:val="single" w:color="auto"/>
          <w:color w:val="auto"/>
        </w:rPr>
        <w:t>21 C.F.R. Part 50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w:t>
      </w:r>
      <w:r>
        <w:rPr>
          <w:rFonts w:ascii="Arial" w:cs="Arial" w:eastAsia="Arial" w:hAnsi="Arial"/>
          <w:sz w:val="19"/>
          <w:szCs w:val="19"/>
          <w:u w:val="single" w:color="auto"/>
          <w:color w:val="auto"/>
        </w:rPr>
        <w:t>C.F.R. Part 46</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not to use such biological materials for research involving human subjects or clinical trials outside of the United States without notifying the </w:t>
      </w:r>
      <w:r>
        <w:rPr>
          <w:rFonts w:ascii="Arial" w:cs="Arial" w:eastAsia="Arial" w:hAnsi="Arial"/>
          <w:sz w:val="19"/>
          <w:szCs w:val="19"/>
          <w:b w:val="1"/>
          <w:bCs w:val="1"/>
          <w:color w:val="auto"/>
        </w:rPr>
        <w:t>IC</w:t>
      </w:r>
      <w:r>
        <w:rPr>
          <w:rFonts w:ascii="Arial" w:cs="Arial" w:eastAsia="Arial" w:hAnsi="Arial"/>
          <w:sz w:val="19"/>
          <w:szCs w:val="19"/>
          <w:color w:val="auto"/>
        </w:rPr>
        <w:t xml:space="preserve">, in writing, of the research or trials and complying with the applicable regulations of the appropriate national control authorities. Written notification to the </w:t>
      </w:r>
      <w:r>
        <w:rPr>
          <w:rFonts w:ascii="Arial" w:cs="Arial" w:eastAsia="Arial" w:hAnsi="Arial"/>
          <w:sz w:val="19"/>
          <w:szCs w:val="19"/>
          <w:b w:val="1"/>
          <w:bCs w:val="1"/>
          <w:color w:val="auto"/>
        </w:rPr>
        <w:t>IC</w:t>
      </w:r>
      <w:r>
        <w:rPr>
          <w:rFonts w:ascii="Arial" w:cs="Arial" w:eastAsia="Arial" w:hAnsi="Arial"/>
          <w:sz w:val="19"/>
          <w:szCs w:val="19"/>
          <w:color w:val="auto"/>
        </w:rPr>
        <w:t xml:space="preserve"> of research involving such biological materials in human subjects or clinical trials outside of the United States shall be given no later than sixty (60) days prior to commencement of the research or trials.</w:t>
      </w:r>
    </w:p>
    <w:p>
      <w:pPr>
        <w:spacing w:after="0" w:line="150" w:lineRule="exact"/>
        <w:rPr>
          <w:sz w:val="20"/>
          <w:szCs w:val="20"/>
          <w:color w:val="auto"/>
        </w:rPr>
      </w:pPr>
    </w:p>
    <w:p>
      <w:pPr>
        <w:ind w:left="1500" w:right="459" w:hanging="647"/>
        <w:spacing w:after="0" w:line="246" w:lineRule="auto"/>
        <w:tabs>
          <w:tab w:leader="none" w:pos="14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21"/>
          <w:szCs w:val="21"/>
          <w:color w:val="auto"/>
        </w:rPr>
        <w:t xml:space="preserve">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acknowledges that it is subject to and agrees to abide by the United States laws and regulations (including the </w:t>
      </w:r>
      <w:r>
        <w:rPr>
          <w:rFonts w:ascii="Arial" w:cs="Arial" w:eastAsia="Arial" w:hAnsi="Arial"/>
          <w:sz w:val="21"/>
          <w:szCs w:val="21"/>
          <w:u w:val="single" w:color="auto"/>
          <w:color w:val="auto"/>
        </w:rPr>
        <w:t>Export Administration Act of 1979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Arms Export Control Act</w:t>
      </w:r>
      <w:r>
        <w:rPr>
          <w:rFonts w:ascii="Arial" w:cs="Arial" w:eastAsia="Arial" w:hAnsi="Arial"/>
          <w:sz w:val="21"/>
          <w:szCs w:val="21"/>
          <w:color w:val="auto"/>
        </w:rPr>
        <w:t xml:space="preserve">) controlling the export of technical data, computer software, laboratory prototypes, biological material, and other commodities. The transfer of these items may require a license from the appropriate agency of the </w:t>
      </w:r>
      <w:r>
        <w:rPr>
          <w:rFonts w:ascii="Arial" w:cs="Arial" w:eastAsia="Arial" w:hAnsi="Arial"/>
          <w:sz w:val="21"/>
          <w:szCs w:val="21"/>
          <w:b w:val="1"/>
          <w:bCs w:val="1"/>
          <w:color w:val="auto"/>
        </w:rPr>
        <w:t xml:space="preserve">Government </w:t>
      </w:r>
      <w:r>
        <w:rPr>
          <w:rFonts w:ascii="Arial" w:cs="Arial" w:eastAsia="Arial" w:hAnsi="Arial"/>
          <w:sz w:val="21"/>
          <w:szCs w:val="21"/>
          <w:color w:val="auto"/>
        </w:rPr>
        <w:t>or written assurances by the</w:t>
      </w:r>
      <w:r>
        <w:rPr>
          <w:rFonts w:ascii="Arial" w:cs="Arial" w:eastAsia="Arial" w:hAnsi="Arial"/>
          <w:sz w:val="21"/>
          <w:szCs w:val="21"/>
          <w:b w:val="1"/>
          <w:bCs w:val="1"/>
          <w:color w:val="auto"/>
        </w:rPr>
        <w:t xml:space="preserve"> Licensee </w:t>
      </w:r>
      <w:r>
        <w:rPr>
          <w:rFonts w:ascii="Arial" w:cs="Arial" w:eastAsia="Arial" w:hAnsi="Arial"/>
          <w:sz w:val="21"/>
          <w:szCs w:val="21"/>
          <w:color w:val="auto"/>
        </w:rPr>
        <w:t>that it shall not export these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items to certain foreign countries without prior approval of this agency. The </w:t>
      </w:r>
      <w:r>
        <w:rPr>
          <w:rFonts w:ascii="Arial" w:cs="Arial" w:eastAsia="Arial" w:hAnsi="Arial"/>
          <w:sz w:val="21"/>
          <w:szCs w:val="21"/>
          <w:b w:val="1"/>
          <w:bCs w:val="1"/>
          <w:color w:val="auto"/>
        </w:rPr>
        <w:t>IC</w:t>
      </w:r>
      <w:r>
        <w:rPr>
          <w:rFonts w:ascii="Arial" w:cs="Arial" w:eastAsia="Arial" w:hAnsi="Arial"/>
          <w:sz w:val="21"/>
          <w:szCs w:val="21"/>
          <w:color w:val="auto"/>
        </w:rPr>
        <w:t xml:space="preserve"> neither represents that a license is or is not required or that, if required, it shall be issued.</w:t>
      </w:r>
    </w:p>
    <w:p>
      <w:pPr>
        <w:spacing w:after="0" w:line="175" w:lineRule="exact"/>
        <w:rPr>
          <w:sz w:val="20"/>
          <w:szCs w:val="20"/>
          <w:color w:val="auto"/>
        </w:rPr>
      </w:pPr>
    </w:p>
    <w:p>
      <w:pPr>
        <w:ind w:left="1500" w:right="279" w:hanging="647"/>
        <w:spacing w:after="0" w:line="237" w:lineRule="auto"/>
        <w:rPr>
          <w:sz w:val="20"/>
          <w:szCs w:val="20"/>
          <w:color w:val="auto"/>
        </w:rPr>
      </w:pPr>
      <w:r>
        <w:rPr>
          <w:rFonts w:ascii="Arial" w:cs="Arial" w:eastAsia="Arial" w:hAnsi="Arial"/>
          <w:sz w:val="22"/>
          <w:szCs w:val="22"/>
          <w:color w:val="auto"/>
        </w:rPr>
        <w:t xml:space="preserve">14.10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mark the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their packaging sold in the United States with all applicable U.S. patent numbers and similarly to indicate “Patent Pending” status. All the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manufactured in, shipped to, or sold in other countries shall be marked in a manner to preserve the </w:t>
      </w:r>
      <w:r>
        <w:rPr>
          <w:rFonts w:ascii="Arial" w:cs="Arial" w:eastAsia="Arial" w:hAnsi="Arial"/>
          <w:sz w:val="22"/>
          <w:szCs w:val="22"/>
          <w:b w:val="1"/>
          <w:bCs w:val="1"/>
          <w:color w:val="auto"/>
        </w:rPr>
        <w:t>IC’s</w:t>
      </w:r>
      <w:r>
        <w:rPr>
          <w:rFonts w:ascii="Arial" w:cs="Arial" w:eastAsia="Arial" w:hAnsi="Arial"/>
          <w:sz w:val="22"/>
          <w:szCs w:val="22"/>
          <w:color w:val="auto"/>
        </w:rPr>
        <w:t xml:space="preserve"> patent rights in those countries.</w:t>
      </w:r>
    </w:p>
    <w:p>
      <w:pPr>
        <w:spacing w:after="0" w:line="182" w:lineRule="exact"/>
        <w:rPr>
          <w:sz w:val="20"/>
          <w:szCs w:val="20"/>
          <w:color w:val="auto"/>
        </w:rPr>
      </w:pPr>
    </w:p>
    <w:p>
      <w:pPr>
        <w:ind w:left="1500" w:right="259" w:hanging="647"/>
        <w:spacing w:after="0" w:line="247" w:lineRule="auto"/>
        <w:tabs>
          <w:tab w:leader="none" w:pos="148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21"/>
          <w:szCs w:val="21"/>
          <w:color w:val="auto"/>
        </w:rPr>
        <w:t xml:space="preserve">By entering into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IC</w:t>
      </w:r>
      <w:r>
        <w:rPr>
          <w:rFonts w:ascii="Arial" w:cs="Arial" w:eastAsia="Arial" w:hAnsi="Arial"/>
          <w:sz w:val="21"/>
          <w:szCs w:val="21"/>
          <w:color w:val="auto"/>
        </w:rPr>
        <w:t xml:space="preserve"> does not directly or indirectly endorse any product or service provided, or to be provided, by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whether directly or indirectly related to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shall not state or imply that this </w:t>
      </w:r>
      <w:r>
        <w:rPr>
          <w:rFonts w:ascii="Arial" w:cs="Arial" w:eastAsia="Arial" w:hAnsi="Arial"/>
          <w:sz w:val="21"/>
          <w:szCs w:val="21"/>
          <w:b w:val="1"/>
          <w:bCs w:val="1"/>
          <w:color w:val="auto"/>
        </w:rPr>
        <w:t xml:space="preserve">Agreement </w:t>
      </w:r>
      <w:r>
        <w:rPr>
          <w:rFonts w:ascii="Arial" w:cs="Arial" w:eastAsia="Arial" w:hAnsi="Arial"/>
          <w:sz w:val="21"/>
          <w:szCs w:val="21"/>
          <w:color w:val="auto"/>
        </w:rPr>
        <w:t>is an endorsement by the</w:t>
      </w:r>
      <w:r>
        <w:rPr>
          <w:rFonts w:ascii="Arial" w:cs="Arial" w:eastAsia="Arial" w:hAnsi="Arial"/>
          <w:sz w:val="21"/>
          <w:szCs w:val="21"/>
          <w:b w:val="1"/>
          <w:bCs w:val="1"/>
          <w:color w:val="auto"/>
        </w:rPr>
        <w:t xml:space="preserve"> Government</w:t>
      </w:r>
      <w:r>
        <w:rPr>
          <w:rFonts w:ascii="Arial" w:cs="Arial" w:eastAsia="Arial" w:hAnsi="Arial"/>
          <w:sz w:val="21"/>
          <w:szCs w:val="21"/>
          <w:color w:val="auto"/>
        </w:rPr>
        <w:t>, the</w:t>
      </w:r>
      <w:r>
        <w:rPr>
          <w:rFonts w:ascii="Arial" w:cs="Arial" w:eastAsia="Arial" w:hAnsi="Arial"/>
          <w:sz w:val="21"/>
          <w:szCs w:val="21"/>
          <w:b w:val="1"/>
          <w:bCs w:val="1"/>
          <w:color w:val="auto"/>
        </w:rPr>
        <w:t xml:space="preserve"> IC</w:t>
      </w:r>
      <w:r>
        <w:rPr>
          <w:rFonts w:ascii="Arial" w:cs="Arial" w:eastAsia="Arial" w:hAnsi="Arial"/>
          <w:sz w:val="21"/>
          <w:szCs w:val="21"/>
          <w:color w:val="auto"/>
        </w:rPr>
        <w:t>, any other</w:t>
      </w:r>
      <w:r>
        <w:rPr>
          <w:rFonts w:ascii="Arial" w:cs="Arial" w:eastAsia="Arial" w:hAnsi="Arial"/>
          <w:sz w:val="21"/>
          <w:szCs w:val="21"/>
          <w:b w:val="1"/>
          <w:bCs w:val="1"/>
          <w:color w:val="auto"/>
        </w:rPr>
        <w:t xml:space="preserve"> Government </w:t>
      </w:r>
      <w:r>
        <w:rPr>
          <w:rFonts w:ascii="Arial" w:cs="Arial" w:eastAsia="Arial" w:hAnsi="Arial"/>
          <w:sz w:val="21"/>
          <w:szCs w:val="21"/>
          <w:color w:val="auto"/>
        </w:rPr>
        <w:t xml:space="preserve">organizational unit, or any </w:t>
      </w:r>
      <w:r>
        <w:rPr>
          <w:rFonts w:ascii="Arial" w:cs="Arial" w:eastAsia="Arial" w:hAnsi="Arial"/>
          <w:sz w:val="21"/>
          <w:szCs w:val="21"/>
          <w:b w:val="1"/>
          <w:bCs w:val="1"/>
          <w:color w:val="auto"/>
        </w:rPr>
        <w:t>Government</w:t>
      </w:r>
      <w:r>
        <w:rPr>
          <w:rFonts w:ascii="Arial" w:cs="Arial" w:eastAsia="Arial" w:hAnsi="Arial"/>
          <w:sz w:val="21"/>
          <w:szCs w:val="21"/>
          <w:color w:val="auto"/>
        </w:rPr>
        <w:t xml:space="preserve"> employee. Additionally, the </w:t>
      </w:r>
      <w:r>
        <w:rPr>
          <w:rFonts w:ascii="Arial" w:cs="Arial" w:eastAsia="Arial" w:hAnsi="Arial"/>
          <w:sz w:val="21"/>
          <w:szCs w:val="21"/>
          <w:b w:val="1"/>
          <w:bCs w:val="1"/>
          <w:color w:val="auto"/>
        </w:rPr>
        <w:t>Licensee</w:t>
      </w:r>
      <w:r>
        <w:rPr>
          <w:rFonts w:ascii="Arial" w:cs="Arial" w:eastAsia="Arial" w:hAnsi="Arial"/>
          <w:sz w:val="21"/>
          <w:szCs w:val="21"/>
          <w:color w:val="auto"/>
        </w:rPr>
        <w:t xml:space="preserve"> shall not use the names of the </w:t>
      </w:r>
      <w:r>
        <w:rPr>
          <w:rFonts w:ascii="Arial" w:cs="Arial" w:eastAsia="Arial" w:hAnsi="Arial"/>
          <w:sz w:val="21"/>
          <w:szCs w:val="21"/>
          <w:b w:val="1"/>
          <w:bCs w:val="1"/>
          <w:color w:val="auto"/>
        </w:rPr>
        <w:t>IC</w:t>
      </w:r>
      <w:r>
        <w:rPr>
          <w:rFonts w:ascii="Arial" w:cs="Arial" w:eastAsia="Arial" w:hAnsi="Arial"/>
          <w:sz w:val="21"/>
          <w:szCs w:val="21"/>
          <w:color w:val="auto"/>
        </w:rPr>
        <w:t xml:space="preserve">, the </w:t>
      </w:r>
      <w:r>
        <w:rPr>
          <w:rFonts w:ascii="Arial" w:cs="Arial" w:eastAsia="Arial" w:hAnsi="Arial"/>
          <w:sz w:val="21"/>
          <w:szCs w:val="21"/>
          <w:b w:val="1"/>
          <w:bCs w:val="1"/>
          <w:color w:val="auto"/>
        </w:rPr>
        <w:t>FDA</w:t>
      </w:r>
      <w:r>
        <w:rPr>
          <w:rFonts w:ascii="Arial" w:cs="Arial" w:eastAsia="Arial" w:hAnsi="Arial"/>
          <w:sz w:val="21"/>
          <w:szCs w:val="21"/>
          <w:color w:val="auto"/>
        </w:rPr>
        <w:t xml:space="preserve"> or the </w:t>
      </w:r>
      <w:r>
        <w:rPr>
          <w:rFonts w:ascii="Arial" w:cs="Arial" w:eastAsia="Arial" w:hAnsi="Arial"/>
          <w:sz w:val="21"/>
          <w:szCs w:val="21"/>
          <w:b w:val="1"/>
          <w:bCs w:val="1"/>
          <w:color w:val="auto"/>
        </w:rPr>
        <w:t>HHS</w:t>
      </w:r>
      <w:r>
        <w:rPr>
          <w:rFonts w:ascii="Arial" w:cs="Arial" w:eastAsia="Arial" w:hAnsi="Arial"/>
          <w:sz w:val="21"/>
          <w:szCs w:val="21"/>
          <w:color w:val="auto"/>
        </w:rPr>
        <w:t xml:space="preserve"> or the </w:t>
      </w:r>
      <w:r>
        <w:rPr>
          <w:rFonts w:ascii="Arial" w:cs="Arial" w:eastAsia="Arial" w:hAnsi="Arial"/>
          <w:sz w:val="21"/>
          <w:szCs w:val="21"/>
          <w:b w:val="1"/>
          <w:bCs w:val="1"/>
          <w:color w:val="auto"/>
        </w:rPr>
        <w:t>Government</w:t>
      </w:r>
      <w:r>
        <w:rPr>
          <w:rFonts w:ascii="Arial" w:cs="Arial" w:eastAsia="Arial" w:hAnsi="Arial"/>
          <w:sz w:val="21"/>
          <w:szCs w:val="21"/>
          <w:color w:val="auto"/>
        </w:rPr>
        <w:t xml:space="preserve"> or their employees in any advertising, promotional, or sales literature without the prior written approval of the </w:t>
      </w:r>
      <w:r>
        <w:rPr>
          <w:rFonts w:ascii="Arial" w:cs="Arial" w:eastAsia="Arial" w:hAnsi="Arial"/>
          <w:sz w:val="21"/>
          <w:szCs w:val="21"/>
          <w:b w:val="1"/>
          <w:bCs w:val="1"/>
          <w:color w:val="auto"/>
        </w:rPr>
        <w:t>IC</w:t>
      </w:r>
      <w:r>
        <w:rPr>
          <w:rFonts w:ascii="Arial" w:cs="Arial" w:eastAsia="Arial" w:hAnsi="Arial"/>
          <w:sz w:val="21"/>
          <w:szCs w:val="21"/>
          <w:color w:val="auto"/>
        </w:rPr>
        <w:t>.</w:t>
      </w:r>
    </w:p>
    <w:p>
      <w:pPr>
        <w:spacing w:after="0" w:line="178" w:lineRule="exact"/>
        <w:rPr>
          <w:sz w:val="20"/>
          <w:szCs w:val="20"/>
          <w:color w:val="auto"/>
        </w:rPr>
      </w:pPr>
    </w:p>
    <w:p>
      <w:pPr>
        <w:ind w:left="1500" w:right="399" w:hanging="647"/>
        <w:spacing w:after="0" w:line="282" w:lineRule="auto"/>
        <w:rPr>
          <w:sz w:val="20"/>
          <w:szCs w:val="20"/>
          <w:color w:val="auto"/>
        </w:rPr>
      </w:pPr>
      <w:r>
        <w:rPr>
          <w:rFonts w:ascii="Arial" w:cs="Arial" w:eastAsia="Arial" w:hAnsi="Arial"/>
          <w:sz w:val="19"/>
          <w:szCs w:val="19"/>
          <w:color w:val="auto"/>
        </w:rPr>
        <w:t xml:space="preserve">14.12 The parties agree to attempt to settle amicably any controversy or claim arising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or a breach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except for appeals of modifications or termination decisions provided for in Article 13.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first to appeal any unsettled claims or controversies to the designated </w:t>
      </w:r>
      <w:r>
        <w:rPr>
          <w:rFonts w:ascii="Arial" w:cs="Arial" w:eastAsia="Arial" w:hAnsi="Arial"/>
          <w:sz w:val="19"/>
          <w:szCs w:val="19"/>
          <w:b w:val="1"/>
          <w:bCs w:val="1"/>
          <w:color w:val="auto"/>
        </w:rPr>
        <w:t>IC</w:t>
      </w:r>
      <w:r>
        <w:rPr>
          <w:rFonts w:ascii="Arial" w:cs="Arial" w:eastAsia="Arial" w:hAnsi="Arial"/>
          <w:sz w:val="19"/>
          <w:szCs w:val="19"/>
          <w:color w:val="auto"/>
        </w:rPr>
        <w:t xml:space="preserve"> official, or designee, whose decision shall be considered the final agency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758825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9" w:name="page110"/>
    <w:bookmarkEnd w:id="109"/>
    <w:p>
      <w:pPr>
        <w:ind w:left="1500" w:right="419"/>
        <w:spacing w:after="0" w:line="257" w:lineRule="auto"/>
        <w:rPr>
          <w:sz w:val="20"/>
          <w:szCs w:val="20"/>
          <w:color w:val="auto"/>
        </w:rPr>
      </w:pPr>
      <w:r>
        <w:rPr>
          <w:rFonts w:ascii="Arial" w:cs="Arial" w:eastAsia="Arial" w:hAnsi="Arial"/>
          <w:sz w:val="22"/>
          <w:szCs w:val="22"/>
          <w:color w:val="auto"/>
        </w:rPr>
        <w:t xml:space="preserve">Thereafter,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may exercise any administrative or judicial remedies that may be available.</w:t>
      </w:r>
    </w:p>
    <w:p>
      <w:pPr>
        <w:spacing w:after="0" w:line="167" w:lineRule="exact"/>
        <w:rPr>
          <w:sz w:val="20"/>
          <w:szCs w:val="20"/>
          <w:color w:val="auto"/>
        </w:rPr>
      </w:pPr>
    </w:p>
    <w:p>
      <w:pPr>
        <w:ind w:left="1500" w:right="339" w:hanging="647"/>
        <w:spacing w:after="0" w:line="249" w:lineRule="auto"/>
        <w:rPr>
          <w:sz w:val="20"/>
          <w:szCs w:val="20"/>
          <w:color w:val="auto"/>
        </w:rPr>
      </w:pPr>
      <w:r>
        <w:rPr>
          <w:rFonts w:ascii="Arial" w:cs="Arial" w:eastAsia="Arial" w:hAnsi="Arial"/>
          <w:sz w:val="21"/>
          <w:szCs w:val="21"/>
          <w:color w:val="auto"/>
        </w:rPr>
        <w:t xml:space="preserve">14.13 Nothing relating to the grant of a license, nor the grant itself, shall be construed to confer upon any person any immunity from or defenses under the antitrust laws or from a charge of patent misuse, and the acquisition and use of rights pursuant to </w:t>
      </w:r>
      <w:r>
        <w:rPr>
          <w:rFonts w:ascii="Arial" w:cs="Arial" w:eastAsia="Arial" w:hAnsi="Arial"/>
          <w:sz w:val="21"/>
          <w:szCs w:val="21"/>
          <w:u w:val="single" w:color="auto"/>
          <w:color w:val="auto"/>
        </w:rPr>
        <w:t>37</w:t>
      </w:r>
      <w:r>
        <w:rPr>
          <w:rFonts w:ascii="Arial" w:cs="Arial" w:eastAsia="Arial" w:hAnsi="Arial"/>
          <w:sz w:val="21"/>
          <w:szCs w:val="21"/>
          <w:color w:val="auto"/>
        </w:rPr>
        <w:t xml:space="preserve"> </w:t>
      </w:r>
      <w:r>
        <w:rPr>
          <w:rFonts w:ascii="Arial" w:cs="Arial" w:eastAsia="Arial" w:hAnsi="Arial"/>
          <w:sz w:val="21"/>
          <w:szCs w:val="21"/>
          <w:u w:val="single" w:color="auto"/>
          <w:color w:val="auto"/>
        </w:rPr>
        <w:t>C.F.R. Part 404</w:t>
      </w:r>
      <w:r>
        <w:rPr>
          <w:rFonts w:ascii="Arial" w:cs="Arial" w:eastAsia="Arial" w:hAnsi="Arial"/>
          <w:sz w:val="21"/>
          <w:szCs w:val="21"/>
          <w:color w:val="auto"/>
        </w:rPr>
        <w:t xml:space="preserve"> shall not be immunized from the operation of state or Federal law by reason of the source of the grant.</w:t>
      </w:r>
    </w:p>
    <w:p>
      <w:pPr>
        <w:spacing w:after="0" w:line="172" w:lineRule="exact"/>
        <w:rPr>
          <w:sz w:val="20"/>
          <w:szCs w:val="20"/>
          <w:color w:val="auto"/>
        </w:rPr>
      </w:pPr>
    </w:p>
    <w:p>
      <w:pPr>
        <w:ind w:left="1500" w:right="239" w:hanging="647"/>
        <w:spacing w:after="0" w:line="237" w:lineRule="auto"/>
        <w:rPr>
          <w:sz w:val="20"/>
          <w:szCs w:val="20"/>
          <w:color w:val="auto"/>
        </w:rPr>
      </w:pPr>
      <w:r>
        <w:rPr>
          <w:rFonts w:ascii="Arial" w:cs="Arial" w:eastAsia="Arial" w:hAnsi="Arial"/>
          <w:sz w:val="22"/>
          <w:szCs w:val="22"/>
          <w:color w:val="auto"/>
        </w:rPr>
        <w:t xml:space="preserve">14.14 Any formal recordation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required by the laws of any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Territory </w:t>
      </w:r>
      <w:r>
        <w:rPr>
          <w:rFonts w:ascii="Arial" w:cs="Arial" w:eastAsia="Arial" w:hAnsi="Arial"/>
          <w:sz w:val="22"/>
          <w:szCs w:val="22"/>
          <w:color w:val="auto"/>
        </w:rPr>
        <w:t>as a prerequisite to enforceability of the</w:t>
      </w:r>
      <w:r>
        <w:rPr>
          <w:rFonts w:ascii="Arial" w:cs="Arial" w:eastAsia="Arial" w:hAnsi="Arial"/>
          <w:sz w:val="22"/>
          <w:szCs w:val="22"/>
          <w:b w:val="1"/>
          <w:bCs w:val="1"/>
          <w:color w:val="auto"/>
        </w:rPr>
        <w:t xml:space="preserve"> Agreement </w:t>
      </w:r>
      <w:r>
        <w:rPr>
          <w:rFonts w:ascii="Arial" w:cs="Arial" w:eastAsia="Arial" w:hAnsi="Arial"/>
          <w:sz w:val="22"/>
          <w:szCs w:val="22"/>
          <w:color w:val="auto"/>
        </w:rPr>
        <w:t>in the courts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foreign jurisdiction or for other reasons shall be carried out by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at its expense, and appropriately verified proof of recordation shall be promptly furnished to the </w:t>
      </w:r>
      <w:r>
        <w:rPr>
          <w:rFonts w:ascii="Arial" w:cs="Arial" w:eastAsia="Arial" w:hAnsi="Arial"/>
          <w:sz w:val="22"/>
          <w:szCs w:val="22"/>
          <w:b w:val="1"/>
          <w:bCs w:val="1"/>
          <w:color w:val="auto"/>
        </w:rPr>
        <w:t>IC</w:t>
      </w:r>
      <w:r>
        <w:rPr>
          <w:rFonts w:ascii="Arial" w:cs="Arial" w:eastAsia="Arial" w:hAnsi="Arial"/>
          <w:sz w:val="22"/>
          <w:szCs w:val="22"/>
          <w:color w:val="auto"/>
        </w:rPr>
        <w:t>.</w:t>
      </w:r>
    </w:p>
    <w:p>
      <w:pPr>
        <w:spacing w:after="0" w:line="188" w:lineRule="exact"/>
        <w:rPr>
          <w:sz w:val="20"/>
          <w:szCs w:val="20"/>
          <w:color w:val="auto"/>
        </w:rPr>
      </w:pPr>
    </w:p>
    <w:p>
      <w:pPr>
        <w:ind w:left="1500" w:right="639" w:hanging="647"/>
        <w:spacing w:after="0" w:line="250" w:lineRule="auto"/>
        <w:rPr>
          <w:sz w:val="20"/>
          <w:szCs w:val="20"/>
          <w:color w:val="auto"/>
        </w:rPr>
      </w:pPr>
      <w:r>
        <w:rPr>
          <w:rFonts w:ascii="Arial" w:cs="Arial" w:eastAsia="Arial" w:hAnsi="Arial"/>
          <w:sz w:val="22"/>
          <w:szCs w:val="22"/>
          <w:color w:val="auto"/>
        </w:rPr>
        <w:t xml:space="preserve">14.15 Paragraphs 4.3, 8.1, 9.5-9.8, 9.9, 12.1-12.5, 13.9, 13.10, 14.12 and 14.15 of this </w:t>
      </w:r>
      <w:r>
        <w:rPr>
          <w:rFonts w:ascii="Arial" w:cs="Arial" w:eastAsia="Arial" w:hAnsi="Arial"/>
          <w:sz w:val="22"/>
          <w:szCs w:val="22"/>
          <w:b w:val="1"/>
          <w:bCs w:val="1"/>
          <w:color w:val="auto"/>
        </w:rPr>
        <w:t xml:space="preserve">Agreement </w:t>
      </w:r>
      <w:r>
        <w:rPr>
          <w:rFonts w:ascii="Arial" w:cs="Arial" w:eastAsia="Arial" w:hAnsi="Arial"/>
          <w:sz w:val="22"/>
          <w:szCs w:val="22"/>
          <w:color w:val="auto"/>
        </w:rPr>
        <w:t>shall survive termination of this</w:t>
      </w:r>
      <w:r>
        <w:rPr>
          <w:rFonts w:ascii="Arial" w:cs="Arial" w:eastAsia="Arial" w:hAnsi="Arial"/>
          <w:sz w:val="22"/>
          <w:szCs w:val="22"/>
          <w:b w:val="1"/>
          <w:bCs w:val="1"/>
          <w:color w:val="auto"/>
        </w:rPr>
        <w:t xml:space="preserve"> Agreement</w:t>
      </w:r>
      <w:r>
        <w:rPr>
          <w:rFonts w:ascii="Arial" w:cs="Arial" w:eastAsia="Arial" w:hAnsi="Arial"/>
          <w:sz w:val="22"/>
          <w:szCs w:val="22"/>
          <w:color w:val="auto"/>
        </w:rPr>
        <w:t>.</w:t>
      </w:r>
    </w:p>
    <w:p>
      <w:pPr>
        <w:spacing w:after="0" w:line="169" w:lineRule="exact"/>
        <w:rPr>
          <w:sz w:val="20"/>
          <w:szCs w:val="20"/>
          <w:color w:val="auto"/>
        </w:rPr>
      </w:pPr>
    </w:p>
    <w:p>
      <w:pPr>
        <w:ind w:left="1500" w:right="519" w:hanging="647"/>
        <w:spacing w:after="0" w:line="280" w:lineRule="auto"/>
        <w:rPr>
          <w:sz w:val="20"/>
          <w:szCs w:val="20"/>
          <w:color w:val="auto"/>
        </w:rPr>
      </w:pPr>
      <w:r>
        <w:rPr>
          <w:rFonts w:ascii="Arial" w:cs="Arial" w:eastAsia="Arial" w:hAnsi="Arial"/>
          <w:sz w:val="19"/>
          <w:szCs w:val="19"/>
          <w:color w:val="auto"/>
        </w:rPr>
        <w:t xml:space="preserve">14.16 The terms and conditions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at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sole option, be considered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to be withdrawn from the </w:t>
      </w:r>
      <w:r>
        <w:rPr>
          <w:rFonts w:ascii="Arial" w:cs="Arial" w:eastAsia="Arial" w:hAnsi="Arial"/>
          <w:sz w:val="19"/>
          <w:szCs w:val="19"/>
          <w:b w:val="1"/>
          <w:bCs w:val="1"/>
          <w:color w:val="auto"/>
        </w:rPr>
        <w:t>Licensee’s</w:t>
      </w:r>
      <w:r>
        <w:rPr>
          <w:rFonts w:ascii="Arial" w:cs="Arial" w:eastAsia="Arial" w:hAnsi="Arial"/>
          <w:sz w:val="19"/>
          <w:szCs w:val="19"/>
          <w:color w:val="auto"/>
        </w:rPr>
        <w:t xml:space="preserve"> consideration and the terms and conditions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itself to be null and void, unless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executed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a fully executed original is received by the </w:t>
      </w:r>
      <w:r>
        <w:rPr>
          <w:rFonts w:ascii="Arial" w:cs="Arial" w:eastAsia="Arial" w:hAnsi="Arial"/>
          <w:sz w:val="19"/>
          <w:szCs w:val="19"/>
          <w:b w:val="1"/>
          <w:bCs w:val="1"/>
          <w:color w:val="auto"/>
        </w:rPr>
        <w:t>IC</w:t>
      </w:r>
      <w:r>
        <w:rPr>
          <w:rFonts w:ascii="Arial" w:cs="Arial" w:eastAsia="Arial" w:hAnsi="Arial"/>
          <w:sz w:val="19"/>
          <w:szCs w:val="19"/>
          <w:color w:val="auto"/>
        </w:rPr>
        <w:t xml:space="preserve"> within sixty (60) days from the date of the </w:t>
      </w:r>
      <w:r>
        <w:rPr>
          <w:rFonts w:ascii="Arial" w:cs="Arial" w:eastAsia="Arial" w:hAnsi="Arial"/>
          <w:sz w:val="19"/>
          <w:szCs w:val="19"/>
          <w:b w:val="1"/>
          <w:bCs w:val="1"/>
          <w:color w:val="auto"/>
        </w:rPr>
        <w:t>IC’s</w:t>
      </w:r>
      <w:r>
        <w:rPr>
          <w:rFonts w:ascii="Arial" w:cs="Arial" w:eastAsia="Arial" w:hAnsi="Arial"/>
          <w:sz w:val="19"/>
          <w:szCs w:val="19"/>
          <w:color w:val="auto"/>
        </w:rPr>
        <w:t xml:space="preserve"> signature found at the Signature Page.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 BEGIN ON NEXT PAGE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NIH PATENT LICENSE AGREEMENT – </w:t>
      </w:r>
      <w:r>
        <w:rPr>
          <w:rFonts w:ascii="Arial" w:cs="Arial" w:eastAsia="Arial" w:hAnsi="Arial"/>
          <w:sz w:val="22"/>
          <w:szCs w:val="22"/>
          <w:b w:val="1"/>
          <w:bCs w:val="1"/>
          <w:i w:val="1"/>
          <w:iCs w:val="1"/>
          <w:color w:val="auto"/>
        </w:rPr>
        <w:t>EXCLUSIVE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80"/>
        </w:trPr>
        <w:tc>
          <w:tcPr>
            <w:tcW w:w="5540" w:type="dxa"/>
            <w:vAlign w:val="bottom"/>
            <w:gridSpan w:val="2"/>
          </w:tcPr>
          <w:p>
            <w:pPr>
              <w:ind w:left="3360"/>
              <w:spacing w:after="0"/>
              <w:rPr>
                <w:sz w:val="20"/>
                <w:szCs w:val="20"/>
                <w:color w:val="auto"/>
              </w:rPr>
            </w:pPr>
            <w:r>
              <w:rPr>
                <w:rFonts w:ascii="Arial" w:cs="Arial" w:eastAsia="Arial" w:hAnsi="Arial"/>
                <w:sz w:val="22"/>
                <w:szCs w:val="22"/>
                <w:b w:val="1"/>
                <w:bCs w:val="1"/>
                <w:color w:val="auto"/>
              </w:rPr>
              <w:t>SIGNATURE PAGE</w:t>
            </w: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59"/>
        </w:trPr>
        <w:tc>
          <w:tcPr>
            <w:tcW w:w="5540" w:type="dxa"/>
            <w:vAlign w:val="bottom"/>
            <w:gridSpan w:val="2"/>
          </w:tcPr>
          <w:p>
            <w:pPr>
              <w:spacing w:after="0"/>
              <w:rPr>
                <w:sz w:val="20"/>
                <w:szCs w:val="20"/>
                <w:color w:val="auto"/>
              </w:rPr>
            </w:pPr>
            <w:r>
              <w:rPr>
                <w:rFonts w:ascii="Arial" w:cs="Arial" w:eastAsia="Arial" w:hAnsi="Arial"/>
                <w:sz w:val="22"/>
                <w:szCs w:val="22"/>
                <w:color w:val="auto"/>
              </w:rPr>
              <w:t xml:space="preserve">For the </w:t>
            </w:r>
            <w:r>
              <w:rPr>
                <w:rFonts w:ascii="Arial" w:cs="Arial" w:eastAsia="Arial" w:hAnsi="Arial"/>
                <w:sz w:val="22"/>
                <w:szCs w:val="22"/>
                <w:b w:val="1"/>
                <w:bCs w:val="1"/>
                <w:color w:val="auto"/>
              </w:rPr>
              <w:t>IC</w:t>
            </w: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5"/>
        </w:trPr>
        <w:tc>
          <w:tcPr>
            <w:tcW w:w="5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242"/>
        </w:trPr>
        <w:tc>
          <w:tcPr>
            <w:tcW w:w="5540" w:type="dxa"/>
            <w:vAlign w:val="bottom"/>
            <w:gridSpan w:val="2"/>
          </w:tcPr>
          <w:p>
            <w:pPr>
              <w:spacing w:after="0" w:line="242" w:lineRule="exact"/>
              <w:rPr>
                <w:sz w:val="20"/>
                <w:szCs w:val="20"/>
                <w:color w:val="auto"/>
              </w:rPr>
            </w:pPr>
            <w:r>
              <w:rPr>
                <w:rFonts w:ascii="Arial" w:cs="Arial" w:eastAsia="Arial" w:hAnsi="Arial"/>
                <w:sz w:val="22"/>
                <w:szCs w:val="22"/>
                <w:color w:val="auto"/>
              </w:rPr>
              <w:t>Richard U. Rodriguez</w:t>
            </w:r>
          </w:p>
        </w:tc>
        <w:tc>
          <w:tcPr>
            <w:tcW w:w="290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Date</w:t>
            </w:r>
          </w:p>
        </w:tc>
      </w:tr>
      <w:tr>
        <w:trPr>
          <w:trHeight w:val="243"/>
        </w:trPr>
        <w:tc>
          <w:tcPr>
            <w:tcW w:w="5540" w:type="dxa"/>
            <w:vAlign w:val="bottom"/>
            <w:gridSpan w:val="2"/>
          </w:tcPr>
          <w:p>
            <w:pPr>
              <w:spacing w:after="0" w:line="243" w:lineRule="exact"/>
              <w:rPr>
                <w:sz w:val="20"/>
                <w:szCs w:val="20"/>
                <w:color w:val="auto"/>
              </w:rPr>
            </w:pPr>
            <w:r>
              <w:rPr>
                <w:rFonts w:ascii="Arial" w:cs="Arial" w:eastAsia="Arial" w:hAnsi="Arial"/>
                <w:sz w:val="22"/>
                <w:szCs w:val="22"/>
                <w:color w:val="auto"/>
              </w:rPr>
              <w:t>Associate Director, Technology Transfer Center</w:t>
            </w:r>
          </w:p>
        </w:tc>
        <w:tc>
          <w:tcPr>
            <w:tcW w:w="30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43"/>
        </w:trPr>
        <w:tc>
          <w:tcPr>
            <w:tcW w:w="5540" w:type="dxa"/>
            <w:vAlign w:val="bottom"/>
            <w:gridSpan w:val="2"/>
          </w:tcPr>
          <w:p>
            <w:pPr>
              <w:spacing w:after="0" w:line="243" w:lineRule="exact"/>
              <w:rPr>
                <w:sz w:val="20"/>
                <w:szCs w:val="20"/>
                <w:color w:val="auto"/>
              </w:rPr>
            </w:pPr>
            <w:r>
              <w:rPr>
                <w:rFonts w:ascii="Arial" w:cs="Arial" w:eastAsia="Arial" w:hAnsi="Arial"/>
                <w:sz w:val="22"/>
                <w:szCs w:val="22"/>
                <w:color w:val="auto"/>
              </w:rPr>
              <w:t>National Cancer Institute</w:t>
            </w:r>
          </w:p>
        </w:tc>
        <w:tc>
          <w:tcPr>
            <w:tcW w:w="30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4"/>
        </w:trPr>
        <w:tc>
          <w:tcPr>
            <w:tcW w:w="5540" w:type="dxa"/>
            <w:vAlign w:val="bottom"/>
            <w:gridSpan w:val="2"/>
          </w:tcPr>
          <w:p>
            <w:pPr>
              <w:spacing w:after="0"/>
              <w:rPr>
                <w:sz w:val="20"/>
                <w:szCs w:val="20"/>
                <w:color w:val="auto"/>
              </w:rPr>
            </w:pPr>
            <w:r>
              <w:rPr>
                <w:rFonts w:ascii="Arial" w:cs="Arial" w:eastAsia="Arial" w:hAnsi="Arial"/>
                <w:sz w:val="22"/>
                <w:szCs w:val="22"/>
                <w:color w:val="auto"/>
              </w:rPr>
              <w:t>National Institutes of Health</w:t>
            </w:r>
          </w:p>
        </w:tc>
        <w:tc>
          <w:tcPr>
            <w:tcW w:w="300" w:type="dxa"/>
            <w:vAlign w:val="bottom"/>
          </w:tcPr>
          <w:p>
            <w:pPr>
              <w:spacing w:after="0"/>
              <w:rPr>
                <w:sz w:val="23"/>
                <w:szCs w:val="23"/>
                <w:color w:val="auto"/>
              </w:rPr>
            </w:pPr>
          </w:p>
        </w:tc>
        <w:tc>
          <w:tcPr>
            <w:tcW w:w="2600" w:type="dxa"/>
            <w:vAlign w:val="bottom"/>
          </w:tcPr>
          <w:p>
            <w:pPr>
              <w:spacing w:after="0"/>
              <w:rPr>
                <w:sz w:val="23"/>
                <w:szCs w:val="23"/>
                <w:color w:val="auto"/>
              </w:rPr>
            </w:pPr>
          </w:p>
        </w:tc>
      </w:tr>
    </w:tbl>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Mailing Address or E-mail Address for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notices and reports: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License Compliance and Administration</w:t>
      </w:r>
    </w:p>
    <w:p>
      <w:pPr>
        <w:ind w:left="200"/>
        <w:spacing w:after="0" w:line="238" w:lineRule="auto"/>
        <w:rPr>
          <w:sz w:val="20"/>
          <w:szCs w:val="20"/>
          <w:color w:val="auto"/>
        </w:rPr>
      </w:pPr>
      <w:r>
        <w:rPr>
          <w:rFonts w:ascii="Arial" w:cs="Arial" w:eastAsia="Arial" w:hAnsi="Arial"/>
          <w:sz w:val="22"/>
          <w:szCs w:val="22"/>
          <w:color w:val="auto"/>
        </w:rPr>
        <w:t>Monitoring &amp; Enforcement</w:t>
      </w:r>
    </w:p>
    <w:p>
      <w:pPr>
        <w:ind w:left="200"/>
        <w:spacing w:after="0" w:line="230" w:lineRule="auto"/>
        <w:rPr>
          <w:sz w:val="20"/>
          <w:szCs w:val="20"/>
          <w:color w:val="auto"/>
        </w:rPr>
      </w:pPr>
      <w:r>
        <w:rPr>
          <w:rFonts w:ascii="Arial" w:cs="Arial" w:eastAsia="Arial" w:hAnsi="Arial"/>
          <w:sz w:val="22"/>
          <w:szCs w:val="22"/>
          <w:color w:val="auto"/>
        </w:rPr>
        <w:t>Office of Technology Transfer</w:t>
      </w:r>
    </w:p>
    <w:p>
      <w:pPr>
        <w:ind w:left="200"/>
        <w:spacing w:after="0" w:line="231" w:lineRule="auto"/>
        <w:rPr>
          <w:sz w:val="20"/>
          <w:szCs w:val="20"/>
          <w:color w:val="auto"/>
        </w:rPr>
      </w:pPr>
      <w:r>
        <w:rPr>
          <w:rFonts w:ascii="Arial" w:cs="Arial" w:eastAsia="Arial" w:hAnsi="Arial"/>
          <w:sz w:val="22"/>
          <w:szCs w:val="22"/>
          <w:color w:val="auto"/>
        </w:rPr>
        <w:t>National Institutes of Health</w:t>
      </w:r>
    </w:p>
    <w:p>
      <w:pPr>
        <w:ind w:left="200"/>
        <w:spacing w:after="0"/>
        <w:rPr>
          <w:sz w:val="20"/>
          <w:szCs w:val="20"/>
          <w:color w:val="auto"/>
        </w:rPr>
      </w:pPr>
      <w:r>
        <w:rPr>
          <w:rFonts w:ascii="Arial" w:cs="Arial" w:eastAsia="Arial" w:hAnsi="Arial"/>
          <w:sz w:val="22"/>
          <w:szCs w:val="22"/>
          <w:color w:val="auto"/>
        </w:rPr>
        <w:t>6011 Executive Boulevard, Suite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0" w:name="page111"/>
    <w:bookmarkEnd w:id="110"/>
    <w:p>
      <w:pPr>
        <w:ind w:left="200"/>
        <w:spacing w:after="0"/>
        <w:rPr>
          <w:sz w:val="20"/>
          <w:szCs w:val="20"/>
          <w:color w:val="auto"/>
        </w:rPr>
      </w:pPr>
      <w:r>
        <w:rPr>
          <w:rFonts w:ascii="Arial" w:cs="Arial" w:eastAsia="Arial" w:hAnsi="Arial"/>
          <w:sz w:val="22"/>
          <w:szCs w:val="22"/>
          <w:color w:val="auto"/>
        </w:rPr>
        <w:t>Rockville, Maryland 20852-3804 U.S.A.</w:t>
      </w: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E-mail: LicenseNotices_Reports@mail.nih.gov</w:t>
      </w:r>
    </w:p>
    <w:p>
      <w:pPr>
        <w:spacing w:after="0" w:line="200" w:lineRule="exact"/>
        <w:rPr>
          <w:sz w:val="20"/>
          <w:szCs w:val="20"/>
          <w:color w:val="auto"/>
        </w:rPr>
      </w:pPr>
    </w:p>
    <w:p>
      <w:pPr>
        <w:spacing w:after="0" w:line="270" w:lineRule="exact"/>
        <w:rPr>
          <w:sz w:val="20"/>
          <w:szCs w:val="20"/>
          <w:color w:val="auto"/>
        </w:rPr>
      </w:pPr>
    </w:p>
    <w:p>
      <w:pPr>
        <w:ind w:left="200" w:right="319"/>
        <w:spacing w:after="0" w:line="243" w:lineRule="auto"/>
        <w:rPr>
          <w:sz w:val="20"/>
          <w:szCs w:val="20"/>
          <w:color w:val="auto"/>
        </w:rPr>
      </w:pPr>
      <w:r>
        <w:rPr>
          <w:rFonts w:ascii="Arial" w:cs="Arial" w:eastAsia="Arial" w:hAnsi="Arial"/>
          <w:sz w:val="22"/>
          <w:szCs w:val="22"/>
          <w:color w:val="auto"/>
        </w:rPr>
        <w:t xml:space="preserve">For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(Upon, information and belief, the undersigned expressly certifies or affirms that the contents of any statements of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made or referred to in this document are truthful and accurate.):</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290195</wp:posOffset>
            </wp:positionV>
            <wp:extent cx="53492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tabs>
          <w:tab w:leader="none" w:pos="6020" w:val="left"/>
        </w:tabs>
        <w:rPr>
          <w:sz w:val="20"/>
          <w:szCs w:val="20"/>
          <w:color w:val="auto"/>
        </w:rPr>
      </w:pPr>
      <w:r>
        <w:rPr>
          <w:rFonts w:ascii="Arial" w:cs="Arial" w:eastAsia="Arial" w:hAnsi="Arial"/>
          <w:sz w:val="22"/>
          <w:szCs w:val="22"/>
          <w:color w:val="auto"/>
        </w:rPr>
        <w:t>Signature of Authorized Official</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290195</wp:posOffset>
            </wp:positionV>
            <wp:extent cx="24688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290195</wp:posOffset>
            </wp:positionV>
            <wp:extent cx="24688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hanging="651"/>
        <w:spacing w:after="0"/>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Official and Mailing Address for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notices:</w:t>
      </w:r>
    </w:p>
    <w:p>
      <w:pPr>
        <w:spacing w:after="0" w:line="239" w:lineRule="exact"/>
        <w:rPr>
          <w:rFonts w:ascii="Arial" w:cs="Arial" w:eastAsia="Arial" w:hAnsi="Arial"/>
          <w:sz w:val="22"/>
          <w:szCs w:val="22"/>
          <w:color w:val="auto"/>
        </w:rPr>
      </w:pPr>
    </w:p>
    <w:p>
      <w:pPr>
        <w:ind w:left="860" w:right="5519"/>
        <w:spacing w:after="0" w:line="239" w:lineRule="auto"/>
        <w:rPr>
          <w:rFonts w:ascii="Arial" w:cs="Arial" w:eastAsia="Arial" w:hAnsi="Arial"/>
          <w:sz w:val="22"/>
          <w:szCs w:val="22"/>
          <w:color w:val="auto"/>
        </w:rPr>
      </w:pPr>
      <w:r>
        <w:rPr>
          <w:rFonts w:ascii="Arial" w:cs="Arial" w:eastAsia="Arial" w:hAnsi="Arial"/>
          <w:sz w:val="22"/>
          <w:szCs w:val="22"/>
          <w:color w:val="auto"/>
        </w:rPr>
        <w:t>Frederick G. Vogt, Ph.D., Esq. General Counsel</w:t>
      </w:r>
    </w:p>
    <w:p>
      <w:pPr>
        <w:ind w:left="860" w:right="5459"/>
        <w:spacing w:after="0" w:line="287" w:lineRule="auto"/>
        <w:rPr>
          <w:rFonts w:ascii="Arial" w:cs="Arial" w:eastAsia="Arial" w:hAnsi="Arial"/>
          <w:sz w:val="22"/>
          <w:szCs w:val="22"/>
          <w:color w:val="auto"/>
        </w:rPr>
      </w:pPr>
      <w:r>
        <w:rPr>
          <w:rFonts w:ascii="Arial" w:cs="Arial" w:eastAsia="Arial" w:hAnsi="Arial"/>
          <w:sz w:val="19"/>
          <w:szCs w:val="19"/>
          <w:color w:val="auto"/>
        </w:rPr>
        <w:t>999 Skyway Road, Suite 150 San Carlos, CA 94070 Email: fred.vogt@iovance.com</w:t>
      </w:r>
    </w:p>
    <w:p>
      <w:pPr>
        <w:spacing w:after="0" w:line="170"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With an electronic copy to: legal@iovance.com</w:t>
      </w:r>
    </w:p>
    <w:p>
      <w:pPr>
        <w:spacing w:after="0" w:line="227" w:lineRule="exact"/>
        <w:rPr>
          <w:sz w:val="20"/>
          <w:szCs w:val="20"/>
          <w:color w:val="auto"/>
        </w:rPr>
      </w:pPr>
    </w:p>
    <w:p>
      <w:pPr>
        <w:ind w:left="860" w:right="799" w:hanging="651"/>
        <w:spacing w:after="0" w:line="256" w:lineRule="auto"/>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Official and Mailing Address for Financial notices (the </w:t>
      </w:r>
      <w:r>
        <w:rPr>
          <w:rFonts w:ascii="Arial" w:cs="Arial" w:eastAsia="Arial" w:hAnsi="Arial"/>
          <w:sz w:val="22"/>
          <w:szCs w:val="22"/>
          <w:b w:val="1"/>
          <w:bCs w:val="1"/>
          <w:color w:val="auto"/>
        </w:rPr>
        <w:t>Licensee’s</w:t>
      </w:r>
      <w:r>
        <w:rPr>
          <w:rFonts w:ascii="Arial" w:cs="Arial" w:eastAsia="Arial" w:hAnsi="Arial"/>
          <w:sz w:val="22"/>
          <w:szCs w:val="22"/>
          <w:color w:val="auto"/>
        </w:rPr>
        <w:t xml:space="preserve"> contact person for royalty payments):</w:t>
      </w:r>
    </w:p>
    <w:p>
      <w:pPr>
        <w:spacing w:after="0" w:line="195" w:lineRule="exact"/>
        <w:rPr>
          <w:rFonts w:ascii="Arial" w:cs="Arial" w:eastAsia="Arial" w:hAnsi="Arial"/>
          <w:sz w:val="22"/>
          <w:szCs w:val="22"/>
          <w:color w:val="auto"/>
        </w:rPr>
      </w:pPr>
    </w:p>
    <w:p>
      <w:pPr>
        <w:ind w:left="860" w:right="5519"/>
        <w:spacing w:after="0" w:line="239" w:lineRule="auto"/>
        <w:rPr>
          <w:rFonts w:ascii="Arial" w:cs="Arial" w:eastAsia="Arial" w:hAnsi="Arial"/>
          <w:sz w:val="22"/>
          <w:szCs w:val="22"/>
          <w:color w:val="auto"/>
        </w:rPr>
      </w:pPr>
      <w:r>
        <w:rPr>
          <w:rFonts w:ascii="Arial" w:cs="Arial" w:eastAsia="Arial" w:hAnsi="Arial"/>
          <w:sz w:val="22"/>
          <w:szCs w:val="22"/>
          <w:color w:val="auto"/>
        </w:rPr>
        <w:t>Frederick G. Vogt, Ph.D., Esq. General Counsel</w:t>
      </w:r>
    </w:p>
    <w:p>
      <w:pPr>
        <w:ind w:left="860" w:right="5459"/>
        <w:spacing w:after="0" w:line="287" w:lineRule="auto"/>
        <w:rPr>
          <w:rFonts w:ascii="Arial" w:cs="Arial" w:eastAsia="Arial" w:hAnsi="Arial"/>
          <w:sz w:val="22"/>
          <w:szCs w:val="22"/>
          <w:color w:val="auto"/>
        </w:rPr>
      </w:pPr>
      <w:r>
        <w:rPr>
          <w:rFonts w:ascii="Arial" w:cs="Arial" w:eastAsia="Arial" w:hAnsi="Arial"/>
          <w:sz w:val="19"/>
          <w:szCs w:val="19"/>
          <w:color w:val="auto"/>
        </w:rPr>
        <w:t>999 Skyway Road, Suite 150 San Carlos, CA 94070 Email: fred.vogt@iovance.com</w:t>
      </w:r>
    </w:p>
    <w:p>
      <w:pPr>
        <w:spacing w:after="0" w:line="170"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With an electronic copy to: legal@iovance.com</w:t>
      </w:r>
    </w:p>
    <w:p>
      <w:pPr>
        <w:spacing w:after="0" w:line="227" w:lineRule="exact"/>
        <w:rPr>
          <w:sz w:val="20"/>
          <w:szCs w:val="20"/>
          <w:color w:val="auto"/>
        </w:rPr>
      </w:pPr>
    </w:p>
    <w:p>
      <w:pPr>
        <w:ind w:left="200" w:right="439"/>
        <w:spacing w:after="0" w:line="334" w:lineRule="auto"/>
        <w:rPr>
          <w:sz w:val="20"/>
          <w:szCs w:val="20"/>
          <w:color w:val="auto"/>
        </w:rPr>
      </w:pPr>
      <w:r>
        <w:rPr>
          <w:rFonts w:ascii="Arial" w:cs="Arial" w:eastAsia="Arial" w:hAnsi="Arial"/>
          <w:sz w:val="19"/>
          <w:szCs w:val="19"/>
          <w:color w:val="auto"/>
        </w:rPr>
        <w:t xml:space="preserve">Any false or misleading statements made, presented, or submitted to the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including any relevant omissions,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and during the course of negotiation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1" w:name="page112"/>
    <w:bookmarkEnd w:id="111"/>
    <w:p>
      <w:pPr>
        <w:jc w:val="both"/>
        <w:ind w:left="200" w:right="559"/>
        <w:spacing w:after="0" w:line="243"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are subject to all applicable civil and criminal statutes including Federal statutes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31</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U.S.C. §§3801-3812</w:t>
      </w:r>
      <w:r>
        <w:rPr>
          <w:rFonts w:ascii="Arial" w:cs="Arial" w:eastAsia="Arial" w:hAnsi="Arial"/>
          <w:sz w:val="22"/>
          <w:szCs w:val="22"/>
          <w:color w:val="auto"/>
        </w:rPr>
        <w:t xml:space="preserve"> (civil liability) and </w:t>
      </w:r>
      <w:r>
        <w:rPr>
          <w:rFonts w:ascii="Arial" w:cs="Arial" w:eastAsia="Arial" w:hAnsi="Arial"/>
          <w:sz w:val="22"/>
          <w:szCs w:val="22"/>
          <w:u w:val="single" w:color="auto"/>
          <w:color w:val="auto"/>
        </w:rPr>
        <w:t>18 U.S.C. §1001</w:t>
      </w:r>
      <w:r>
        <w:rPr>
          <w:rFonts w:ascii="Arial" w:cs="Arial" w:eastAsia="Arial" w:hAnsi="Arial"/>
          <w:sz w:val="22"/>
          <w:szCs w:val="22"/>
          <w:color w:val="auto"/>
        </w:rPr>
        <w:t xml:space="preserve"> (criminal liability including fine(s) or imprisonment).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953135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2" w:name="page113"/>
    <w:bookmarkEnd w:id="112"/>
    <w:p>
      <w:pPr>
        <w:ind w:left="1180"/>
        <w:spacing w:after="0"/>
        <w:rPr>
          <w:sz w:val="20"/>
          <w:szCs w:val="20"/>
          <w:color w:val="auto"/>
        </w:rPr>
      </w:pPr>
      <w:r>
        <w:rPr>
          <w:rFonts w:ascii="Arial" w:cs="Arial" w:eastAsia="Arial" w:hAnsi="Arial"/>
          <w:sz w:val="22"/>
          <w:szCs w:val="22"/>
          <w:b w:val="1"/>
          <w:bCs w:val="1"/>
          <w:u w:val="single" w:color="auto"/>
          <w:color w:val="auto"/>
        </w:rPr>
        <w:t xml:space="preserve">APPENDIX A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LIST OF PATENT(S) OR PATENT APPLICATION(S)</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Patent(s) or Patent Application(s)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Group A</w:t>
      </w:r>
    </w:p>
    <w:p>
      <w:pPr>
        <w:spacing w:after="0" w:line="226" w:lineRule="exact"/>
        <w:rPr>
          <w:sz w:val="20"/>
          <w:szCs w:val="20"/>
          <w:color w:val="auto"/>
        </w:rPr>
      </w:pPr>
    </w:p>
    <w:p>
      <w:pPr>
        <w:ind w:left="860" w:right="319" w:hanging="327"/>
        <w:spacing w:after="0" w:line="257"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United States Provisional Patent Application No. 61/846,161 filed July 15, 2013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E-494-2013-0-US-01];</w:t>
      </w:r>
    </w:p>
    <w:p>
      <w:pPr>
        <w:spacing w:after="0" w:line="1" w:lineRule="exact"/>
        <w:rPr>
          <w:rFonts w:ascii="Arial" w:cs="Arial" w:eastAsia="Arial" w:hAnsi="Arial"/>
          <w:sz w:val="22"/>
          <w:szCs w:val="22"/>
          <w:color w:val="auto"/>
        </w:rPr>
      </w:pPr>
    </w:p>
    <w:p>
      <w:pPr>
        <w:ind w:left="860" w:right="31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International Patent Application No. PCT/US2014/046478 filed July 14, 2014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E-494-2013-0-PCT-02];</w:t>
      </w:r>
    </w:p>
    <w:p>
      <w:pPr>
        <w:ind w:left="860" w:right="29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Australian Patent Application No. 2014290286 filed July 14, 2014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E-494-2013-0-AU-03];</w:t>
      </w:r>
    </w:p>
    <w:p>
      <w:pPr>
        <w:ind w:left="860" w:right="29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Canadian Patent Application No. 2918080 filed July 14, 2014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E-494-2013-0-CA-04];</w:t>
      </w:r>
    </w:p>
    <w:p>
      <w:pPr>
        <w:ind w:left="860" w:right="419" w:hanging="327"/>
        <w:spacing w:after="0" w:line="296"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Chinese Patent No. </w:t>
      </w:r>
      <w:r>
        <w:rPr>
          <w:rFonts w:ascii="Arial" w:cs="Arial" w:eastAsia="Arial" w:hAnsi="Arial"/>
          <w:sz w:val="19"/>
          <w:szCs w:val="19"/>
          <w:color w:val="0E2034"/>
        </w:rPr>
        <w:t>105452448</w:t>
      </w:r>
      <w:r>
        <w:rPr>
          <w:rFonts w:ascii="Arial" w:cs="Arial" w:eastAsia="Arial" w:hAnsi="Arial"/>
          <w:sz w:val="19"/>
          <w:szCs w:val="19"/>
          <w:color w:val="auto"/>
        </w:rPr>
        <w:t xml:space="preserve"> issued July 28, 2020 entitled “Methods of Preparing Anti-human Papillomavirus Antigen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E-494-2013-0-CN-05];</w:t>
      </w:r>
    </w:p>
    <w:p>
      <w:pPr>
        <w:spacing w:after="0" w:line="1" w:lineRule="exact"/>
        <w:rPr>
          <w:rFonts w:ascii="Arial" w:cs="Arial" w:eastAsia="Arial" w:hAnsi="Arial"/>
          <w:sz w:val="19"/>
          <w:szCs w:val="19"/>
          <w:color w:val="auto"/>
        </w:rPr>
      </w:pPr>
    </w:p>
    <w:p>
      <w:pPr>
        <w:ind w:left="860" w:right="339" w:hanging="327"/>
        <w:spacing w:after="0" w:line="296"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European Patent No. 3022294 issued November 20, 2019 entitled “Methods of Preparing Anti-human Papillomavirus Antigen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E-494-2013-0-EP-06];</w:t>
      </w:r>
    </w:p>
    <w:p>
      <w:pPr>
        <w:spacing w:after="0" w:line="1" w:lineRule="exact"/>
        <w:rPr>
          <w:rFonts w:ascii="Arial" w:cs="Arial" w:eastAsia="Arial" w:hAnsi="Arial"/>
          <w:sz w:val="19"/>
          <w:szCs w:val="19"/>
          <w:color w:val="auto"/>
        </w:rPr>
      </w:pPr>
    </w:p>
    <w:p>
      <w:pPr>
        <w:ind w:left="1180"/>
        <w:spacing w:after="0"/>
        <w:rPr>
          <w:rFonts w:ascii="Arial" w:cs="Arial" w:eastAsia="Arial" w:hAnsi="Arial"/>
          <w:sz w:val="19"/>
          <w:szCs w:val="19"/>
          <w:color w:val="auto"/>
        </w:rPr>
      </w:pPr>
      <w:r>
        <w:rPr>
          <w:rFonts w:ascii="Arial" w:cs="Arial" w:eastAsia="Arial" w:hAnsi="Arial"/>
          <w:sz w:val="22"/>
          <w:szCs w:val="22"/>
          <w:color w:val="auto"/>
        </w:rPr>
        <w:t>a.  Validated in DE, ES, FR, GB, IT and NL</w:t>
      </w:r>
    </w:p>
    <w:p>
      <w:pPr>
        <w:spacing w:after="0" w:line="17" w:lineRule="exact"/>
        <w:rPr>
          <w:rFonts w:ascii="Arial" w:cs="Arial" w:eastAsia="Arial" w:hAnsi="Arial"/>
          <w:sz w:val="19"/>
          <w:szCs w:val="19"/>
          <w:color w:val="auto"/>
        </w:rPr>
      </w:pPr>
    </w:p>
    <w:p>
      <w:pPr>
        <w:ind w:left="860" w:right="379" w:hanging="327"/>
        <w:spacing w:after="0" w:line="296"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Japanese Patent No. 6616295 issued December 4, 2019 entitled “Methods of Preparing Anti-human Papillomavirus Antigen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E-494-2013-0-JP-07];</w:t>
      </w:r>
    </w:p>
    <w:p>
      <w:pPr>
        <w:spacing w:after="0" w:line="1" w:lineRule="exact"/>
        <w:rPr>
          <w:rFonts w:ascii="Arial" w:cs="Arial" w:eastAsia="Arial" w:hAnsi="Arial"/>
          <w:sz w:val="19"/>
          <w:szCs w:val="19"/>
          <w:color w:val="auto"/>
        </w:rPr>
      </w:pPr>
    </w:p>
    <w:p>
      <w:pPr>
        <w:ind w:left="860" w:right="319" w:hanging="327"/>
        <w:spacing w:after="0" w:line="296"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Russian Patent No. 2713333 issued February 4, 2020 entitled “Methods of Preparing Anti-human Papillomavirus Antigen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E-494-2013-0-RU-08];</w:t>
      </w:r>
    </w:p>
    <w:p>
      <w:pPr>
        <w:spacing w:after="0" w:line="1" w:lineRule="exact"/>
        <w:rPr>
          <w:rFonts w:ascii="Arial" w:cs="Arial" w:eastAsia="Arial" w:hAnsi="Arial"/>
          <w:sz w:val="19"/>
          <w:szCs w:val="19"/>
          <w:color w:val="auto"/>
        </w:rPr>
      </w:pPr>
    </w:p>
    <w:p>
      <w:pPr>
        <w:ind w:left="860" w:right="33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United States Patent Application No. 14/905,138 filed January 14, 2016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E-494-2013-0-US-09];</w:t>
      </w:r>
    </w:p>
    <w:p>
      <w:pPr>
        <w:jc w:val="both"/>
        <w:ind w:left="860" w:right="29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European Patent Application No. 19209253 filed November 14, 2019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E-494-2013-0-EP-10];</w:t>
      </w:r>
    </w:p>
    <w:p>
      <w:pPr>
        <w:ind w:left="860" w:right="319" w:hanging="327"/>
        <w:spacing w:after="0" w:line="256"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United States Patent Application No. 16/218,658 filed December 13, 2018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E-494-2013-0-US-11];</w:t>
      </w:r>
    </w:p>
    <w:p>
      <w:pPr>
        <w:ind w:left="860" w:right="299" w:hanging="327"/>
        <w:spacing w:after="0" w:line="264" w:lineRule="auto"/>
        <w:tabs>
          <w:tab w:leader="none" w:pos="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Russian Patent Application No. 2019105050 filed February 22, 2019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E-494-2013-0-RU-12];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638175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113" w:name="page114"/>
    <w:bookmarkEnd w:id="113"/>
    <w:p>
      <w:pPr>
        <w:ind w:left="860" w:right="419" w:hanging="327"/>
        <w:spacing w:after="0" w:line="257"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Japanese Patent Application No. 2019-202239 filed November 7, 2019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E-494-2013-0-JP-13];</w:t>
      </w:r>
    </w:p>
    <w:p>
      <w:pPr>
        <w:spacing w:after="0" w:line="1" w:lineRule="exact"/>
        <w:rPr>
          <w:rFonts w:ascii="Arial" w:cs="Arial" w:eastAsia="Arial" w:hAnsi="Arial"/>
          <w:sz w:val="22"/>
          <w:szCs w:val="22"/>
          <w:color w:val="auto"/>
        </w:rPr>
      </w:pPr>
    </w:p>
    <w:p>
      <w:pPr>
        <w:jc w:val="both"/>
        <w:ind w:left="860" w:right="29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Chinese Patent Application No. 202010606868.1 filed June 29, 2020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E-494-2013-0-CN-20];</w:t>
      </w:r>
    </w:p>
    <w:p>
      <w:pPr>
        <w:ind w:left="860" w:right="31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Hong Kong Patent Application No. 42020015851.7 filed September 10, 2020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E-494-2013-0-HK-21];</w:t>
      </w:r>
    </w:p>
    <w:p>
      <w:pPr>
        <w:ind w:left="860" w:right="23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Australian Patent Application No. 2020233702 filed September 16, 2020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E-494-2013-0-AU-22];</w:t>
      </w:r>
    </w:p>
    <w:p>
      <w:pPr>
        <w:ind w:left="860" w:right="29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Macau Patent Application No. J/004455(388) filed October 27, 2020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E-494-2013-0-MO-23];</w:t>
      </w:r>
    </w:p>
    <w:p>
      <w:pPr>
        <w:ind w:left="860" w:right="23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United States Patent Application No. 17/113,570 filed December 7, 2020 entitled “Methods of Preparing Anti-human Papillomavirus Antigen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E-494-2013-0-US-24];</w:t>
      </w:r>
    </w:p>
    <w:p>
      <w:pPr>
        <w:ind w:left="860" w:right="359" w:hanging="327"/>
        <w:spacing w:after="0" w:line="256"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United States Provisional Patent Application No. 62/628,454 filed February 9, 2018 entitled “Tethered Interleukin-15 and Interleukin-21”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E-068-2018-0-US-01];</w:t>
      </w:r>
    </w:p>
    <w:p>
      <w:pPr>
        <w:ind w:left="860" w:right="259" w:hanging="327"/>
        <w:spacing w:after="0" w:line="296"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International Patent Application No. PCT/US2019/016975 filed February 7, 2019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E-068-2018-0-PCT-02];</w:t>
      </w:r>
    </w:p>
    <w:p>
      <w:pPr>
        <w:spacing w:after="0" w:line="1" w:lineRule="exact"/>
        <w:rPr>
          <w:rFonts w:ascii="Arial" w:cs="Arial" w:eastAsia="Arial" w:hAnsi="Arial"/>
          <w:sz w:val="19"/>
          <w:szCs w:val="19"/>
          <w:color w:val="auto"/>
        </w:rPr>
      </w:pPr>
    </w:p>
    <w:p>
      <w:pPr>
        <w:ind w:left="860" w:right="659" w:hanging="327"/>
        <w:spacing w:after="0" w:line="296"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Australian Patent Application No. 2019218785 filed August 7, 2020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E-068-2018-0-AU-03];</w:t>
      </w:r>
    </w:p>
    <w:p>
      <w:pPr>
        <w:spacing w:after="0" w:line="1" w:lineRule="exact"/>
        <w:rPr>
          <w:rFonts w:ascii="Arial" w:cs="Arial" w:eastAsia="Arial" w:hAnsi="Arial"/>
          <w:sz w:val="19"/>
          <w:szCs w:val="19"/>
          <w:color w:val="auto"/>
        </w:rPr>
      </w:pPr>
    </w:p>
    <w:p>
      <w:pPr>
        <w:ind w:left="860" w:right="479" w:hanging="327"/>
        <w:spacing w:after="0" w:line="296"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Chinese Patent Application No. 201980012443.3 filed August 7, 2020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E-068-2018-0-CN-04];</w:t>
      </w:r>
    </w:p>
    <w:p>
      <w:pPr>
        <w:spacing w:after="0" w:line="1" w:lineRule="exact"/>
        <w:rPr>
          <w:rFonts w:ascii="Arial" w:cs="Arial" w:eastAsia="Arial" w:hAnsi="Arial"/>
          <w:sz w:val="19"/>
          <w:szCs w:val="19"/>
          <w:color w:val="auto"/>
        </w:rPr>
      </w:pPr>
    </w:p>
    <w:p>
      <w:pPr>
        <w:ind w:left="860" w:right="779" w:hanging="327"/>
        <w:spacing w:after="0" w:line="296"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European Patent Application No. 19709154.9 filed August 8, 2020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E-068-2018-0-EP-05];</w:t>
      </w:r>
    </w:p>
    <w:p>
      <w:pPr>
        <w:spacing w:after="0" w:line="1" w:lineRule="exact"/>
        <w:rPr>
          <w:rFonts w:ascii="Arial" w:cs="Arial" w:eastAsia="Arial" w:hAnsi="Arial"/>
          <w:sz w:val="19"/>
          <w:szCs w:val="19"/>
          <w:color w:val="auto"/>
        </w:rPr>
      </w:pPr>
    </w:p>
    <w:p>
      <w:pPr>
        <w:ind w:left="860" w:right="659" w:hanging="327"/>
        <w:spacing w:after="0" w:line="296"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United States Patent Application No. 16/964,796 filed July 24, 2020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E-068-2018-0-US-06]; and</w:t>
      </w:r>
    </w:p>
    <w:p>
      <w:pPr>
        <w:spacing w:after="0" w:line="1" w:lineRule="exact"/>
        <w:rPr>
          <w:rFonts w:ascii="Arial" w:cs="Arial" w:eastAsia="Arial" w:hAnsi="Arial"/>
          <w:sz w:val="19"/>
          <w:szCs w:val="19"/>
          <w:color w:val="auto"/>
        </w:rPr>
      </w:pPr>
    </w:p>
    <w:p>
      <w:pPr>
        <w:ind w:left="860" w:right="959" w:hanging="327"/>
        <w:spacing w:after="0" w:line="353"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Canadian Patent Application No. 3,090,512 filed August 5, 2020 entitled “Tethered Interleukin-15 and Interleukin-21”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E-068-2018-0-CA-07].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Group B</w:t>
      </w:r>
    </w:p>
    <w:p>
      <w:pPr>
        <w:spacing w:after="0" w:line="200" w:lineRule="exact"/>
        <w:rPr>
          <w:sz w:val="20"/>
          <w:szCs w:val="20"/>
          <w:color w:val="auto"/>
        </w:rPr>
      </w:pPr>
    </w:p>
    <w:p>
      <w:pPr>
        <w:spacing w:after="0" w:line="269" w:lineRule="exact"/>
        <w:rPr>
          <w:sz w:val="20"/>
          <w:szCs w:val="20"/>
          <w:color w:val="auto"/>
        </w:rPr>
      </w:pPr>
    </w:p>
    <w:p>
      <w:pPr>
        <w:jc w:val="both"/>
        <w:ind w:left="860" w:right="759" w:hanging="327"/>
        <w:spacing w:after="0" w:line="358" w:lineRule="auto"/>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United States Provisional Patent Application No. 60/408,681 filed September 6, 2002 entitled “Immunotherapy with In Vitro-Selected Antigen-Specific Lymphocytes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4" w:name="page115"/>
    <w:bookmarkEnd w:id="114"/>
    <w:p>
      <w:pPr>
        <w:ind w:left="860" w:right="339"/>
        <w:spacing w:after="0" w:line="261" w:lineRule="auto"/>
        <w:rPr>
          <w:sz w:val="20"/>
          <w:szCs w:val="20"/>
          <w:color w:val="auto"/>
        </w:rPr>
      </w:pPr>
      <w:r>
        <w:rPr>
          <w:rFonts w:ascii="Arial" w:cs="Arial" w:eastAsia="Arial" w:hAnsi="Arial"/>
          <w:sz w:val="22"/>
          <w:szCs w:val="22"/>
          <w:color w:val="auto"/>
        </w:rPr>
        <w:t>Nonmyeloablative Lymphodepleting Chemotherapy”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E-275-2002-0-US-01];</w:t>
      </w:r>
    </w:p>
    <w:p>
      <w:pPr>
        <w:ind w:left="860" w:right="25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International Patent Application No. PCT/US2003/027873 filed September 5, 2003 entitled “Immunotherapy with In Vitro-Selected Antigen-Specific Lymphocytes after Nonmyeloablative Lymphodepleting Chemotherapy”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E-275-2002-1-PCT-01];</w:t>
      </w:r>
    </w:p>
    <w:p>
      <w:pPr>
        <w:jc w:val="both"/>
        <w:ind w:left="860" w:right="259" w:hanging="327"/>
        <w:spacing w:after="0" w:line="296"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United States Patent No. 8,034,334 issued October 11, 2011 entitled “Immunotherapy with In Vitro-Selected Antigen-Specific Lymphocytes after Nonmyeloablative Lymphodepleting Chemotherapy”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E-275-2002-1-US-02];</w:t>
      </w:r>
    </w:p>
    <w:p>
      <w:pPr>
        <w:spacing w:after="0" w:line="1" w:lineRule="exact"/>
        <w:rPr>
          <w:rFonts w:ascii="Arial" w:cs="Arial" w:eastAsia="Arial" w:hAnsi="Arial"/>
          <w:sz w:val="19"/>
          <w:szCs w:val="19"/>
          <w:color w:val="auto"/>
        </w:rPr>
      </w:pPr>
    </w:p>
    <w:p>
      <w:pPr>
        <w:ind w:left="860" w:right="499" w:hanging="327"/>
        <w:spacing w:after="0" w:line="268" w:lineRule="auto"/>
        <w:tabs>
          <w:tab w:leader="none" w:pos="8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European Patent No. 1545204 issued August 10, 2016 entitled “Immunotherapy with In Vitro-Selected Antigen-Specific Lymphocytes after Nonmyeloablative Lymphodepleting Chemotherapy” [</w:t>
      </w:r>
      <w:r>
        <w:rPr>
          <w:rFonts w:ascii="Arial" w:cs="Arial" w:eastAsia="Arial" w:hAnsi="Arial"/>
          <w:sz w:val="21"/>
          <w:szCs w:val="21"/>
          <w:b w:val="1"/>
          <w:bCs w:val="1"/>
          <w:color w:val="auto"/>
        </w:rPr>
        <w:t>HHS</w:t>
      </w:r>
      <w:r>
        <w:rPr>
          <w:rFonts w:ascii="Arial" w:cs="Arial" w:eastAsia="Arial" w:hAnsi="Arial"/>
          <w:sz w:val="21"/>
          <w:szCs w:val="21"/>
          <w:color w:val="auto"/>
        </w:rPr>
        <w:t xml:space="preserve"> Reference No. E-275-2002-1-EP-03];</w:t>
      </w:r>
    </w:p>
    <w:p>
      <w:pPr>
        <w:spacing w:after="0" w:line="1" w:lineRule="exact"/>
        <w:rPr>
          <w:rFonts w:ascii="Arial" w:cs="Arial" w:eastAsia="Arial" w:hAnsi="Arial"/>
          <w:sz w:val="21"/>
          <w:szCs w:val="21"/>
          <w:color w:val="auto"/>
        </w:rPr>
      </w:pPr>
    </w:p>
    <w:p>
      <w:pPr>
        <w:ind w:left="1180"/>
        <w:spacing w:after="0"/>
        <w:rPr>
          <w:rFonts w:ascii="Arial" w:cs="Arial" w:eastAsia="Arial" w:hAnsi="Arial"/>
          <w:sz w:val="21"/>
          <w:szCs w:val="21"/>
          <w:color w:val="auto"/>
        </w:rPr>
      </w:pPr>
      <w:r>
        <w:rPr>
          <w:rFonts w:ascii="Arial" w:cs="Arial" w:eastAsia="Arial" w:hAnsi="Arial"/>
          <w:sz w:val="22"/>
          <w:szCs w:val="22"/>
          <w:color w:val="auto"/>
        </w:rPr>
        <w:t>a.  Validated in CH, DE, DK, ES, FR, GB, IT, NL and SE.</w:t>
      </w:r>
    </w:p>
    <w:p>
      <w:pPr>
        <w:spacing w:after="0" w:line="17" w:lineRule="exact"/>
        <w:rPr>
          <w:rFonts w:ascii="Arial" w:cs="Arial" w:eastAsia="Arial" w:hAnsi="Arial"/>
          <w:sz w:val="21"/>
          <w:szCs w:val="21"/>
          <w:color w:val="auto"/>
        </w:rPr>
      </w:pPr>
    </w:p>
    <w:p>
      <w:pPr>
        <w:ind w:left="860" w:right="23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Canadian Patent No. 2497552 issued May 27, 2014 entitled “Immunotherapy with In Vitro-Selected Antigen-Specific Lymphocytes after Nonmyeloablative Lymphodepleting Chemotherapy”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E-275-2002-1-CA-04];</w:t>
      </w:r>
    </w:p>
    <w:p>
      <w:pPr>
        <w:ind w:left="860" w:right="399" w:hanging="327"/>
        <w:spacing w:after="0" w:line="268" w:lineRule="auto"/>
        <w:tabs>
          <w:tab w:leader="none" w:pos="8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Australian Patent No. 2003265948 issued May 21, 2009 entitled “Immunotherapy with In Vitro-Selected Antigen-Specific Lymphocytes after Nonmyeloablative Lymphodepleting Chemotherapy” [</w:t>
      </w:r>
      <w:r>
        <w:rPr>
          <w:rFonts w:ascii="Arial" w:cs="Arial" w:eastAsia="Arial" w:hAnsi="Arial"/>
          <w:sz w:val="21"/>
          <w:szCs w:val="21"/>
          <w:b w:val="1"/>
          <w:bCs w:val="1"/>
          <w:color w:val="auto"/>
        </w:rPr>
        <w:t>HHS</w:t>
      </w:r>
      <w:r>
        <w:rPr>
          <w:rFonts w:ascii="Arial" w:cs="Arial" w:eastAsia="Arial" w:hAnsi="Arial"/>
          <w:sz w:val="21"/>
          <w:szCs w:val="21"/>
          <w:color w:val="auto"/>
        </w:rPr>
        <w:t xml:space="preserve"> Reference No. E-275-2002-1-AU-05];</w:t>
      </w:r>
    </w:p>
    <w:p>
      <w:pPr>
        <w:spacing w:after="0" w:line="1" w:lineRule="exact"/>
        <w:rPr>
          <w:rFonts w:ascii="Arial" w:cs="Arial" w:eastAsia="Arial" w:hAnsi="Arial"/>
          <w:sz w:val="21"/>
          <w:szCs w:val="21"/>
          <w:color w:val="auto"/>
        </w:rPr>
      </w:pPr>
    </w:p>
    <w:p>
      <w:pPr>
        <w:jc w:val="both"/>
        <w:ind w:left="860" w:right="259" w:hanging="327"/>
        <w:spacing w:after="0" w:line="296"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United States Patent No. 8,287,857 issued October 16, 2012 entitled “Immunotherapy with In Vitro-Selected Antigen-Specific Lymphocytes after Nonmyeloablative Lymphodepleting Chemotherapy”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E-275-2002-1-US-06];</w:t>
      </w:r>
    </w:p>
    <w:p>
      <w:pPr>
        <w:spacing w:after="0" w:line="1" w:lineRule="exact"/>
        <w:rPr>
          <w:rFonts w:ascii="Arial" w:cs="Arial" w:eastAsia="Arial" w:hAnsi="Arial"/>
          <w:sz w:val="19"/>
          <w:szCs w:val="19"/>
          <w:color w:val="auto"/>
        </w:rPr>
      </w:pPr>
    </w:p>
    <w:p>
      <w:pPr>
        <w:jc w:val="both"/>
        <w:ind w:left="860" w:right="259" w:hanging="327"/>
        <w:spacing w:after="0" w:line="296"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United States Provisional Patent Application No. 61/237,889 filed August 28, 2009 entitled “Adoptive Cell Therapy with Young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E-273-2009-0-US-01];</w:t>
      </w:r>
    </w:p>
    <w:p>
      <w:pPr>
        <w:spacing w:after="0" w:line="1" w:lineRule="exact"/>
        <w:rPr>
          <w:rFonts w:ascii="Arial" w:cs="Arial" w:eastAsia="Arial" w:hAnsi="Arial"/>
          <w:sz w:val="19"/>
          <w:szCs w:val="19"/>
          <w:color w:val="auto"/>
        </w:rPr>
      </w:pPr>
    </w:p>
    <w:p>
      <w:pPr>
        <w:ind w:left="860" w:right="819" w:hanging="327"/>
        <w:spacing w:after="0" w:line="296"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United States Patent No. 8,383,099 issued February 26, 2013 entitled “Adoptive Cell Therapy with Young T Cells” [</w:t>
      </w:r>
      <w:r>
        <w:rPr>
          <w:rFonts w:ascii="Arial" w:cs="Arial" w:eastAsia="Arial" w:hAnsi="Arial"/>
          <w:sz w:val="19"/>
          <w:szCs w:val="19"/>
          <w:b w:val="1"/>
          <w:bCs w:val="1"/>
          <w:color w:val="auto"/>
        </w:rPr>
        <w:t>HHS</w:t>
      </w:r>
      <w:r>
        <w:rPr>
          <w:rFonts w:ascii="Arial" w:cs="Arial" w:eastAsia="Arial" w:hAnsi="Arial"/>
          <w:sz w:val="19"/>
          <w:szCs w:val="19"/>
          <w:color w:val="auto"/>
        </w:rPr>
        <w:t xml:space="preserve"> Reference No. E-273-2009-0-US-02];</w:t>
      </w:r>
    </w:p>
    <w:p>
      <w:pPr>
        <w:spacing w:after="0" w:line="1" w:lineRule="exact"/>
        <w:rPr>
          <w:rFonts w:ascii="Arial" w:cs="Arial" w:eastAsia="Arial" w:hAnsi="Arial"/>
          <w:sz w:val="19"/>
          <w:szCs w:val="19"/>
          <w:color w:val="auto"/>
        </w:rPr>
      </w:pPr>
    </w:p>
    <w:p>
      <w:pPr>
        <w:ind w:left="860" w:right="55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United States Patent No. 9,074,185 issued July 7, 2015 entitled “Adoptive Cell Therapy with Young T Cells”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E-273-2009-0-US-03];</w:t>
      </w:r>
    </w:p>
    <w:p>
      <w:pPr>
        <w:ind w:left="860" w:right="31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United States Provisional Patent Application No. 61/466,200 filed March 22, 2011 entitled “Methods of Growing Tumor Infiltrating Lymphocytes (TIL) in Gas-Permeable Containers”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E-114-2011-0-US-01];</w:t>
      </w:r>
    </w:p>
    <w:p>
      <w:pPr>
        <w:ind w:left="860" w:right="51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International Patent Application No. PCT/US2012/029744 filed March 20, 2012 entitled “Methods of Growing Tumor Infiltrating Lymphocytes (TIL) in Gas-Permeable Containers”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E-114-2011-0-PCT-02];</w:t>
      </w:r>
    </w:p>
    <w:p>
      <w:pPr>
        <w:jc w:val="both"/>
        <w:ind w:left="860" w:right="439" w:hanging="327"/>
        <w:spacing w:after="0" w:line="256" w:lineRule="auto"/>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United States Patent Application No. 13/424,646 filed March 20, 2012 entitled “Methods of Growing Tumor Infiltrating Lymphocytes (TIL) in Gas-Permeable Containers”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E-114-2011-0-US-03];</w:t>
      </w:r>
    </w:p>
    <w:p>
      <w:pPr>
        <w:ind w:left="860" w:right="1019" w:hanging="327"/>
        <w:spacing w:after="0" w:line="282" w:lineRule="auto"/>
        <w:tabs>
          <w:tab w:leader="none" w:pos="8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United States Patent Application No. 15/375,289 filed December 12, 2016 entitled “Methods of Growing Tumor Infiltrating Lymphocytes (TIL) in Gas-Permeable Containers” [</w:t>
      </w:r>
      <w:r>
        <w:rPr>
          <w:rFonts w:ascii="Arial" w:cs="Arial" w:eastAsia="Arial" w:hAnsi="Arial"/>
          <w:sz w:val="21"/>
          <w:szCs w:val="21"/>
          <w:b w:val="1"/>
          <w:bCs w:val="1"/>
          <w:color w:val="auto"/>
        </w:rPr>
        <w:t>HHS</w:t>
      </w:r>
      <w:r>
        <w:rPr>
          <w:rFonts w:ascii="Arial" w:cs="Arial" w:eastAsia="Arial" w:hAnsi="Arial"/>
          <w:sz w:val="21"/>
          <w:szCs w:val="21"/>
          <w:color w:val="auto"/>
        </w:rPr>
        <w:t xml:space="preserve"> Reference No. E-114-2011-0-US-04];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5" w:name="page116"/>
    <w:bookmarkEnd w:id="115"/>
    <w:p>
      <w:pPr>
        <w:ind w:left="860" w:right="239" w:hanging="327"/>
        <w:spacing w:after="0" w:line="266" w:lineRule="auto"/>
        <w:tabs>
          <w:tab w:leader="none" w:pos="8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United States Patent Application No. 16/211,859 filed December 6, 2018 entitled “Methods of Growing Tumor Infiltrating Lymphocytes (TIL) in Gas-Permeable Containers” [</w:t>
      </w:r>
      <w:r>
        <w:rPr>
          <w:rFonts w:ascii="Arial" w:cs="Arial" w:eastAsia="Arial" w:hAnsi="Arial"/>
          <w:sz w:val="22"/>
          <w:szCs w:val="22"/>
          <w:b w:val="1"/>
          <w:bCs w:val="1"/>
          <w:color w:val="auto"/>
        </w:rPr>
        <w:t>HHS</w:t>
      </w:r>
      <w:r>
        <w:rPr>
          <w:rFonts w:ascii="Arial" w:cs="Arial" w:eastAsia="Arial" w:hAnsi="Arial"/>
          <w:sz w:val="22"/>
          <w:szCs w:val="22"/>
          <w:color w:val="auto"/>
        </w:rPr>
        <w:t xml:space="preserve"> Reference No. E-114-2011-0-US-05].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791210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APPENDIX B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FIELDS OF USE AND TERRITORY</w:t>
      </w:r>
    </w:p>
    <w:p>
      <w:pPr>
        <w:spacing w:after="0" w:line="240" w:lineRule="exact"/>
        <w:rPr>
          <w:sz w:val="20"/>
          <w:szCs w:val="20"/>
          <w:color w:val="auto"/>
        </w:rPr>
      </w:pPr>
    </w:p>
    <w:p>
      <w:pPr>
        <w:ind w:left="860" w:hanging="651"/>
        <w:spacing w:after="0"/>
        <w:tabs>
          <w:tab w:leader="none" w:pos="86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Licensed Fields of Use 1 and 2:</w:t>
      </w:r>
    </w:p>
    <w:p>
      <w:pPr>
        <w:spacing w:after="0" w:line="206" w:lineRule="exact"/>
        <w:rPr>
          <w:rFonts w:ascii="Arial" w:cs="Arial" w:eastAsia="Arial" w:hAnsi="Arial"/>
          <w:sz w:val="22"/>
          <w:szCs w:val="22"/>
          <w:color w:val="auto"/>
        </w:rPr>
      </w:pPr>
    </w:p>
    <w:p>
      <w:pPr>
        <w:ind w:left="860" w:right="599"/>
        <w:spacing w:after="0" w:line="239" w:lineRule="auto"/>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Licensed Field of Use 1</w:t>
      </w:r>
      <w:r>
        <w:rPr>
          <w:rFonts w:ascii="Arial" w:cs="Arial" w:eastAsia="Arial" w:hAnsi="Arial"/>
          <w:sz w:val="22"/>
          <w:szCs w:val="22"/>
          <w:color w:val="auto"/>
        </w:rPr>
        <w:t xml:space="preserve"> means the use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 xml:space="preserve"> to develop, manufacture, distribute, sell, and use autologous tumor infiltrating lymphocyte (“</w:t>
      </w:r>
      <w:r>
        <w:rPr>
          <w:rFonts w:ascii="Arial" w:cs="Arial" w:eastAsia="Arial" w:hAnsi="Arial"/>
          <w:sz w:val="22"/>
          <w:szCs w:val="22"/>
          <w:b w:val="1"/>
          <w:bCs w:val="1"/>
          <w:color w:val="auto"/>
        </w:rPr>
        <w:t>TIL</w:t>
      </w:r>
      <w:r>
        <w:rPr>
          <w:rFonts w:ascii="Arial" w:cs="Arial" w:eastAsia="Arial" w:hAnsi="Arial"/>
          <w:sz w:val="22"/>
          <w:szCs w:val="22"/>
          <w:color w:val="auto"/>
        </w:rPr>
        <w:t>”) adoptive cell therapy products for the treatment of metastatic melanoma, lung, breast, bladder, and HPV-positive cancers.</w:t>
      </w:r>
    </w:p>
    <w:p>
      <w:pPr>
        <w:spacing w:after="0" w:line="207" w:lineRule="exact"/>
        <w:rPr>
          <w:rFonts w:ascii="Arial" w:cs="Arial" w:eastAsia="Arial" w:hAnsi="Arial"/>
          <w:sz w:val="22"/>
          <w:szCs w:val="22"/>
          <w:color w:val="auto"/>
        </w:rPr>
      </w:pPr>
    </w:p>
    <w:p>
      <w:pPr>
        <w:ind w:left="860" w:right="319"/>
        <w:spacing w:after="0" w:line="300" w:lineRule="auto"/>
        <w:rPr>
          <w:rFonts w:ascii="Arial" w:cs="Arial" w:eastAsia="Arial" w:hAnsi="Arial"/>
          <w:sz w:val="22"/>
          <w:szCs w:val="22"/>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Licensed Field of Use 2</w:t>
      </w:r>
      <w:r>
        <w:rPr>
          <w:rFonts w:ascii="Arial" w:cs="Arial" w:eastAsia="Arial" w:hAnsi="Arial"/>
          <w:sz w:val="19"/>
          <w:szCs w:val="19"/>
          <w:color w:val="auto"/>
        </w:rPr>
        <w:t xml:space="preserve"> means the use of the </w:t>
      </w:r>
      <w:r>
        <w:rPr>
          <w:rFonts w:ascii="Arial" w:cs="Arial" w:eastAsia="Arial" w:hAnsi="Arial"/>
          <w:sz w:val="19"/>
          <w:szCs w:val="19"/>
          <w:b w:val="1"/>
          <w:bCs w:val="1"/>
          <w:color w:val="auto"/>
        </w:rPr>
        <w:t>Licensed Patent Rights</w:t>
      </w:r>
      <w:r>
        <w:rPr>
          <w:rFonts w:ascii="Arial" w:cs="Arial" w:eastAsia="Arial" w:hAnsi="Arial"/>
          <w:sz w:val="19"/>
          <w:szCs w:val="19"/>
          <w:color w:val="auto"/>
        </w:rPr>
        <w:t xml:space="preserve"> to develop, manufacture, distribute, sell, and use autologous TIL adoptive cell therapy products for the treatment of all cancers other than those specified in the </w:t>
      </w:r>
      <w:r>
        <w:rPr>
          <w:rFonts w:ascii="Arial" w:cs="Arial" w:eastAsia="Arial" w:hAnsi="Arial"/>
          <w:sz w:val="19"/>
          <w:szCs w:val="19"/>
          <w:b w:val="1"/>
          <w:bCs w:val="1"/>
          <w:color w:val="auto"/>
        </w:rPr>
        <w:t>Licensed Field of Use 1</w:t>
      </w:r>
      <w:r>
        <w:rPr>
          <w:rFonts w:ascii="Arial" w:cs="Arial" w:eastAsia="Arial" w:hAnsi="Arial"/>
          <w:sz w:val="19"/>
          <w:szCs w:val="19"/>
          <w:color w:val="auto"/>
        </w:rPr>
        <w:t>.</w:t>
      </w:r>
    </w:p>
    <w:p>
      <w:pPr>
        <w:spacing w:after="0" w:line="152" w:lineRule="exact"/>
        <w:rPr>
          <w:rFonts w:ascii="Arial" w:cs="Arial" w:eastAsia="Arial" w:hAnsi="Arial"/>
          <w:sz w:val="22"/>
          <w:szCs w:val="22"/>
          <w:color w:val="auto"/>
        </w:rPr>
      </w:pPr>
    </w:p>
    <w:p>
      <w:pPr>
        <w:ind w:left="860" w:right="319"/>
        <w:spacing w:after="0" w:line="274" w:lineRule="auto"/>
        <w:rPr>
          <w:rFonts w:ascii="Arial" w:cs="Arial" w:eastAsia="Arial" w:hAnsi="Arial"/>
          <w:sz w:val="22"/>
          <w:szCs w:val="22"/>
          <w:color w:val="auto"/>
        </w:rPr>
      </w:pPr>
      <w:r>
        <w:rPr>
          <w:rFonts w:ascii="Arial" w:cs="Arial" w:eastAsia="Arial" w:hAnsi="Arial"/>
          <w:sz w:val="19"/>
          <w:szCs w:val="19"/>
          <w:color w:val="auto"/>
        </w:rPr>
        <w:t xml:space="preserve">Statement applying to both </w:t>
      </w:r>
      <w:r>
        <w:rPr>
          <w:rFonts w:ascii="Arial" w:cs="Arial" w:eastAsia="Arial" w:hAnsi="Arial"/>
          <w:sz w:val="19"/>
          <w:szCs w:val="19"/>
          <w:b w:val="1"/>
          <w:bCs w:val="1"/>
          <w:color w:val="auto"/>
        </w:rPr>
        <w:t>Licensed Field of Use 1</w:t>
      </w:r>
      <w:r>
        <w:rPr>
          <w:rFonts w:ascii="Arial" w:cs="Arial" w:eastAsia="Arial" w:hAnsi="Arial"/>
          <w:sz w:val="19"/>
          <w:szCs w:val="19"/>
          <w:color w:val="auto"/>
        </w:rPr>
        <w:t xml:space="preserve"> and </w:t>
      </w:r>
      <w:r>
        <w:rPr>
          <w:rFonts w:ascii="Arial" w:cs="Arial" w:eastAsia="Arial" w:hAnsi="Arial"/>
          <w:sz w:val="19"/>
          <w:szCs w:val="19"/>
          <w:b w:val="1"/>
          <w:bCs w:val="1"/>
          <w:color w:val="auto"/>
        </w:rPr>
        <w:t>Licensed Field of Use 2</w:t>
      </w:r>
      <w:r>
        <w:rPr>
          <w:rFonts w:ascii="Arial" w:cs="Arial" w:eastAsia="Arial" w:hAnsi="Arial"/>
          <w:sz w:val="19"/>
          <w:szCs w:val="19"/>
          <w:color w:val="auto"/>
        </w:rPr>
        <w:t xml:space="preserve">: TIL are a subset of T lymphocytes (T cells) that migrate and are located within a tumor site. TIL isolated from these tumor sites exhibit natural anti-tumor activity without genetic modifications. For the avoidance of doubt, cell therapy products involving TIL genetically modified for reactivity against cancer-specific mutations or TIL selected for reactivity against cancer-specific mutations are excluded from the </w:t>
      </w:r>
      <w:r>
        <w:rPr>
          <w:rFonts w:ascii="Arial" w:cs="Arial" w:eastAsia="Arial" w:hAnsi="Arial"/>
          <w:sz w:val="19"/>
          <w:szCs w:val="19"/>
          <w:b w:val="1"/>
          <w:bCs w:val="1"/>
          <w:color w:val="auto"/>
        </w:rPr>
        <w:t>Licensed Fields of Use 1 and 2</w:t>
      </w:r>
      <w:r>
        <w:rPr>
          <w:rFonts w:ascii="Arial" w:cs="Arial" w:eastAsia="Arial" w:hAnsi="Arial"/>
          <w:sz w:val="19"/>
          <w:szCs w:val="19"/>
          <w:color w:val="auto"/>
        </w:rPr>
        <w:t xml:space="preserve">, unless such cell therapy products are a combination of unselected, unmodified TIL therapy with the </w:t>
      </w:r>
      <w:r>
        <w:rPr>
          <w:rFonts w:ascii="Arial" w:cs="Arial" w:eastAsia="Arial" w:hAnsi="Arial"/>
          <w:sz w:val="19"/>
          <w:szCs w:val="19"/>
          <w:b w:val="1"/>
          <w:bCs w:val="1"/>
          <w:color w:val="auto"/>
        </w:rPr>
        <w:t>Licensee’s</w:t>
      </w:r>
      <w:r>
        <w:rPr>
          <w:rFonts w:ascii="Arial" w:cs="Arial" w:eastAsia="Arial" w:hAnsi="Arial"/>
          <w:sz w:val="19"/>
          <w:szCs w:val="19"/>
          <w:color w:val="auto"/>
        </w:rPr>
        <w:t xml:space="preserve"> proprietary technologies or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’s in-licensed technologies. Subject to the foregoing, specifically excluded from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are the use of T cell receptors isolated from TIL.</w:t>
      </w:r>
    </w:p>
    <w:p>
      <w:pPr>
        <w:spacing w:after="0" w:line="395" w:lineRule="exact"/>
        <w:rPr>
          <w:sz w:val="20"/>
          <w:szCs w:val="20"/>
          <w:color w:val="auto"/>
        </w:rPr>
      </w:pPr>
    </w:p>
    <w:p>
      <w:pPr>
        <w:ind w:left="860" w:hanging="651"/>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Licensed Territory: </w:t>
      </w:r>
      <w:r>
        <w:rPr>
          <w:rFonts w:ascii="Arial" w:cs="Arial" w:eastAsia="Arial" w:hAnsi="Arial"/>
          <w:sz w:val="22"/>
          <w:szCs w:val="22"/>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1245235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APPENDIX C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ROYALTIES</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Royalties:</w:t>
      </w:r>
    </w:p>
    <w:p>
      <w:pPr>
        <w:spacing w:after="0" w:line="206" w:lineRule="exact"/>
        <w:rPr>
          <w:sz w:val="20"/>
          <w:szCs w:val="20"/>
          <w:color w:val="auto"/>
        </w:rPr>
      </w:pPr>
    </w:p>
    <w:p>
      <w:pPr>
        <w:ind w:left="860" w:right="519" w:hanging="651"/>
        <w:spacing w:after="0" w:line="256" w:lineRule="auto"/>
        <w:tabs>
          <w:tab w:leader="none" w:pos="8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Within sixty (60) days of execution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pay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 amendment issue royalty in the amount of [***].</w:t>
      </w:r>
    </w:p>
    <w:p>
      <w:pPr>
        <w:spacing w:after="0" w:line="162" w:lineRule="exact"/>
        <w:rPr>
          <w:sz w:val="20"/>
          <w:szCs w:val="20"/>
          <w:color w:val="auto"/>
        </w:rPr>
      </w:pPr>
    </w:p>
    <w:p>
      <w:pPr>
        <w:ind w:left="860" w:right="399" w:hanging="651"/>
        <w:spacing w:after="0" w:line="237" w:lineRule="auto"/>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Parties acknowledge and agree that prior to the execution of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 xml:space="preserve">Licensee </w:t>
      </w:r>
      <w:r>
        <w:rPr>
          <w:rFonts w:ascii="Arial" w:cs="Arial" w:eastAsia="Arial" w:hAnsi="Arial"/>
          <w:sz w:val="22"/>
          <w:szCs w:val="22"/>
          <w:color w:val="auto"/>
        </w:rPr>
        <w:t>paid the</w:t>
      </w:r>
      <w:r>
        <w:rPr>
          <w:rFonts w:ascii="Arial" w:cs="Arial" w:eastAsia="Arial" w:hAnsi="Arial"/>
          <w:sz w:val="22"/>
          <w:szCs w:val="22"/>
          <w:b w:val="1"/>
          <w:bCs w:val="1"/>
          <w:color w:val="auto"/>
        </w:rPr>
        <w:t xml:space="preserve"> IC </w:t>
      </w:r>
      <w:r>
        <w:rPr>
          <w:rFonts w:ascii="Arial" w:cs="Arial" w:eastAsia="Arial" w:hAnsi="Arial"/>
          <w:sz w:val="22"/>
          <w:szCs w:val="22"/>
          <w:color w:val="auto"/>
        </w:rPr>
        <w:t>(a) an execution royalty in the sum of [***] pursuant to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b w:val="1"/>
          <w:bCs w:val="1"/>
          <w:color w:val="auto"/>
        </w:rPr>
        <w:t>Original Agreement</w:t>
      </w:r>
      <w:r>
        <w:rPr>
          <w:rFonts w:ascii="Arial" w:cs="Arial" w:eastAsia="Arial" w:hAnsi="Arial"/>
          <w:sz w:val="22"/>
          <w:szCs w:val="22"/>
          <w:color w:val="auto"/>
        </w:rPr>
        <w:t xml:space="preserve">, and (b) an amendment issue royalty in the sum of [***] in two installment payments, each in the amount of [***] pursuant to the terms of the </w:t>
      </w:r>
      <w:r>
        <w:rPr>
          <w:rFonts w:ascii="Arial" w:cs="Arial" w:eastAsia="Arial" w:hAnsi="Arial"/>
          <w:sz w:val="22"/>
          <w:szCs w:val="22"/>
          <w:b w:val="1"/>
          <w:bCs w:val="1"/>
          <w:color w:val="auto"/>
        </w:rPr>
        <w:t>First</w:t>
      </w:r>
      <w:r>
        <w:rPr>
          <w:rFonts w:ascii="Arial" w:cs="Arial" w:eastAsia="Arial" w:hAnsi="Arial"/>
          <w:sz w:val="22"/>
          <w:szCs w:val="22"/>
          <w:color w:val="auto"/>
        </w:rPr>
        <w:t xml:space="preserve"> </w:t>
      </w:r>
      <w:r>
        <w:rPr>
          <w:rFonts w:ascii="Arial" w:cs="Arial" w:eastAsia="Arial" w:hAnsi="Arial"/>
          <w:sz w:val="22"/>
          <w:szCs w:val="22"/>
          <w:b w:val="1"/>
          <w:bCs w:val="1"/>
          <w:color w:val="auto"/>
        </w:rPr>
        <w:t>Amendment</w:t>
      </w:r>
      <w:r>
        <w:rPr>
          <w:rFonts w:ascii="Arial" w:cs="Arial" w:eastAsia="Arial" w:hAnsi="Arial"/>
          <w:sz w:val="22"/>
          <w:szCs w:val="22"/>
          <w:color w:val="auto"/>
        </w:rPr>
        <w:t>.</w:t>
      </w:r>
    </w:p>
    <w:p>
      <w:pPr>
        <w:spacing w:after="0" w:line="182" w:lineRule="exact"/>
        <w:rPr>
          <w:sz w:val="20"/>
          <w:szCs w:val="20"/>
          <w:color w:val="auto"/>
        </w:rPr>
      </w:pPr>
    </w:p>
    <w:p>
      <w:pPr>
        <w:ind w:left="860" w:right="779" w:hanging="651"/>
        <w:spacing w:after="0" w:line="256" w:lineRule="auto"/>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to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 nonrefundable minimum annual royalty in the amount of [***] as follows:</w:t>
      </w:r>
    </w:p>
    <w:p>
      <w:pPr>
        <w:spacing w:after="0" w:line="162" w:lineRule="exact"/>
        <w:rPr>
          <w:rFonts w:ascii="Arial" w:cs="Arial" w:eastAsia="Arial" w:hAnsi="Arial"/>
          <w:sz w:val="22"/>
          <w:szCs w:val="22"/>
          <w:color w:val="auto"/>
        </w:rPr>
      </w:pPr>
    </w:p>
    <w:p>
      <w:pPr>
        <w:jc w:val="both"/>
        <w:ind w:left="1500" w:right="239" w:hanging="643"/>
        <w:spacing w:after="0" w:line="243" w:lineRule="auto"/>
        <w:tabs>
          <w:tab w:leader="none" w:pos="15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The Parties acknowledge and agree that following the execution of the </w:t>
      </w:r>
      <w:r>
        <w:rPr>
          <w:rFonts w:ascii="Arial" w:cs="Arial" w:eastAsia="Arial" w:hAnsi="Arial"/>
          <w:sz w:val="22"/>
          <w:szCs w:val="22"/>
          <w:b w:val="1"/>
          <w:b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prior to the execution of this</w:t>
      </w:r>
      <w:r>
        <w:rPr>
          <w:rFonts w:ascii="Arial" w:cs="Arial" w:eastAsia="Arial" w:hAnsi="Arial"/>
          <w:sz w:val="22"/>
          <w:szCs w:val="22"/>
          <w:b w:val="1"/>
          <w:bCs w:val="1"/>
          <w:color w:val="auto"/>
        </w:rPr>
        <w:t xml:space="preserve"> Agreement</w:t>
      </w:r>
      <w:r>
        <w:rPr>
          <w:rFonts w:ascii="Arial" w:cs="Arial" w:eastAsia="Arial" w:hAnsi="Arial"/>
          <w:sz w:val="22"/>
          <w:szCs w:val="22"/>
          <w:color w:val="auto"/>
        </w:rPr>
        <w:t>,</w:t>
      </w:r>
      <w:r>
        <w:rPr>
          <w:rFonts w:ascii="Arial" w:cs="Arial" w:eastAsia="Arial" w:hAnsi="Arial"/>
          <w:sz w:val="22"/>
          <w:szCs w:val="22"/>
          <w:b w:val="1"/>
          <w:bCs w:val="1"/>
          <w:color w:val="auto"/>
        </w:rPr>
        <w:t xml:space="preserve"> Licensee </w:t>
      </w:r>
      <w:r>
        <w:rPr>
          <w:rFonts w:ascii="Arial" w:cs="Arial" w:eastAsia="Arial" w:hAnsi="Arial"/>
          <w:sz w:val="22"/>
          <w:szCs w:val="22"/>
          <w:color w:val="auto"/>
        </w:rPr>
        <w:t>paid the</w:t>
      </w:r>
      <w:r>
        <w:rPr>
          <w:rFonts w:ascii="Arial" w:cs="Arial" w:eastAsia="Arial" w:hAnsi="Arial"/>
          <w:sz w:val="22"/>
          <w:szCs w:val="22"/>
          <w:b w:val="1"/>
          <w:bCs w:val="1"/>
          <w:color w:val="auto"/>
        </w:rPr>
        <w:t xml:space="preserve"> IC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minimum annual royalties.</w:t>
      </w:r>
    </w:p>
    <w:p>
      <w:pPr>
        <w:spacing w:after="0" w:line="182" w:lineRule="exact"/>
        <w:rPr>
          <w:rFonts w:ascii="Arial" w:cs="Arial" w:eastAsia="Arial" w:hAnsi="Arial"/>
          <w:sz w:val="22"/>
          <w:szCs w:val="22"/>
          <w:color w:val="auto"/>
        </w:rPr>
      </w:pPr>
    </w:p>
    <w:p>
      <w:pPr>
        <w:jc w:val="both"/>
        <w:ind w:left="1500" w:right="219" w:hanging="643"/>
        <w:spacing w:after="0"/>
        <w:tabs>
          <w:tab w:leader="none" w:pos="15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Subsequent minimum annual royalty payments are due and payable on January 1 of each calendar year and may be credited against any earned royalties due for sales made in that year.</w:t>
      </w:r>
    </w:p>
    <w:p>
      <w:pPr>
        <w:spacing w:after="0" w:line="186" w:lineRule="exact"/>
        <w:rPr>
          <w:rFonts w:ascii="Arial" w:cs="Arial" w:eastAsia="Arial" w:hAnsi="Arial"/>
          <w:sz w:val="22"/>
          <w:szCs w:val="22"/>
          <w:color w:val="auto"/>
        </w:rPr>
      </w:pPr>
    </w:p>
    <w:p>
      <w:pPr>
        <w:ind w:left="1500" w:right="239" w:hanging="643"/>
        <w:spacing w:after="0" w:line="274" w:lineRule="auto"/>
        <w:tabs>
          <w:tab w:leader="none" w:pos="1500"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In the case of each of (a) and (b) above, such payments shall be due so long as </w:t>
      </w:r>
      <w:r>
        <w:rPr>
          <w:rFonts w:ascii="Arial" w:cs="Arial" w:eastAsia="Arial" w:hAnsi="Arial"/>
          <w:sz w:val="21"/>
          <w:szCs w:val="21"/>
          <w:b w:val="1"/>
          <w:bCs w:val="1"/>
          <w:color w:val="auto"/>
        </w:rPr>
        <w:t xml:space="preserve">Licensee </w:t>
      </w:r>
      <w:r>
        <w:rPr>
          <w:rFonts w:ascii="Arial" w:cs="Arial" w:eastAsia="Arial" w:hAnsi="Arial"/>
          <w:sz w:val="21"/>
          <w:szCs w:val="21"/>
          <w:color w:val="auto"/>
        </w:rPr>
        <w:t>has not terminated this</w:t>
      </w:r>
      <w:r>
        <w:rPr>
          <w:rFonts w:ascii="Arial" w:cs="Arial" w:eastAsia="Arial" w:hAnsi="Arial"/>
          <w:sz w:val="21"/>
          <w:szCs w:val="21"/>
          <w:b w:val="1"/>
          <w:bCs w:val="1"/>
          <w:color w:val="auto"/>
        </w:rPr>
        <w:t xml:space="preserve"> Agreement </w:t>
      </w:r>
      <w:r>
        <w:rPr>
          <w:rFonts w:ascii="Arial" w:cs="Arial" w:eastAsia="Arial" w:hAnsi="Arial"/>
          <w:sz w:val="21"/>
          <w:szCs w:val="21"/>
          <w:color w:val="auto"/>
        </w:rPr>
        <w:t>pursuant to Paragraph 13.4.</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60" w:type="dxa"/>
            <w:vAlign w:val="bottom"/>
            <w:gridSpan w:val="2"/>
          </w:tcPr>
          <w:p>
            <w:pPr>
              <w:spacing w:after="0"/>
              <w:rPr>
                <w:sz w:val="20"/>
                <w:szCs w:val="20"/>
                <w:color w:val="auto"/>
              </w:rPr>
            </w:pPr>
            <w:r>
              <w:rPr>
                <w:rFonts w:ascii="Arial" w:cs="Arial" w:eastAsia="Arial" w:hAnsi="Arial"/>
                <w:sz w:val="22"/>
                <w:szCs w:val="22"/>
                <w:color w:val="auto"/>
              </w:rPr>
              <w:t>IV.</w:t>
            </w:r>
          </w:p>
        </w:tc>
        <w:tc>
          <w:tcPr>
            <w:tcW w:w="8140" w:type="dxa"/>
            <w:vAlign w:val="bottom"/>
          </w:tcPr>
          <w:p>
            <w:pPr>
              <w:ind w:left="200"/>
              <w:spacing w:after="0"/>
              <w:rPr>
                <w:sz w:val="20"/>
                <w:szCs w:val="20"/>
                <w:color w:val="auto"/>
              </w:rPr>
            </w:pPr>
            <w:r>
              <w:rPr>
                <w:rFonts w:ascii="Arial" w:cs="Arial" w:eastAsia="Arial" w:hAnsi="Arial"/>
                <w:sz w:val="22"/>
                <w:szCs w:val="22"/>
                <w:color w:val="auto"/>
                <w:w w:val="98"/>
              </w:rPr>
              <w:t xml:space="preserve">For </w:t>
            </w:r>
            <w:r>
              <w:rPr>
                <w:rFonts w:ascii="Arial" w:cs="Arial" w:eastAsia="Arial" w:hAnsi="Arial"/>
                <w:sz w:val="22"/>
                <w:szCs w:val="22"/>
                <w:b w:val="1"/>
                <w:bCs w:val="1"/>
                <w:color w:val="auto"/>
                <w:w w:val="98"/>
              </w:rPr>
              <w:t>Net Sales</w:t>
            </w:r>
            <w:r>
              <w:rPr>
                <w:rFonts w:ascii="Arial" w:cs="Arial" w:eastAsia="Arial" w:hAnsi="Arial"/>
                <w:sz w:val="22"/>
                <w:szCs w:val="22"/>
                <w:color w:val="auto"/>
                <w:w w:val="98"/>
              </w:rPr>
              <w:t xml:space="preserve"> received by or on behalf of </w:t>
            </w:r>
            <w:r>
              <w:rPr>
                <w:rFonts w:ascii="Arial" w:cs="Arial" w:eastAsia="Arial" w:hAnsi="Arial"/>
                <w:sz w:val="22"/>
                <w:szCs w:val="22"/>
                <w:b w:val="1"/>
                <w:bCs w:val="1"/>
                <w:color w:val="auto"/>
                <w:w w:val="98"/>
              </w:rPr>
              <w:t>Licensee</w:t>
            </w:r>
            <w:r>
              <w:rPr>
                <w:rFonts w:ascii="Arial" w:cs="Arial" w:eastAsia="Arial" w:hAnsi="Arial"/>
                <w:sz w:val="22"/>
                <w:szCs w:val="22"/>
                <w:color w:val="auto"/>
                <w:w w:val="98"/>
              </w:rPr>
              <w:t xml:space="preserve"> or its sublicensees for sales of</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0"/>
              </w:rPr>
              <w:t xml:space="preserve">Licensed Products </w:t>
            </w:r>
            <w:r>
              <w:rPr>
                <w:rFonts w:ascii="Arial" w:cs="Arial" w:eastAsia="Arial" w:hAnsi="Arial"/>
                <w:sz w:val="22"/>
                <w:szCs w:val="22"/>
                <w:color w:val="auto"/>
                <w:w w:val="90"/>
              </w:rPr>
              <w:t>or practice of</w:t>
            </w:r>
            <w:r>
              <w:rPr>
                <w:rFonts w:ascii="Arial" w:cs="Arial" w:eastAsia="Arial" w:hAnsi="Arial"/>
                <w:sz w:val="22"/>
                <w:szCs w:val="22"/>
                <w:b w:val="1"/>
                <w:bCs w:val="1"/>
                <w:color w:val="auto"/>
                <w:w w:val="90"/>
              </w:rPr>
              <w:t xml:space="preserve"> Licensed Processes </w:t>
            </w:r>
            <w:r>
              <w:rPr>
                <w:rFonts w:ascii="Arial" w:cs="Arial" w:eastAsia="Arial" w:hAnsi="Arial"/>
                <w:sz w:val="22"/>
                <w:szCs w:val="22"/>
                <w:color w:val="auto"/>
                <w:w w:val="90"/>
              </w:rPr>
              <w:t>that are in the</w:t>
            </w:r>
            <w:r>
              <w:rPr>
                <w:rFonts w:ascii="Arial" w:cs="Arial" w:eastAsia="Arial" w:hAnsi="Arial"/>
                <w:sz w:val="22"/>
                <w:szCs w:val="22"/>
                <w:b w:val="1"/>
                <w:bCs w:val="1"/>
                <w:color w:val="auto"/>
                <w:w w:val="90"/>
              </w:rPr>
              <w:t xml:space="preserve"> Licensed Field of</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89"/>
              </w:rPr>
              <w:t xml:space="preserve">Use 1 </w:t>
            </w:r>
            <w:r>
              <w:rPr>
                <w:rFonts w:ascii="Arial" w:cs="Arial" w:eastAsia="Arial" w:hAnsi="Arial"/>
                <w:sz w:val="22"/>
                <w:szCs w:val="22"/>
                <w:color w:val="auto"/>
                <w:w w:val="89"/>
              </w:rPr>
              <w:t>and covered by a claim of a granted patent or a claim of a patent application pending</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96"/>
              </w:rPr>
              <w:t xml:space="preserve">less than ten (10) years from its earliest claimed priority date in the </w:t>
            </w:r>
            <w:r>
              <w:rPr>
                <w:rFonts w:ascii="Arial" w:cs="Arial" w:eastAsia="Arial" w:hAnsi="Arial"/>
                <w:sz w:val="22"/>
                <w:szCs w:val="22"/>
                <w:b w:val="1"/>
                <w:bCs w:val="1"/>
                <w:color w:val="auto"/>
                <w:w w:val="96"/>
              </w:rPr>
              <w:t>Licensed Patent</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7"/>
              </w:rPr>
              <w:t xml:space="preserve">Rights </w:t>
            </w:r>
            <w:r>
              <w:rPr>
                <w:rFonts w:ascii="Arial" w:cs="Arial" w:eastAsia="Arial" w:hAnsi="Arial"/>
                <w:sz w:val="22"/>
                <w:szCs w:val="22"/>
                <w:color w:val="auto"/>
                <w:w w:val="97"/>
              </w:rPr>
              <w:t>Group A of Appendix A,</w:t>
            </w:r>
            <w:r>
              <w:rPr>
                <w:rFonts w:ascii="Arial" w:cs="Arial" w:eastAsia="Arial" w:hAnsi="Arial"/>
                <w:sz w:val="22"/>
                <w:szCs w:val="22"/>
                <w:b w:val="1"/>
                <w:bCs w:val="1"/>
                <w:color w:val="auto"/>
                <w:w w:val="97"/>
              </w:rPr>
              <w:t xml:space="preserve"> Licensee </w:t>
            </w:r>
            <w:r>
              <w:rPr>
                <w:rFonts w:ascii="Arial" w:cs="Arial" w:eastAsia="Arial" w:hAnsi="Arial"/>
                <w:sz w:val="22"/>
                <w:szCs w:val="22"/>
                <w:color w:val="auto"/>
                <w:w w:val="97"/>
              </w:rPr>
              <w:t>shall pay the</w:t>
            </w:r>
            <w:r>
              <w:rPr>
                <w:rFonts w:ascii="Arial" w:cs="Arial" w:eastAsia="Arial" w:hAnsi="Arial"/>
                <w:sz w:val="22"/>
                <w:szCs w:val="22"/>
                <w:b w:val="1"/>
                <w:bCs w:val="1"/>
                <w:color w:val="auto"/>
                <w:w w:val="97"/>
              </w:rPr>
              <w:t xml:space="preserve"> IC </w:t>
            </w:r>
            <w:r>
              <w:rPr>
                <w:rFonts w:ascii="Arial" w:cs="Arial" w:eastAsia="Arial" w:hAnsi="Arial"/>
                <w:sz w:val="22"/>
                <w:szCs w:val="22"/>
                <w:color w:val="auto"/>
                <w:w w:val="97"/>
              </w:rPr>
              <w:t>an earned royalty of [***].</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5"/>
              </w:rPr>
              <w:t xml:space="preserve">Licensee </w:t>
            </w:r>
            <w:r>
              <w:rPr>
                <w:rFonts w:ascii="Arial" w:cs="Arial" w:eastAsia="Arial" w:hAnsi="Arial"/>
                <w:sz w:val="22"/>
                <w:szCs w:val="22"/>
                <w:color w:val="auto"/>
                <w:w w:val="95"/>
              </w:rPr>
              <w:t>shall be entitled to a credit of [***] against such earned royalty rate for each</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90"/>
              </w:rPr>
              <w:t xml:space="preserve">percentage point in excess of [***] that </w:t>
            </w:r>
            <w:r>
              <w:rPr>
                <w:rFonts w:ascii="Arial" w:cs="Arial" w:eastAsia="Arial" w:hAnsi="Arial"/>
                <w:sz w:val="22"/>
                <w:szCs w:val="22"/>
                <w:b w:val="1"/>
                <w:bCs w:val="1"/>
                <w:color w:val="auto"/>
                <w:w w:val="90"/>
              </w:rPr>
              <w:t>Licensee</w:t>
            </w:r>
            <w:r>
              <w:rPr>
                <w:rFonts w:ascii="Arial" w:cs="Arial" w:eastAsia="Arial" w:hAnsi="Arial"/>
                <w:sz w:val="22"/>
                <w:szCs w:val="22"/>
                <w:color w:val="auto"/>
                <w:w w:val="90"/>
              </w:rPr>
              <w:t xml:space="preserve"> must pay to an unaffiliated licensor(s) for</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89"/>
              </w:rPr>
              <w:t xml:space="preserve">the manufacture and sale of </w:t>
            </w:r>
            <w:r>
              <w:rPr>
                <w:rFonts w:ascii="Arial" w:cs="Arial" w:eastAsia="Arial" w:hAnsi="Arial"/>
                <w:sz w:val="22"/>
                <w:szCs w:val="22"/>
                <w:b w:val="1"/>
                <w:bCs w:val="1"/>
                <w:color w:val="auto"/>
                <w:w w:val="89"/>
              </w:rPr>
              <w:t>Licensed Product(s)</w:t>
            </w:r>
            <w:r>
              <w:rPr>
                <w:rFonts w:ascii="Arial" w:cs="Arial" w:eastAsia="Arial" w:hAnsi="Arial"/>
                <w:sz w:val="22"/>
                <w:szCs w:val="22"/>
                <w:color w:val="auto"/>
                <w:w w:val="89"/>
              </w:rPr>
              <w:t xml:space="preserve"> and </w:t>
            </w:r>
            <w:r>
              <w:rPr>
                <w:rFonts w:ascii="Arial" w:cs="Arial" w:eastAsia="Arial" w:hAnsi="Arial"/>
                <w:sz w:val="22"/>
                <w:szCs w:val="22"/>
                <w:b w:val="1"/>
                <w:bCs w:val="1"/>
                <w:color w:val="auto"/>
                <w:w w:val="89"/>
              </w:rPr>
              <w:t>Licensed Process(es)</w:t>
            </w:r>
            <w:r>
              <w:rPr>
                <w:rFonts w:ascii="Arial" w:cs="Arial" w:eastAsia="Arial" w:hAnsi="Arial"/>
                <w:sz w:val="22"/>
                <w:szCs w:val="22"/>
                <w:color w:val="auto"/>
                <w:w w:val="89"/>
              </w:rPr>
              <w:t>. Said credit</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91"/>
              </w:rPr>
              <w:t xml:space="preserve">however, shall not reduce the earned royalty rate due to </w:t>
            </w:r>
            <w:r>
              <w:rPr>
                <w:rFonts w:ascii="Arial" w:cs="Arial" w:eastAsia="Arial" w:hAnsi="Arial"/>
                <w:sz w:val="22"/>
                <w:szCs w:val="22"/>
                <w:b w:val="1"/>
                <w:bCs w:val="1"/>
                <w:color w:val="auto"/>
                <w:w w:val="91"/>
              </w:rPr>
              <w:t>IC</w:t>
            </w:r>
            <w:r>
              <w:rPr>
                <w:rFonts w:ascii="Arial" w:cs="Arial" w:eastAsia="Arial" w:hAnsi="Arial"/>
                <w:sz w:val="22"/>
                <w:szCs w:val="22"/>
                <w:color w:val="auto"/>
                <w:w w:val="91"/>
              </w:rPr>
              <w:t xml:space="preserve"> for </w:t>
            </w:r>
            <w:r>
              <w:rPr>
                <w:rFonts w:ascii="Arial" w:cs="Arial" w:eastAsia="Arial" w:hAnsi="Arial"/>
                <w:sz w:val="22"/>
                <w:szCs w:val="22"/>
                <w:b w:val="1"/>
                <w:bCs w:val="1"/>
                <w:color w:val="auto"/>
                <w:w w:val="91"/>
              </w:rPr>
              <w:t>Licensed Product(s)</w:t>
            </w:r>
            <w:r>
              <w:rPr>
                <w:rFonts w:ascii="Arial" w:cs="Arial" w:eastAsia="Arial" w:hAnsi="Arial"/>
                <w:sz w:val="22"/>
                <w:szCs w:val="22"/>
                <w:color w:val="auto"/>
                <w:w w:val="91"/>
              </w:rPr>
              <w:t xml:space="preserve"> and</w:t>
            </w:r>
          </w:p>
        </w:tc>
      </w:tr>
      <w:tr>
        <w:trPr>
          <w:trHeight w:val="2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Arial" w:cs="Arial" w:eastAsia="Arial" w:hAnsi="Arial"/>
                <w:sz w:val="22"/>
                <w:szCs w:val="22"/>
                <w:b w:val="1"/>
                <w:bCs w:val="1"/>
                <w:color w:val="auto"/>
              </w:rPr>
              <w:t xml:space="preserve">Licensed Process(es) </w:t>
            </w:r>
            <w:r>
              <w:rPr>
                <w:rFonts w:ascii="Arial" w:cs="Arial" w:eastAsia="Arial" w:hAnsi="Arial"/>
                <w:sz w:val="22"/>
                <w:szCs w:val="22"/>
                <w:color w:val="auto"/>
              </w:rPr>
              <w:t>below [***].</w:t>
            </w:r>
          </w:p>
        </w:tc>
      </w:tr>
      <w:tr>
        <w:trPr>
          <w:trHeight w:val="42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Arial" w:cs="Arial" w:eastAsia="Arial" w:hAnsi="Arial"/>
                <w:sz w:val="22"/>
                <w:szCs w:val="22"/>
                <w:color w:val="auto"/>
                <w:w w:val="87"/>
              </w:rPr>
              <w:t xml:space="preserve">For </w:t>
            </w:r>
            <w:r>
              <w:rPr>
                <w:rFonts w:ascii="Arial" w:cs="Arial" w:eastAsia="Arial" w:hAnsi="Arial"/>
                <w:sz w:val="22"/>
                <w:szCs w:val="22"/>
                <w:b w:val="1"/>
                <w:bCs w:val="1"/>
                <w:color w:val="auto"/>
                <w:w w:val="87"/>
              </w:rPr>
              <w:t>Net Sales</w:t>
            </w:r>
            <w:r>
              <w:rPr>
                <w:rFonts w:ascii="Arial" w:cs="Arial" w:eastAsia="Arial" w:hAnsi="Arial"/>
                <w:sz w:val="22"/>
                <w:szCs w:val="22"/>
                <w:color w:val="auto"/>
                <w:w w:val="87"/>
              </w:rPr>
              <w:t xml:space="preserve"> received by or on behalf of </w:t>
            </w:r>
            <w:r>
              <w:rPr>
                <w:rFonts w:ascii="Arial" w:cs="Arial" w:eastAsia="Arial" w:hAnsi="Arial"/>
                <w:sz w:val="22"/>
                <w:szCs w:val="22"/>
                <w:b w:val="1"/>
                <w:bCs w:val="1"/>
                <w:color w:val="auto"/>
                <w:w w:val="87"/>
              </w:rPr>
              <w:t>Licensee</w:t>
            </w:r>
            <w:r>
              <w:rPr>
                <w:rFonts w:ascii="Arial" w:cs="Arial" w:eastAsia="Arial" w:hAnsi="Arial"/>
                <w:sz w:val="22"/>
                <w:szCs w:val="22"/>
                <w:color w:val="auto"/>
                <w:w w:val="87"/>
              </w:rPr>
              <w:t xml:space="preserve"> or its sublicensees for sales of </w:t>
            </w:r>
            <w:r>
              <w:rPr>
                <w:rFonts w:ascii="Arial" w:cs="Arial" w:eastAsia="Arial" w:hAnsi="Arial"/>
                <w:sz w:val="22"/>
                <w:szCs w:val="22"/>
                <w:b w:val="1"/>
                <w:bCs w:val="1"/>
                <w:color w:val="auto"/>
                <w:w w:val="87"/>
              </w:rPr>
              <w:t>Licensed</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89"/>
              </w:rPr>
              <w:t xml:space="preserve">Products </w:t>
            </w:r>
            <w:r>
              <w:rPr>
                <w:rFonts w:ascii="Arial" w:cs="Arial" w:eastAsia="Arial" w:hAnsi="Arial"/>
                <w:sz w:val="22"/>
                <w:szCs w:val="22"/>
                <w:color w:val="auto"/>
                <w:w w:val="89"/>
              </w:rPr>
              <w:t>or practice of</w:t>
            </w:r>
            <w:r>
              <w:rPr>
                <w:rFonts w:ascii="Arial" w:cs="Arial" w:eastAsia="Arial" w:hAnsi="Arial"/>
                <w:sz w:val="22"/>
                <w:szCs w:val="22"/>
                <w:b w:val="1"/>
                <w:bCs w:val="1"/>
                <w:color w:val="auto"/>
                <w:w w:val="89"/>
              </w:rPr>
              <w:t xml:space="preserve"> Licensed Processes </w:t>
            </w:r>
            <w:r>
              <w:rPr>
                <w:rFonts w:ascii="Arial" w:cs="Arial" w:eastAsia="Arial" w:hAnsi="Arial"/>
                <w:sz w:val="22"/>
                <w:szCs w:val="22"/>
                <w:color w:val="auto"/>
                <w:w w:val="89"/>
              </w:rPr>
              <w:t>covered by a claim of a granted patent in the</w:t>
            </w:r>
          </w:p>
        </w:tc>
      </w:tr>
      <w:tr>
        <w:trPr>
          <w:trHeight w:val="249"/>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9" w:lineRule="exact"/>
              <w:rPr>
                <w:sz w:val="20"/>
                <w:szCs w:val="20"/>
                <w:color w:val="auto"/>
              </w:rPr>
            </w:pPr>
            <w:r>
              <w:rPr>
                <w:rFonts w:ascii="Arial" w:cs="Arial" w:eastAsia="Arial" w:hAnsi="Arial"/>
                <w:sz w:val="22"/>
                <w:szCs w:val="22"/>
                <w:b w:val="1"/>
                <w:bCs w:val="1"/>
                <w:color w:val="auto"/>
                <w:w w:val="93"/>
              </w:rPr>
              <w:t xml:space="preserve">Licensed Patent Rights </w:t>
            </w:r>
            <w:r>
              <w:rPr>
                <w:rFonts w:ascii="Arial" w:cs="Arial" w:eastAsia="Arial" w:hAnsi="Arial"/>
                <w:sz w:val="22"/>
                <w:szCs w:val="22"/>
                <w:color w:val="auto"/>
                <w:w w:val="93"/>
              </w:rPr>
              <w:t>Group B of Appendix A</w:t>
            </w:r>
            <w:r>
              <w:rPr>
                <w:rFonts w:ascii="Arial" w:cs="Arial" w:eastAsia="Arial" w:hAnsi="Arial"/>
                <w:sz w:val="22"/>
                <w:szCs w:val="22"/>
                <w:b w:val="1"/>
                <w:bCs w:val="1"/>
                <w:color w:val="auto"/>
                <w:w w:val="93"/>
              </w:rPr>
              <w:t xml:space="preserve">, Licensee </w:t>
            </w:r>
            <w:r>
              <w:rPr>
                <w:rFonts w:ascii="Arial" w:cs="Arial" w:eastAsia="Arial" w:hAnsi="Arial"/>
                <w:sz w:val="22"/>
                <w:szCs w:val="22"/>
                <w:color w:val="auto"/>
                <w:w w:val="93"/>
              </w:rPr>
              <w:t>shall pay the</w:t>
            </w:r>
            <w:r>
              <w:rPr>
                <w:rFonts w:ascii="Arial" w:cs="Arial" w:eastAsia="Arial" w:hAnsi="Arial"/>
                <w:sz w:val="22"/>
                <w:szCs w:val="22"/>
                <w:b w:val="1"/>
                <w:bCs w:val="1"/>
                <w:color w:val="auto"/>
                <w:w w:val="93"/>
              </w:rPr>
              <w:t xml:space="preserve"> IC </w:t>
            </w:r>
            <w:r>
              <w:rPr>
                <w:rFonts w:ascii="Arial" w:cs="Arial" w:eastAsia="Arial" w:hAnsi="Arial"/>
                <w:sz w:val="22"/>
                <w:szCs w:val="22"/>
                <w:color w:val="auto"/>
                <w:w w:val="93"/>
              </w:rPr>
              <w:t>an earned</w:t>
            </w:r>
          </w:p>
        </w:tc>
      </w:tr>
      <w:tr>
        <w:trPr>
          <w:trHeight w:val="274"/>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140" w:type="dxa"/>
            <w:vAlign w:val="bottom"/>
          </w:tcPr>
          <w:p>
            <w:pPr>
              <w:ind w:left="200"/>
              <w:spacing w:after="0"/>
              <w:rPr>
                <w:sz w:val="20"/>
                <w:szCs w:val="20"/>
                <w:color w:val="auto"/>
              </w:rPr>
            </w:pPr>
            <w:r>
              <w:rPr>
                <w:rFonts w:ascii="Arial" w:cs="Arial" w:eastAsia="Arial" w:hAnsi="Arial"/>
                <w:sz w:val="22"/>
                <w:szCs w:val="22"/>
                <w:color w:val="auto"/>
              </w:rPr>
              <w:t>royalty of [***].</w:t>
            </w:r>
          </w:p>
        </w:tc>
      </w:tr>
      <w:tr>
        <w:trPr>
          <w:trHeight w:val="42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Arial" w:cs="Arial" w:eastAsia="Arial" w:hAnsi="Arial"/>
                <w:sz w:val="22"/>
                <w:szCs w:val="22"/>
                <w:b w:val="1"/>
                <w:bCs w:val="1"/>
                <w:color w:val="auto"/>
                <w:w w:val="88"/>
              </w:rPr>
              <w:t xml:space="preserve">Licensee </w:t>
            </w:r>
            <w:r>
              <w:rPr>
                <w:rFonts w:ascii="Arial" w:cs="Arial" w:eastAsia="Arial" w:hAnsi="Arial"/>
                <w:sz w:val="22"/>
                <w:szCs w:val="22"/>
                <w:color w:val="auto"/>
                <w:w w:val="88"/>
              </w:rPr>
              <w:t>agrees to pay the</w:t>
            </w:r>
            <w:r>
              <w:rPr>
                <w:rFonts w:ascii="Arial" w:cs="Arial" w:eastAsia="Arial" w:hAnsi="Arial"/>
                <w:sz w:val="22"/>
                <w:szCs w:val="22"/>
                <w:b w:val="1"/>
                <w:bCs w:val="1"/>
                <w:color w:val="auto"/>
                <w:w w:val="88"/>
              </w:rPr>
              <w:t xml:space="preserve"> IC </w:t>
            </w:r>
            <w:r>
              <w:rPr>
                <w:rFonts w:ascii="Arial" w:cs="Arial" w:eastAsia="Arial" w:hAnsi="Arial"/>
                <w:sz w:val="22"/>
                <w:szCs w:val="22"/>
                <w:color w:val="auto"/>
                <w:w w:val="88"/>
              </w:rPr>
              <w:t>earned royalties of [***] on</w:t>
            </w:r>
            <w:r>
              <w:rPr>
                <w:rFonts w:ascii="Arial" w:cs="Arial" w:eastAsia="Arial" w:hAnsi="Arial"/>
                <w:sz w:val="22"/>
                <w:szCs w:val="22"/>
                <w:b w:val="1"/>
                <w:bCs w:val="1"/>
                <w:color w:val="auto"/>
                <w:w w:val="88"/>
              </w:rPr>
              <w:t xml:space="preserve"> Net Sales </w:t>
            </w:r>
            <w:r>
              <w:rPr>
                <w:rFonts w:ascii="Arial" w:cs="Arial" w:eastAsia="Arial" w:hAnsi="Arial"/>
                <w:sz w:val="22"/>
                <w:szCs w:val="22"/>
                <w:color w:val="auto"/>
                <w:w w:val="88"/>
              </w:rPr>
              <w:t>of</w:t>
            </w:r>
            <w:r>
              <w:rPr>
                <w:rFonts w:ascii="Arial" w:cs="Arial" w:eastAsia="Arial" w:hAnsi="Arial"/>
                <w:sz w:val="22"/>
                <w:szCs w:val="22"/>
                <w:b w:val="1"/>
                <w:bCs w:val="1"/>
                <w:color w:val="auto"/>
                <w:w w:val="88"/>
              </w:rPr>
              <w:t xml:space="preserve"> Licensed Products</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97"/>
              </w:rPr>
              <w:t xml:space="preserve">and/or </w:t>
            </w:r>
            <w:r>
              <w:rPr>
                <w:rFonts w:ascii="Arial" w:cs="Arial" w:eastAsia="Arial" w:hAnsi="Arial"/>
                <w:sz w:val="22"/>
                <w:szCs w:val="22"/>
                <w:b w:val="1"/>
                <w:bCs w:val="1"/>
                <w:color w:val="auto"/>
                <w:w w:val="97"/>
              </w:rPr>
              <w:t>Licensed Processes</w:t>
            </w:r>
            <w:r>
              <w:rPr>
                <w:rFonts w:ascii="Arial" w:cs="Arial" w:eastAsia="Arial" w:hAnsi="Arial"/>
                <w:sz w:val="22"/>
                <w:szCs w:val="22"/>
                <w:color w:val="auto"/>
                <w:w w:val="97"/>
              </w:rPr>
              <w:t xml:space="preserve"> by or on behalf of </w:t>
            </w:r>
            <w:r>
              <w:rPr>
                <w:rFonts w:ascii="Arial" w:cs="Arial" w:eastAsia="Arial" w:hAnsi="Arial"/>
                <w:sz w:val="22"/>
                <w:szCs w:val="22"/>
                <w:b w:val="1"/>
                <w:bCs w:val="1"/>
                <w:color w:val="auto"/>
                <w:w w:val="97"/>
              </w:rPr>
              <w:t>Licensee</w:t>
            </w:r>
            <w:r>
              <w:rPr>
                <w:rFonts w:ascii="Arial" w:cs="Arial" w:eastAsia="Arial" w:hAnsi="Arial"/>
                <w:sz w:val="22"/>
                <w:szCs w:val="22"/>
                <w:color w:val="auto"/>
                <w:w w:val="97"/>
              </w:rPr>
              <w:t xml:space="preserve"> or its sublicensees in any</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color w:val="auto"/>
                <w:w w:val="90"/>
              </w:rPr>
              <w:t xml:space="preserve">jurisdiction where </w:t>
            </w:r>
            <w:r>
              <w:rPr>
                <w:rFonts w:ascii="Arial" w:cs="Arial" w:eastAsia="Arial" w:hAnsi="Arial"/>
                <w:sz w:val="22"/>
                <w:szCs w:val="22"/>
                <w:b w:val="1"/>
                <w:bCs w:val="1"/>
                <w:color w:val="auto"/>
                <w:w w:val="90"/>
              </w:rPr>
              <w:t>Licensed Patent Rights</w:t>
            </w:r>
            <w:r>
              <w:rPr>
                <w:rFonts w:ascii="Arial" w:cs="Arial" w:eastAsia="Arial" w:hAnsi="Arial"/>
                <w:sz w:val="22"/>
                <w:szCs w:val="22"/>
                <w:color w:val="auto"/>
                <w:w w:val="90"/>
              </w:rPr>
              <w:t xml:space="preserve"> exist and in which </w:t>
            </w:r>
            <w:r>
              <w:rPr>
                <w:rFonts w:ascii="Arial" w:cs="Arial" w:eastAsia="Arial" w:hAnsi="Arial"/>
                <w:sz w:val="22"/>
                <w:szCs w:val="22"/>
                <w:b w:val="1"/>
                <w:bCs w:val="1"/>
                <w:color w:val="auto"/>
                <w:w w:val="90"/>
              </w:rPr>
              <w:t>Licensed Products</w:t>
            </w:r>
            <w:r>
              <w:rPr>
                <w:rFonts w:ascii="Arial" w:cs="Arial" w:eastAsia="Arial" w:hAnsi="Arial"/>
                <w:sz w:val="22"/>
                <w:szCs w:val="22"/>
                <w:color w:val="auto"/>
                <w:w w:val="90"/>
              </w:rPr>
              <w:t xml:space="preserve"> and/or</w:t>
            </w: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88"/>
              </w:rPr>
              <w:t xml:space="preserve">Licensed Processes </w:t>
            </w:r>
            <w:r>
              <w:rPr>
                <w:rFonts w:ascii="Arial" w:cs="Arial" w:eastAsia="Arial" w:hAnsi="Arial"/>
                <w:sz w:val="22"/>
                <w:szCs w:val="22"/>
                <w:color w:val="auto"/>
                <w:w w:val="88"/>
              </w:rPr>
              <w:t>(a) are covered</w:t>
            </w:r>
            <w:r>
              <w:rPr>
                <w:rFonts w:ascii="Arial" w:cs="Arial" w:eastAsia="Arial" w:hAnsi="Arial"/>
                <w:sz w:val="22"/>
                <w:szCs w:val="22"/>
                <w:b w:val="1"/>
                <w:bCs w:val="1"/>
                <w:color w:val="auto"/>
                <w:w w:val="88"/>
              </w:rPr>
              <w:t xml:space="preserve"> </w:t>
            </w:r>
            <w:r>
              <w:rPr>
                <w:rFonts w:ascii="Arial" w:cs="Arial" w:eastAsia="Arial" w:hAnsi="Arial"/>
                <w:sz w:val="22"/>
                <w:szCs w:val="22"/>
                <w:i w:val="1"/>
                <w:iCs w:val="1"/>
                <w:color w:val="auto"/>
                <w:w w:val="88"/>
              </w:rPr>
              <w:t>only</w:t>
            </w:r>
            <w:r>
              <w:rPr>
                <w:rFonts w:ascii="Arial" w:cs="Arial" w:eastAsia="Arial" w:hAnsi="Arial"/>
                <w:sz w:val="22"/>
                <w:szCs w:val="22"/>
                <w:b w:val="1"/>
                <w:bCs w:val="1"/>
                <w:color w:val="auto"/>
                <w:w w:val="88"/>
              </w:rPr>
              <w:t xml:space="preserve"> </w:t>
            </w:r>
            <w:r>
              <w:rPr>
                <w:rFonts w:ascii="Arial" w:cs="Arial" w:eastAsia="Arial" w:hAnsi="Arial"/>
                <w:sz w:val="22"/>
                <w:szCs w:val="22"/>
                <w:color w:val="auto"/>
                <w:w w:val="88"/>
              </w:rPr>
              <w:t>by a claim or claims of a patent application in the</w:t>
            </w:r>
          </w:p>
        </w:tc>
      </w:tr>
      <w:tr>
        <w:trPr>
          <w:trHeight w:val="2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Arial" w:cs="Arial" w:eastAsia="Arial" w:hAnsi="Arial"/>
                <w:sz w:val="22"/>
                <w:szCs w:val="22"/>
                <w:b w:val="1"/>
                <w:bCs w:val="1"/>
                <w:color w:val="auto"/>
              </w:rPr>
              <w:t xml:space="preserve">Licensed Patent Rights </w:t>
            </w:r>
            <w:r>
              <w:rPr>
                <w:rFonts w:ascii="Arial" w:cs="Arial" w:eastAsia="Arial" w:hAnsi="Arial"/>
                <w:sz w:val="22"/>
                <w:szCs w:val="22"/>
                <w:color w:val="auto"/>
              </w:rPr>
              <w:t>pending at least ten (10) years from its earliest</w:t>
            </w:r>
          </w:p>
        </w:tc>
      </w:tr>
      <w:tr>
        <w:trPr>
          <w:trHeight w:val="1036"/>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2" w:right="1440" w:bottom="1440" w:gutter="0" w:footer="0" w:header="0"/>
        </w:sectPr>
      </w:pPr>
    </w:p>
    <w:bookmarkStart w:id="118" w:name="page119"/>
    <w:bookmarkEnd w:id="118"/>
    <w:p>
      <w:pPr>
        <w:ind w:left="860" w:right="239"/>
        <w:spacing w:after="0" w:line="248" w:lineRule="auto"/>
        <w:rPr>
          <w:sz w:val="20"/>
          <w:szCs w:val="20"/>
          <w:color w:val="auto"/>
        </w:rPr>
      </w:pPr>
      <w:r>
        <w:rPr>
          <w:rFonts w:ascii="Arial" w:cs="Arial" w:eastAsia="Arial" w:hAnsi="Arial"/>
          <w:sz w:val="21"/>
          <w:szCs w:val="21"/>
          <w:color w:val="auto"/>
        </w:rPr>
        <w:t xml:space="preserve">claimed priority date, or (b) are not covered by a claim of a granted patent in the </w:t>
      </w:r>
      <w:r>
        <w:rPr>
          <w:rFonts w:ascii="Arial" w:cs="Arial" w:eastAsia="Arial" w:hAnsi="Arial"/>
          <w:sz w:val="21"/>
          <w:szCs w:val="21"/>
          <w:b w:val="1"/>
          <w:bCs w:val="1"/>
          <w:color w:val="auto"/>
        </w:rPr>
        <w:t>Licensed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Patent Rights </w:t>
      </w:r>
      <w:r>
        <w:rPr>
          <w:rFonts w:ascii="Arial" w:cs="Arial" w:eastAsia="Arial" w:hAnsi="Arial"/>
          <w:sz w:val="21"/>
          <w:szCs w:val="21"/>
          <w:color w:val="auto"/>
        </w:rPr>
        <w:t>in the case where patent prosecution is closed in the jurisdiction.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part (a) of the foregoing sentence, if such claim(s) later issue in a granted patent of the </w:t>
      </w:r>
      <w:r>
        <w:rPr>
          <w:rFonts w:ascii="Arial" w:cs="Arial" w:eastAsia="Arial" w:hAnsi="Arial"/>
          <w:sz w:val="21"/>
          <w:szCs w:val="21"/>
          <w:b w:val="1"/>
          <w:bCs w:val="1"/>
          <w:color w:val="auto"/>
        </w:rPr>
        <w:t>Licensed Patent Rights</w:t>
      </w:r>
      <w:r>
        <w:rPr>
          <w:rFonts w:ascii="Arial" w:cs="Arial" w:eastAsia="Arial" w:hAnsi="Arial"/>
          <w:sz w:val="21"/>
          <w:szCs w:val="21"/>
          <w:color w:val="auto"/>
        </w:rPr>
        <w:t xml:space="preserve"> that covers a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and/or </w:t>
      </w:r>
      <w:r>
        <w:rPr>
          <w:rFonts w:ascii="Arial" w:cs="Arial" w:eastAsia="Arial" w:hAnsi="Arial"/>
          <w:sz w:val="21"/>
          <w:szCs w:val="21"/>
          <w:b w:val="1"/>
          <w:bCs w:val="1"/>
          <w:color w:val="auto"/>
        </w:rPr>
        <w:t>Licensed Process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Licensee </w:t>
      </w:r>
      <w:r>
        <w:rPr>
          <w:rFonts w:ascii="Arial" w:cs="Arial" w:eastAsia="Arial" w:hAnsi="Arial"/>
          <w:sz w:val="21"/>
          <w:szCs w:val="21"/>
          <w:color w:val="auto"/>
        </w:rPr>
        <w:t>shall pay the</w:t>
      </w:r>
      <w:r>
        <w:rPr>
          <w:rFonts w:ascii="Arial" w:cs="Arial" w:eastAsia="Arial" w:hAnsi="Arial"/>
          <w:sz w:val="21"/>
          <w:szCs w:val="21"/>
          <w:b w:val="1"/>
          <w:bCs w:val="1"/>
          <w:color w:val="auto"/>
        </w:rPr>
        <w:t xml:space="preserve"> IC </w:t>
      </w:r>
      <w:r>
        <w:rPr>
          <w:rFonts w:ascii="Arial" w:cs="Arial" w:eastAsia="Arial" w:hAnsi="Arial"/>
          <w:sz w:val="21"/>
          <w:szCs w:val="21"/>
          <w:color w:val="auto"/>
        </w:rPr>
        <w:t>the balance of earned royalties which otherwise would have been</w:t>
      </w:r>
      <w:r>
        <w:rPr>
          <w:rFonts w:ascii="Arial" w:cs="Arial" w:eastAsia="Arial" w:hAnsi="Arial"/>
          <w:sz w:val="21"/>
          <w:szCs w:val="21"/>
          <w:b w:val="1"/>
          <w:bCs w:val="1"/>
          <w:color w:val="auto"/>
        </w:rPr>
        <w:t xml:space="preserve"> </w:t>
      </w:r>
      <w:r>
        <w:rPr>
          <w:rFonts w:ascii="Arial" w:cs="Arial" w:eastAsia="Arial" w:hAnsi="Arial"/>
          <w:sz w:val="21"/>
          <w:szCs w:val="21"/>
          <w:color w:val="auto"/>
        </w:rPr>
        <w:t>due had the claim(s) issued on or before the ten (10) year anniversary of the earliest claimed priority date.</w:t>
      </w:r>
    </w:p>
    <w:p>
      <w:pPr>
        <w:spacing w:after="0" w:line="171" w:lineRule="exact"/>
        <w:rPr>
          <w:sz w:val="20"/>
          <w:szCs w:val="20"/>
          <w:color w:val="auto"/>
        </w:rPr>
      </w:pPr>
    </w:p>
    <w:p>
      <w:pPr>
        <w:ind w:left="860" w:right="219"/>
        <w:spacing w:after="0" w:line="239" w:lineRule="auto"/>
        <w:rPr>
          <w:sz w:val="20"/>
          <w:szCs w:val="20"/>
          <w:color w:val="auto"/>
        </w:rPr>
      </w:pPr>
      <w:r>
        <w:rPr>
          <w:rFonts w:ascii="Arial" w:cs="Arial" w:eastAsia="Arial" w:hAnsi="Arial"/>
          <w:sz w:val="22"/>
          <w:szCs w:val="22"/>
          <w:color w:val="auto"/>
        </w:rPr>
        <w:t xml:space="preserve">For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received by or on behalf of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or its sublicensees for sales of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Products </w:t>
      </w:r>
      <w:r>
        <w:rPr>
          <w:rFonts w:ascii="Arial" w:cs="Arial" w:eastAsia="Arial" w:hAnsi="Arial"/>
          <w:sz w:val="22"/>
          <w:szCs w:val="22"/>
          <w:color w:val="auto"/>
        </w:rPr>
        <w:t>or practice of</w:t>
      </w:r>
      <w:r>
        <w:rPr>
          <w:rFonts w:ascii="Arial" w:cs="Arial" w:eastAsia="Arial" w:hAnsi="Arial"/>
          <w:sz w:val="22"/>
          <w:szCs w:val="22"/>
          <w:b w:val="1"/>
          <w:bCs w:val="1"/>
          <w:color w:val="auto"/>
        </w:rPr>
        <w:t xml:space="preserve"> Licensed Processes </w:t>
      </w:r>
      <w:r>
        <w:rPr>
          <w:rFonts w:ascii="Arial" w:cs="Arial" w:eastAsia="Arial" w:hAnsi="Arial"/>
          <w:sz w:val="22"/>
          <w:szCs w:val="22"/>
          <w:color w:val="auto"/>
        </w:rPr>
        <w:t>covered by</w:t>
      </w:r>
      <w:r>
        <w:rPr>
          <w:rFonts w:ascii="Arial" w:cs="Arial" w:eastAsia="Arial" w:hAnsi="Arial"/>
          <w:sz w:val="22"/>
          <w:szCs w:val="22"/>
          <w:b w:val="1"/>
          <w:bCs w:val="1"/>
          <w:color w:val="auto"/>
        </w:rPr>
        <w:t xml:space="preserve"> Licensed Patent Rights </w:t>
      </w:r>
      <w:r>
        <w:rPr>
          <w:rFonts w:ascii="Arial" w:cs="Arial" w:eastAsia="Arial" w:hAnsi="Arial"/>
          <w:sz w:val="22"/>
          <w:szCs w:val="22"/>
          <w:color w:val="auto"/>
        </w:rPr>
        <w:t>in both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Group A and Group B of Appendix A,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pay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an earned royalty of no more than [***].</w:t>
      </w:r>
    </w:p>
    <w:p>
      <w:pPr>
        <w:spacing w:after="0" w:line="180" w:lineRule="exact"/>
        <w:rPr>
          <w:sz w:val="20"/>
          <w:szCs w:val="20"/>
          <w:color w:val="auto"/>
        </w:rPr>
      </w:pPr>
    </w:p>
    <w:p>
      <w:pPr>
        <w:ind w:left="860" w:right="259" w:hanging="651"/>
        <w:spacing w:after="0" w:line="243" w:lineRule="auto"/>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the </w:t>
      </w:r>
      <w:r>
        <w:rPr>
          <w:rFonts w:ascii="Arial" w:cs="Arial" w:eastAsia="Arial" w:hAnsi="Arial"/>
          <w:sz w:val="22"/>
          <w:szCs w:val="22"/>
          <w:b w:val="1"/>
          <w:bCs w:val="1"/>
          <w:color w:val="auto"/>
        </w:rPr>
        <w:t>IC Benchmark</w:t>
      </w:r>
      <w:r>
        <w:rPr>
          <w:rFonts w:ascii="Arial" w:cs="Arial" w:eastAsia="Arial" w:hAnsi="Arial"/>
          <w:sz w:val="22"/>
          <w:szCs w:val="22"/>
          <w:color w:val="auto"/>
        </w:rPr>
        <w:t xml:space="preserve"> royalties within sixty (60) days of achieving each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listed below by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or its sublicensees for each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Product </w:t>
      </w:r>
      <w:r>
        <w:rPr>
          <w:rFonts w:ascii="Arial" w:cs="Arial" w:eastAsia="Arial" w:hAnsi="Arial"/>
          <w:sz w:val="22"/>
          <w:szCs w:val="22"/>
          <w:color w:val="auto"/>
        </w:rPr>
        <w:t>or</w:t>
      </w:r>
      <w:r>
        <w:rPr>
          <w:rFonts w:ascii="Arial" w:cs="Arial" w:eastAsia="Arial" w:hAnsi="Arial"/>
          <w:sz w:val="22"/>
          <w:szCs w:val="22"/>
          <w:b w:val="1"/>
          <w:bCs w:val="1"/>
          <w:color w:val="auto"/>
        </w:rPr>
        <w:t xml:space="preserve"> Licensed Process</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ind w:left="1500" w:right="259" w:hanging="643"/>
        <w:spacing w:after="0" w:line="256" w:lineRule="auto"/>
        <w:tabs>
          <w:tab w:leader="none" w:pos="15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For successful completion of the first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-sponsored Phase 2 Clinical Study in each indication of </w:t>
      </w:r>
      <w:r>
        <w:rPr>
          <w:rFonts w:ascii="Arial" w:cs="Arial" w:eastAsia="Arial" w:hAnsi="Arial"/>
          <w:sz w:val="22"/>
          <w:szCs w:val="22"/>
          <w:b w:val="1"/>
          <w:bCs w:val="1"/>
          <w:color w:val="auto"/>
        </w:rPr>
        <w:t>Licensed Field of Use 1</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Melanoma: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Breast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Lung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HPV-positive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Bladder cancer: [***]</w:t>
      </w:r>
    </w:p>
    <w:p>
      <w:pPr>
        <w:spacing w:after="0" w:line="200" w:lineRule="exact"/>
        <w:rPr>
          <w:rFonts w:ascii="Arial" w:cs="Arial" w:eastAsia="Arial" w:hAnsi="Arial"/>
          <w:sz w:val="22"/>
          <w:szCs w:val="22"/>
          <w:color w:val="auto"/>
        </w:rPr>
      </w:pPr>
    </w:p>
    <w:p>
      <w:pPr>
        <w:ind w:left="1500" w:right="479" w:hanging="643"/>
        <w:spacing w:after="0" w:line="256" w:lineRule="auto"/>
        <w:tabs>
          <w:tab w:leader="none" w:pos="15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For successful completion of the first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-sponsored Phase 3 Clinical Study for each indication in </w:t>
      </w:r>
      <w:r>
        <w:rPr>
          <w:rFonts w:ascii="Arial" w:cs="Arial" w:eastAsia="Arial" w:hAnsi="Arial"/>
          <w:sz w:val="22"/>
          <w:szCs w:val="22"/>
          <w:b w:val="1"/>
          <w:bCs w:val="1"/>
          <w:color w:val="auto"/>
        </w:rPr>
        <w:t>Licensed Field of Use 1</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Melanoma: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Breast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Lung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HPV-positive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Bladder Cancer: [***]</w:t>
      </w:r>
    </w:p>
    <w:p>
      <w:pPr>
        <w:spacing w:after="0" w:line="200" w:lineRule="exact"/>
        <w:rPr>
          <w:rFonts w:ascii="Arial" w:cs="Arial" w:eastAsia="Arial" w:hAnsi="Arial"/>
          <w:sz w:val="22"/>
          <w:szCs w:val="22"/>
          <w:color w:val="auto"/>
        </w:rPr>
      </w:pPr>
    </w:p>
    <w:p>
      <w:pPr>
        <w:ind w:left="1500" w:right="779" w:hanging="643"/>
        <w:spacing w:after="0" w:line="334" w:lineRule="auto"/>
        <w:tabs>
          <w:tab w:leader="none" w:pos="15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Upon the first </w:t>
      </w:r>
      <w:r>
        <w:rPr>
          <w:rFonts w:ascii="Arial" w:cs="Arial" w:eastAsia="Arial" w:hAnsi="Arial"/>
          <w:sz w:val="19"/>
          <w:szCs w:val="19"/>
          <w:b w:val="1"/>
          <w:bCs w:val="1"/>
          <w:color w:val="auto"/>
        </w:rPr>
        <w:t>FDA</w:t>
      </w:r>
      <w:r>
        <w:rPr>
          <w:rFonts w:ascii="Arial" w:cs="Arial" w:eastAsia="Arial" w:hAnsi="Arial"/>
          <w:sz w:val="19"/>
          <w:szCs w:val="19"/>
          <w:color w:val="auto"/>
        </w:rPr>
        <w:t xml:space="preserve"> approval or foreign equivalent for a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or </w:t>
      </w:r>
      <w:r>
        <w:rPr>
          <w:rFonts w:ascii="Arial" w:cs="Arial" w:eastAsia="Arial" w:hAnsi="Arial"/>
          <w:sz w:val="19"/>
          <w:szCs w:val="19"/>
          <w:b w:val="1"/>
          <w:bCs w:val="1"/>
          <w:color w:val="auto"/>
        </w:rPr>
        <w:t xml:space="preserve">Licensed Process </w:t>
      </w:r>
      <w:r>
        <w:rPr>
          <w:rFonts w:ascii="Arial" w:cs="Arial" w:eastAsia="Arial" w:hAnsi="Arial"/>
          <w:sz w:val="19"/>
          <w:szCs w:val="19"/>
          <w:color w:val="auto"/>
        </w:rPr>
        <w:t>for each indication in the</w:t>
      </w:r>
      <w:r>
        <w:rPr>
          <w:rFonts w:ascii="Arial" w:cs="Arial" w:eastAsia="Arial" w:hAnsi="Arial"/>
          <w:sz w:val="19"/>
          <w:szCs w:val="19"/>
          <w:b w:val="1"/>
          <w:bCs w:val="1"/>
          <w:color w:val="auto"/>
        </w:rPr>
        <w:t xml:space="preserve"> Licensed Field of Use 1</w:t>
      </w:r>
      <w:r>
        <w:rPr>
          <w:rFonts w:ascii="Arial" w:cs="Arial" w:eastAsia="Arial" w:hAnsi="Arial"/>
          <w:sz w:val="19"/>
          <w:szCs w:val="19"/>
          <w:color w:val="auto"/>
        </w:rPr>
        <w:t>.</w:t>
      </w:r>
    </w:p>
    <w:p>
      <w:pPr>
        <w:spacing w:after="0" w:line="99" w:lineRule="exact"/>
        <w:rPr>
          <w:rFonts w:ascii="Arial" w:cs="Arial" w:eastAsia="Arial" w:hAnsi="Arial"/>
          <w:sz w:val="19"/>
          <w:szCs w:val="19"/>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Melanoma: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67"/>
        </w:numPr>
        <w:rPr>
          <w:rFonts w:ascii="Arial" w:cs="Arial" w:eastAsia="Arial" w:hAnsi="Arial"/>
          <w:sz w:val="22"/>
          <w:szCs w:val="22"/>
          <w:color w:val="auto"/>
        </w:rPr>
      </w:pPr>
      <w:r>
        <w:rPr>
          <w:rFonts w:ascii="Arial" w:cs="Arial" w:eastAsia="Arial" w:hAnsi="Arial"/>
          <w:sz w:val="22"/>
          <w:szCs w:val="22"/>
          <w:color w:val="auto"/>
        </w:rPr>
        <w:t>Breast cancer: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795655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9" w:name="page120"/>
    <w:bookmarkEnd w:id="119"/>
    <w:p>
      <w:pPr>
        <w:ind w:left="2160" w:hanging="655"/>
        <w:spacing w:after="0"/>
        <w:tabs>
          <w:tab w:leader="none" w:pos="21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Lung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HPV-positive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Bladder cancer: [***]</w:t>
      </w:r>
    </w:p>
    <w:p>
      <w:pPr>
        <w:spacing w:after="0" w:line="200" w:lineRule="exact"/>
        <w:rPr>
          <w:rFonts w:ascii="Arial" w:cs="Arial" w:eastAsia="Arial" w:hAnsi="Arial"/>
          <w:sz w:val="22"/>
          <w:szCs w:val="22"/>
          <w:color w:val="auto"/>
        </w:rPr>
      </w:pPr>
    </w:p>
    <w:p>
      <w:pPr>
        <w:ind w:left="1500" w:right="339" w:hanging="643"/>
        <w:spacing w:after="0" w:line="334" w:lineRule="auto"/>
        <w:tabs>
          <w:tab w:leader="none" w:pos="15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For the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of a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or </w:t>
      </w:r>
      <w:r>
        <w:rPr>
          <w:rFonts w:ascii="Arial" w:cs="Arial" w:eastAsia="Arial" w:hAnsi="Arial"/>
          <w:sz w:val="19"/>
          <w:szCs w:val="19"/>
          <w:b w:val="1"/>
          <w:bCs w:val="1"/>
          <w:color w:val="auto"/>
        </w:rPr>
        <w:t>Licensed Process</w:t>
      </w:r>
      <w:r>
        <w:rPr>
          <w:rFonts w:ascii="Arial" w:cs="Arial" w:eastAsia="Arial" w:hAnsi="Arial"/>
          <w:sz w:val="19"/>
          <w:szCs w:val="19"/>
          <w:color w:val="auto"/>
        </w:rPr>
        <w:t xml:space="preserve"> in the United States for each indication in the </w:t>
      </w:r>
      <w:r>
        <w:rPr>
          <w:rFonts w:ascii="Arial" w:cs="Arial" w:eastAsia="Arial" w:hAnsi="Arial"/>
          <w:sz w:val="19"/>
          <w:szCs w:val="19"/>
          <w:b w:val="1"/>
          <w:bCs w:val="1"/>
          <w:color w:val="auto"/>
        </w:rPr>
        <w:t>Licensed Field of Use 1</w:t>
      </w:r>
      <w:r>
        <w:rPr>
          <w:rFonts w:ascii="Arial" w:cs="Arial" w:eastAsia="Arial" w:hAnsi="Arial"/>
          <w:sz w:val="19"/>
          <w:szCs w:val="19"/>
          <w:color w:val="auto"/>
        </w:rPr>
        <w:t>.</w:t>
      </w:r>
    </w:p>
    <w:p>
      <w:pPr>
        <w:spacing w:after="0" w:line="99" w:lineRule="exact"/>
        <w:rPr>
          <w:rFonts w:ascii="Arial" w:cs="Arial" w:eastAsia="Arial" w:hAnsi="Arial"/>
          <w:sz w:val="19"/>
          <w:szCs w:val="19"/>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Melanoma: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Breast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Lung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HPV-positive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Bladder cancer: [***]</w:t>
      </w:r>
    </w:p>
    <w:p>
      <w:pPr>
        <w:spacing w:after="0" w:line="200" w:lineRule="exact"/>
        <w:rPr>
          <w:rFonts w:ascii="Arial" w:cs="Arial" w:eastAsia="Arial" w:hAnsi="Arial"/>
          <w:sz w:val="22"/>
          <w:szCs w:val="22"/>
          <w:color w:val="auto"/>
        </w:rPr>
      </w:pPr>
    </w:p>
    <w:p>
      <w:pPr>
        <w:ind w:left="1500" w:right="279" w:hanging="643"/>
        <w:spacing w:after="0" w:line="334" w:lineRule="auto"/>
        <w:tabs>
          <w:tab w:leader="none" w:pos="15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For the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of a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or </w:t>
      </w:r>
      <w:r>
        <w:rPr>
          <w:rFonts w:ascii="Arial" w:cs="Arial" w:eastAsia="Arial" w:hAnsi="Arial"/>
          <w:sz w:val="19"/>
          <w:szCs w:val="19"/>
          <w:b w:val="1"/>
          <w:bCs w:val="1"/>
          <w:color w:val="auto"/>
        </w:rPr>
        <w:t>Licensed Process</w:t>
      </w:r>
      <w:r>
        <w:rPr>
          <w:rFonts w:ascii="Arial" w:cs="Arial" w:eastAsia="Arial" w:hAnsi="Arial"/>
          <w:sz w:val="19"/>
          <w:szCs w:val="19"/>
          <w:color w:val="auto"/>
        </w:rPr>
        <w:t xml:space="preserve"> in any foreign country for each indication in the </w:t>
      </w:r>
      <w:r>
        <w:rPr>
          <w:rFonts w:ascii="Arial" w:cs="Arial" w:eastAsia="Arial" w:hAnsi="Arial"/>
          <w:sz w:val="19"/>
          <w:szCs w:val="19"/>
          <w:b w:val="1"/>
          <w:bCs w:val="1"/>
          <w:color w:val="auto"/>
        </w:rPr>
        <w:t>Licensed Field of Use 1</w:t>
      </w:r>
      <w:r>
        <w:rPr>
          <w:rFonts w:ascii="Arial" w:cs="Arial" w:eastAsia="Arial" w:hAnsi="Arial"/>
          <w:sz w:val="19"/>
          <w:szCs w:val="19"/>
          <w:color w:val="auto"/>
        </w:rPr>
        <w:t>.</w:t>
      </w:r>
    </w:p>
    <w:p>
      <w:pPr>
        <w:spacing w:after="0" w:line="99" w:lineRule="exact"/>
        <w:rPr>
          <w:rFonts w:ascii="Arial" w:cs="Arial" w:eastAsia="Arial" w:hAnsi="Arial"/>
          <w:sz w:val="19"/>
          <w:szCs w:val="19"/>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Melanoma: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Breast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Lung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HPV-positive cancer: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Bladder cancer: [***]</w:t>
      </w:r>
    </w:p>
    <w:p>
      <w:pPr>
        <w:spacing w:after="0" w:line="200" w:lineRule="exact"/>
        <w:rPr>
          <w:rFonts w:ascii="Arial" w:cs="Arial" w:eastAsia="Arial" w:hAnsi="Arial"/>
          <w:sz w:val="22"/>
          <w:szCs w:val="22"/>
          <w:color w:val="auto"/>
        </w:rPr>
      </w:pPr>
    </w:p>
    <w:p>
      <w:pPr>
        <w:jc w:val="both"/>
        <w:ind w:left="1500" w:right="419" w:hanging="643"/>
        <w:spacing w:after="0" w:line="243" w:lineRule="auto"/>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Upon the first time the aggregate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of all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Processes </w:t>
      </w:r>
      <w:r>
        <w:rPr>
          <w:rFonts w:ascii="Arial" w:cs="Arial" w:eastAsia="Arial" w:hAnsi="Arial"/>
          <w:sz w:val="22"/>
          <w:szCs w:val="22"/>
          <w:color w:val="auto"/>
        </w:rPr>
        <w:t>achieve the following thresholds, the</w:t>
      </w:r>
      <w:r>
        <w:rPr>
          <w:rFonts w:ascii="Arial" w:cs="Arial" w:eastAsia="Arial" w:hAnsi="Arial"/>
          <w:sz w:val="22"/>
          <w:szCs w:val="22"/>
          <w:b w:val="1"/>
          <w:bCs w:val="1"/>
          <w:color w:val="auto"/>
        </w:rPr>
        <w:t xml:space="preserve"> Licensee </w:t>
      </w:r>
      <w:r>
        <w:rPr>
          <w:rFonts w:ascii="Arial" w:cs="Arial" w:eastAsia="Arial" w:hAnsi="Arial"/>
          <w:sz w:val="22"/>
          <w:szCs w:val="22"/>
          <w:color w:val="auto"/>
        </w:rPr>
        <w:t xml:space="preserve">pays the following one-time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royalties:</w:t>
      </w:r>
    </w:p>
    <w:p>
      <w:pPr>
        <w:spacing w:after="0" w:line="177" w:lineRule="exact"/>
        <w:rPr>
          <w:sz w:val="20"/>
          <w:szCs w:val="20"/>
          <w:color w:val="auto"/>
        </w:rPr>
      </w:pPr>
    </w:p>
    <w:p>
      <w:pPr>
        <w:ind w:left="2160" w:right="419" w:hanging="655"/>
        <w:spacing w:after="0" w:line="256" w:lineRule="auto"/>
        <w:tabs>
          <w:tab w:leader="none" w:pos="21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 when the aggregate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of all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Processes </w:t>
      </w:r>
      <w:r>
        <w:rPr>
          <w:rFonts w:ascii="Arial" w:cs="Arial" w:eastAsia="Arial" w:hAnsi="Arial"/>
          <w:sz w:val="22"/>
          <w:szCs w:val="22"/>
          <w:color w:val="auto"/>
        </w:rPr>
        <w:t>reaches [***].</w:t>
      </w:r>
    </w:p>
    <w:p>
      <w:pPr>
        <w:spacing w:after="0" w:line="162" w:lineRule="exact"/>
        <w:rPr>
          <w:rFonts w:ascii="Arial" w:cs="Arial" w:eastAsia="Arial" w:hAnsi="Arial"/>
          <w:sz w:val="22"/>
          <w:szCs w:val="22"/>
          <w:color w:val="auto"/>
        </w:rPr>
      </w:pPr>
    </w:p>
    <w:p>
      <w:pPr>
        <w:ind w:left="2160" w:right="419" w:hanging="655"/>
        <w:spacing w:after="0" w:line="256" w:lineRule="auto"/>
        <w:tabs>
          <w:tab w:leader="none" w:pos="21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 when the aggregate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of all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Processes </w:t>
      </w:r>
      <w:r>
        <w:rPr>
          <w:rFonts w:ascii="Arial" w:cs="Arial" w:eastAsia="Arial" w:hAnsi="Arial"/>
          <w:sz w:val="22"/>
          <w:szCs w:val="22"/>
          <w:color w:val="auto"/>
        </w:rPr>
        <w:t>reaches [***].</w:t>
      </w:r>
    </w:p>
    <w:p>
      <w:pPr>
        <w:spacing w:after="0" w:line="162" w:lineRule="exact"/>
        <w:rPr>
          <w:sz w:val="20"/>
          <w:szCs w:val="20"/>
          <w:color w:val="auto"/>
        </w:rPr>
      </w:pPr>
    </w:p>
    <w:p>
      <w:pPr>
        <w:ind w:left="860" w:right="219"/>
        <w:spacing w:after="0" w:line="280"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“successful completion of a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-sponsored Phase 2 Clinical Study” shall mean, with respect to a specified construct, formulation and dose of a specified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in a specified cancer indication, the statistical demonstration in a pivotal Phase 2 Clinical Study of safety and efficacy, sufficient to support a Phase 3 clinical trial submission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for such specified construct, formulation and dose of such specified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for the treatment of such specified cancer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760730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0" w:name="page121"/>
    <w:bookmarkEnd w:id="120"/>
    <w:p>
      <w:pPr>
        <w:ind w:left="860" w:right="219"/>
        <w:spacing w:after="0" w:line="280"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“successful completion of a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-sponsored Phase 3 Clinical Study” shall mean, with respect to a specified construct, formulation and dose of a specified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in a specified cancer indication, the statistical demonstration in a pivotal Phase 3 Clinical Study of safety and efficacy, sufficient to support a BLA submission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for such specified construct, formulation and dose of such specified </w:t>
      </w:r>
      <w:r>
        <w:rPr>
          <w:rFonts w:ascii="Arial" w:cs="Arial" w:eastAsia="Arial" w:hAnsi="Arial"/>
          <w:sz w:val="19"/>
          <w:szCs w:val="19"/>
          <w:b w:val="1"/>
          <w:bCs w:val="1"/>
          <w:color w:val="auto"/>
        </w:rPr>
        <w:t>Licensed Product</w:t>
      </w:r>
      <w:r>
        <w:rPr>
          <w:rFonts w:ascii="Arial" w:cs="Arial" w:eastAsia="Arial" w:hAnsi="Arial"/>
          <w:sz w:val="19"/>
          <w:szCs w:val="19"/>
          <w:color w:val="auto"/>
        </w:rPr>
        <w:t xml:space="preserve"> for the treatment of such specified cancer indication.</w:t>
      </w:r>
    </w:p>
    <w:p>
      <w:pPr>
        <w:spacing w:after="0" w:line="145" w:lineRule="exact"/>
        <w:rPr>
          <w:sz w:val="20"/>
          <w:szCs w:val="20"/>
          <w:color w:val="auto"/>
        </w:rPr>
      </w:pPr>
    </w:p>
    <w:p>
      <w:pPr>
        <w:ind w:left="860" w:right="239"/>
        <w:spacing w:after="0" w:line="235" w:lineRule="auto"/>
        <w:rPr>
          <w:sz w:val="20"/>
          <w:szCs w:val="20"/>
          <w:color w:val="auto"/>
        </w:rPr>
      </w:pPr>
      <w:r>
        <w:rPr>
          <w:rFonts w:ascii="Arial" w:cs="Arial" w:eastAsia="Arial" w:hAnsi="Arial"/>
          <w:sz w:val="22"/>
          <w:szCs w:val="22"/>
          <w:color w:val="auto"/>
        </w:rPr>
        <w:t xml:space="preserve">For clarity, under Appendix C- Paragraph V(a-e) only one (1)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royalty payment shall be payable upon achievement of the specified event for each indication. For example, only one (1)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royalty payment shall be due upon achievement of each specified milestone for a first </w:t>
      </w:r>
      <w:r>
        <w:rPr>
          <w:rFonts w:ascii="Arial" w:cs="Arial" w:eastAsia="Arial" w:hAnsi="Arial"/>
          <w:sz w:val="22"/>
          <w:szCs w:val="22"/>
          <w:b w:val="1"/>
          <w:bCs w:val="1"/>
          <w:color w:val="auto"/>
        </w:rPr>
        <w:t>Licensed Product</w:t>
      </w:r>
      <w:r>
        <w:rPr>
          <w:rFonts w:ascii="Arial" w:cs="Arial" w:eastAsia="Arial" w:hAnsi="Arial"/>
          <w:sz w:val="22"/>
          <w:szCs w:val="22"/>
          <w:color w:val="auto"/>
        </w:rPr>
        <w:t xml:space="preserve"> or </w:t>
      </w:r>
      <w:r>
        <w:rPr>
          <w:rFonts w:ascii="Arial" w:cs="Arial" w:eastAsia="Arial" w:hAnsi="Arial"/>
          <w:sz w:val="22"/>
          <w:szCs w:val="22"/>
          <w:b w:val="1"/>
          <w:bCs w:val="1"/>
          <w:color w:val="auto"/>
        </w:rPr>
        <w:t>Licensed Process</w:t>
      </w:r>
      <w:r>
        <w:rPr>
          <w:rFonts w:ascii="Arial" w:cs="Arial" w:eastAsia="Arial" w:hAnsi="Arial"/>
          <w:sz w:val="22"/>
          <w:szCs w:val="22"/>
          <w:color w:val="auto"/>
        </w:rPr>
        <w:t xml:space="preserve"> treating an HPV-positive cancer indication. Therefore, further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w:t>
      </w:r>
      <w:r>
        <w:rPr>
          <w:rFonts w:ascii="Arial" w:cs="Arial" w:eastAsia="Arial" w:hAnsi="Arial"/>
          <w:sz w:val="22"/>
          <w:szCs w:val="22"/>
          <w:b w:val="1"/>
          <w:bCs w:val="1"/>
          <w:color w:val="auto"/>
        </w:rPr>
        <w:t>Licensed Processes</w:t>
      </w:r>
      <w:r>
        <w:rPr>
          <w:rFonts w:ascii="Arial" w:cs="Arial" w:eastAsia="Arial" w:hAnsi="Arial"/>
          <w:sz w:val="22"/>
          <w:szCs w:val="22"/>
          <w:color w:val="auto"/>
        </w:rPr>
        <w:t xml:space="preserve"> treating additional HPV-positive cancer indications will not each require separate benchmark royalty payments.</w:t>
      </w:r>
    </w:p>
    <w:p>
      <w:pPr>
        <w:spacing w:after="0" w:line="18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pay the </w:t>
      </w:r>
      <w:r>
        <w:rPr>
          <w:rFonts w:ascii="Arial" w:cs="Arial" w:eastAsia="Arial" w:hAnsi="Arial"/>
          <w:sz w:val="22"/>
          <w:szCs w:val="22"/>
          <w:b w:val="1"/>
          <w:bCs w:val="1"/>
          <w:color w:val="auto"/>
        </w:rPr>
        <w:t>IC</w:t>
      </w:r>
      <w:r>
        <w:rPr>
          <w:rFonts w:ascii="Arial" w:cs="Arial" w:eastAsia="Arial" w:hAnsi="Arial"/>
          <w:sz w:val="22"/>
          <w:szCs w:val="22"/>
          <w:color w:val="auto"/>
        </w:rPr>
        <w:t>:</w:t>
      </w:r>
    </w:p>
    <w:p>
      <w:pPr>
        <w:spacing w:after="0" w:line="212" w:lineRule="exact"/>
        <w:rPr>
          <w:sz w:val="20"/>
          <w:szCs w:val="20"/>
          <w:color w:val="auto"/>
        </w:rPr>
      </w:pPr>
    </w:p>
    <w:p>
      <w:pPr>
        <w:ind w:left="1500" w:right="259" w:hanging="643"/>
        <w:spacing w:after="0" w:line="245" w:lineRule="auto"/>
        <w:tabs>
          <w:tab w:leader="none" w:pos="15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additional sublicensing royalties of [***] on the fair market value of any consideration received for granting each sublicense under </w:t>
      </w:r>
      <w:r>
        <w:rPr>
          <w:rFonts w:ascii="Arial" w:cs="Arial" w:eastAsia="Arial" w:hAnsi="Arial"/>
          <w:sz w:val="21"/>
          <w:szCs w:val="21"/>
          <w:b w:val="1"/>
          <w:bCs w:val="1"/>
          <w:color w:val="auto"/>
        </w:rPr>
        <w:t>Licensed Patent Rights</w:t>
      </w:r>
      <w:r>
        <w:rPr>
          <w:rFonts w:ascii="Arial" w:cs="Arial" w:eastAsia="Arial" w:hAnsi="Arial"/>
          <w:sz w:val="21"/>
          <w:szCs w:val="21"/>
          <w:color w:val="auto"/>
        </w:rPr>
        <w:t xml:space="preserve"> for a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or </w:t>
      </w:r>
      <w:r>
        <w:rPr>
          <w:rFonts w:ascii="Arial" w:cs="Arial" w:eastAsia="Arial" w:hAnsi="Arial"/>
          <w:sz w:val="21"/>
          <w:szCs w:val="21"/>
          <w:b w:val="1"/>
          <w:bCs w:val="1"/>
          <w:color w:val="auto"/>
        </w:rPr>
        <w:t>Licensed Process</w:t>
      </w:r>
      <w:r>
        <w:rPr>
          <w:rFonts w:ascii="Arial" w:cs="Arial" w:eastAsia="Arial" w:hAnsi="Arial"/>
          <w:sz w:val="21"/>
          <w:szCs w:val="21"/>
          <w:color w:val="auto"/>
        </w:rPr>
        <w:t xml:space="preserve"> (excluding any consideration received for granting a license or sublicense under any intellectual property which is not the </w:t>
      </w:r>
      <w:r>
        <w:rPr>
          <w:rFonts w:ascii="Arial" w:cs="Arial" w:eastAsia="Arial" w:hAnsi="Arial"/>
          <w:sz w:val="21"/>
          <w:szCs w:val="21"/>
          <w:b w:val="1"/>
          <w:bCs w:val="1"/>
          <w:color w:val="auto"/>
        </w:rPr>
        <w:t>Licensed Patent Rights</w:t>
      </w:r>
      <w:r>
        <w:rPr>
          <w:rFonts w:ascii="Arial" w:cs="Arial" w:eastAsia="Arial" w:hAnsi="Arial"/>
          <w:sz w:val="21"/>
          <w:szCs w:val="21"/>
          <w:color w:val="auto"/>
        </w:rPr>
        <w:t>) within sixty (60) days of the execution of each sublicense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if any such sublicense is executed prior to the achievement of the </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in Appendix D for </w:t>
      </w:r>
      <w:r>
        <w:rPr>
          <w:rFonts w:ascii="Arial" w:cs="Arial" w:eastAsia="Arial" w:hAnsi="Arial"/>
          <w:sz w:val="21"/>
          <w:szCs w:val="21"/>
          <w:b w:val="1"/>
          <w:bCs w:val="1"/>
          <w:color w:val="auto"/>
        </w:rPr>
        <w:t>FDA</w:t>
      </w:r>
      <w:r>
        <w:rPr>
          <w:rFonts w:ascii="Arial" w:cs="Arial" w:eastAsia="Arial" w:hAnsi="Arial"/>
          <w:sz w:val="21"/>
          <w:szCs w:val="21"/>
          <w:color w:val="auto"/>
        </w:rPr>
        <w:t xml:space="preserve"> approval or foreign equivalent for a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or </w:t>
      </w:r>
      <w:r>
        <w:rPr>
          <w:rFonts w:ascii="Arial" w:cs="Arial" w:eastAsia="Arial" w:hAnsi="Arial"/>
          <w:sz w:val="21"/>
          <w:szCs w:val="21"/>
          <w:b w:val="1"/>
          <w:bCs w:val="1"/>
          <w:color w:val="auto"/>
        </w:rPr>
        <w:t xml:space="preserve">Licensed Process </w:t>
      </w:r>
      <w:r>
        <w:rPr>
          <w:rFonts w:ascii="Arial" w:cs="Arial" w:eastAsia="Arial" w:hAnsi="Arial"/>
          <w:sz w:val="21"/>
          <w:szCs w:val="21"/>
          <w:color w:val="auto"/>
        </w:rPr>
        <w:t>within each indication in</w:t>
      </w:r>
      <w:r>
        <w:rPr>
          <w:rFonts w:ascii="Arial" w:cs="Arial" w:eastAsia="Arial" w:hAnsi="Arial"/>
          <w:sz w:val="21"/>
          <w:szCs w:val="21"/>
          <w:b w:val="1"/>
          <w:bCs w:val="1"/>
          <w:color w:val="auto"/>
        </w:rPr>
        <w:t xml:space="preserve"> Licensed Field of Use 1 </w:t>
      </w:r>
      <w:r>
        <w:rPr>
          <w:rFonts w:ascii="Arial" w:cs="Arial" w:eastAsia="Arial" w:hAnsi="Arial"/>
          <w:sz w:val="21"/>
          <w:szCs w:val="21"/>
          <w:color w:val="auto"/>
        </w:rPr>
        <w:t>from</w:t>
      </w:r>
      <w:r>
        <w:rPr>
          <w:rFonts w:ascii="Arial" w:cs="Arial" w:eastAsia="Arial" w:hAnsi="Arial"/>
          <w:sz w:val="21"/>
          <w:szCs w:val="21"/>
          <w:b w:val="1"/>
          <w:bCs w:val="1"/>
          <w:color w:val="auto"/>
        </w:rPr>
        <w:t xml:space="preserve"> </w:t>
      </w:r>
      <w:r>
        <w:rPr>
          <w:rFonts w:ascii="Arial" w:cs="Arial" w:eastAsia="Arial" w:hAnsi="Arial"/>
          <w:sz w:val="21"/>
          <w:szCs w:val="21"/>
          <w:color w:val="auto"/>
        </w:rPr>
        <w:t>Appendix B; and</w:t>
      </w:r>
    </w:p>
    <w:p>
      <w:pPr>
        <w:spacing w:after="0" w:line="184" w:lineRule="exact"/>
        <w:rPr>
          <w:rFonts w:ascii="Arial" w:cs="Arial" w:eastAsia="Arial" w:hAnsi="Arial"/>
          <w:sz w:val="21"/>
          <w:szCs w:val="21"/>
          <w:color w:val="auto"/>
        </w:rPr>
      </w:pPr>
    </w:p>
    <w:p>
      <w:pPr>
        <w:ind w:left="1500" w:right="259" w:hanging="643"/>
        <w:spacing w:after="0" w:line="245" w:lineRule="auto"/>
        <w:tabs>
          <w:tab w:leader="none" w:pos="15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additional sublicensing royalties of [***] on the fair market value of any consideration received for granting each sublicense under </w:t>
      </w:r>
      <w:r>
        <w:rPr>
          <w:rFonts w:ascii="Arial" w:cs="Arial" w:eastAsia="Arial" w:hAnsi="Arial"/>
          <w:sz w:val="21"/>
          <w:szCs w:val="21"/>
          <w:b w:val="1"/>
          <w:bCs w:val="1"/>
          <w:color w:val="auto"/>
        </w:rPr>
        <w:t>Licensed Patent Rights</w:t>
      </w:r>
      <w:r>
        <w:rPr>
          <w:rFonts w:ascii="Arial" w:cs="Arial" w:eastAsia="Arial" w:hAnsi="Arial"/>
          <w:sz w:val="21"/>
          <w:szCs w:val="21"/>
          <w:color w:val="auto"/>
        </w:rPr>
        <w:t xml:space="preserve"> for a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or </w:t>
      </w:r>
      <w:r>
        <w:rPr>
          <w:rFonts w:ascii="Arial" w:cs="Arial" w:eastAsia="Arial" w:hAnsi="Arial"/>
          <w:sz w:val="21"/>
          <w:szCs w:val="21"/>
          <w:b w:val="1"/>
          <w:bCs w:val="1"/>
          <w:color w:val="auto"/>
        </w:rPr>
        <w:t>Licensed Process</w:t>
      </w:r>
      <w:r>
        <w:rPr>
          <w:rFonts w:ascii="Arial" w:cs="Arial" w:eastAsia="Arial" w:hAnsi="Arial"/>
          <w:sz w:val="21"/>
          <w:szCs w:val="21"/>
          <w:color w:val="auto"/>
        </w:rPr>
        <w:t xml:space="preserve"> (excluding any consideration received for granting a license or sublicense under any intellectual property which is not the </w:t>
      </w:r>
      <w:r>
        <w:rPr>
          <w:rFonts w:ascii="Arial" w:cs="Arial" w:eastAsia="Arial" w:hAnsi="Arial"/>
          <w:sz w:val="21"/>
          <w:szCs w:val="21"/>
          <w:b w:val="1"/>
          <w:bCs w:val="1"/>
          <w:color w:val="auto"/>
        </w:rPr>
        <w:t>Licensed Patent Rights</w:t>
      </w:r>
      <w:r>
        <w:rPr>
          <w:rFonts w:ascii="Arial" w:cs="Arial" w:eastAsia="Arial" w:hAnsi="Arial"/>
          <w:sz w:val="21"/>
          <w:szCs w:val="21"/>
          <w:color w:val="auto"/>
        </w:rPr>
        <w:t>) within sixty (60) days of the execution of each sublicense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if any such sublicense is executed following the achievement of the </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in Appendix D for </w:t>
      </w:r>
      <w:r>
        <w:rPr>
          <w:rFonts w:ascii="Arial" w:cs="Arial" w:eastAsia="Arial" w:hAnsi="Arial"/>
          <w:sz w:val="21"/>
          <w:szCs w:val="21"/>
          <w:b w:val="1"/>
          <w:bCs w:val="1"/>
          <w:color w:val="auto"/>
        </w:rPr>
        <w:t>FDA</w:t>
      </w:r>
      <w:r>
        <w:rPr>
          <w:rFonts w:ascii="Arial" w:cs="Arial" w:eastAsia="Arial" w:hAnsi="Arial"/>
          <w:sz w:val="21"/>
          <w:szCs w:val="21"/>
          <w:color w:val="auto"/>
        </w:rPr>
        <w:t xml:space="preserve"> approval or foreign equivalent for a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or </w:t>
      </w:r>
      <w:r>
        <w:rPr>
          <w:rFonts w:ascii="Arial" w:cs="Arial" w:eastAsia="Arial" w:hAnsi="Arial"/>
          <w:sz w:val="21"/>
          <w:szCs w:val="21"/>
          <w:b w:val="1"/>
          <w:bCs w:val="1"/>
          <w:color w:val="auto"/>
        </w:rPr>
        <w:t xml:space="preserve">Licensed Process </w:t>
      </w:r>
      <w:r>
        <w:rPr>
          <w:rFonts w:ascii="Arial" w:cs="Arial" w:eastAsia="Arial" w:hAnsi="Arial"/>
          <w:sz w:val="21"/>
          <w:szCs w:val="21"/>
          <w:color w:val="auto"/>
        </w:rPr>
        <w:t>within each indication in</w:t>
      </w:r>
      <w:r>
        <w:rPr>
          <w:rFonts w:ascii="Arial" w:cs="Arial" w:eastAsia="Arial" w:hAnsi="Arial"/>
          <w:sz w:val="21"/>
          <w:szCs w:val="21"/>
          <w:b w:val="1"/>
          <w:bCs w:val="1"/>
          <w:color w:val="auto"/>
        </w:rPr>
        <w:t xml:space="preserve"> Licensed Field of Use 1 </w:t>
      </w:r>
      <w:r>
        <w:rPr>
          <w:rFonts w:ascii="Arial" w:cs="Arial" w:eastAsia="Arial" w:hAnsi="Arial"/>
          <w:sz w:val="21"/>
          <w:szCs w:val="21"/>
          <w:color w:val="auto"/>
        </w:rPr>
        <w:t>from</w:t>
      </w:r>
      <w:r>
        <w:rPr>
          <w:rFonts w:ascii="Arial" w:cs="Arial" w:eastAsia="Arial" w:hAnsi="Arial"/>
          <w:sz w:val="21"/>
          <w:szCs w:val="21"/>
          <w:b w:val="1"/>
          <w:bCs w:val="1"/>
          <w:color w:val="auto"/>
        </w:rPr>
        <w:t xml:space="preserve"> </w:t>
      </w:r>
      <w:r>
        <w:rPr>
          <w:rFonts w:ascii="Arial" w:cs="Arial" w:eastAsia="Arial" w:hAnsi="Arial"/>
          <w:sz w:val="21"/>
          <w:szCs w:val="21"/>
          <w:color w:val="auto"/>
        </w:rPr>
        <w:t>Appendix B.</w:t>
      </w:r>
    </w:p>
    <w:p>
      <w:pPr>
        <w:spacing w:after="0" w:line="178" w:lineRule="exact"/>
        <w:rPr>
          <w:rFonts w:ascii="Arial" w:cs="Arial" w:eastAsia="Arial" w:hAnsi="Arial"/>
          <w:sz w:val="21"/>
          <w:szCs w:val="21"/>
          <w:color w:val="auto"/>
        </w:rPr>
      </w:pPr>
    </w:p>
    <w:p>
      <w:pPr>
        <w:ind w:left="1500" w:right="1439" w:hanging="643"/>
        <w:spacing w:after="0" w:line="256" w:lineRule="auto"/>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to the contrary, any such consideration will not include the following:</w:t>
      </w:r>
    </w:p>
    <w:p>
      <w:pPr>
        <w:spacing w:after="0" w:line="168" w:lineRule="exact"/>
        <w:rPr>
          <w:rFonts w:ascii="Arial" w:cs="Arial" w:eastAsia="Arial" w:hAnsi="Arial"/>
          <w:sz w:val="22"/>
          <w:szCs w:val="22"/>
          <w:color w:val="auto"/>
        </w:rPr>
      </w:pPr>
    </w:p>
    <w:p>
      <w:pPr>
        <w:ind w:left="2160" w:right="279" w:hanging="655"/>
        <w:spacing w:after="0" w:line="279" w:lineRule="auto"/>
        <w:tabs>
          <w:tab w:leader="none" w:pos="21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Bona fide support for research and development activities corresponding directly to the development of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and/or </w:t>
      </w:r>
      <w:r>
        <w:rPr>
          <w:rFonts w:ascii="Arial" w:cs="Arial" w:eastAsia="Arial" w:hAnsi="Arial"/>
          <w:sz w:val="19"/>
          <w:szCs w:val="19"/>
          <w:b w:val="1"/>
          <w:bCs w:val="1"/>
          <w:color w:val="auto"/>
        </w:rPr>
        <w:t>Licensed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Process(es), </w:t>
      </w:r>
      <w:r>
        <w:rPr>
          <w:rFonts w:ascii="Arial" w:cs="Arial" w:eastAsia="Arial" w:hAnsi="Arial"/>
          <w:sz w:val="19"/>
          <w:szCs w:val="19"/>
          <w:color w:val="auto"/>
        </w:rPr>
        <w:t>which do not exceed</w:t>
      </w:r>
      <w:r>
        <w:rPr>
          <w:rFonts w:ascii="Arial" w:cs="Arial" w:eastAsia="Arial" w:hAnsi="Arial"/>
          <w:sz w:val="19"/>
          <w:szCs w:val="19"/>
          <w:b w:val="1"/>
          <w:bCs w:val="1"/>
          <w:color w:val="auto"/>
        </w:rPr>
        <w:t xml:space="preserve"> Licensee’s </w:t>
      </w:r>
      <w:r>
        <w:rPr>
          <w:rFonts w:ascii="Arial" w:cs="Arial" w:eastAsia="Arial" w:hAnsi="Arial"/>
          <w:sz w:val="19"/>
          <w:szCs w:val="19"/>
          <w:color w:val="auto"/>
        </w:rPr>
        <w:t>fully-burdened cost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undertaking such research and development, and limited to support which is received after the effective date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specifically excluding any support which is used by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to offset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1" w:name="page122"/>
    <w:bookmarkEnd w:id="121"/>
    <w:p>
      <w:pPr>
        <w:ind w:left="2160" w:right="419"/>
        <w:spacing w:after="0" w:line="251" w:lineRule="auto"/>
        <w:rPr>
          <w:sz w:val="20"/>
          <w:szCs w:val="20"/>
          <w:color w:val="auto"/>
        </w:rPr>
      </w:pPr>
      <w:r>
        <w:rPr>
          <w:rFonts w:ascii="Arial" w:cs="Arial" w:eastAsia="Arial" w:hAnsi="Arial"/>
          <w:sz w:val="22"/>
          <w:szCs w:val="22"/>
          <w:color w:val="auto"/>
        </w:rPr>
        <w:t xml:space="preserve">development expenses which are incurred prior to the effective date of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73" w:lineRule="exact"/>
        <w:rPr>
          <w:sz w:val="20"/>
          <w:szCs w:val="20"/>
          <w:color w:val="auto"/>
        </w:rPr>
      </w:pPr>
    </w:p>
    <w:p>
      <w:pPr>
        <w:ind w:left="2160" w:right="239" w:hanging="655"/>
        <w:spacing w:after="0" w:line="328" w:lineRule="auto"/>
        <w:tabs>
          <w:tab w:leader="none" w:pos="21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Proceeds derived from debt financing received after the effective date of this </w:t>
      </w:r>
      <w:r>
        <w:rPr>
          <w:rFonts w:ascii="Arial" w:cs="Arial" w:eastAsia="Arial" w:hAnsi="Arial"/>
          <w:sz w:val="19"/>
          <w:szCs w:val="19"/>
          <w:b w:val="1"/>
          <w:bCs w:val="1"/>
          <w:color w:val="auto"/>
        </w:rPr>
        <w:t>Agreement</w:t>
      </w:r>
      <w:r>
        <w:rPr>
          <w:rFonts w:ascii="Arial" w:cs="Arial" w:eastAsia="Arial" w:hAnsi="Arial"/>
          <w:sz w:val="19"/>
          <w:szCs w:val="19"/>
          <w:color w:val="auto"/>
        </w:rPr>
        <w:t>, to the extent that such financing is at market rates; or</w:t>
      </w:r>
    </w:p>
    <w:p>
      <w:pPr>
        <w:spacing w:after="0" w:line="98" w:lineRule="exact"/>
        <w:rPr>
          <w:rFonts w:ascii="Arial" w:cs="Arial" w:eastAsia="Arial" w:hAnsi="Arial"/>
          <w:sz w:val="19"/>
          <w:szCs w:val="19"/>
          <w:color w:val="auto"/>
        </w:rPr>
      </w:pPr>
    </w:p>
    <w:p>
      <w:pPr>
        <w:ind w:left="2160" w:hanging="655"/>
        <w:spacing w:after="0"/>
        <w:tabs>
          <w:tab w:leader="none" w:pos="21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As earned royalties on </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or sales by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953770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2"/>
          <w:szCs w:val="22"/>
          <w:b w:val="1"/>
          <w:bCs w:val="1"/>
          <w:u w:val="single" w:color="auto"/>
          <w:color w:val="auto"/>
        </w:rPr>
        <w:t>APPENDIX D - BENCHMARKS AND PERFORMANCE</w:t>
      </w:r>
    </w:p>
    <w:p>
      <w:pPr>
        <w:spacing w:after="0" w:line="207" w:lineRule="exact"/>
        <w:rPr>
          <w:sz w:val="20"/>
          <w:szCs w:val="20"/>
          <w:color w:val="auto"/>
        </w:rPr>
      </w:pPr>
    </w:p>
    <w:p>
      <w:pPr>
        <w:ind w:left="200" w:right="259"/>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to the following </w:t>
      </w:r>
      <w:r>
        <w:rPr>
          <w:rFonts w:ascii="Arial" w:cs="Arial" w:eastAsia="Arial" w:hAnsi="Arial"/>
          <w:sz w:val="22"/>
          <w:szCs w:val="22"/>
          <w:b w:val="1"/>
          <w:bCs w:val="1"/>
          <w:color w:val="auto"/>
        </w:rPr>
        <w:t>Benchmarks</w:t>
      </w:r>
      <w:r>
        <w:rPr>
          <w:rFonts w:ascii="Arial" w:cs="Arial" w:eastAsia="Arial" w:hAnsi="Arial"/>
          <w:sz w:val="22"/>
          <w:szCs w:val="22"/>
          <w:color w:val="auto"/>
        </w:rPr>
        <w:t xml:space="preserve"> for its performance under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and, within thirty (30) days of achieving a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shall notify the </w:t>
      </w:r>
      <w:r>
        <w:rPr>
          <w:rFonts w:ascii="Arial" w:cs="Arial" w:eastAsia="Arial" w:hAnsi="Arial"/>
          <w:sz w:val="22"/>
          <w:szCs w:val="22"/>
          <w:b w:val="1"/>
          <w:bCs w:val="1"/>
          <w:color w:val="auto"/>
        </w:rPr>
        <w:t>IC</w:t>
      </w:r>
      <w:r>
        <w:rPr>
          <w:rFonts w:ascii="Arial" w:cs="Arial" w:eastAsia="Arial" w:hAnsi="Arial"/>
          <w:sz w:val="22"/>
          <w:szCs w:val="22"/>
          <w:color w:val="auto"/>
        </w:rPr>
        <w:t xml:space="preserve"> that the </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has been achieved.</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20" w:type="dxa"/>
            <w:vAlign w:val="bottom"/>
            <w:vMerge w:val="restart"/>
          </w:tcPr>
          <w:p>
            <w:pPr>
              <w:ind w:left="80"/>
              <w:spacing w:after="0"/>
              <w:rPr>
                <w:sz w:val="20"/>
                <w:szCs w:val="20"/>
                <w:color w:val="auto"/>
              </w:rPr>
            </w:pPr>
            <w:r>
              <w:rPr>
                <w:rFonts w:ascii="Arial" w:cs="Arial" w:eastAsia="Arial" w:hAnsi="Arial"/>
                <w:sz w:val="22"/>
                <w:szCs w:val="22"/>
                <w:color w:val="auto"/>
              </w:rPr>
              <w:t>I.</w:t>
            </w:r>
          </w:p>
        </w:tc>
        <w:tc>
          <w:tcPr>
            <w:tcW w:w="1000" w:type="dxa"/>
            <w:vAlign w:val="bottom"/>
          </w:tcPr>
          <w:p>
            <w:pPr>
              <w:spacing w:after="0"/>
              <w:rPr>
                <w:sz w:val="20"/>
                <w:szCs w:val="20"/>
                <w:color w:val="auto"/>
              </w:rPr>
            </w:pPr>
            <w:r>
              <w:rPr>
                <w:rFonts w:ascii="Arial" w:cs="Arial" w:eastAsia="Arial" w:hAnsi="Arial"/>
                <w:sz w:val="22"/>
                <w:szCs w:val="22"/>
                <w:color w:val="auto"/>
                <w:w w:val="88"/>
              </w:rPr>
              <w:t>Benchmark</w:t>
            </w:r>
          </w:p>
        </w:tc>
        <w:tc>
          <w:tcPr>
            <w:tcW w:w="28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22"/>
                <w:szCs w:val="22"/>
                <w:color w:val="auto"/>
                <w:w w:val="89"/>
              </w:rPr>
              <w:t>Deadline</w:t>
            </w:r>
          </w:p>
        </w:tc>
        <w:tc>
          <w:tcPr>
            <w:tcW w:w="0" w:type="dxa"/>
            <w:vAlign w:val="bottom"/>
          </w:tcPr>
          <w:p>
            <w:pPr>
              <w:spacing w:after="0"/>
              <w:rPr>
                <w:sz w:val="1"/>
                <w:szCs w:val="1"/>
                <w:color w:val="auto"/>
              </w:rPr>
            </w:pPr>
          </w:p>
        </w:tc>
      </w:tr>
      <w:tr>
        <w:trPr>
          <w:trHeight w:val="242"/>
        </w:trPr>
        <w:tc>
          <w:tcPr>
            <w:tcW w:w="820" w:type="dxa"/>
            <w:vAlign w:val="bottom"/>
            <w:vMerge w:val="continue"/>
          </w:tcPr>
          <w:p>
            <w:pPr>
              <w:spacing w:after="0"/>
              <w:rPr>
                <w:sz w:val="21"/>
                <w:szCs w:val="21"/>
                <w:color w:val="auto"/>
              </w:rPr>
            </w:pPr>
          </w:p>
        </w:tc>
        <w:tc>
          <w:tcPr>
            <w:tcW w:w="100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8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II.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20" w:type="dxa"/>
            <w:vAlign w:val="bottom"/>
          </w:tcPr>
          <w:p>
            <w:pPr>
              <w:ind w:left="80"/>
              <w:spacing w:after="0"/>
              <w:rPr>
                <w:sz w:val="20"/>
                <w:szCs w:val="20"/>
                <w:color w:val="auto"/>
              </w:rPr>
            </w:pPr>
            <w:r>
              <w:rPr>
                <w:rFonts w:ascii="Arial" w:cs="Arial" w:eastAsia="Arial" w:hAnsi="Arial"/>
                <w:sz w:val="22"/>
                <w:szCs w:val="22"/>
                <w:color w:val="auto"/>
              </w:rPr>
              <w:t>III.</w:t>
            </w:r>
          </w:p>
        </w:tc>
        <w:tc>
          <w:tcPr>
            <w:tcW w:w="1000" w:type="dxa"/>
            <w:vAlign w:val="bottom"/>
          </w:tcPr>
          <w:p>
            <w:pPr>
              <w:spacing w:after="0"/>
              <w:rPr>
                <w:sz w:val="20"/>
                <w:szCs w:val="20"/>
                <w:color w:val="auto"/>
              </w:rPr>
            </w:pPr>
            <w:r>
              <w:rPr>
                <w:rFonts w:ascii="Arial" w:cs="Arial" w:eastAsia="Arial" w:hAnsi="Arial"/>
                <w:sz w:val="22"/>
                <w:szCs w:val="22"/>
                <w:color w:val="auto"/>
              </w:rPr>
              <w:t>[***]</w:t>
            </w:r>
          </w:p>
        </w:tc>
        <w:tc>
          <w:tcPr>
            <w:tcW w:w="2840" w:type="dxa"/>
            <w:vAlign w:val="bottom"/>
          </w:tcPr>
          <w:p>
            <w:pPr>
              <w:spacing w:after="0"/>
              <w:rPr>
                <w:sz w:val="23"/>
                <w:szCs w:val="23"/>
                <w:color w:val="auto"/>
              </w:rPr>
            </w:pPr>
          </w:p>
        </w:tc>
        <w:tc>
          <w:tcPr>
            <w:tcW w:w="3620" w:type="dxa"/>
            <w:vAlign w:val="bottom"/>
            <w:gridSpan w:val="2"/>
          </w:tcPr>
          <w:p>
            <w:pPr>
              <w:jc w:val="center"/>
              <w:ind w:left="27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8"/>
        </w:trPr>
        <w:tc>
          <w:tcPr>
            <w:tcW w:w="820" w:type="dxa"/>
            <w:vAlign w:val="bottom"/>
          </w:tcPr>
          <w:p>
            <w:pPr>
              <w:ind w:left="80"/>
              <w:spacing w:after="0"/>
              <w:rPr>
                <w:sz w:val="20"/>
                <w:szCs w:val="20"/>
                <w:color w:val="auto"/>
              </w:rPr>
            </w:pPr>
            <w:r>
              <w:rPr>
                <w:rFonts w:ascii="Arial" w:cs="Arial" w:eastAsia="Arial" w:hAnsi="Arial"/>
                <w:sz w:val="22"/>
                <w:szCs w:val="22"/>
                <w:color w:val="auto"/>
              </w:rPr>
              <w:t>IV.</w:t>
            </w:r>
          </w:p>
        </w:tc>
        <w:tc>
          <w:tcPr>
            <w:tcW w:w="1000" w:type="dxa"/>
            <w:vAlign w:val="bottom"/>
          </w:tcPr>
          <w:p>
            <w:pPr>
              <w:spacing w:after="0"/>
              <w:rPr>
                <w:sz w:val="20"/>
                <w:szCs w:val="20"/>
                <w:color w:val="auto"/>
              </w:rPr>
            </w:pPr>
            <w:r>
              <w:rPr>
                <w:rFonts w:ascii="Arial" w:cs="Arial" w:eastAsia="Arial" w:hAnsi="Arial"/>
                <w:sz w:val="22"/>
                <w:szCs w:val="22"/>
                <w:color w:val="auto"/>
              </w:rPr>
              <w:t>[***]</w:t>
            </w:r>
          </w:p>
        </w:tc>
        <w:tc>
          <w:tcPr>
            <w:tcW w:w="2840" w:type="dxa"/>
            <w:vAlign w:val="bottom"/>
          </w:tcPr>
          <w:p>
            <w:pPr>
              <w:spacing w:after="0"/>
              <w:rPr>
                <w:sz w:val="24"/>
                <w:szCs w:val="24"/>
                <w:color w:val="auto"/>
              </w:rPr>
            </w:pPr>
          </w:p>
        </w:tc>
        <w:tc>
          <w:tcPr>
            <w:tcW w:w="3620" w:type="dxa"/>
            <w:vAlign w:val="bottom"/>
            <w:gridSpan w:val="2"/>
          </w:tcPr>
          <w:p>
            <w:pPr>
              <w:jc w:val="center"/>
              <w:ind w:left="27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V.</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VI.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VII.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VIII.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IX.</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X.</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XI.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ind w:left="80"/>
              <w:spacing w:after="0" w:line="243" w:lineRule="exact"/>
              <w:rPr>
                <w:sz w:val="20"/>
                <w:szCs w:val="20"/>
                <w:color w:val="auto"/>
              </w:rPr>
            </w:pPr>
            <w:r>
              <w:rPr>
                <w:rFonts w:ascii="Arial" w:cs="Arial" w:eastAsia="Arial" w:hAnsi="Arial"/>
                <w:sz w:val="22"/>
                <w:szCs w:val="22"/>
                <w:color w:val="auto"/>
              </w:rPr>
              <w:t>XII.</w:t>
            </w:r>
          </w:p>
        </w:tc>
        <w:tc>
          <w:tcPr>
            <w:tcW w:w="10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840" w:type="dxa"/>
            <w:vAlign w:val="bottom"/>
          </w:tcPr>
          <w:p>
            <w:pPr>
              <w:spacing w:after="0"/>
              <w:rPr>
                <w:sz w:val="21"/>
                <w:szCs w:val="21"/>
                <w:color w:val="auto"/>
              </w:rPr>
            </w:pPr>
          </w:p>
        </w:tc>
        <w:tc>
          <w:tcPr>
            <w:tcW w:w="3620" w:type="dxa"/>
            <w:vAlign w:val="bottom"/>
            <w:gridSpan w:val="2"/>
          </w:tcPr>
          <w:p>
            <w:pPr>
              <w:jc w:val="center"/>
              <w:ind w:left="2752"/>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20" w:type="dxa"/>
            <w:vAlign w:val="bottom"/>
          </w:tcPr>
          <w:p>
            <w:pPr>
              <w:ind w:left="80"/>
              <w:spacing w:after="0"/>
              <w:rPr>
                <w:sz w:val="20"/>
                <w:szCs w:val="20"/>
                <w:color w:val="auto"/>
              </w:rPr>
            </w:pPr>
            <w:r>
              <w:rPr>
                <w:rFonts w:ascii="Arial" w:cs="Arial" w:eastAsia="Arial" w:hAnsi="Arial"/>
                <w:sz w:val="22"/>
                <w:szCs w:val="22"/>
                <w:color w:val="auto"/>
              </w:rPr>
              <w:t>XIII.</w:t>
            </w:r>
          </w:p>
        </w:tc>
        <w:tc>
          <w:tcPr>
            <w:tcW w:w="1000" w:type="dxa"/>
            <w:vAlign w:val="bottom"/>
          </w:tcPr>
          <w:p>
            <w:pPr>
              <w:spacing w:after="0"/>
              <w:rPr>
                <w:sz w:val="20"/>
                <w:szCs w:val="20"/>
                <w:color w:val="auto"/>
              </w:rPr>
            </w:pPr>
            <w:r>
              <w:rPr>
                <w:rFonts w:ascii="Arial" w:cs="Arial" w:eastAsia="Arial" w:hAnsi="Arial"/>
                <w:sz w:val="22"/>
                <w:szCs w:val="22"/>
                <w:color w:val="auto"/>
              </w:rPr>
              <w:t>[***]</w:t>
            </w:r>
          </w:p>
        </w:tc>
        <w:tc>
          <w:tcPr>
            <w:tcW w:w="2840" w:type="dxa"/>
            <w:vAlign w:val="bottom"/>
          </w:tcPr>
          <w:p>
            <w:pPr>
              <w:spacing w:after="0"/>
              <w:rPr>
                <w:sz w:val="23"/>
                <w:szCs w:val="23"/>
                <w:color w:val="auto"/>
              </w:rPr>
            </w:pPr>
          </w:p>
        </w:tc>
        <w:tc>
          <w:tcPr>
            <w:tcW w:w="3620" w:type="dxa"/>
            <w:vAlign w:val="bottom"/>
            <w:gridSpan w:val="2"/>
          </w:tcPr>
          <w:p>
            <w:pPr>
              <w:jc w:val="center"/>
              <w:ind w:left="27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2"/>
        </w:trPr>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APPENDIX E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COMMERCIAL DEVELOPMENT PLAN</w:t>
      </w:r>
    </w:p>
    <w:p>
      <w:pPr>
        <w:sectPr>
          <w:pgSz w:w="11900" w:h="16838" w:orient="portrait"/>
          <w:cols w:equalWidth="0" w:num="1">
            <w:col w:w="9019"/>
          </w:cols>
          <w:pgMar w:left="1440" w:top="92" w:right="1440"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658495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type w:val="continuous"/>
        </w:sectPr>
      </w:pPr>
    </w:p>
    <w:bookmarkStart w:id="124" w:name="page125"/>
    <w:bookmarkEnd w:id="124"/>
    <w:p>
      <w:pPr>
        <w:ind w:left="200" w:right="2179" w:firstLine="1962"/>
        <w:spacing w:after="0" w:line="454" w:lineRule="auto"/>
        <w:rPr>
          <w:sz w:val="20"/>
          <w:szCs w:val="20"/>
          <w:color w:val="auto"/>
        </w:rPr>
      </w:pPr>
      <w:r>
        <w:rPr>
          <w:rFonts w:ascii="Arial" w:cs="Arial" w:eastAsia="Arial" w:hAnsi="Arial"/>
          <w:sz w:val="22"/>
          <w:szCs w:val="22"/>
          <w:b w:val="1"/>
          <w:bCs w:val="1"/>
          <w:u w:val="single" w:color="auto"/>
          <w:color w:val="auto"/>
        </w:rPr>
        <w:t xml:space="preserve">APPENDIX F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EXAMPLE ROYALTY REPORT </w:t>
      </w:r>
      <w:r>
        <w:rPr>
          <w:rFonts w:ascii="Arial" w:cs="Arial" w:eastAsia="Arial" w:hAnsi="Arial"/>
          <w:sz w:val="22"/>
          <w:szCs w:val="22"/>
          <w:b w:val="1"/>
          <w:bCs w:val="1"/>
          <w:color w:val="auto"/>
        </w:rPr>
        <w:t>Required royalty report information includes:</w:t>
      </w:r>
    </w:p>
    <w:p>
      <w:pPr>
        <w:spacing w:after="0" w:line="1" w:lineRule="exact"/>
        <w:rPr>
          <w:sz w:val="20"/>
          <w:szCs w:val="20"/>
          <w:color w:val="auto"/>
        </w:rPr>
      </w:pPr>
    </w:p>
    <w:p>
      <w:pPr>
        <w:ind w:left="860" w:hanging="651"/>
        <w:spacing w:after="0"/>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OTT license reference number (L-XXX-200X/0)</w:t>
      </w:r>
    </w:p>
    <w:p>
      <w:pPr>
        <w:spacing w:after="0" w:line="8" w:lineRule="exact"/>
        <w:rPr>
          <w:rFonts w:ascii="Arial" w:cs="Arial" w:eastAsia="Arial" w:hAnsi="Arial"/>
          <w:sz w:val="22"/>
          <w:szCs w:val="22"/>
          <w:color w:val="auto"/>
        </w:rPr>
      </w:pP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Reporting period</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Catalog number and units sold of each Licensed Product (domestic and foreign)</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Gross Sales per catalog number per country</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Total Gross Sales</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Itemized deductions from Gross Sales</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Total Net Sales</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Earned Royalty Rate and associated calculations</w:t>
      </w:r>
    </w:p>
    <w:p>
      <w:pPr>
        <w:ind w:left="860" w:hanging="651"/>
        <w:spacing w:after="0" w:line="230" w:lineRule="auto"/>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Gross Earned Royalty</w:t>
      </w:r>
    </w:p>
    <w:p>
      <w:pPr>
        <w:ind w:left="860" w:hanging="651"/>
        <w:spacing w:after="0"/>
        <w:tabs>
          <w:tab w:leader="none" w:pos="8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Adjustments for Minimum Annual Royalty (MAR) and other creditable payments made</w:t>
      </w:r>
    </w:p>
    <w:p>
      <w:pPr>
        <w:spacing w:after="0" w:line="24" w:lineRule="exact"/>
        <w:rPr>
          <w:rFonts w:ascii="Arial" w:cs="Arial" w:eastAsia="Arial" w:hAnsi="Arial"/>
          <w:sz w:val="19"/>
          <w:szCs w:val="19"/>
          <w:color w:val="auto"/>
        </w:rPr>
      </w:pPr>
    </w:p>
    <w:p>
      <w:pPr>
        <w:ind w:left="860" w:hanging="651"/>
        <w:spacing w:after="0"/>
        <w:tabs>
          <w:tab w:leader="none" w:pos="8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Net Earned Royalty due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Example</w:t>
      </w:r>
    </w:p>
    <w:p>
      <w:pPr>
        <w:spacing w:after="0" w:line="213" w:lineRule="exact"/>
        <w:rPr>
          <w:sz w:val="20"/>
          <w:szCs w:val="20"/>
          <w:color w:val="auto"/>
        </w:rPr>
      </w:pPr>
    </w:p>
    <w:tbl>
      <w:tblPr>
        <w:tblLayout w:type="fixed"/>
        <w:tblInd w:w="230" w:type="dxa"/>
        <w:tblCellMar>
          <w:top w:w="0" w:type="dxa"/>
          <w:left w:w="0" w:type="dxa"/>
          <w:bottom w:w="0" w:type="dxa"/>
          <w:right w:w="0" w:type="dxa"/>
        </w:tblCellMar>
      </w:tblPr>
      <w:tr>
        <w:trPr>
          <w:trHeight w:val="229"/>
        </w:trPr>
        <w:tc>
          <w:tcPr>
            <w:tcW w:w="190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Catalog Number</w:t>
            </w:r>
          </w:p>
        </w:tc>
        <w:tc>
          <w:tcPr>
            <w:tcW w:w="182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9"/>
              </w:rPr>
              <w:t>Product Name</w:t>
            </w:r>
          </w:p>
        </w:tc>
        <w:tc>
          <w:tcPr>
            <w:tcW w:w="1180" w:type="dxa"/>
            <w:vAlign w:val="bottom"/>
            <w:tcBorders>
              <w:top w:val="single" w:sz="8" w:color="auto"/>
            </w:tcBorders>
          </w:tcPr>
          <w:p>
            <w:pPr>
              <w:jc w:val="center"/>
              <w:ind w:left="252"/>
              <w:spacing w:after="0" w:line="229" w:lineRule="exact"/>
              <w:rPr>
                <w:sz w:val="20"/>
                <w:szCs w:val="20"/>
                <w:color w:val="auto"/>
              </w:rPr>
            </w:pPr>
            <w:r>
              <w:rPr>
                <w:rFonts w:ascii="Arial" w:cs="Arial" w:eastAsia="Arial" w:hAnsi="Arial"/>
                <w:sz w:val="22"/>
                <w:szCs w:val="22"/>
                <w:b w:val="1"/>
                <w:bCs w:val="1"/>
                <w:color w:val="auto"/>
                <w:w w:val="92"/>
              </w:rPr>
              <w:t>Country</w:t>
            </w:r>
          </w:p>
        </w:tc>
        <w:tc>
          <w:tcPr>
            <w:tcW w:w="38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6"/>
              </w:rPr>
              <w:t>Units Sold</w:t>
            </w:r>
          </w:p>
        </w:tc>
        <w:tc>
          <w:tcPr>
            <w:tcW w:w="1700" w:type="dxa"/>
            <w:vAlign w:val="bottom"/>
            <w:tcBorders>
              <w:top w:val="single" w:sz="8" w:color="auto"/>
              <w:right w:val="single" w:sz="8" w:color="auto"/>
            </w:tcBorders>
            <w:gridSpan w:val="2"/>
          </w:tcPr>
          <w:p>
            <w:pPr>
              <w:jc w:val="center"/>
              <w:spacing w:after="0" w:line="229" w:lineRule="exact"/>
              <w:rPr>
                <w:sz w:val="20"/>
                <w:szCs w:val="20"/>
                <w:color w:val="auto"/>
              </w:rPr>
            </w:pPr>
            <w:r>
              <w:rPr>
                <w:rFonts w:ascii="Arial" w:cs="Arial" w:eastAsia="Arial" w:hAnsi="Arial"/>
                <w:sz w:val="22"/>
                <w:szCs w:val="22"/>
                <w:b w:val="1"/>
                <w:bCs w:val="1"/>
                <w:color w:val="auto"/>
                <w:w w:val="83"/>
              </w:rPr>
              <w:t>Gross 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00" w:type="dxa"/>
            <w:vAlign w:val="bottom"/>
            <w:tcBorders>
              <w:left w:val="single" w:sz="8" w:color="auto"/>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ind w:right="352"/>
              <w:spacing w:after="0"/>
              <w:rPr>
                <w:sz w:val="20"/>
                <w:szCs w:val="20"/>
                <w:color w:val="auto"/>
              </w:rPr>
            </w:pPr>
            <w:r>
              <w:rPr>
                <w:rFonts w:ascii="Arial" w:cs="Arial" w:eastAsia="Arial" w:hAnsi="Arial"/>
                <w:sz w:val="22"/>
                <w:szCs w:val="22"/>
                <w:b w:val="1"/>
                <w:bCs w:val="1"/>
                <w:color w:val="auto"/>
                <w:w w:val="90"/>
              </w:rPr>
              <w:t>(US$)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1</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A</w:t>
            </w:r>
          </w:p>
        </w:tc>
        <w:tc>
          <w:tcPr>
            <w:tcW w:w="1180" w:type="dxa"/>
            <w:vAlign w:val="bottom"/>
            <w:tcBorders>
              <w:bottom w:val="single" w:sz="8" w:color="auto"/>
            </w:tcBorders>
          </w:tcPr>
          <w:p>
            <w:pPr>
              <w:jc w:val="center"/>
              <w:ind w:left="232"/>
              <w:spacing w:after="0" w:line="237" w:lineRule="exact"/>
              <w:rPr>
                <w:sz w:val="20"/>
                <w:szCs w:val="20"/>
                <w:color w:val="auto"/>
              </w:rPr>
            </w:pPr>
            <w:r>
              <w:rPr>
                <w:rFonts w:ascii="Arial" w:cs="Arial" w:eastAsia="Arial" w:hAnsi="Arial"/>
                <w:sz w:val="22"/>
                <w:szCs w:val="22"/>
                <w:color w:val="auto"/>
                <w:w w:val="91"/>
              </w:rPr>
              <w:t>US</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1</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A</w:t>
            </w:r>
          </w:p>
        </w:tc>
        <w:tc>
          <w:tcPr>
            <w:tcW w:w="1180" w:type="dxa"/>
            <w:vAlign w:val="bottom"/>
            <w:tcBorders>
              <w:bottom w:val="single" w:sz="8" w:color="auto"/>
            </w:tcBorders>
          </w:tcPr>
          <w:p>
            <w:pPr>
              <w:jc w:val="center"/>
              <w:ind w:left="232"/>
              <w:spacing w:after="0" w:line="237" w:lineRule="exact"/>
              <w:rPr>
                <w:sz w:val="20"/>
                <w:szCs w:val="20"/>
                <w:color w:val="auto"/>
              </w:rPr>
            </w:pPr>
            <w:r>
              <w:rPr>
                <w:rFonts w:ascii="Arial" w:cs="Arial" w:eastAsia="Arial" w:hAnsi="Arial"/>
                <w:sz w:val="22"/>
                <w:szCs w:val="22"/>
                <w:color w:val="auto"/>
              </w:rPr>
              <w:t>UK</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1</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A</w:t>
            </w:r>
          </w:p>
        </w:tc>
        <w:tc>
          <w:tcPr>
            <w:tcW w:w="1180" w:type="dxa"/>
            <w:vAlign w:val="bottom"/>
            <w:tcBorders>
              <w:bottom w:val="single" w:sz="8" w:color="auto"/>
            </w:tcBorders>
          </w:tcPr>
          <w:p>
            <w:pPr>
              <w:jc w:val="center"/>
              <w:ind w:left="252"/>
              <w:spacing w:after="0" w:line="237" w:lineRule="exact"/>
              <w:rPr>
                <w:sz w:val="20"/>
                <w:szCs w:val="20"/>
                <w:color w:val="auto"/>
              </w:rPr>
            </w:pPr>
            <w:r>
              <w:rPr>
                <w:rFonts w:ascii="Arial" w:cs="Arial" w:eastAsia="Arial" w:hAnsi="Arial"/>
                <w:sz w:val="22"/>
                <w:szCs w:val="22"/>
                <w:color w:val="auto"/>
                <w:w w:val="84"/>
              </w:rPr>
              <w:t>France</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2</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B</w:t>
            </w:r>
          </w:p>
        </w:tc>
        <w:tc>
          <w:tcPr>
            <w:tcW w:w="1180" w:type="dxa"/>
            <w:vAlign w:val="bottom"/>
            <w:tcBorders>
              <w:bottom w:val="single" w:sz="8" w:color="auto"/>
            </w:tcBorders>
          </w:tcPr>
          <w:p>
            <w:pPr>
              <w:jc w:val="center"/>
              <w:ind w:left="232"/>
              <w:spacing w:after="0" w:line="237" w:lineRule="exact"/>
              <w:rPr>
                <w:sz w:val="20"/>
                <w:szCs w:val="20"/>
                <w:color w:val="auto"/>
              </w:rPr>
            </w:pPr>
            <w:r>
              <w:rPr>
                <w:rFonts w:ascii="Arial" w:cs="Arial" w:eastAsia="Arial" w:hAnsi="Arial"/>
                <w:sz w:val="22"/>
                <w:szCs w:val="22"/>
                <w:color w:val="auto"/>
                <w:w w:val="91"/>
              </w:rPr>
              <w:t>US</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3</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C</w:t>
            </w:r>
          </w:p>
        </w:tc>
        <w:tc>
          <w:tcPr>
            <w:tcW w:w="1180" w:type="dxa"/>
            <w:vAlign w:val="bottom"/>
            <w:tcBorders>
              <w:bottom w:val="single" w:sz="8" w:color="auto"/>
            </w:tcBorders>
          </w:tcPr>
          <w:p>
            <w:pPr>
              <w:jc w:val="center"/>
              <w:ind w:left="232"/>
              <w:spacing w:after="0" w:line="237" w:lineRule="exact"/>
              <w:rPr>
                <w:sz w:val="20"/>
                <w:szCs w:val="20"/>
                <w:color w:val="auto"/>
              </w:rPr>
            </w:pPr>
            <w:r>
              <w:rPr>
                <w:rFonts w:ascii="Arial" w:cs="Arial" w:eastAsia="Arial" w:hAnsi="Arial"/>
                <w:sz w:val="22"/>
                <w:szCs w:val="22"/>
                <w:color w:val="auto"/>
                <w:w w:val="91"/>
              </w:rPr>
              <w:t>US</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7"/>
              </w:rPr>
              <w:t>4</w:t>
            </w:r>
          </w:p>
        </w:tc>
        <w:tc>
          <w:tcPr>
            <w:tcW w:w="18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D</w:t>
            </w:r>
          </w:p>
        </w:tc>
        <w:tc>
          <w:tcPr>
            <w:tcW w:w="1180" w:type="dxa"/>
            <w:vAlign w:val="bottom"/>
            <w:tcBorders>
              <w:bottom w:val="single" w:sz="8" w:color="auto"/>
            </w:tcBorders>
          </w:tcPr>
          <w:p>
            <w:pPr>
              <w:jc w:val="center"/>
              <w:ind w:left="232"/>
              <w:spacing w:after="0" w:line="237" w:lineRule="exact"/>
              <w:rPr>
                <w:sz w:val="20"/>
                <w:szCs w:val="20"/>
                <w:color w:val="auto"/>
              </w:rPr>
            </w:pPr>
            <w:r>
              <w:rPr>
                <w:rFonts w:ascii="Arial" w:cs="Arial" w:eastAsia="Arial" w:hAnsi="Arial"/>
                <w:sz w:val="22"/>
                <w:szCs w:val="22"/>
                <w:color w:val="auto"/>
                <w:w w:val="91"/>
              </w:rPr>
              <w:t>US</w:t>
            </w:r>
          </w:p>
        </w:tc>
        <w:tc>
          <w:tcPr>
            <w:tcW w:w="3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52"/>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gridSpan w:val="2"/>
          </w:tcPr>
          <w:p>
            <w:pPr>
              <w:ind w:left="280"/>
              <w:spacing w:after="0" w:line="216" w:lineRule="exact"/>
              <w:rPr>
                <w:sz w:val="20"/>
                <w:szCs w:val="20"/>
                <w:color w:val="auto"/>
              </w:rPr>
            </w:pPr>
            <w:r>
              <w:rPr>
                <w:rFonts w:ascii="Arial" w:cs="Arial" w:eastAsia="Arial" w:hAnsi="Arial"/>
                <w:sz w:val="22"/>
                <w:szCs w:val="22"/>
                <w:color w:val="auto"/>
                <w:w w:val="93"/>
              </w:rPr>
              <w:t>Total Gross Sales</w:t>
            </w:r>
          </w:p>
        </w:tc>
        <w:tc>
          <w:tcPr>
            <w:tcW w:w="440" w:type="dxa"/>
            <w:vAlign w:val="bottom"/>
          </w:tcPr>
          <w:p>
            <w:pPr>
              <w:spacing w:after="0"/>
              <w:rPr>
                <w:sz w:val="18"/>
                <w:szCs w:val="18"/>
                <w:color w:val="auto"/>
              </w:rPr>
            </w:pPr>
          </w:p>
        </w:tc>
        <w:tc>
          <w:tcPr>
            <w:tcW w:w="1260" w:type="dxa"/>
            <w:vAlign w:val="bottom"/>
          </w:tcPr>
          <w:p>
            <w:pPr>
              <w:ind w:left="820"/>
              <w:spacing w:after="0" w:line="216"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gridSpan w:val="2"/>
          </w:tcPr>
          <w:p>
            <w:pPr>
              <w:ind w:left="20"/>
              <w:spacing w:after="0"/>
              <w:rPr>
                <w:sz w:val="20"/>
                <w:szCs w:val="20"/>
                <w:color w:val="auto"/>
              </w:rPr>
            </w:pPr>
            <w:r>
              <w:rPr>
                <w:rFonts w:ascii="Arial" w:cs="Arial" w:eastAsia="Arial" w:hAnsi="Arial"/>
                <w:sz w:val="22"/>
                <w:szCs w:val="22"/>
                <w:color w:val="auto"/>
              </w:rPr>
              <w:t>Less Deductions:</w:t>
            </w:r>
          </w:p>
        </w:tc>
        <w:tc>
          <w:tcPr>
            <w:tcW w:w="440" w:type="dxa"/>
            <w:vAlign w:val="bottom"/>
          </w:tcPr>
          <w:p>
            <w:pPr>
              <w:spacing w:after="0"/>
              <w:rPr>
                <w:sz w:val="23"/>
                <w:szCs w:val="2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22"/>
                <w:szCs w:val="22"/>
                <w:color w:val="auto"/>
              </w:rPr>
              <w:t>Freight</w:t>
            </w:r>
          </w:p>
        </w:tc>
        <w:tc>
          <w:tcPr>
            <w:tcW w:w="0" w:type="dxa"/>
            <w:vAlign w:val="bottom"/>
          </w:tcPr>
          <w:p>
            <w:pPr>
              <w:spacing w:after="0"/>
              <w:rPr>
                <w:sz w:val="1"/>
                <w:szCs w:val="1"/>
                <w:color w:val="auto"/>
              </w:rPr>
            </w:pPr>
          </w:p>
        </w:tc>
      </w:tr>
      <w:tr>
        <w:trPr>
          <w:trHeight w:val="212"/>
        </w:trPr>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ind w:left="240"/>
              <w:spacing w:after="0" w:line="244" w:lineRule="exact"/>
              <w:rPr>
                <w:sz w:val="20"/>
                <w:szCs w:val="20"/>
                <w:color w:val="auto"/>
              </w:rPr>
            </w:pPr>
            <w:r>
              <w:rPr>
                <w:rFonts w:ascii="Arial" w:cs="Arial" w:eastAsia="Arial" w:hAnsi="Arial"/>
                <w:sz w:val="22"/>
                <w:szCs w:val="22"/>
                <w:color w:val="auto"/>
              </w:rPr>
              <w:t>Returns</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gridSpan w:val="2"/>
          </w:tcPr>
          <w:p>
            <w:pPr>
              <w:ind w:left="280"/>
              <w:spacing w:after="0"/>
              <w:rPr>
                <w:sz w:val="20"/>
                <w:szCs w:val="20"/>
                <w:color w:val="auto"/>
              </w:rPr>
            </w:pPr>
            <w:r>
              <w:rPr>
                <w:rFonts w:ascii="Arial" w:cs="Arial" w:eastAsia="Arial" w:hAnsi="Arial"/>
                <w:sz w:val="22"/>
                <w:szCs w:val="22"/>
                <w:color w:val="auto"/>
              </w:rPr>
              <w:t>Total Net Sales</w:t>
            </w:r>
          </w:p>
        </w:tc>
        <w:tc>
          <w:tcPr>
            <w:tcW w:w="440" w:type="dxa"/>
            <w:vAlign w:val="bottom"/>
          </w:tcPr>
          <w:p>
            <w:pPr>
              <w:spacing w:after="0"/>
              <w:rPr>
                <w:sz w:val="23"/>
                <w:szCs w:val="23"/>
                <w:color w:val="auto"/>
              </w:rPr>
            </w:pPr>
          </w:p>
        </w:tc>
        <w:tc>
          <w:tcPr>
            <w:tcW w:w="1280" w:type="dxa"/>
            <w:vAlign w:val="bottom"/>
            <w:gridSpan w:val="2"/>
          </w:tcPr>
          <w:p>
            <w:pPr>
              <w:ind w:left="8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55"/>
        </w:trPr>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ind w:left="240"/>
              <w:spacing w:after="0"/>
              <w:rPr>
                <w:sz w:val="20"/>
                <w:szCs w:val="20"/>
                <w:color w:val="auto"/>
              </w:rPr>
            </w:pPr>
            <w:r>
              <w:rPr>
                <w:rFonts w:ascii="Arial" w:cs="Arial" w:eastAsia="Arial" w:hAnsi="Arial"/>
                <w:sz w:val="22"/>
                <w:szCs w:val="22"/>
                <w:color w:val="auto"/>
              </w:rPr>
              <w:t>Royalty</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6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Rate</w:t>
            </w:r>
          </w:p>
        </w:tc>
        <w:tc>
          <w:tcPr>
            <w:tcW w:w="440" w:type="dxa"/>
            <w:vAlign w:val="bottom"/>
          </w:tcPr>
          <w:p>
            <w:pPr>
              <w:spacing w:after="0"/>
              <w:rPr>
                <w:sz w:val="21"/>
                <w:szCs w:val="21"/>
                <w:color w:val="auto"/>
              </w:rPr>
            </w:pPr>
          </w:p>
        </w:tc>
        <w:tc>
          <w:tcPr>
            <w:tcW w:w="12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ind w:left="240"/>
              <w:spacing w:after="0" w:line="244" w:lineRule="exact"/>
              <w:rPr>
                <w:sz w:val="20"/>
                <w:szCs w:val="20"/>
                <w:color w:val="auto"/>
              </w:rPr>
            </w:pPr>
            <w:r>
              <w:rPr>
                <w:rFonts w:ascii="Arial" w:cs="Arial" w:eastAsia="Arial" w:hAnsi="Arial"/>
                <w:sz w:val="22"/>
                <w:szCs w:val="22"/>
                <w:color w:val="auto"/>
              </w:rPr>
              <w:t>Royalty</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6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Due</w:t>
            </w:r>
          </w:p>
        </w:tc>
        <w:tc>
          <w:tcPr>
            <w:tcW w:w="440" w:type="dxa"/>
            <w:vAlign w:val="bottom"/>
          </w:tcPr>
          <w:p>
            <w:pPr>
              <w:spacing w:after="0"/>
              <w:rPr>
                <w:sz w:val="21"/>
                <w:szCs w:val="21"/>
                <w:color w:val="auto"/>
              </w:rPr>
            </w:pPr>
          </w:p>
        </w:tc>
        <w:tc>
          <w:tcPr>
            <w:tcW w:w="12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0" w:type="dxa"/>
            <w:vAlign w:val="bottom"/>
            <w:gridSpan w:val="3"/>
          </w:tcPr>
          <w:p>
            <w:pPr>
              <w:jc w:val="center"/>
              <w:spacing w:after="0" w:line="237" w:lineRule="exact"/>
              <w:rPr>
                <w:sz w:val="20"/>
                <w:szCs w:val="20"/>
                <w:color w:val="auto"/>
              </w:rPr>
            </w:pPr>
            <w:r>
              <w:rPr>
                <w:rFonts w:ascii="Arial" w:cs="Arial" w:eastAsia="Arial" w:hAnsi="Arial"/>
                <w:sz w:val="22"/>
                <w:szCs w:val="22"/>
                <w:color w:val="auto"/>
                <w:w w:val="87"/>
              </w:rPr>
              <w:t>Less Creditable Payments</w:t>
            </w:r>
          </w:p>
        </w:tc>
        <w:tc>
          <w:tcPr>
            <w:tcW w:w="1280" w:type="dxa"/>
            <w:vAlign w:val="bottom"/>
            <w:gridSpan w:val="2"/>
          </w:tcPr>
          <w:p>
            <w:pPr>
              <w:ind w:left="820"/>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60" w:type="dxa"/>
            <w:vAlign w:val="bottom"/>
            <w:gridSpan w:val="2"/>
            <w:vMerge w:val="restart"/>
          </w:tcPr>
          <w:p>
            <w:pPr>
              <w:ind w:left="280"/>
              <w:spacing w:after="0"/>
              <w:rPr>
                <w:sz w:val="20"/>
                <w:szCs w:val="20"/>
                <w:color w:val="auto"/>
              </w:rPr>
            </w:pPr>
            <w:r>
              <w:rPr>
                <w:rFonts w:ascii="Arial" w:cs="Arial" w:eastAsia="Arial" w:hAnsi="Arial"/>
                <w:sz w:val="22"/>
                <w:szCs w:val="22"/>
                <w:b w:val="1"/>
                <w:bCs w:val="1"/>
                <w:color w:val="auto"/>
              </w:rPr>
              <w:t>Royalty Due</w:t>
            </w:r>
          </w:p>
        </w:tc>
        <w:tc>
          <w:tcPr>
            <w:tcW w:w="440" w:type="dxa"/>
            <w:vAlign w:val="bottom"/>
          </w:tcPr>
          <w:p>
            <w:pPr>
              <w:spacing w:after="0"/>
              <w:rPr>
                <w:sz w:val="21"/>
                <w:szCs w:val="21"/>
                <w:color w:val="auto"/>
              </w:rPr>
            </w:pPr>
          </w:p>
        </w:tc>
        <w:tc>
          <w:tcPr>
            <w:tcW w:w="1280" w:type="dxa"/>
            <w:vAlign w:val="bottom"/>
            <w:gridSpan w:val="2"/>
          </w:tcPr>
          <w:p>
            <w:pPr>
              <w:jc w:val="center"/>
              <w:ind w:right="480"/>
              <w:spacing w:after="0" w:line="249" w:lineRule="exact"/>
              <w:rPr>
                <w:sz w:val="20"/>
                <w:szCs w:val="20"/>
                <w:color w:val="auto"/>
              </w:rPr>
            </w:pPr>
            <w:r>
              <w:rPr>
                <w:rFonts w:ascii="Arial" w:cs="Arial" w:eastAsia="Arial" w:hAnsi="Arial"/>
                <w:sz w:val="22"/>
                <w:szCs w:val="22"/>
                <w:b w:val="1"/>
                <w:bCs w:val="1"/>
                <w:color w:val="auto"/>
                <w:w w:val="90"/>
              </w:rPr>
              <w:t>Net</w:t>
            </w: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gridSpan w:val="2"/>
          </w:tcPr>
          <w:p>
            <w:pPr>
              <w:ind w:left="8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738"/>
        </w:trPr>
        <w:tc>
          <w:tcPr>
            <w:tcW w:w="1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1"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APPENDIX G </w:t>
      </w:r>
      <w:r>
        <w:rPr>
          <w:rFonts w:ascii="Arial" w:cs="Arial" w:eastAsia="Arial" w:hAnsi="Arial"/>
          <w:sz w:val="22"/>
          <w:szCs w:val="22"/>
          <w:u w:val="single" w:color="auto"/>
          <w:color w:val="auto"/>
          <w:strike w:val="1"/>
        </w:rPr>
        <w:t>‒</w:t>
      </w:r>
      <w:r>
        <w:rPr>
          <w:rFonts w:ascii="Arial" w:cs="Arial" w:eastAsia="Arial" w:hAnsi="Arial"/>
          <w:sz w:val="22"/>
          <w:szCs w:val="22"/>
          <w:b w:val="1"/>
          <w:bCs w:val="1"/>
          <w:u w:val="single" w:color="auto"/>
          <w:color w:val="auto"/>
        </w:rPr>
        <w:t xml:space="preserve"> ROYALTY PAYMENT OPTIONS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License Number MUST appear on payments, reports and correspondence</w:t>
      </w:r>
      <w:r>
        <w:rPr>
          <w:rFonts w:ascii="Arial" w:cs="Arial" w:eastAsia="Arial" w:hAnsi="Arial"/>
          <w:sz w:val="22"/>
          <w:szCs w:val="22"/>
          <w:color w:val="auto"/>
        </w:rPr>
        <w:t>.</w:t>
      </w:r>
    </w:p>
    <w:p>
      <w:pPr>
        <w:spacing w:after="0" w:line="233" w:lineRule="exact"/>
        <w:rPr>
          <w:sz w:val="20"/>
          <w:szCs w:val="20"/>
          <w:color w:val="auto"/>
        </w:rPr>
      </w:pPr>
    </w:p>
    <w:p>
      <w:pPr>
        <w:ind w:left="200" w:right="279"/>
        <w:spacing w:after="0" w:line="243" w:lineRule="auto"/>
        <w:rPr>
          <w:sz w:val="20"/>
          <w:szCs w:val="20"/>
          <w:color w:val="auto"/>
        </w:rPr>
      </w:pPr>
      <w:r>
        <w:rPr>
          <w:rFonts w:ascii="Arial" w:cs="Arial" w:eastAsia="Arial" w:hAnsi="Arial"/>
          <w:sz w:val="22"/>
          <w:szCs w:val="22"/>
          <w:b w:val="1"/>
          <w:bCs w:val="1"/>
          <w:color w:val="auto"/>
        </w:rPr>
        <w:t xml:space="preserve">Credit and Debit Card Payments: </w:t>
      </w:r>
      <w:r>
        <w:rPr>
          <w:rFonts w:ascii="Arial" w:cs="Arial" w:eastAsia="Arial" w:hAnsi="Arial"/>
          <w:sz w:val="22"/>
          <w:szCs w:val="22"/>
          <w:color w:val="auto"/>
        </w:rPr>
        <w:t>Credit and debit card payments can be submitted for amounts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up to $24,999. Submit your payment through the U.S. Treasury web site located at: </w:t>
      </w:r>
      <w:r>
        <w:rPr>
          <w:rFonts w:ascii="Arial" w:cs="Arial" w:eastAsia="Arial" w:hAnsi="Arial"/>
          <w:sz w:val="22"/>
          <w:szCs w:val="22"/>
          <w:b w:val="1"/>
          <w:bCs w:val="1"/>
          <w:color w:val="auto"/>
        </w:rPr>
        <w:t>https://www.pay.gov/public/form/start/28680443.</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Automated Clearing House (ACH) for payments through U.S. banks only</w:t>
      </w:r>
    </w:p>
    <w:p>
      <w:pPr>
        <w:spacing w:after="0" w:line="233" w:lineRule="exact"/>
        <w:rPr>
          <w:sz w:val="20"/>
          <w:szCs w:val="20"/>
          <w:color w:val="auto"/>
        </w:rPr>
      </w:pPr>
    </w:p>
    <w:p>
      <w:pPr>
        <w:ind w:left="200" w:right="239"/>
        <w:spacing w:after="0" w:line="239" w:lineRule="auto"/>
        <w:rPr>
          <w:sz w:val="20"/>
          <w:szCs w:val="20"/>
          <w:color w:val="auto"/>
        </w:rPr>
      </w:pPr>
      <w:r>
        <w:rPr>
          <w:rFonts w:ascii="Arial" w:cs="Arial" w:eastAsia="Arial" w:hAnsi="Arial"/>
          <w:sz w:val="22"/>
          <w:szCs w:val="22"/>
          <w:color w:val="626262"/>
        </w:rPr>
        <w:t xml:space="preserve">The </w:t>
      </w:r>
      <w:r>
        <w:rPr>
          <w:rFonts w:ascii="Arial" w:cs="Arial" w:eastAsia="Arial" w:hAnsi="Arial"/>
          <w:sz w:val="22"/>
          <w:szCs w:val="22"/>
          <w:b w:val="1"/>
          <w:bCs w:val="1"/>
          <w:color w:val="626262"/>
        </w:rPr>
        <w:t>IC</w:t>
      </w:r>
      <w:r>
        <w:rPr>
          <w:rFonts w:ascii="Arial" w:cs="Arial" w:eastAsia="Arial" w:hAnsi="Arial"/>
          <w:sz w:val="22"/>
          <w:szCs w:val="22"/>
          <w:color w:val="626262"/>
        </w:rPr>
        <w:t xml:space="preserve"> encourages its licensees to submit electronic funds transfer payments through the Automated Clearing House (ACH). Submit your ACH payment through the U.S. Treasury web site located at: </w:t>
      </w:r>
      <w:r>
        <w:rPr>
          <w:rFonts w:ascii="Arial" w:cs="Arial" w:eastAsia="Arial" w:hAnsi="Arial"/>
          <w:sz w:val="22"/>
          <w:szCs w:val="22"/>
          <w:color w:val="000000"/>
        </w:rPr>
        <w:t>https://www.pay.gov/public/form/start/28680443</w:t>
      </w:r>
      <w:r>
        <w:rPr>
          <w:rFonts w:ascii="Arial" w:cs="Arial" w:eastAsia="Arial" w:hAnsi="Arial"/>
          <w:sz w:val="22"/>
          <w:szCs w:val="22"/>
          <w:color w:val="626262"/>
        </w:rPr>
        <w:t>. Please note that the IC "only" accepts ACH payments through this U.S. Treasury web site.</w:t>
      </w:r>
    </w:p>
    <w:p>
      <w:pPr>
        <w:spacing w:after="0" w:line="207" w:lineRule="exact"/>
        <w:rPr>
          <w:sz w:val="20"/>
          <w:szCs w:val="20"/>
          <w:color w:val="auto"/>
        </w:rPr>
      </w:pPr>
    </w:p>
    <w:p>
      <w:pPr>
        <w:jc w:val="both"/>
        <w:ind w:left="200" w:right="1239"/>
        <w:spacing w:after="0" w:line="260" w:lineRule="auto"/>
        <w:rPr>
          <w:sz w:val="20"/>
          <w:szCs w:val="20"/>
          <w:color w:val="auto"/>
        </w:rPr>
      </w:pPr>
      <w:r>
        <w:rPr>
          <w:rFonts w:ascii="Arial" w:cs="Arial" w:eastAsia="Arial" w:hAnsi="Arial"/>
          <w:sz w:val="21"/>
          <w:szCs w:val="21"/>
          <w:b w:val="1"/>
          <w:bCs w:val="1"/>
          <w:u w:val="single" w:color="auto"/>
          <w:color w:val="auto"/>
        </w:rPr>
        <w:t>Electronic Funds Wire Transfers:</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account information is provided for</w:t>
      </w:r>
      <w:r>
        <w:rPr>
          <w:rFonts w:ascii="Arial" w:cs="Arial" w:eastAsia="Arial" w:hAnsi="Arial"/>
          <w:sz w:val="21"/>
          <w:szCs w:val="21"/>
          <w:b w:val="1"/>
          <w:bCs w:val="1"/>
          <w:color w:val="auto"/>
        </w:rPr>
        <w:t xml:space="preserve"> </w:t>
      </w:r>
      <w:r>
        <w:rPr>
          <w:rFonts w:ascii="Arial" w:cs="Arial" w:eastAsia="Arial" w:hAnsi="Arial"/>
          <w:sz w:val="21"/>
          <w:szCs w:val="21"/>
          <w:color w:val="auto"/>
        </w:rPr>
        <w:t>wire payments. In order to process payment via Electronic Funds Wire Transfer sender MUST supply the following information within the transmission: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Drawn on a </w:t>
      </w:r>
      <w:r>
        <w:rPr>
          <w:rFonts w:ascii="Arial" w:cs="Arial" w:eastAsia="Arial" w:hAnsi="Arial"/>
          <w:sz w:val="22"/>
          <w:szCs w:val="22"/>
          <w:b w:val="1"/>
          <w:bCs w:val="1"/>
          <w:color w:val="auto"/>
        </w:rPr>
        <w:t>U.S. bank account</w:t>
      </w:r>
      <w:r>
        <w:rPr>
          <w:rFonts w:ascii="Arial" w:cs="Arial" w:eastAsia="Arial" w:hAnsi="Arial"/>
          <w:sz w:val="22"/>
          <w:szCs w:val="22"/>
          <w:color w:val="auto"/>
        </w:rPr>
        <w:t xml:space="preserve"> via FEDWIRE:</w:t>
      </w:r>
    </w:p>
    <w:p>
      <w:pPr>
        <w:spacing w:after="0" w:line="239" w:lineRule="exact"/>
        <w:rPr>
          <w:sz w:val="20"/>
          <w:szCs w:val="20"/>
          <w:color w:val="auto"/>
        </w:rPr>
      </w:pPr>
    </w:p>
    <w:p>
      <w:pPr>
        <w:ind w:left="200" w:right="979"/>
        <w:spacing w:after="0" w:line="250" w:lineRule="auto"/>
        <w:rPr>
          <w:sz w:val="20"/>
          <w:szCs w:val="20"/>
          <w:color w:val="auto"/>
        </w:rPr>
      </w:pPr>
      <w:r>
        <w:rPr>
          <w:rFonts w:ascii="Arial" w:cs="Arial" w:eastAsia="Arial" w:hAnsi="Arial"/>
          <w:sz w:val="22"/>
          <w:szCs w:val="22"/>
          <w:color w:val="auto"/>
        </w:rPr>
        <w:t xml:space="preserve">Please provide the following instructions to your Financial Institution for the remittance of Fedwire payments to the </w:t>
      </w:r>
      <w:r>
        <w:rPr>
          <w:rFonts w:ascii="Arial" w:cs="Arial" w:eastAsia="Arial" w:hAnsi="Arial"/>
          <w:sz w:val="22"/>
          <w:szCs w:val="22"/>
          <w:b w:val="1"/>
          <w:bCs w:val="1"/>
          <w:u w:val="single" w:color="auto"/>
          <w:color w:val="auto"/>
        </w:rPr>
        <w:t>NIH ROYALTY FUND</w:t>
      </w:r>
      <w:r>
        <w:rPr>
          <w:rFonts w:ascii="Arial" w:cs="Arial" w:eastAsia="Arial" w:hAnsi="Arial"/>
          <w:sz w:val="22"/>
          <w:szCs w:val="22"/>
          <w:color w:val="auto"/>
        </w:rPr>
        <w:t>.</w:t>
      </w:r>
    </w:p>
    <w:p>
      <w:pPr>
        <w:spacing w:after="0" w:line="203" w:lineRule="exact"/>
        <w:rPr>
          <w:sz w:val="20"/>
          <w:szCs w:val="20"/>
          <w:color w:val="auto"/>
        </w:rPr>
      </w:pPr>
    </w:p>
    <w:tbl>
      <w:tblPr>
        <w:tblLayout w:type="fixed"/>
        <w:tblInd w:w="230" w:type="dxa"/>
        <w:tblCellMar>
          <w:top w:w="0" w:type="dxa"/>
          <w:left w:w="0" w:type="dxa"/>
          <w:bottom w:w="0" w:type="dxa"/>
          <w:right w:w="0" w:type="dxa"/>
        </w:tblCellMar>
      </w:tblPr>
      <w:tr>
        <w:trPr>
          <w:trHeight w:val="235"/>
        </w:trPr>
        <w:tc>
          <w:tcPr>
            <w:tcW w:w="1060" w:type="dxa"/>
            <w:vAlign w:val="bottom"/>
            <w:tcBorders>
              <w:top w:val="single" w:sz="8" w:color="auto"/>
              <w:left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1"/>
              </w:rPr>
              <w:t>Fedwire</w:t>
            </w:r>
          </w:p>
        </w:tc>
        <w:tc>
          <w:tcPr>
            <w:tcW w:w="3800" w:type="dxa"/>
            <w:vAlign w:val="bottom"/>
            <w:tcBorders>
              <w:top w:val="single" w:sz="8" w:color="auto"/>
              <w:right w:val="single" w:sz="8" w:color="auto"/>
            </w:tcBorders>
            <w:vMerge w:val="restart"/>
          </w:tcPr>
          <w:p>
            <w:pPr>
              <w:ind w:left="1000"/>
              <w:spacing w:after="0"/>
              <w:rPr>
                <w:sz w:val="20"/>
                <w:szCs w:val="20"/>
                <w:color w:val="auto"/>
              </w:rPr>
            </w:pPr>
            <w:r>
              <w:rPr>
                <w:rFonts w:ascii="Arial" w:cs="Arial" w:eastAsia="Arial" w:hAnsi="Arial"/>
                <w:sz w:val="22"/>
                <w:szCs w:val="22"/>
                <w:color w:val="auto"/>
              </w:rPr>
              <w:t>Fedwire Field Name</w:t>
            </w:r>
          </w:p>
        </w:tc>
        <w:tc>
          <w:tcPr>
            <w:tcW w:w="3700" w:type="dxa"/>
            <w:vAlign w:val="bottom"/>
            <w:tcBorders>
              <w:top w:val="single" w:sz="8" w:color="auto"/>
              <w:right w:val="single" w:sz="8" w:color="auto"/>
            </w:tcBorders>
            <w:vMerge w:val="restart"/>
          </w:tcPr>
          <w:p>
            <w:pPr>
              <w:ind w:left="900"/>
              <w:spacing w:after="0"/>
              <w:rPr>
                <w:sz w:val="20"/>
                <w:szCs w:val="20"/>
                <w:color w:val="auto"/>
              </w:rPr>
            </w:pPr>
            <w:r>
              <w:rPr>
                <w:rFonts w:ascii="Arial" w:cs="Arial" w:eastAsia="Arial" w:hAnsi="Arial"/>
                <w:sz w:val="22"/>
                <w:szCs w:val="22"/>
                <w:color w:val="auto"/>
              </w:rPr>
              <w:t>Required Information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Field Tag</w:t>
            </w:r>
          </w:p>
        </w:tc>
        <w:tc>
          <w:tcPr>
            <w:tcW w:w="38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3800" w:type="dxa"/>
            <w:vAlign w:val="bottom"/>
            <w:tcBorders>
              <w:bottom w:val="single" w:sz="8" w:color="auto"/>
              <w:right w:val="single" w:sz="8" w:color="D9D9D9"/>
            </w:tcBorders>
            <w:shd w:val="clear" w:color="auto" w:fill="D9D9D9"/>
          </w:tcPr>
          <w:p>
            <w:pPr>
              <w:spacing w:after="0"/>
              <w:rPr>
                <w:sz w:val="20"/>
                <w:szCs w:val="20"/>
                <w:color w:val="auto"/>
              </w:rPr>
            </w:pPr>
          </w:p>
        </w:tc>
        <w:tc>
          <w:tcPr>
            <w:tcW w:w="3700" w:type="dxa"/>
            <w:vAlign w:val="bottom"/>
            <w:tcBorders>
              <w:bottom w:val="single" w:sz="8" w:color="auto"/>
              <w:right w:val="single" w:sz="8" w:color="auto"/>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{1510}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Type/Subtype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{2000}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Amount</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(enter payment 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{3400}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Receiver ABA routing number*</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{3400}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Receiver ABA short name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TREAS NYC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{3600}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Business Function Code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 xml:space="preserve">CTR </w:t>
            </w:r>
            <w:r>
              <w:rPr>
                <w:rFonts w:ascii="Arial" w:cs="Arial" w:eastAsia="Arial" w:hAnsi="Arial"/>
                <w:sz w:val="22"/>
                <w:szCs w:val="22"/>
                <w:color w:val="auto"/>
              </w:rPr>
              <w:t>(</w:t>
            </w:r>
            <w:r>
              <w:rPr>
                <w:rFonts w:ascii="Arial" w:cs="Arial" w:eastAsia="Arial" w:hAnsi="Arial"/>
                <w:sz w:val="22"/>
                <w:szCs w:val="22"/>
                <w:i w:val="1"/>
                <w:iCs w:val="1"/>
                <w:color w:val="auto"/>
              </w:rPr>
              <w:t>or CTP</w:t>
            </w: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{4200}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Beneficiary Identifier (account number)</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12 digit gateway account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{4200}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Beneficiary Name</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w w:val="92"/>
              </w:rPr>
              <w:t>(enter agency name associated with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Beneficiary Identifier)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DHHS / NIH (75080031)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{5000}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Originator</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w w:val="95"/>
              </w:rPr>
              <w:t>(enter the name of the originator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payment)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COMPANY NAME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Line 1</w:t>
            </w: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purpose of the payment)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ROYALTY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Line 2</w:t>
            </w: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i w:val="1"/>
                <w:iCs w:val="1"/>
                <w:color w:val="auto"/>
              </w:rPr>
              <w:t>purpose of the payment)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0"/>
        </w:trPr>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2" w:right="1440" w:bottom="1440" w:gutter="0" w:footer="0" w:header="0"/>
        </w:sectPr>
      </w:pPr>
    </w:p>
    <w:bookmarkStart w:id="126" w:name="page127"/>
    <w:bookmarkEnd w:id="126"/>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35"/>
        </w:trPr>
        <w:tc>
          <w:tcPr>
            <w:tcW w:w="120" w:type="dxa"/>
            <w:vAlign w:val="bottom"/>
            <w:tcBorders>
              <w:top w:val="single" w:sz="8" w:color="auto"/>
              <w:left w:val="single" w:sz="8" w:color="auto"/>
            </w:tcBorders>
          </w:tcPr>
          <w:p>
            <w:pPr>
              <w:spacing w:after="0"/>
              <w:rPr>
                <w:sz w:val="20"/>
                <w:szCs w:val="20"/>
                <w:color w:val="auto"/>
              </w:rPr>
            </w:pPr>
          </w:p>
        </w:tc>
        <w:tc>
          <w:tcPr>
            <w:tcW w:w="960" w:type="dxa"/>
            <w:vAlign w:val="bottom"/>
            <w:tcBorders>
              <w:top w:val="single" w:sz="8" w:color="auto"/>
              <w:right w:val="single" w:sz="8" w:color="auto"/>
            </w:tcBorders>
            <w:gridSpan w:val="2"/>
          </w:tcPr>
          <w:p>
            <w:pPr>
              <w:jc w:val="center"/>
              <w:ind w:right="120"/>
              <w:spacing w:after="0" w:line="234" w:lineRule="exact"/>
              <w:rPr>
                <w:sz w:val="20"/>
                <w:szCs w:val="20"/>
                <w:color w:val="auto"/>
              </w:rPr>
            </w:pPr>
            <w:r>
              <w:rPr>
                <w:rFonts w:ascii="Arial" w:cs="Arial" w:eastAsia="Arial" w:hAnsi="Arial"/>
                <w:sz w:val="22"/>
                <w:szCs w:val="22"/>
                <w:color w:val="auto"/>
                <w:w w:val="91"/>
              </w:rPr>
              <w:t>Fedwire</w:t>
            </w:r>
          </w:p>
        </w:tc>
        <w:tc>
          <w:tcPr>
            <w:tcW w:w="480" w:type="dxa"/>
            <w:vAlign w:val="bottom"/>
            <w:tcBorders>
              <w:top w:val="single" w:sz="8" w:color="auto"/>
            </w:tcBorders>
          </w:tcPr>
          <w:p>
            <w:pPr>
              <w:spacing w:after="0"/>
              <w:rPr>
                <w:sz w:val="20"/>
                <w:szCs w:val="20"/>
                <w:color w:val="auto"/>
              </w:rPr>
            </w:pPr>
          </w:p>
        </w:tc>
        <w:tc>
          <w:tcPr>
            <w:tcW w:w="332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22"/>
                <w:szCs w:val="22"/>
                <w:color w:val="auto"/>
              </w:rPr>
              <w:t>Fedwire Field Name</w:t>
            </w:r>
          </w:p>
        </w:tc>
        <w:tc>
          <w:tcPr>
            <w:tcW w:w="3700" w:type="dxa"/>
            <w:vAlign w:val="bottom"/>
            <w:tcBorders>
              <w:top w:val="single" w:sz="8" w:color="auto"/>
              <w:right w:val="single" w:sz="8" w:color="auto"/>
            </w:tcBorders>
            <w:gridSpan w:val="3"/>
            <w:vMerge w:val="restart"/>
          </w:tcPr>
          <w:p>
            <w:pPr>
              <w:ind w:left="900"/>
              <w:spacing w:after="0"/>
              <w:rPr>
                <w:sz w:val="20"/>
                <w:szCs w:val="20"/>
                <w:color w:val="auto"/>
              </w:rPr>
            </w:pPr>
            <w:r>
              <w:rPr>
                <w:rFonts w:ascii="Arial" w:cs="Arial" w:eastAsia="Arial" w:hAnsi="Arial"/>
                <w:sz w:val="22"/>
                <w:szCs w:val="22"/>
                <w:color w:val="auto"/>
              </w:rPr>
              <w:t>Required Information</w:t>
            </w: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22"/>
                <w:szCs w:val="22"/>
                <w:color w:val="auto"/>
                <w:w w:val="98"/>
              </w:rPr>
              <w:t>Field Tag</w:t>
            </w:r>
          </w:p>
        </w:tc>
        <w:tc>
          <w:tcPr>
            <w:tcW w:w="480" w:type="dxa"/>
            <w:vAlign w:val="bottom"/>
          </w:tcPr>
          <w:p>
            <w:pPr>
              <w:spacing w:after="0"/>
              <w:rPr>
                <w:sz w:val="13"/>
                <w:szCs w:val="13"/>
                <w:color w:val="auto"/>
              </w:rPr>
            </w:pPr>
          </w:p>
        </w:tc>
        <w:tc>
          <w:tcPr>
            <w:tcW w:w="332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0" w:type="dxa"/>
            <w:vAlign w:val="bottom"/>
            <w:tcBorders>
              <w:left w:val="single" w:sz="8" w:color="auto"/>
              <w:bottom w:val="single" w:sz="8" w:color="auto"/>
            </w:tcBorders>
          </w:tcPr>
          <w:p>
            <w:pPr>
              <w:spacing w:after="0"/>
              <w:rPr>
                <w:sz w:val="9"/>
                <w:szCs w:val="9"/>
                <w:color w:val="auto"/>
              </w:rPr>
            </w:pPr>
          </w:p>
        </w:tc>
        <w:tc>
          <w:tcPr>
            <w:tcW w:w="960" w:type="dxa"/>
            <w:vAlign w:val="bottom"/>
            <w:tcBorders>
              <w:bottom w:val="single" w:sz="8" w:color="auto"/>
              <w:right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3"/>
          </w:tcPr>
          <w:p>
            <w:pPr>
              <w:ind w:left="80"/>
              <w:spacing w:after="0" w:line="237" w:lineRule="exact"/>
              <w:rPr>
                <w:sz w:val="20"/>
                <w:szCs w:val="20"/>
                <w:color w:val="auto"/>
              </w:rPr>
            </w:pPr>
            <w:r>
              <w:rPr>
                <w:rFonts w:ascii="Arial" w:cs="Arial" w:eastAsia="Arial" w:hAnsi="Arial"/>
                <w:sz w:val="22"/>
                <w:szCs w:val="22"/>
                <w:b w:val="1"/>
                <w:bCs w:val="1"/>
                <w:color w:val="auto"/>
              </w:rPr>
              <w:t>LICENSE NUMBER</w:t>
            </w:r>
          </w:p>
        </w:tc>
        <w:tc>
          <w:tcPr>
            <w:tcW w:w="0" w:type="dxa"/>
            <w:vAlign w:val="bottom"/>
          </w:tcPr>
          <w:p>
            <w:pPr>
              <w:spacing w:after="0"/>
              <w:rPr>
                <w:sz w:val="1"/>
                <w:szCs w:val="1"/>
                <w:color w:val="auto"/>
              </w:rPr>
            </w:pPr>
          </w:p>
        </w:tc>
      </w:tr>
      <w:tr>
        <w:trPr>
          <w:trHeight w:val="215"/>
        </w:trPr>
        <w:tc>
          <w:tcPr>
            <w:tcW w:w="1020" w:type="dxa"/>
            <w:vAlign w:val="bottom"/>
            <w:tcBorders>
              <w:left w:val="single" w:sz="8" w:color="auto"/>
            </w:tcBorders>
            <w:gridSpan w:val="2"/>
          </w:tcPr>
          <w:p>
            <w:pPr>
              <w:jc w:val="center"/>
              <w:spacing w:after="0" w:line="216" w:lineRule="exact"/>
              <w:rPr>
                <w:sz w:val="20"/>
                <w:szCs w:val="20"/>
                <w:color w:val="auto"/>
              </w:rPr>
            </w:pPr>
            <w:r>
              <w:rPr>
                <w:rFonts w:ascii="Arial" w:cs="Arial" w:eastAsia="Arial" w:hAnsi="Arial"/>
                <w:sz w:val="22"/>
                <w:szCs w:val="22"/>
                <w:color w:val="auto"/>
              </w:rPr>
              <w:t>{6000}</w:t>
            </w:r>
          </w:p>
        </w:tc>
        <w:tc>
          <w:tcPr>
            <w:tcW w:w="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3800" w:type="dxa"/>
            <w:vAlign w:val="bottom"/>
            <w:tcBorders>
              <w:right w:val="single" w:sz="8" w:color="auto"/>
            </w:tcBorders>
            <w:gridSpan w:val="2"/>
          </w:tcPr>
          <w:p>
            <w:pPr>
              <w:ind w:left="80"/>
              <w:spacing w:after="0" w:line="243" w:lineRule="exact"/>
              <w:rPr>
                <w:sz w:val="20"/>
                <w:szCs w:val="20"/>
                <w:color w:val="auto"/>
              </w:rPr>
            </w:pPr>
            <w:r>
              <w:rPr>
                <w:rFonts w:ascii="Arial" w:cs="Arial" w:eastAsia="Arial" w:hAnsi="Arial"/>
                <w:sz w:val="22"/>
                <w:szCs w:val="22"/>
                <w:color w:val="auto"/>
              </w:rPr>
              <w:t>Line 3</w:t>
            </w:r>
          </w:p>
        </w:tc>
        <w:tc>
          <w:tcPr>
            <w:tcW w:w="3700" w:type="dxa"/>
            <w:vAlign w:val="bottom"/>
            <w:tcBorders>
              <w:right w:val="single" w:sz="8" w:color="auto"/>
            </w:tcBorders>
            <w:gridSpan w:val="3"/>
          </w:tcPr>
          <w:p>
            <w:pPr>
              <w:ind w:left="80"/>
              <w:spacing w:after="0" w:line="243" w:lineRule="exact"/>
              <w:rPr>
                <w:sz w:val="20"/>
                <w:szCs w:val="20"/>
                <w:color w:val="auto"/>
              </w:rPr>
            </w:pPr>
            <w:r>
              <w:rPr>
                <w:rFonts w:ascii="Arial" w:cs="Arial" w:eastAsia="Arial" w:hAnsi="Arial"/>
                <w:sz w:val="22"/>
                <w:szCs w:val="22"/>
                <w:i w:val="1"/>
                <w:iCs w:val="1"/>
                <w:color w:val="auto"/>
              </w:rPr>
              <w:t>purpose of the payment)</w:t>
            </w: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b w:val="1"/>
                <w:bCs w:val="1"/>
                <w:i w:val="1"/>
                <w:iCs w:val="1"/>
                <w:color w:val="auto"/>
              </w:rPr>
              <w:t>INVOICE NUMBER</w:t>
            </w:r>
          </w:p>
        </w:tc>
        <w:tc>
          <w:tcPr>
            <w:tcW w:w="0" w:type="dxa"/>
            <w:vAlign w:val="bottom"/>
          </w:tcPr>
          <w:p>
            <w:pPr>
              <w:spacing w:after="0"/>
              <w:rPr>
                <w:sz w:val="1"/>
                <w:szCs w:val="1"/>
                <w:color w:val="auto"/>
              </w:rPr>
            </w:pPr>
          </w:p>
        </w:tc>
      </w:tr>
      <w:tr>
        <w:trPr>
          <w:trHeight w:val="215"/>
        </w:trPr>
        <w:tc>
          <w:tcPr>
            <w:tcW w:w="1020" w:type="dxa"/>
            <w:vAlign w:val="bottom"/>
            <w:tcBorders>
              <w:left w:val="single" w:sz="8" w:color="auto"/>
            </w:tcBorders>
            <w:gridSpan w:val="2"/>
          </w:tcPr>
          <w:p>
            <w:pPr>
              <w:jc w:val="center"/>
              <w:spacing w:after="0" w:line="216" w:lineRule="exact"/>
              <w:rPr>
                <w:sz w:val="20"/>
                <w:szCs w:val="20"/>
                <w:color w:val="auto"/>
              </w:rPr>
            </w:pPr>
            <w:r>
              <w:rPr>
                <w:rFonts w:ascii="Arial" w:cs="Arial" w:eastAsia="Arial" w:hAnsi="Arial"/>
                <w:sz w:val="22"/>
                <w:szCs w:val="22"/>
                <w:color w:val="auto"/>
              </w:rPr>
              <w:t>{6000}</w:t>
            </w:r>
          </w:p>
        </w:tc>
        <w:tc>
          <w:tcPr>
            <w:tcW w:w="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0" w:type="dxa"/>
            <w:vAlign w:val="bottom"/>
          </w:tcPr>
          <w:p>
            <w:pPr>
              <w:spacing w:after="0"/>
              <w:rPr>
                <w:sz w:val="1"/>
                <w:szCs w:val="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color w:val="auto"/>
              </w:rPr>
              <w:t>Line 4</w:t>
            </w:r>
          </w:p>
        </w:tc>
        <w:tc>
          <w:tcPr>
            <w:tcW w:w="37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i w:val="1"/>
                <w:iCs w:val="1"/>
                <w:color w:val="auto"/>
              </w:rPr>
              <w:t>purpose of the payment)</w:t>
            </w:r>
          </w:p>
        </w:tc>
        <w:tc>
          <w:tcPr>
            <w:tcW w:w="0" w:type="dxa"/>
            <w:vAlign w:val="bottom"/>
          </w:tcPr>
          <w:p>
            <w:pPr>
              <w:spacing w:after="0"/>
              <w:rPr>
                <w:sz w:val="1"/>
                <w:szCs w:val="1"/>
                <w:color w:val="auto"/>
              </w:rPr>
            </w:pPr>
          </w:p>
        </w:tc>
      </w:tr>
      <w:tr>
        <w:trPr>
          <w:trHeight w:val="215"/>
        </w:trPr>
        <w:tc>
          <w:tcPr>
            <w:tcW w:w="120" w:type="dxa"/>
            <w:vAlign w:val="bottom"/>
            <w:tcBorders>
              <w:left w:val="single" w:sz="8" w:color="auto"/>
            </w:tcBorders>
          </w:tcPr>
          <w:p>
            <w:pPr>
              <w:spacing w:after="0"/>
              <w:rPr>
                <w:sz w:val="18"/>
                <w:szCs w:val="18"/>
                <w:color w:val="auto"/>
              </w:rPr>
            </w:pPr>
          </w:p>
        </w:tc>
        <w:tc>
          <w:tcPr>
            <w:tcW w:w="960" w:type="dxa"/>
            <w:vAlign w:val="bottom"/>
            <w:gridSpan w:val="2"/>
          </w:tcPr>
          <w:p>
            <w:pPr>
              <w:spacing w:after="0" w:line="216" w:lineRule="exact"/>
              <w:rPr>
                <w:sz w:val="20"/>
                <w:szCs w:val="20"/>
                <w:color w:val="auto"/>
              </w:rPr>
            </w:pPr>
            <w:r>
              <w:rPr>
                <w:rFonts w:ascii="Arial" w:cs="Arial" w:eastAsia="Arial" w:hAnsi="Arial"/>
                <w:sz w:val="22"/>
                <w:szCs w:val="22"/>
                <w:color w:val="auto"/>
              </w:rPr>
              <w:t>Notes:</w:t>
            </w:r>
          </w:p>
        </w:tc>
        <w:tc>
          <w:tcPr>
            <w:tcW w:w="4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Borders>
              <w:left w:val="single" w:sz="8" w:color="auto"/>
            </w:tcBorders>
          </w:tcPr>
          <w:p>
            <w:pPr>
              <w:spacing w:after="0"/>
              <w:rPr>
                <w:sz w:val="19"/>
                <w:szCs w:val="19"/>
                <w:color w:val="auto"/>
              </w:rPr>
            </w:pPr>
          </w:p>
        </w:tc>
        <w:tc>
          <w:tcPr>
            <w:tcW w:w="8460" w:type="dxa"/>
            <w:vAlign w:val="bottom"/>
            <w:tcBorders>
              <w:right w:val="single" w:sz="8" w:color="auto"/>
            </w:tcBorders>
            <w:gridSpan w:val="7"/>
          </w:tcPr>
          <w:p>
            <w:pPr>
              <w:spacing w:after="0" w:line="224" w:lineRule="exact"/>
              <w:rPr>
                <w:sz w:val="20"/>
                <w:szCs w:val="20"/>
                <w:color w:val="auto"/>
              </w:rPr>
            </w:pPr>
            <w:r>
              <w:rPr>
                <w:rFonts w:ascii="Arial" w:cs="Arial" w:eastAsia="Arial" w:hAnsi="Arial"/>
                <w:sz w:val="22"/>
                <w:szCs w:val="22"/>
                <w:color w:val="auto"/>
                <w:w w:val="92"/>
              </w:rPr>
              <w:t>*The financial institution address for Treasury’s routing number is 33 Liberty Street, New York,</w:t>
            </w: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auto"/>
                <w:w w:val="88"/>
              </w:rPr>
              <w:t>NY 10045.</w:t>
            </w:r>
          </w:p>
        </w:tc>
        <w:tc>
          <w:tcPr>
            <w:tcW w:w="4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580" w:type="dxa"/>
            <w:vAlign w:val="bottom"/>
            <w:gridSpan w:val="8"/>
          </w:tcPr>
          <w:p>
            <w:pPr>
              <w:spacing w:after="0"/>
              <w:rPr>
                <w:sz w:val="20"/>
                <w:szCs w:val="20"/>
                <w:color w:val="auto"/>
              </w:rPr>
            </w:pPr>
            <w:r>
              <w:rPr>
                <w:rFonts w:ascii="Arial" w:cs="Arial" w:eastAsia="Arial" w:hAnsi="Arial"/>
                <w:sz w:val="22"/>
                <w:szCs w:val="22"/>
                <w:b w:val="1"/>
                <w:bCs w:val="1"/>
                <w:color w:val="auto"/>
              </w:rPr>
              <w:t>Agency Contacts</w:t>
            </w:r>
            <w:r>
              <w:rPr>
                <w:rFonts w:ascii="Arial" w:cs="Arial" w:eastAsia="Arial" w:hAnsi="Arial"/>
                <w:sz w:val="22"/>
                <w:szCs w:val="22"/>
                <w:color w:val="auto"/>
              </w:rPr>
              <w:t>:  Office of Technology Transfer (OTT)  (301) 496-7057  OTT-</w:t>
            </w:r>
          </w:p>
        </w:tc>
        <w:tc>
          <w:tcPr>
            <w:tcW w:w="0" w:type="dxa"/>
            <w:vAlign w:val="bottom"/>
          </w:tcPr>
          <w:p>
            <w:pPr>
              <w:spacing w:after="0"/>
              <w:rPr>
                <w:sz w:val="1"/>
                <w:szCs w:val="1"/>
                <w:color w:val="auto"/>
              </w:rPr>
            </w:pPr>
          </w:p>
        </w:tc>
      </w:tr>
      <w:tr>
        <w:trPr>
          <w:trHeight w:val="20"/>
        </w:trPr>
        <w:tc>
          <w:tcPr>
            <w:tcW w:w="1560" w:type="dxa"/>
            <w:vAlign w:val="bottom"/>
            <w:tcBorders>
              <w:left w:val="single" w:sz="8" w:color="auto"/>
            </w:tcBorders>
            <w:gridSpan w:val="4"/>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80" w:type="dxa"/>
            <w:vAlign w:val="bottom"/>
            <w:gridSpan w:val="5"/>
          </w:tcPr>
          <w:p>
            <w:pPr>
              <w:spacing w:after="0"/>
              <w:rPr>
                <w:sz w:val="20"/>
                <w:szCs w:val="20"/>
                <w:color w:val="auto"/>
              </w:rPr>
            </w:pPr>
            <w:r>
              <w:rPr>
                <w:rFonts w:ascii="Arial" w:cs="Arial" w:eastAsia="Arial" w:hAnsi="Arial"/>
                <w:sz w:val="22"/>
                <w:szCs w:val="22"/>
                <w:color w:val="auto"/>
              </w:rPr>
              <w:t>Royalties@mail.nih.gov</w:t>
            </w:r>
          </w:p>
        </w:tc>
        <w:tc>
          <w:tcPr>
            <w:tcW w:w="10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Drawn on a </w:t>
      </w:r>
      <w:r>
        <w:rPr>
          <w:rFonts w:ascii="Arial" w:cs="Arial" w:eastAsia="Arial" w:hAnsi="Arial"/>
          <w:sz w:val="22"/>
          <w:szCs w:val="22"/>
          <w:b w:val="1"/>
          <w:bCs w:val="1"/>
          <w:color w:val="auto"/>
        </w:rPr>
        <w:t>foreign bank account</w:t>
      </w:r>
      <w:r>
        <w:rPr>
          <w:rFonts w:ascii="Arial" w:cs="Arial" w:eastAsia="Arial" w:hAnsi="Arial"/>
          <w:sz w:val="22"/>
          <w:szCs w:val="22"/>
          <w:color w:val="auto"/>
        </w:rPr>
        <w:t xml:space="preserve"> via FEDWIRE:</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xml:space="preserve">The following instructions pertain to the Fedwire Network. Deposits made in </w:t>
      </w:r>
      <w:r>
        <w:rPr>
          <w:rFonts w:ascii="Arial" w:cs="Arial" w:eastAsia="Arial" w:hAnsi="Arial"/>
          <w:sz w:val="19"/>
          <w:szCs w:val="19"/>
          <w:u w:val="single" w:color="auto"/>
          <w:color w:val="auto"/>
        </w:rPr>
        <w:t>US Dollars (USD)</w:t>
      </w:r>
      <w:r>
        <w:rPr>
          <w:rFonts w:ascii="Arial" w:cs="Arial" w:eastAsia="Arial" w:hAnsi="Arial"/>
          <w:sz w:val="19"/>
          <w:szCs w:val="19"/>
          <w:color w:val="auto"/>
        </w:rPr>
        <w:t>.</w:t>
      </w:r>
    </w:p>
    <w:p>
      <w:pPr>
        <w:spacing w:after="0" w:line="268" w:lineRule="exact"/>
        <w:rPr>
          <w:sz w:val="20"/>
          <w:szCs w:val="20"/>
          <w:color w:val="auto"/>
        </w:rPr>
      </w:pPr>
    </w:p>
    <w:p>
      <w:pPr>
        <w:jc w:val="both"/>
        <w:ind w:left="200" w:right="259"/>
        <w:spacing w:after="0" w:line="250" w:lineRule="auto"/>
        <w:rPr>
          <w:sz w:val="20"/>
          <w:szCs w:val="20"/>
          <w:color w:val="auto"/>
        </w:rPr>
      </w:pPr>
      <w:r>
        <w:rPr>
          <w:rFonts w:ascii="Arial" w:cs="Arial" w:eastAsia="Arial" w:hAnsi="Arial"/>
          <w:sz w:val="22"/>
          <w:szCs w:val="22"/>
          <w:color w:val="auto"/>
        </w:rPr>
        <w:t>Should your remitter utilize a correspondent US domestic bank in transferring electronic funds, the following Fedwire instructions are applicable.</w:t>
      </w:r>
    </w:p>
    <w:p>
      <w:pPr>
        <w:spacing w:after="0" w:line="203" w:lineRule="exact"/>
        <w:rPr>
          <w:sz w:val="20"/>
          <w:szCs w:val="20"/>
          <w:color w:val="auto"/>
        </w:rPr>
      </w:pPr>
    </w:p>
    <w:tbl>
      <w:tblPr>
        <w:tblLayout w:type="fixed"/>
        <w:tblInd w:w="230" w:type="dxa"/>
        <w:tblCellMar>
          <w:top w:w="0" w:type="dxa"/>
          <w:left w:w="0" w:type="dxa"/>
          <w:bottom w:w="0" w:type="dxa"/>
          <w:right w:w="0" w:type="dxa"/>
        </w:tblCellMar>
      </w:tblPr>
      <w:tr>
        <w:trPr>
          <w:trHeight w:val="235"/>
        </w:trPr>
        <w:tc>
          <w:tcPr>
            <w:tcW w:w="1060" w:type="dxa"/>
            <w:vAlign w:val="bottom"/>
            <w:tcBorders>
              <w:top w:val="single" w:sz="8" w:color="auto"/>
              <w:left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1"/>
              </w:rPr>
              <w:t>Fedwire</w:t>
            </w:r>
          </w:p>
        </w:tc>
        <w:tc>
          <w:tcPr>
            <w:tcW w:w="3800" w:type="dxa"/>
            <w:vAlign w:val="bottom"/>
            <w:tcBorders>
              <w:top w:val="single" w:sz="8" w:color="auto"/>
              <w:right w:val="single" w:sz="8" w:color="auto"/>
            </w:tcBorders>
            <w:vMerge w:val="restart"/>
          </w:tcPr>
          <w:p>
            <w:pPr>
              <w:ind w:left="1000"/>
              <w:spacing w:after="0"/>
              <w:rPr>
                <w:sz w:val="20"/>
                <w:szCs w:val="20"/>
                <w:color w:val="auto"/>
              </w:rPr>
            </w:pPr>
            <w:r>
              <w:rPr>
                <w:rFonts w:ascii="Arial" w:cs="Arial" w:eastAsia="Arial" w:hAnsi="Arial"/>
                <w:sz w:val="22"/>
                <w:szCs w:val="22"/>
                <w:color w:val="auto"/>
              </w:rPr>
              <w:t>Fedwire Field Name</w:t>
            </w:r>
          </w:p>
        </w:tc>
        <w:tc>
          <w:tcPr>
            <w:tcW w:w="3700" w:type="dxa"/>
            <w:vAlign w:val="bottom"/>
            <w:tcBorders>
              <w:top w:val="single" w:sz="8" w:color="auto"/>
              <w:right w:val="single" w:sz="8" w:color="auto"/>
            </w:tcBorders>
            <w:vMerge w:val="restart"/>
          </w:tcPr>
          <w:p>
            <w:pPr>
              <w:ind w:left="900"/>
              <w:spacing w:after="0"/>
              <w:rPr>
                <w:sz w:val="20"/>
                <w:szCs w:val="20"/>
                <w:color w:val="auto"/>
              </w:rPr>
            </w:pPr>
            <w:r>
              <w:rPr>
                <w:rFonts w:ascii="Arial" w:cs="Arial" w:eastAsia="Arial" w:hAnsi="Arial"/>
                <w:sz w:val="22"/>
                <w:szCs w:val="22"/>
                <w:color w:val="auto"/>
              </w:rPr>
              <w:t>Required Information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Field Tag</w:t>
            </w:r>
          </w:p>
        </w:tc>
        <w:tc>
          <w:tcPr>
            <w:tcW w:w="38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3800" w:type="dxa"/>
            <w:vAlign w:val="bottom"/>
            <w:tcBorders>
              <w:bottom w:val="single" w:sz="8" w:color="auto"/>
              <w:right w:val="single" w:sz="8" w:color="D9D9D9"/>
            </w:tcBorders>
            <w:shd w:val="clear" w:color="auto" w:fill="D9D9D9"/>
          </w:tcPr>
          <w:p>
            <w:pPr>
              <w:spacing w:after="0"/>
              <w:rPr>
                <w:sz w:val="20"/>
                <w:szCs w:val="20"/>
                <w:color w:val="auto"/>
              </w:rPr>
            </w:pPr>
          </w:p>
        </w:tc>
        <w:tc>
          <w:tcPr>
            <w:tcW w:w="3700" w:type="dxa"/>
            <w:vAlign w:val="bottom"/>
            <w:tcBorders>
              <w:bottom w:val="single" w:sz="8" w:color="auto"/>
              <w:right w:val="single" w:sz="8" w:color="auto"/>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{1510}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Type/Subtype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{2000}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Amount</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(enter payment 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{3100}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Sender Bank ABA routing number</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w w:val="90"/>
              </w:rPr>
              <w:t>(enter the US correspondent bank’s ABA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i w:val="1"/>
                <w:iCs w:val="1"/>
                <w:color w:val="auto"/>
              </w:rPr>
              <w:t>routing number)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{3400}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Receiver ABA routing number*</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{3400}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Receiver ABA short name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TREAS NYC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{3600}</w:t>
            </w:r>
          </w:p>
        </w:tc>
        <w:tc>
          <w:tcPr>
            <w:tcW w:w="38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Business Function Code</w:t>
            </w:r>
          </w:p>
        </w:tc>
        <w:tc>
          <w:tcPr>
            <w:tcW w:w="370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 xml:space="preserve">CTR </w:t>
            </w:r>
            <w:r>
              <w:rPr>
                <w:rFonts w:ascii="Arial" w:cs="Arial" w:eastAsia="Arial" w:hAnsi="Arial"/>
                <w:sz w:val="22"/>
                <w:szCs w:val="22"/>
                <w:color w:val="auto"/>
              </w:rPr>
              <w:t>(</w:t>
            </w:r>
            <w:r>
              <w:rPr>
                <w:rFonts w:ascii="Arial" w:cs="Arial" w:eastAsia="Arial" w:hAnsi="Arial"/>
                <w:sz w:val="22"/>
                <w:szCs w:val="22"/>
                <w:i w:val="1"/>
                <w:iCs w:val="1"/>
                <w:color w:val="auto"/>
              </w:rPr>
              <w:t>or CTP</w:t>
            </w: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{4200}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Beneficiary Identifier (account</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12 digit gateway account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60" w:type="dxa"/>
            <w:vAlign w:val="bottom"/>
            <w:tcBorders>
              <w:left w:val="single" w:sz="8" w:color="auto"/>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number)**</w:t>
            </w: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{4200}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Beneficiary Name</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w w:val="92"/>
              </w:rPr>
              <w:t>(enter agency name associated with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Beneficiary Identifier)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DHHS / NIH (75080031)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{5000}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Originator</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w w:val="95"/>
              </w:rPr>
              <w:t>(enter the name of the originator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payment)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COMPANY’S NAME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Line 1</w:t>
            </w: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purpose of the payment)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ROYALTY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Line 2</w:t>
            </w:r>
          </w:p>
        </w:tc>
        <w:tc>
          <w:tcPr>
            <w:tcW w:w="3700" w:type="dxa"/>
            <w:vAlign w:val="bottom"/>
            <w:tcBorders>
              <w:right w:val="single" w:sz="8" w:color="auto"/>
            </w:tcBorders>
          </w:tcPr>
          <w:p>
            <w:pPr>
              <w:ind w:left="80"/>
              <w:spacing w:after="0" w:line="237" w:lineRule="exact"/>
              <w:rPr>
                <w:sz w:val="20"/>
                <w:szCs w:val="20"/>
                <w:color w:val="auto"/>
              </w:rPr>
            </w:pPr>
            <w:r>
              <w:rPr>
                <w:rFonts w:ascii="Arial" w:cs="Arial" w:eastAsia="Arial" w:hAnsi="Arial"/>
                <w:sz w:val="22"/>
                <w:szCs w:val="22"/>
                <w:i w:val="1"/>
                <w:iCs w:val="1"/>
                <w:color w:val="auto"/>
              </w:rPr>
              <w:t>purpose of the payment)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bottom w:val="single" w:sz="8" w:color="auto"/>
              <w:right w:val="single" w:sz="8" w:color="auto"/>
            </w:tcBorders>
          </w:tcPr>
          <w:p>
            <w:pPr>
              <w:spacing w:after="0"/>
              <w:rPr>
                <w:sz w:val="23"/>
                <w:szCs w:val="23"/>
                <w:color w:val="auto"/>
              </w:rPr>
            </w:pPr>
          </w:p>
        </w:tc>
        <w:tc>
          <w:tcPr>
            <w:tcW w:w="380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LICENSE NUMBER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0"/>
        </w:trPr>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0" w:right="1440"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43855" cy="1894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443855" cy="189420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35"/>
        </w:trPr>
        <w:tc>
          <w:tcPr>
            <w:tcW w:w="106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1"/>
              </w:rPr>
              <w:t>Fedwire</w:t>
            </w:r>
          </w:p>
        </w:tc>
        <w:tc>
          <w:tcPr>
            <w:tcW w:w="3800" w:type="dxa"/>
            <w:vAlign w:val="bottom"/>
            <w:tcBorders>
              <w:top w:val="single" w:sz="8" w:color="auto"/>
              <w:right w:val="single" w:sz="8" w:color="auto"/>
            </w:tcBorders>
            <w:vMerge w:val="restart"/>
          </w:tcPr>
          <w:p>
            <w:pPr>
              <w:ind w:left="1000"/>
              <w:spacing w:after="0"/>
              <w:rPr>
                <w:sz w:val="20"/>
                <w:szCs w:val="20"/>
                <w:color w:val="auto"/>
              </w:rPr>
            </w:pPr>
            <w:r>
              <w:rPr>
                <w:rFonts w:ascii="Arial" w:cs="Arial" w:eastAsia="Arial" w:hAnsi="Arial"/>
                <w:sz w:val="22"/>
                <w:szCs w:val="22"/>
                <w:color w:val="auto"/>
              </w:rPr>
              <w:t>Fedwire Field Name</w:t>
            </w:r>
          </w:p>
        </w:tc>
        <w:tc>
          <w:tcPr>
            <w:tcW w:w="3700" w:type="dxa"/>
            <w:vAlign w:val="bottom"/>
            <w:tcBorders>
              <w:top w:val="single" w:sz="8" w:color="auto"/>
            </w:tcBorders>
            <w:vMerge w:val="restart"/>
          </w:tcPr>
          <w:p>
            <w:pPr>
              <w:ind w:left="900"/>
              <w:spacing w:after="0"/>
              <w:rPr>
                <w:sz w:val="20"/>
                <w:szCs w:val="20"/>
                <w:color w:val="auto"/>
              </w:rPr>
            </w:pPr>
            <w:r>
              <w:rPr>
                <w:rFonts w:ascii="Arial" w:cs="Arial" w:eastAsia="Arial" w:hAnsi="Arial"/>
                <w:sz w:val="22"/>
                <w:szCs w:val="22"/>
                <w:color w:val="auto"/>
              </w:rPr>
              <w:t>Required Information</w:t>
            </w:r>
          </w:p>
        </w:tc>
        <w:tc>
          <w:tcPr>
            <w:tcW w:w="0" w:type="dxa"/>
            <w:vAlign w:val="bottom"/>
          </w:tcPr>
          <w:p>
            <w:pPr>
              <w:spacing w:after="0"/>
              <w:rPr>
                <w:sz w:val="1"/>
                <w:szCs w:val="1"/>
                <w:color w:val="auto"/>
              </w:rPr>
            </w:pPr>
          </w:p>
        </w:tc>
      </w:tr>
      <w:tr>
        <w:trPr>
          <w:trHeight w:val="153"/>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Field Tag</w:t>
            </w:r>
          </w:p>
        </w:tc>
        <w:tc>
          <w:tcPr>
            <w:tcW w:w="3800" w:type="dxa"/>
            <w:vAlign w:val="bottom"/>
            <w:tcBorders>
              <w:right w:val="single" w:sz="8" w:color="auto"/>
            </w:tcBorders>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60" w:type="dxa"/>
            <w:vAlign w:val="bottom"/>
            <w:tcBorders>
              <w:bottom w:val="single" w:sz="8" w:color="auto"/>
              <w:right w:val="single" w:sz="8" w:color="auto"/>
            </w:tcBorders>
            <w:vMerge w:val="continue"/>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0" w:type="dxa"/>
            <w:vAlign w:val="bottom"/>
          </w:tcPr>
          <w:p>
            <w:pPr>
              <w:spacing w:after="0"/>
              <w:rPr>
                <w:sz w:val="1"/>
                <w:szCs w:val="1"/>
                <w:color w:val="auto"/>
              </w:rPr>
            </w:pPr>
          </w:p>
        </w:tc>
      </w:tr>
      <w:tr>
        <w:trPr>
          <w:trHeight w:val="243"/>
        </w:trPr>
        <w:tc>
          <w:tcPr>
            <w:tcW w:w="1060" w:type="dxa"/>
            <w:vAlign w:val="bottom"/>
            <w:tcBorders>
              <w:right w:val="single" w:sz="8" w:color="auto"/>
            </w:tcBorders>
          </w:tcPr>
          <w:p>
            <w:pPr>
              <w:spacing w:after="0"/>
              <w:rPr>
                <w:sz w:val="21"/>
                <w:szCs w:val="21"/>
                <w:color w:val="auto"/>
              </w:rPr>
            </w:pPr>
          </w:p>
        </w:tc>
        <w:tc>
          <w:tcPr>
            <w:tcW w:w="38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Line 3</w:t>
            </w:r>
          </w:p>
        </w:tc>
        <w:tc>
          <w:tcPr>
            <w:tcW w:w="3700" w:type="dxa"/>
            <w:vAlign w:val="bottom"/>
          </w:tcPr>
          <w:p>
            <w:pPr>
              <w:ind w:left="80"/>
              <w:spacing w:after="0" w:line="243" w:lineRule="exact"/>
              <w:rPr>
                <w:sz w:val="20"/>
                <w:szCs w:val="20"/>
                <w:color w:val="auto"/>
              </w:rPr>
            </w:pPr>
            <w:r>
              <w:rPr>
                <w:rFonts w:ascii="Arial" w:cs="Arial" w:eastAsia="Arial" w:hAnsi="Arial"/>
                <w:sz w:val="22"/>
                <w:szCs w:val="22"/>
                <w:i w:val="1"/>
                <w:iCs w:val="1"/>
                <w:color w:val="auto"/>
              </w:rPr>
              <w:t>purpose of the payment)</w:t>
            </w:r>
          </w:p>
        </w:tc>
        <w:tc>
          <w:tcPr>
            <w:tcW w:w="0" w:type="dxa"/>
            <w:vAlign w:val="bottom"/>
          </w:tcPr>
          <w:p>
            <w:pPr>
              <w:spacing w:after="0"/>
              <w:rPr>
                <w:sz w:val="1"/>
                <w:szCs w:val="1"/>
                <w:color w:val="auto"/>
              </w:rPr>
            </w:pPr>
          </w:p>
        </w:tc>
      </w:tr>
      <w:tr>
        <w:trPr>
          <w:trHeight w:val="264"/>
        </w:trPr>
        <w:tc>
          <w:tcPr>
            <w:tcW w:w="106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i w:val="1"/>
                <w:iCs w:val="1"/>
                <w:color w:val="auto"/>
              </w:rPr>
              <w:t>INVOICE NUMBER</w:t>
            </w:r>
          </w:p>
        </w:tc>
        <w:tc>
          <w:tcPr>
            <w:tcW w:w="0" w:type="dxa"/>
            <w:vAlign w:val="bottom"/>
          </w:tcPr>
          <w:p>
            <w:pPr>
              <w:spacing w:after="0"/>
              <w:rPr>
                <w:sz w:val="1"/>
                <w:szCs w:val="1"/>
                <w:color w:val="auto"/>
              </w:rPr>
            </w:pPr>
          </w:p>
        </w:tc>
      </w:tr>
      <w:tr>
        <w:trPr>
          <w:trHeight w:val="215"/>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{6000}</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Originator to Beneficiary Information –</w:t>
            </w:r>
          </w:p>
        </w:tc>
        <w:tc>
          <w:tcPr>
            <w:tcW w:w="3700" w:type="dxa"/>
            <w:vAlign w:val="bottom"/>
          </w:tcPr>
          <w:p>
            <w:pPr>
              <w:ind w:left="80"/>
              <w:spacing w:after="0" w:line="216" w:lineRule="exact"/>
              <w:rPr>
                <w:sz w:val="20"/>
                <w:szCs w:val="20"/>
                <w:color w:val="auto"/>
              </w:rPr>
            </w:pPr>
            <w:r>
              <w:rPr>
                <w:rFonts w:ascii="Arial" w:cs="Arial" w:eastAsia="Arial" w:hAnsi="Arial"/>
                <w:sz w:val="22"/>
                <w:szCs w:val="22"/>
                <w:i w:val="1"/>
                <w:iCs w:val="1"/>
                <w:color w:val="auto"/>
              </w:rPr>
              <w:t>(enter information to identify the</w:t>
            </w:r>
          </w:p>
        </w:tc>
        <w:tc>
          <w:tcPr>
            <w:tcW w:w="0" w:type="dxa"/>
            <w:vAlign w:val="bottom"/>
          </w:tcPr>
          <w:p>
            <w:pPr>
              <w:spacing w:after="0"/>
              <w:rPr>
                <w:sz w:val="1"/>
                <w:szCs w:val="1"/>
                <w:color w:val="auto"/>
              </w:rPr>
            </w:pPr>
          </w:p>
        </w:tc>
      </w:tr>
      <w:tr>
        <w:trPr>
          <w:trHeight w:val="264"/>
        </w:trPr>
        <w:tc>
          <w:tcPr>
            <w:tcW w:w="106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Line 4</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22"/>
                <w:szCs w:val="22"/>
                <w:i w:val="1"/>
                <w:iCs w:val="1"/>
                <w:color w:val="auto"/>
              </w:rPr>
              <w:t>purpose of the payment)</w:t>
            </w:r>
          </w:p>
        </w:tc>
        <w:tc>
          <w:tcPr>
            <w:tcW w:w="0" w:type="dxa"/>
            <w:vAlign w:val="bottom"/>
          </w:tcPr>
          <w:p>
            <w:pPr>
              <w:spacing w:after="0"/>
              <w:rPr>
                <w:sz w:val="1"/>
                <w:szCs w:val="1"/>
                <w:color w:val="auto"/>
              </w:rPr>
            </w:pPr>
          </w:p>
        </w:tc>
      </w:tr>
      <w:tr>
        <w:trPr>
          <w:trHeight w:val="233"/>
        </w:trPr>
        <w:tc>
          <w:tcPr>
            <w:tcW w:w="1060" w:type="dxa"/>
            <w:vAlign w:val="bottom"/>
          </w:tcPr>
          <w:p>
            <w:pPr>
              <w:ind w:left="100"/>
              <w:spacing w:after="0" w:line="233" w:lineRule="exact"/>
              <w:rPr>
                <w:sz w:val="20"/>
                <w:szCs w:val="20"/>
                <w:color w:val="auto"/>
              </w:rPr>
            </w:pPr>
            <w:r>
              <w:rPr>
                <w:rFonts w:ascii="Arial" w:cs="Arial" w:eastAsia="Arial" w:hAnsi="Arial"/>
                <w:sz w:val="22"/>
                <w:szCs w:val="22"/>
                <w:color w:val="auto"/>
              </w:rPr>
              <w:t>Notes:</w:t>
            </w:r>
          </w:p>
        </w:tc>
        <w:tc>
          <w:tcPr>
            <w:tcW w:w="38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right="399"/>
        <w:spacing w:after="0" w:line="230" w:lineRule="auto"/>
        <w:rPr>
          <w:sz w:val="20"/>
          <w:szCs w:val="20"/>
          <w:color w:val="auto"/>
        </w:rPr>
      </w:pPr>
      <w:r>
        <w:rPr>
          <w:rFonts w:ascii="Arial" w:cs="Arial" w:eastAsia="Arial" w:hAnsi="Arial"/>
          <w:sz w:val="22"/>
          <w:szCs w:val="22"/>
          <w:color w:val="auto"/>
        </w:rPr>
        <w:t xml:space="preserve">*The financial institution address for Treasury’s routing number is </w:t>
      </w:r>
      <w:r>
        <w:rPr>
          <w:rFonts w:ascii="Arial" w:cs="Arial" w:eastAsia="Arial" w:hAnsi="Arial"/>
          <w:sz w:val="22"/>
          <w:szCs w:val="22"/>
          <w:u w:val="single" w:color="auto"/>
          <w:color w:val="auto"/>
        </w:rPr>
        <w:t>33 Liberty Street, New York,</w:t>
      </w:r>
      <w:r>
        <w:rPr>
          <w:rFonts w:ascii="Arial" w:cs="Arial" w:eastAsia="Arial" w:hAnsi="Arial"/>
          <w:sz w:val="22"/>
          <w:szCs w:val="22"/>
          <w:color w:val="auto"/>
        </w:rPr>
        <w:t xml:space="preserve"> </w:t>
      </w:r>
      <w:r>
        <w:rPr>
          <w:rFonts w:ascii="Arial" w:cs="Arial" w:eastAsia="Arial" w:hAnsi="Arial"/>
          <w:sz w:val="22"/>
          <w:szCs w:val="22"/>
          <w:u w:val="single" w:color="auto"/>
          <w:color w:val="auto"/>
        </w:rPr>
        <w:t>NY 10045</w:t>
      </w:r>
      <w:r>
        <w:rPr>
          <w:rFonts w:ascii="Arial" w:cs="Arial" w:eastAsia="Arial" w:hAnsi="Arial"/>
          <w:sz w:val="22"/>
          <w:szCs w:val="22"/>
          <w:color w:val="auto"/>
        </w:rPr>
        <w:t>.</w:t>
      </w:r>
    </w:p>
    <w:p>
      <w:pPr>
        <w:spacing w:after="0" w:line="1" w:lineRule="exact"/>
        <w:rPr>
          <w:sz w:val="20"/>
          <w:szCs w:val="20"/>
          <w:color w:val="auto"/>
        </w:rPr>
      </w:pPr>
    </w:p>
    <w:p>
      <w:pPr>
        <w:ind w:left="320" w:right="639"/>
        <w:spacing w:after="0" w:line="236" w:lineRule="auto"/>
        <w:rPr>
          <w:sz w:val="20"/>
          <w:szCs w:val="20"/>
          <w:color w:val="auto"/>
        </w:rPr>
      </w:pPr>
      <w:r>
        <w:rPr>
          <w:rFonts w:ascii="Arial" w:cs="Arial" w:eastAsia="Arial" w:hAnsi="Arial"/>
          <w:sz w:val="22"/>
          <w:szCs w:val="22"/>
          <w:color w:val="auto"/>
        </w:rPr>
        <w:t xml:space="preserve">**Anything other than the 12 digit gateway account # will cause the Fedwire to be returned – </w:t>
      </w:r>
      <w:r>
        <w:rPr>
          <w:rFonts w:ascii="Arial" w:cs="Arial" w:eastAsia="Arial" w:hAnsi="Arial"/>
          <w:sz w:val="22"/>
          <w:szCs w:val="22"/>
          <w:b w:val="1"/>
          <w:bCs w:val="1"/>
          <w:color w:val="auto"/>
        </w:rPr>
        <w:t xml:space="preserve">SWIFT CODE: </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963295</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8" w:name="page129"/>
    <w:bookmarkEnd w:id="128"/>
    <w:p>
      <w:pPr>
        <w:ind w:left="200"/>
        <w:spacing w:after="0"/>
        <w:rPr>
          <w:sz w:val="20"/>
          <w:szCs w:val="20"/>
          <w:color w:val="auto"/>
        </w:rPr>
      </w:pPr>
      <w:r>
        <w:rPr>
          <w:rFonts w:ascii="Arial" w:cs="Arial" w:eastAsia="Arial" w:hAnsi="Arial"/>
          <w:sz w:val="22"/>
          <w:szCs w:val="22"/>
          <w:b w:val="1"/>
          <w:bCs w:val="1"/>
          <w:u w:val="single" w:color="auto"/>
          <w:color w:val="auto"/>
        </w:rPr>
        <w:t>Agency Contacts</w:t>
      </w:r>
      <w:r>
        <w:rPr>
          <w:rFonts w:ascii="Arial" w:cs="Arial" w:eastAsia="Arial" w:hAnsi="Arial"/>
          <w:sz w:val="22"/>
          <w:szCs w:val="22"/>
          <w:color w:val="auto"/>
        </w:rPr>
        <w:t>:</w:t>
      </w:r>
    </w:p>
    <w:p>
      <w:pPr>
        <w:spacing w:after="0" w:line="240" w:lineRule="exact"/>
        <w:rPr>
          <w:sz w:val="20"/>
          <w:szCs w:val="20"/>
          <w:color w:val="auto"/>
        </w:rPr>
      </w:pPr>
    </w:p>
    <w:p>
      <w:pPr>
        <w:ind w:left="200"/>
        <w:spacing w:after="0"/>
        <w:tabs>
          <w:tab w:leader="none" w:pos="3660" w:val="left"/>
          <w:tab w:leader="none" w:pos="5340" w:val="left"/>
        </w:tabs>
        <w:rPr>
          <w:sz w:val="20"/>
          <w:szCs w:val="20"/>
          <w:color w:val="auto"/>
        </w:rPr>
      </w:pPr>
      <w:r>
        <w:rPr>
          <w:rFonts w:ascii="Arial" w:cs="Arial" w:eastAsia="Arial" w:hAnsi="Arial"/>
          <w:sz w:val="22"/>
          <w:szCs w:val="22"/>
          <w:color w:val="auto"/>
        </w:rPr>
        <w:t>Office of Technology Transfer (OTT)</w:t>
        <w:tab/>
        <w:t>(301) 496-7057</w:t>
      </w:r>
      <w:r>
        <w:rPr>
          <w:sz w:val="20"/>
          <w:szCs w:val="20"/>
          <w:color w:val="auto"/>
        </w:rPr>
        <w:tab/>
      </w:r>
      <w:r>
        <w:rPr>
          <w:rFonts w:ascii="Arial" w:cs="Arial" w:eastAsia="Arial" w:hAnsi="Arial"/>
          <w:sz w:val="19"/>
          <w:szCs w:val="19"/>
          <w:color w:val="auto"/>
        </w:rPr>
        <w:t>OTT-Royalties@mail.nih.gov</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Checks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All checks should be made payable to “NIH Patent Licensing”</w:t>
      </w:r>
    </w:p>
    <w:p>
      <w:pPr>
        <w:spacing w:after="0" w:line="227" w:lineRule="exact"/>
        <w:rPr>
          <w:sz w:val="20"/>
          <w:szCs w:val="20"/>
          <w:color w:val="auto"/>
        </w:rPr>
      </w:pPr>
    </w:p>
    <w:p>
      <w:pPr>
        <w:ind w:left="200" w:right="239"/>
        <w:spacing w:after="0" w:line="256" w:lineRule="auto"/>
        <w:rPr>
          <w:sz w:val="20"/>
          <w:szCs w:val="20"/>
          <w:color w:val="auto"/>
        </w:rPr>
      </w:pPr>
      <w:r>
        <w:rPr>
          <w:rFonts w:ascii="Arial" w:cs="Arial" w:eastAsia="Arial" w:hAnsi="Arial"/>
          <w:sz w:val="22"/>
          <w:szCs w:val="22"/>
          <w:color w:val="auto"/>
        </w:rPr>
        <w:t xml:space="preserve">Checks drawn on a </w:t>
      </w:r>
      <w:r>
        <w:rPr>
          <w:rFonts w:ascii="Arial" w:cs="Arial" w:eastAsia="Arial" w:hAnsi="Arial"/>
          <w:sz w:val="22"/>
          <w:szCs w:val="22"/>
          <w:b w:val="1"/>
          <w:bCs w:val="1"/>
          <w:u w:val="single" w:color="auto"/>
          <w:color w:val="auto"/>
        </w:rPr>
        <w:t>U.S. bank account</w:t>
      </w:r>
      <w:r>
        <w:rPr>
          <w:rFonts w:ascii="Arial" w:cs="Arial" w:eastAsia="Arial" w:hAnsi="Arial"/>
          <w:sz w:val="22"/>
          <w:szCs w:val="22"/>
          <w:color w:val="auto"/>
        </w:rPr>
        <w:t xml:space="preserve"> and sent by US Postal Service should be sent directly to the following address:</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National Institutes of Health</w:t>
      </w:r>
    </w:p>
    <w:p>
      <w:pPr>
        <w:ind w:left="860"/>
        <w:spacing w:after="0" w:line="238" w:lineRule="auto"/>
        <w:rPr>
          <w:sz w:val="20"/>
          <w:szCs w:val="20"/>
          <w:color w:val="auto"/>
        </w:rPr>
      </w:pPr>
      <w:r>
        <w:rPr>
          <w:rFonts w:ascii="Arial" w:cs="Arial" w:eastAsia="Arial" w:hAnsi="Arial"/>
          <w:sz w:val="22"/>
          <w:szCs w:val="22"/>
          <w:color w:val="auto"/>
        </w:rPr>
        <w:t>P.O. Box 979071</w:t>
      </w:r>
    </w:p>
    <w:p>
      <w:pPr>
        <w:ind w:left="860"/>
        <w:spacing w:after="0"/>
        <w:rPr>
          <w:sz w:val="20"/>
          <w:szCs w:val="20"/>
          <w:color w:val="auto"/>
        </w:rPr>
      </w:pPr>
      <w:r>
        <w:rPr>
          <w:rFonts w:ascii="Arial" w:cs="Arial" w:eastAsia="Arial" w:hAnsi="Arial"/>
          <w:sz w:val="22"/>
          <w:szCs w:val="22"/>
          <w:color w:val="auto"/>
        </w:rPr>
        <w:t>St. Louis, MO 63197-9000</w:t>
      </w:r>
    </w:p>
    <w:p>
      <w:pPr>
        <w:spacing w:after="0" w:line="209" w:lineRule="exact"/>
        <w:rPr>
          <w:sz w:val="20"/>
          <w:szCs w:val="20"/>
          <w:color w:val="auto"/>
        </w:rPr>
      </w:pPr>
    </w:p>
    <w:p>
      <w:pPr>
        <w:ind w:left="200" w:right="739"/>
        <w:spacing w:after="0" w:line="256" w:lineRule="auto"/>
        <w:rPr>
          <w:sz w:val="20"/>
          <w:szCs w:val="20"/>
          <w:color w:val="auto"/>
        </w:rPr>
      </w:pPr>
      <w:r>
        <w:rPr>
          <w:rFonts w:ascii="Arial" w:cs="Arial" w:eastAsia="Arial" w:hAnsi="Arial"/>
          <w:sz w:val="22"/>
          <w:szCs w:val="22"/>
          <w:color w:val="auto"/>
        </w:rPr>
        <w:t xml:space="preserve">Checks drawn on a U.S. bank account and sent by </w:t>
      </w:r>
      <w:r>
        <w:rPr>
          <w:rFonts w:ascii="Arial" w:cs="Arial" w:eastAsia="Arial" w:hAnsi="Arial"/>
          <w:sz w:val="22"/>
          <w:szCs w:val="22"/>
          <w:b w:val="1"/>
          <w:bCs w:val="1"/>
          <w:u w:val="single" w:color="auto"/>
          <w:color w:val="auto"/>
        </w:rPr>
        <w:t>overnight or courier</w:t>
      </w:r>
      <w:r>
        <w:rPr>
          <w:rFonts w:ascii="Arial" w:cs="Arial" w:eastAsia="Arial" w:hAnsi="Arial"/>
          <w:sz w:val="22"/>
          <w:szCs w:val="22"/>
          <w:color w:val="auto"/>
        </w:rPr>
        <w:t xml:space="preserve"> should be sent to the following address:</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US Bank</w:t>
      </w:r>
    </w:p>
    <w:p>
      <w:pPr>
        <w:ind w:left="860"/>
        <w:spacing w:after="0" w:line="238" w:lineRule="auto"/>
        <w:rPr>
          <w:sz w:val="20"/>
          <w:szCs w:val="20"/>
          <w:color w:val="auto"/>
        </w:rPr>
      </w:pPr>
      <w:r>
        <w:rPr>
          <w:rFonts w:ascii="Arial" w:cs="Arial" w:eastAsia="Arial" w:hAnsi="Arial"/>
          <w:sz w:val="22"/>
          <w:szCs w:val="22"/>
          <w:color w:val="auto"/>
        </w:rPr>
        <w:t>Government Lockbox SL-MO-C2GL</w:t>
      </w:r>
    </w:p>
    <w:p>
      <w:pPr>
        <w:ind w:left="860"/>
        <w:spacing w:after="0" w:line="230" w:lineRule="auto"/>
        <w:rPr>
          <w:sz w:val="20"/>
          <w:szCs w:val="20"/>
          <w:color w:val="auto"/>
        </w:rPr>
      </w:pPr>
      <w:r>
        <w:rPr>
          <w:rFonts w:ascii="Arial" w:cs="Arial" w:eastAsia="Arial" w:hAnsi="Arial"/>
          <w:sz w:val="22"/>
          <w:szCs w:val="22"/>
          <w:color w:val="auto"/>
        </w:rPr>
        <w:t>1005 Convention Plaza</w:t>
      </w:r>
    </w:p>
    <w:p>
      <w:pPr>
        <w:ind w:left="860"/>
        <w:spacing w:after="0" w:line="231" w:lineRule="auto"/>
        <w:rPr>
          <w:sz w:val="20"/>
          <w:szCs w:val="20"/>
          <w:color w:val="auto"/>
        </w:rPr>
      </w:pPr>
      <w:r>
        <w:rPr>
          <w:rFonts w:ascii="Arial" w:cs="Arial" w:eastAsia="Arial" w:hAnsi="Arial"/>
          <w:sz w:val="22"/>
          <w:szCs w:val="22"/>
          <w:color w:val="auto"/>
        </w:rPr>
        <w:t>St. Louis, MO 63101</w:t>
      </w:r>
    </w:p>
    <w:p>
      <w:pPr>
        <w:ind w:left="860"/>
        <w:spacing w:after="0"/>
        <w:rPr>
          <w:sz w:val="20"/>
          <w:szCs w:val="20"/>
          <w:color w:val="auto"/>
        </w:rPr>
      </w:pPr>
      <w:r>
        <w:rPr>
          <w:rFonts w:ascii="Arial" w:cs="Arial" w:eastAsia="Arial" w:hAnsi="Arial"/>
          <w:sz w:val="22"/>
          <w:szCs w:val="22"/>
          <w:color w:val="auto"/>
        </w:rPr>
        <w:t>Phone: 314-418-4087</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1"/>
          <w:szCs w:val="21"/>
          <w:color w:val="auto"/>
        </w:rPr>
        <w:t xml:space="preserve">Checks drawn on a </w:t>
      </w:r>
      <w:r>
        <w:rPr>
          <w:rFonts w:ascii="Arial" w:cs="Arial" w:eastAsia="Arial" w:hAnsi="Arial"/>
          <w:sz w:val="21"/>
          <w:szCs w:val="21"/>
          <w:b w:val="1"/>
          <w:bCs w:val="1"/>
          <w:u w:val="single" w:color="auto"/>
          <w:color w:val="auto"/>
        </w:rPr>
        <w:t>foreign bank account</w:t>
      </w:r>
      <w:r>
        <w:rPr>
          <w:rFonts w:ascii="Arial" w:cs="Arial" w:eastAsia="Arial" w:hAnsi="Arial"/>
          <w:sz w:val="21"/>
          <w:szCs w:val="21"/>
          <w:color w:val="auto"/>
        </w:rPr>
        <w:t xml:space="preserve"> should be sent directly to the following address:</w:t>
      </w:r>
    </w:p>
    <w:p>
      <w:pPr>
        <w:spacing w:after="0" w:line="25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National Institutes of Health</w:t>
      </w:r>
    </w:p>
    <w:p>
      <w:pPr>
        <w:ind w:left="860"/>
        <w:spacing w:after="0" w:line="238" w:lineRule="auto"/>
        <w:rPr>
          <w:sz w:val="20"/>
          <w:szCs w:val="20"/>
          <w:color w:val="auto"/>
        </w:rPr>
      </w:pPr>
      <w:r>
        <w:rPr>
          <w:rFonts w:ascii="Arial" w:cs="Arial" w:eastAsia="Arial" w:hAnsi="Arial"/>
          <w:sz w:val="22"/>
          <w:szCs w:val="22"/>
          <w:color w:val="auto"/>
        </w:rPr>
        <w:t>Office of Technology Transfer</w:t>
      </w:r>
    </w:p>
    <w:p>
      <w:pPr>
        <w:ind w:left="860"/>
        <w:spacing w:after="0" w:line="230" w:lineRule="auto"/>
        <w:rPr>
          <w:sz w:val="20"/>
          <w:szCs w:val="20"/>
          <w:color w:val="auto"/>
        </w:rPr>
      </w:pPr>
      <w:r>
        <w:rPr>
          <w:rFonts w:ascii="Arial" w:cs="Arial" w:eastAsia="Arial" w:hAnsi="Arial"/>
          <w:sz w:val="22"/>
          <w:szCs w:val="22"/>
          <w:color w:val="auto"/>
        </w:rPr>
        <w:t>License Compliance and Administration</w:t>
      </w:r>
    </w:p>
    <w:p>
      <w:pPr>
        <w:ind w:left="860"/>
        <w:spacing w:after="0" w:line="231" w:lineRule="auto"/>
        <w:rPr>
          <w:sz w:val="20"/>
          <w:szCs w:val="20"/>
          <w:color w:val="auto"/>
        </w:rPr>
      </w:pPr>
      <w:r>
        <w:rPr>
          <w:rFonts w:ascii="Arial" w:cs="Arial" w:eastAsia="Arial" w:hAnsi="Arial"/>
          <w:sz w:val="22"/>
          <w:szCs w:val="22"/>
          <w:color w:val="auto"/>
        </w:rPr>
        <w:t>Royalty Administration</w:t>
      </w:r>
    </w:p>
    <w:p>
      <w:pPr>
        <w:ind w:left="860"/>
        <w:spacing w:after="0" w:line="230" w:lineRule="auto"/>
        <w:rPr>
          <w:sz w:val="20"/>
          <w:szCs w:val="20"/>
          <w:color w:val="auto"/>
        </w:rPr>
      </w:pPr>
      <w:r>
        <w:rPr>
          <w:rFonts w:ascii="Arial" w:cs="Arial" w:eastAsia="Arial" w:hAnsi="Arial"/>
          <w:sz w:val="22"/>
          <w:szCs w:val="22"/>
          <w:color w:val="auto"/>
        </w:rPr>
        <w:t>6011 Executive Boulevard</w:t>
      </w:r>
    </w:p>
    <w:p>
      <w:pPr>
        <w:ind w:left="860"/>
        <w:spacing w:after="0" w:line="231" w:lineRule="auto"/>
        <w:rPr>
          <w:sz w:val="20"/>
          <w:szCs w:val="20"/>
          <w:color w:val="auto"/>
        </w:rPr>
      </w:pPr>
      <w:r>
        <w:rPr>
          <w:rFonts w:ascii="Arial" w:cs="Arial" w:eastAsia="Arial" w:hAnsi="Arial"/>
          <w:sz w:val="22"/>
          <w:szCs w:val="22"/>
          <w:color w:val="auto"/>
        </w:rPr>
        <w:t>Suite 325, MSC 7660</w:t>
      </w:r>
    </w:p>
    <w:p>
      <w:pPr>
        <w:ind w:left="860"/>
        <w:spacing w:after="0"/>
        <w:rPr>
          <w:sz w:val="20"/>
          <w:szCs w:val="20"/>
          <w:color w:val="auto"/>
        </w:rPr>
      </w:pPr>
      <w:r>
        <w:rPr>
          <w:rFonts w:ascii="Arial" w:cs="Arial" w:eastAsia="Arial" w:hAnsi="Arial"/>
          <w:sz w:val="22"/>
          <w:szCs w:val="22"/>
          <w:color w:val="auto"/>
        </w:rPr>
        <w:t>Rockville,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OVANCE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OVANCE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AS AMENDED</w:t>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Name of Grantee:</w:t>
      </w:r>
    </w:p>
    <w:p>
      <w:pPr>
        <w:spacing w:after="0" w:line="200" w:lineRule="exact"/>
        <w:rPr>
          <w:sz w:val="20"/>
          <w:szCs w:val="20"/>
          <w:color w:val="auto"/>
        </w:rPr>
      </w:pPr>
    </w:p>
    <w:p>
      <w:pPr>
        <w:spacing w:after="0" w:line="2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Iovance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Iovance Biotherapeutics, Inc. 2018 Equity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Notwithstanding the foregoing, effective upon a Change in Control, the RSUs that are unvested as of the date of termination will immediately become 100%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425450</wp:posOffset>
            </wp:positionV>
            <wp:extent cx="5572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8"/>
          <w:szCs w:val="18"/>
          <w:color w:val="auto"/>
        </w:rPr>
        <w:t>Iovance Biotherapeutics,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271780</wp:posOffset>
            </wp:positionV>
            <wp:extent cx="5572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57212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288925</wp:posOffset>
            </wp:positionV>
            <wp:extent cx="55721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266065</wp:posOffset>
            </wp:positionV>
            <wp:extent cx="5572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580390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OVANCE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UNDER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OVANCE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jc w:val="center"/>
        <w:ind w:right="19"/>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AS AMENDED</w:t>
      </w:r>
    </w:p>
    <w:p>
      <w:pPr>
        <w:spacing w:after="0" w:line="212" w:lineRule="exact"/>
        <w:rPr>
          <w:sz w:val="20"/>
          <w:szCs w:val="20"/>
          <w:color w:val="auto"/>
        </w:rPr>
      </w:pPr>
    </w:p>
    <w:p>
      <w:pPr>
        <w:ind w:left="200" w:right="239" w:firstLine="657"/>
        <w:spacing w:after="0" w:line="246"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96" w:lineRule="exact"/>
        <w:rPr>
          <w:rFonts w:ascii="Arial" w:cs="Arial" w:eastAsia="Arial" w:hAnsi="Arial"/>
          <w:sz w:val="18"/>
          <w:szCs w:val="18"/>
          <w:color w:val="auto"/>
        </w:rPr>
      </w:pPr>
    </w:p>
    <w:p>
      <w:pPr>
        <w:jc w:val="both"/>
        <w:ind w:left="200" w:right="219" w:firstLine="657"/>
        <w:spacing w:after="0" w:line="238"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202" w:lineRule="exact"/>
        <w:rPr>
          <w:rFonts w:ascii="Arial" w:cs="Arial" w:eastAsia="Arial" w:hAnsi="Arial"/>
          <w:sz w:val="18"/>
          <w:szCs w:val="18"/>
          <w:color w:val="auto"/>
        </w:rPr>
      </w:pPr>
    </w:p>
    <w:p>
      <w:pPr>
        <w:jc w:val="both"/>
        <w:ind w:left="200" w:right="219" w:firstLine="657"/>
        <w:spacing w:after="0" w:line="237"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 Notwithstanding the foregoing, if your service or employment with the Company is terminated due to death or Disability, any unvested portion of the RSUs shall become fully vested as of the date of such termination.</w:t>
      </w:r>
    </w:p>
    <w:p>
      <w:pPr>
        <w:spacing w:after="0" w:line="202" w:lineRule="exact"/>
        <w:rPr>
          <w:rFonts w:ascii="Arial" w:cs="Arial" w:eastAsia="Arial" w:hAnsi="Arial"/>
          <w:sz w:val="18"/>
          <w:szCs w:val="18"/>
          <w:color w:val="auto"/>
        </w:rPr>
      </w:pPr>
    </w:p>
    <w:p>
      <w:pPr>
        <w:jc w:val="both"/>
        <w:ind w:left="200" w:right="219" w:firstLine="657"/>
        <w:spacing w:after="0" w:line="237"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204" w:lineRule="exact"/>
        <w:rPr>
          <w:rFonts w:ascii="Arial" w:cs="Arial" w:eastAsia="Arial" w:hAnsi="Arial"/>
          <w:sz w:val="18"/>
          <w:szCs w:val="18"/>
          <w:color w:val="auto"/>
        </w:rPr>
      </w:pPr>
    </w:p>
    <w:p>
      <w:pPr>
        <w:ind w:left="1500" w:hanging="643"/>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jc w:val="both"/>
        <w:ind w:left="200" w:right="219" w:firstLine="657"/>
        <w:spacing w:after="0" w:line="236" w:lineRule="auto"/>
        <w:tabs>
          <w:tab w:leader="none" w:pos="149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6" w:lineRule="exact"/>
        <w:rPr>
          <w:rFonts w:ascii="Arial" w:cs="Arial" w:eastAsia="Arial" w:hAnsi="Arial"/>
          <w:sz w:val="18"/>
          <w:szCs w:val="18"/>
          <w:color w:val="auto"/>
        </w:rPr>
      </w:pPr>
    </w:p>
    <w:p>
      <w:pPr>
        <w:jc w:val="both"/>
        <w:ind w:left="200" w:right="219" w:firstLine="657"/>
        <w:spacing w:after="0" w:line="237" w:lineRule="auto"/>
        <w:tabs>
          <w:tab w:leader="none" w:pos="149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RSUs will be settled by the Company, via the issuance of Company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1.409A-1(b)(4) and shall be construed and administered in such a manner.</w:t>
      </w:r>
    </w:p>
    <w:p>
      <w:pPr>
        <w:spacing w:after="0" w:line="205" w:lineRule="exact"/>
        <w:rPr>
          <w:sz w:val="20"/>
          <w:szCs w:val="20"/>
          <w:color w:val="auto"/>
        </w:rPr>
      </w:pPr>
    </w:p>
    <w:p>
      <w:pPr>
        <w:jc w:val="both"/>
        <w:ind w:left="200" w:right="219" w:firstLine="657"/>
        <w:spacing w:after="0" w:line="236" w:lineRule="auto"/>
        <w:tabs>
          <w:tab w:leader="none" w:pos="14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EAST\172818787.2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jc w:val="both"/>
        <w:ind w:left="200" w:right="219"/>
        <w:spacing w:after="0" w:line="235" w:lineRule="auto"/>
        <w:rPr>
          <w:sz w:val="20"/>
          <w:szCs w:val="20"/>
          <w:color w:val="auto"/>
        </w:rPr>
      </w:pPr>
      <w:r>
        <w:rPr>
          <w:rFonts w:ascii="Arial" w:cs="Arial" w:eastAsia="Arial" w:hAnsi="Arial"/>
          <w:sz w:val="18"/>
          <w:szCs w:val="18"/>
          <w:color w:val="auto"/>
        </w:rPr>
        <w:t>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date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212" w:lineRule="exact"/>
        <w:rPr>
          <w:sz w:val="20"/>
          <w:szCs w:val="20"/>
          <w:color w:val="auto"/>
        </w:rPr>
      </w:pPr>
    </w:p>
    <w:p>
      <w:pPr>
        <w:ind w:left="1500" w:hanging="643"/>
        <w:spacing w:after="0"/>
        <w:tabs>
          <w:tab w:leader="none" w:pos="15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jc w:val="both"/>
        <w:ind w:left="200" w:right="219" w:firstLine="657"/>
        <w:spacing w:after="0" w:line="237" w:lineRule="auto"/>
        <w:tabs>
          <w:tab w:leader="none" w:pos="149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204" w:lineRule="exact"/>
        <w:rPr>
          <w:rFonts w:ascii="Arial" w:cs="Arial" w:eastAsia="Arial" w:hAnsi="Arial"/>
          <w:sz w:val="18"/>
          <w:szCs w:val="18"/>
          <w:color w:val="auto"/>
        </w:rPr>
      </w:pPr>
    </w:p>
    <w:p>
      <w:pPr>
        <w:jc w:val="both"/>
        <w:ind w:left="200" w:right="219" w:firstLine="657"/>
        <w:spacing w:after="0" w:line="236" w:lineRule="auto"/>
        <w:tabs>
          <w:tab w:leader="none" w:pos="149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207" w:lineRule="exact"/>
        <w:rPr>
          <w:sz w:val="20"/>
          <w:szCs w:val="20"/>
          <w:color w:val="auto"/>
        </w:rPr>
      </w:pPr>
    </w:p>
    <w:p>
      <w:pPr>
        <w:jc w:val="both"/>
        <w:ind w:left="200" w:right="219" w:firstLine="657"/>
        <w:spacing w:after="0" w:line="237" w:lineRule="auto"/>
        <w:tabs>
          <w:tab w:leader="none" w:pos="149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 or Service Relationship</w:t>
      </w:r>
      <w:r>
        <w:rPr>
          <w:rFonts w:ascii="Arial" w:cs="Arial" w:eastAsia="Arial" w:hAnsi="Arial"/>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2" w:lineRule="exact"/>
        <w:rPr>
          <w:rFonts w:ascii="Arial" w:cs="Arial" w:eastAsia="Arial" w:hAnsi="Arial"/>
          <w:sz w:val="18"/>
          <w:szCs w:val="18"/>
          <w:color w:val="auto"/>
        </w:rPr>
      </w:pPr>
    </w:p>
    <w:p>
      <w:pPr>
        <w:jc w:val="both"/>
        <w:ind w:left="200" w:right="219" w:firstLine="657"/>
        <w:spacing w:after="0"/>
        <w:tabs>
          <w:tab w:leader="none" w:pos="149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202" w:lineRule="exact"/>
        <w:rPr>
          <w:rFonts w:ascii="Arial" w:cs="Arial" w:eastAsia="Arial" w:hAnsi="Arial"/>
          <w:sz w:val="18"/>
          <w:szCs w:val="18"/>
          <w:color w:val="auto"/>
        </w:rPr>
      </w:pPr>
    </w:p>
    <w:p>
      <w:pPr>
        <w:jc w:val="both"/>
        <w:ind w:left="200" w:right="219" w:firstLine="657"/>
        <w:spacing w:after="0" w:line="237" w:lineRule="auto"/>
        <w:tabs>
          <w:tab w:leader="none" w:pos="149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2" w:name="page133"/>
    <w:bookmarkEnd w:id="132"/>
    <w:p>
      <w:pPr>
        <w:jc w:val="both"/>
        <w:ind w:left="200" w:right="219" w:firstLine="657"/>
        <w:spacing w:after="0" w:line="236"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1" w:lineRule="exact"/>
        <w:rPr>
          <w:rFonts w:ascii="Arial" w:cs="Arial" w:eastAsia="Arial" w:hAnsi="Arial"/>
          <w:sz w:val="18"/>
          <w:szCs w:val="18"/>
          <w:color w:val="auto"/>
        </w:rPr>
      </w:pPr>
    </w:p>
    <w:p>
      <w:pPr>
        <w:jc w:val="both"/>
        <w:ind w:left="200" w:right="219" w:firstLine="657"/>
        <w:spacing w:after="0" w:line="236"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any manner that would have a materially adverse effect on the RSUs as determined in the discretion of the Administrator, except as provided in the Plan or in a written document signed by each of the parties hereto.</w:t>
      </w:r>
    </w:p>
    <w:p>
      <w:pPr>
        <w:spacing w:after="0" w:line="204" w:lineRule="exact"/>
        <w:rPr>
          <w:rFonts w:ascii="Arial" w:cs="Arial" w:eastAsia="Arial" w:hAnsi="Arial"/>
          <w:sz w:val="18"/>
          <w:szCs w:val="18"/>
          <w:color w:val="auto"/>
        </w:rPr>
      </w:pPr>
    </w:p>
    <w:p>
      <w:pPr>
        <w:ind w:left="200" w:right="219" w:firstLine="657"/>
        <w:spacing w:after="0" w:line="235"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Recoupment Policy</w:t>
      </w:r>
      <w:r>
        <w:rPr>
          <w:rFonts w:ascii="Arial" w:cs="Arial" w:eastAsia="Arial" w:hAnsi="Arial"/>
          <w:sz w:val="18"/>
          <w:szCs w:val="18"/>
          <w:color w:val="auto"/>
        </w:rPr>
        <w:t>.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213"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3" w:name="page134"/>
    <w:bookmarkEnd w:id="133"/>
    <w:p>
      <w:pPr>
        <w:jc w:val="both"/>
        <w:ind w:left="200" w:right="219"/>
        <w:spacing w:after="0" w:line="236" w:lineRule="auto"/>
        <w:rPr>
          <w:sz w:val="20"/>
          <w:szCs w:val="20"/>
          <w:color w:val="auto"/>
        </w:rPr>
      </w:pPr>
      <w:r>
        <w:rPr>
          <w:rFonts w:ascii="Arial" w:cs="Arial" w:eastAsia="Arial" w:hAnsi="Arial"/>
          <w:sz w:val="18"/>
          <w:szCs w:val="18"/>
          <w:color w:val="auto"/>
        </w:rPr>
        <w:t>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205" w:lineRule="exact"/>
        <w:rPr>
          <w:sz w:val="20"/>
          <w:szCs w:val="20"/>
          <w:color w:val="auto"/>
        </w:rPr>
      </w:pPr>
    </w:p>
    <w:p>
      <w:pPr>
        <w:jc w:val="both"/>
        <w:ind w:left="200" w:right="219" w:firstLine="657"/>
        <w:spacing w:after="0" w:line="238"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202" w:lineRule="exact"/>
        <w:rPr>
          <w:rFonts w:ascii="Arial" w:cs="Arial" w:eastAsia="Arial" w:hAnsi="Arial"/>
          <w:sz w:val="18"/>
          <w:szCs w:val="18"/>
          <w:color w:val="auto"/>
        </w:rPr>
      </w:pPr>
    </w:p>
    <w:p>
      <w:pPr>
        <w:jc w:val="both"/>
        <w:ind w:left="200" w:right="219" w:firstLine="657"/>
        <w:spacing w:after="0"/>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202" w:lineRule="exact"/>
        <w:rPr>
          <w:rFonts w:ascii="Arial" w:cs="Arial" w:eastAsia="Arial" w:hAnsi="Arial"/>
          <w:sz w:val="18"/>
          <w:szCs w:val="18"/>
          <w:color w:val="auto"/>
        </w:rPr>
      </w:pPr>
    </w:p>
    <w:p>
      <w:pPr>
        <w:jc w:val="both"/>
        <w:ind w:left="200" w:right="219" w:firstLine="657"/>
        <w:spacing w:after="0" w:line="236"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5" w:lineRule="exact"/>
        <w:rPr>
          <w:rFonts w:ascii="Arial" w:cs="Arial" w:eastAsia="Arial" w:hAnsi="Arial"/>
          <w:sz w:val="18"/>
          <w:szCs w:val="18"/>
          <w:color w:val="auto"/>
        </w:rPr>
      </w:pPr>
    </w:p>
    <w:p>
      <w:pPr>
        <w:jc w:val="both"/>
        <w:ind w:left="200" w:right="219" w:firstLine="657"/>
        <w:spacing w:after="0" w:line="236"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205" w:lineRule="exact"/>
        <w:rPr>
          <w:rFonts w:ascii="Arial" w:cs="Arial" w:eastAsia="Arial" w:hAnsi="Arial"/>
          <w:sz w:val="18"/>
          <w:szCs w:val="18"/>
          <w:color w:val="auto"/>
        </w:rPr>
      </w:pPr>
    </w:p>
    <w:p>
      <w:pPr>
        <w:ind w:left="200" w:right="239" w:firstLine="657"/>
        <w:spacing w:after="0" w:line="246" w:lineRule="auto"/>
        <w:tabs>
          <w:tab w:leader="none" w:pos="149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4" w:name="page135"/>
    <w:bookmarkEnd w:id="134"/>
    <w:p>
      <w:pPr>
        <w:jc w:val="both"/>
        <w:ind w:left="200" w:right="219" w:firstLine="657"/>
        <w:spacing w:after="0" w:line="236" w:lineRule="auto"/>
        <w:tabs>
          <w:tab w:leader="none" w:pos="149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2" w:lineRule="exact"/>
        <w:rPr>
          <w:rFonts w:ascii="Arial" w:cs="Arial" w:eastAsia="Arial" w:hAnsi="Arial"/>
          <w:sz w:val="18"/>
          <w:szCs w:val="18"/>
          <w:color w:val="auto"/>
        </w:rPr>
      </w:pPr>
    </w:p>
    <w:p>
      <w:pPr>
        <w:ind w:left="1500" w:hanging="643"/>
        <w:spacing w:after="0"/>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 that:</w:t>
      </w:r>
    </w:p>
    <w:p>
      <w:pPr>
        <w:jc w:val="both"/>
        <w:ind w:left="200" w:right="219" w:firstLine="67"/>
        <w:spacing w:after="0" w:line="235" w:lineRule="auto"/>
        <w:tabs>
          <w:tab w:leader="none" w:pos="4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213" w:lineRule="exact"/>
        <w:rPr>
          <w:rFonts w:ascii="Arial" w:cs="Arial" w:eastAsia="Arial" w:hAnsi="Arial"/>
          <w:sz w:val="18"/>
          <w:szCs w:val="18"/>
          <w:color w:val="auto"/>
        </w:rPr>
      </w:pPr>
    </w:p>
    <w:p>
      <w:pPr>
        <w:jc w:val="both"/>
        <w:ind w:left="200" w:right="219" w:firstLine="657"/>
        <w:spacing w:after="0" w:line="235" w:lineRule="auto"/>
        <w:tabs>
          <w:tab w:leader="none" w:pos="149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t>GLOSSARY</w:t>
      </w:r>
    </w:p>
    <w:p>
      <w:pPr>
        <w:spacing w:after="0" w:line="297" w:lineRule="exact"/>
        <w:rPr>
          <w:sz w:val="20"/>
          <w:szCs w:val="20"/>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11" w:lineRule="exact"/>
        <w:rPr>
          <w:rFonts w:ascii="Arial" w:cs="Arial" w:eastAsia="Arial" w:hAnsi="Arial"/>
          <w:sz w:val="18"/>
          <w:szCs w:val="18"/>
          <w:color w:val="auto"/>
        </w:rPr>
      </w:pPr>
    </w:p>
    <w:p>
      <w:pPr>
        <w:ind w:left="200" w:right="219" w:firstLine="1305"/>
        <w:spacing w:after="0" w:line="271"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 herein by reference.</w:t>
      </w:r>
    </w:p>
    <w:p>
      <w:pPr>
        <w:spacing w:after="0" w:line="167" w:lineRule="exact"/>
        <w:rPr>
          <w:rFonts w:ascii="Arial" w:cs="Arial" w:eastAsia="Arial" w:hAnsi="Arial"/>
          <w:sz w:val="18"/>
          <w:szCs w:val="18"/>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00" w:lineRule="exact"/>
        <w:rPr>
          <w:rFonts w:ascii="Arial" w:cs="Arial" w:eastAsia="Arial" w:hAnsi="Arial"/>
          <w:sz w:val="18"/>
          <w:szCs w:val="18"/>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11" w:lineRule="exact"/>
        <w:rPr>
          <w:rFonts w:ascii="Arial" w:cs="Arial" w:eastAsia="Arial" w:hAnsi="Arial"/>
          <w:sz w:val="18"/>
          <w:szCs w:val="18"/>
          <w:color w:val="auto"/>
        </w:rPr>
      </w:pPr>
    </w:p>
    <w:p>
      <w:pPr>
        <w:ind w:left="200" w:right="239" w:firstLine="1305"/>
        <w:spacing w:after="0" w:line="271"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shall mean common stock of the Company.</w:t>
      </w:r>
    </w:p>
    <w:p>
      <w:pPr>
        <w:spacing w:after="0" w:line="211" w:lineRule="exact"/>
        <w:rPr>
          <w:rFonts w:ascii="Arial" w:cs="Arial" w:eastAsia="Arial" w:hAnsi="Arial"/>
          <w:sz w:val="18"/>
          <w:szCs w:val="18"/>
          <w:color w:val="auto"/>
        </w:rPr>
      </w:pPr>
    </w:p>
    <w:p>
      <w:pPr>
        <w:jc w:val="both"/>
        <w:ind w:left="200" w:right="219" w:firstLine="1305"/>
        <w:spacing w:after="0" w:line="253"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Iovance Biotherapeutics, Inc., and shall include all its successors except where the context otherwise requires. For purposes of determining whether a Change in Control has occurred, Company shall mean only Iovance Biotherapeutics, Inc.</w:t>
      </w:r>
    </w:p>
    <w:p>
      <w:pPr>
        <w:spacing w:after="0" w:line="168" w:lineRule="exact"/>
        <w:rPr>
          <w:rFonts w:ascii="Arial" w:cs="Arial" w:eastAsia="Arial" w:hAnsi="Arial"/>
          <w:sz w:val="18"/>
          <w:szCs w:val="18"/>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has the meaning set forth in the Plan.</w:t>
      </w:r>
    </w:p>
    <w:p>
      <w:pPr>
        <w:spacing w:after="0" w:line="211" w:lineRule="exact"/>
        <w:rPr>
          <w:rFonts w:ascii="Arial" w:cs="Arial" w:eastAsia="Arial" w:hAnsi="Arial"/>
          <w:sz w:val="18"/>
          <w:szCs w:val="18"/>
          <w:color w:val="auto"/>
        </w:rPr>
      </w:pPr>
    </w:p>
    <w:p>
      <w:pPr>
        <w:ind w:left="2160" w:hanging="6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w:t>
      </w:r>
    </w:p>
    <w:p>
      <w:pPr>
        <w:spacing w:after="0" w:line="17"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in the relevant Notice.</w:t>
      </w:r>
    </w:p>
    <w:p>
      <w:pPr>
        <w:spacing w:after="0" w:line="189" w:lineRule="exact"/>
        <w:rPr>
          <w:rFonts w:ascii="Arial" w:cs="Arial" w:eastAsia="Arial" w:hAnsi="Arial"/>
          <w:sz w:val="18"/>
          <w:szCs w:val="18"/>
          <w:color w:val="auto"/>
        </w:rPr>
      </w:pPr>
    </w:p>
    <w:p>
      <w:pPr>
        <w:ind w:left="200" w:right="239" w:firstLine="1305"/>
        <w:spacing w:after="0" w:line="271"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rFonts w:ascii="Arial" w:cs="Arial" w:eastAsia="Arial" w:hAnsi="Arial"/>
          <w:sz w:val="18"/>
          <w:szCs w:val="18"/>
          <w:color w:val="auto"/>
        </w:rPr>
      </w:pPr>
    </w:p>
    <w:p>
      <w:pPr>
        <w:ind w:left="200" w:right="219" w:firstLine="1305"/>
        <w:spacing w:after="0" w:line="271"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Iovance Biotherapeutics, Inc. 2018 Equity Incentive Plan, as amended, as in effect from time to time.</w:t>
      </w:r>
    </w:p>
    <w:p>
      <w:pPr>
        <w:spacing w:after="0" w:line="153" w:lineRule="exact"/>
        <w:rPr>
          <w:rFonts w:ascii="Arial" w:cs="Arial" w:eastAsia="Arial" w:hAnsi="Arial"/>
          <w:sz w:val="18"/>
          <w:szCs w:val="18"/>
          <w:color w:val="auto"/>
        </w:rPr>
      </w:pPr>
    </w:p>
    <w:p>
      <w:pPr>
        <w:ind w:left="200" w:right="239" w:firstLine="1305"/>
        <w:spacing w:after="0" w:line="271"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rFonts w:ascii="Arial" w:cs="Arial" w:eastAsia="Arial" w:hAnsi="Arial"/>
          <w:sz w:val="18"/>
          <w:szCs w:val="18"/>
          <w:color w:val="auto"/>
        </w:rPr>
      </w:pPr>
    </w:p>
    <w:p>
      <w:pPr>
        <w:jc w:val="both"/>
        <w:ind w:left="200" w:right="219" w:firstLine="1305"/>
        <w:spacing w:after="0" w:line="244"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6" w:name="page137"/>
    <w:bookmarkEnd w:id="136"/>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IOVANCE BIOTHERAPEUTICS,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2018 EQUITY INCENTIVE PLAN</w:t>
      </w:r>
    </w:p>
    <w:p>
      <w:pPr>
        <w:spacing w:after="0" w:line="209"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NONQUALIFIED STOCK OPTION AWARD AGREEMENT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NONQUALIFIED STOCK OPTION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w:t>
      </w:r>
    </w:p>
    <w:p>
      <w:pPr>
        <w:spacing w:after="0" w:line="43" w:lineRule="exact"/>
        <w:rPr>
          <w:sz w:val="20"/>
          <w:szCs w:val="20"/>
          <w:color w:val="auto"/>
        </w:rPr>
      </w:pPr>
    </w:p>
    <w:p>
      <w:pPr>
        <w:ind w:left="200" w:right="479"/>
        <w:spacing w:after="0" w:line="241" w:lineRule="auto"/>
        <w:rPr>
          <w:sz w:val="20"/>
          <w:szCs w:val="20"/>
          <w:color w:val="auto"/>
        </w:rPr>
      </w:pPr>
      <w:r>
        <w:rPr>
          <w:rFonts w:ascii="Arial" w:cs="Arial" w:eastAsia="Arial" w:hAnsi="Arial"/>
          <w:sz w:val="21"/>
          <w:szCs w:val="21"/>
          <w:color w:val="auto"/>
        </w:rPr>
        <w:t>entered into as of [ ] (the “</w:t>
      </w:r>
      <w:r>
        <w:rPr>
          <w:rFonts w:ascii="Arial" w:cs="Arial" w:eastAsia="Arial" w:hAnsi="Arial"/>
          <w:sz w:val="21"/>
          <w:szCs w:val="21"/>
          <w:u w:val="single" w:color="auto"/>
          <w:color w:val="auto"/>
        </w:rPr>
        <w:t>Date of Grant</w:t>
      </w:r>
      <w:r>
        <w:rPr>
          <w:rFonts w:ascii="Arial" w:cs="Arial" w:eastAsia="Arial" w:hAnsi="Arial"/>
          <w:sz w:val="21"/>
          <w:szCs w:val="21"/>
          <w:color w:val="auto"/>
        </w:rPr>
        <w:t>”), by and between Iovance Biotherapeutics,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on behalf of itself and its Affiliates, and [</w:t>
      </w:r>
    </w:p>
    <w:p>
      <w:pPr>
        <w:spacing w:after="0" w:line="1" w:lineRule="exact"/>
        <w:rPr>
          <w:sz w:val="20"/>
          <w:szCs w:val="20"/>
          <w:color w:val="auto"/>
        </w:rPr>
      </w:pPr>
    </w:p>
    <w:p>
      <w:pPr>
        <w:ind w:left="200" w:right="439" w:firstLine="9"/>
        <w:spacing w:after="0" w:line="233" w:lineRule="auto"/>
        <w:tabs>
          <w:tab w:leader="none" w:pos="32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Participant</w:t>
      </w:r>
      <w:r>
        <w:rPr>
          <w:rFonts w:ascii="Arial" w:cs="Arial" w:eastAsia="Arial" w:hAnsi="Arial"/>
          <w:sz w:val="22"/>
          <w:szCs w:val="22"/>
          <w:color w:val="auto"/>
        </w:rPr>
        <w:t>”). Capitalized terms used in this Agreement and not otherwise defined herein have the meanings ascribed to such terms in the Iovance Biotherapeutics, Inc. 2018 Equity Incentive Plan, as amended, restated or otherwise modified from time to time in accordance with its terms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8" w:lineRule="exact"/>
        <w:rPr>
          <w:sz w:val="20"/>
          <w:szCs w:val="20"/>
          <w:color w:val="auto"/>
        </w:rPr>
      </w:pPr>
    </w:p>
    <w:p>
      <w:pPr>
        <w:ind w:left="200" w:right="339" w:firstLine="648"/>
        <w:spacing w:after="0" w:line="287" w:lineRule="auto"/>
        <w:rPr>
          <w:sz w:val="20"/>
          <w:szCs w:val="20"/>
          <w:color w:val="auto"/>
        </w:rPr>
      </w:pPr>
      <w:r>
        <w:rPr>
          <w:rFonts w:ascii="Arial" w:cs="Arial" w:eastAsia="Arial" w:hAnsi="Arial"/>
          <w:sz w:val="19"/>
          <w:szCs w:val="19"/>
          <w:color w:val="auto"/>
        </w:rPr>
        <w:t>WHEREAS, the Compensation Committee of the board of directors (the “</w:t>
      </w:r>
      <w:r>
        <w:rPr>
          <w:rFonts w:ascii="Arial" w:cs="Arial" w:eastAsia="Arial" w:hAnsi="Arial"/>
          <w:sz w:val="19"/>
          <w:szCs w:val="19"/>
          <w:u w:val="single" w:color="auto"/>
          <w:color w:val="auto"/>
        </w:rPr>
        <w:t>Committee</w:t>
      </w:r>
      <w:r>
        <w:rPr>
          <w:rFonts w:ascii="Arial" w:cs="Arial" w:eastAsia="Arial" w:hAnsi="Arial"/>
          <w:sz w:val="19"/>
          <w:szCs w:val="19"/>
          <w:color w:val="auto"/>
        </w:rPr>
        <w:t>”), through its own action or through the action of the full board of directors, has determined that it is in the best interests of the Company and its stockholders to grant the award provided for herein to the Participant on the terms and subject to the conditions set forth herein.</w:t>
      </w:r>
    </w:p>
    <w:p>
      <w:pPr>
        <w:spacing w:after="0" w:line="143" w:lineRule="exact"/>
        <w:rPr>
          <w:sz w:val="20"/>
          <w:szCs w:val="20"/>
          <w:color w:val="auto"/>
        </w:rPr>
      </w:pPr>
    </w:p>
    <w:p>
      <w:pPr>
        <w:ind w:left="200" w:right="419" w:firstLine="648"/>
        <w:spacing w:after="0" w:line="238" w:lineRule="auto"/>
        <w:rPr>
          <w:sz w:val="20"/>
          <w:szCs w:val="20"/>
          <w:color w:val="auto"/>
        </w:rPr>
      </w:pPr>
      <w:r>
        <w:rPr>
          <w:rFonts w:ascii="Arial" w:cs="Arial" w:eastAsia="Arial" w:hAnsi="Arial"/>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9" w:lineRule="exact"/>
        <w:rPr>
          <w:sz w:val="20"/>
          <w:szCs w:val="20"/>
          <w:color w:val="auto"/>
        </w:rPr>
      </w:pPr>
    </w:p>
    <w:p>
      <w:pPr>
        <w:ind w:left="1500" w:hanging="643"/>
        <w:spacing w:after="0"/>
        <w:tabs>
          <w:tab w:leader="none" w:pos="150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Grant of Option</w:t>
      </w:r>
      <w:r>
        <w:rPr>
          <w:rFonts w:ascii="Arial" w:cs="Arial" w:eastAsia="Arial" w:hAnsi="Arial"/>
          <w:sz w:val="22"/>
          <w:szCs w:val="22"/>
          <w:color w:val="auto"/>
        </w:rPr>
        <w:t>.</w:t>
      </w:r>
    </w:p>
    <w:p>
      <w:pPr>
        <w:spacing w:after="0" w:line="212" w:lineRule="exact"/>
        <w:rPr>
          <w:sz w:val="20"/>
          <w:szCs w:val="20"/>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Participant an option (the</w:t>
      </w:r>
    </w:p>
    <w:p>
      <w:pPr>
        <w:spacing w:after="0" w:line="8" w:lineRule="exact"/>
        <w:rPr>
          <w:sz w:val="20"/>
          <w:szCs w:val="20"/>
          <w:color w:val="auto"/>
        </w:rPr>
      </w:pPr>
    </w:p>
    <w:p>
      <w:pPr>
        <w:jc w:val="both"/>
        <w:ind w:left="200" w:right="23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to purchase [ ] shares of Common Stock (the “</w:t>
      </w:r>
      <w:r>
        <w:rPr>
          <w:rFonts w:ascii="Arial" w:cs="Arial" w:eastAsia="Arial" w:hAnsi="Arial"/>
          <w:sz w:val="19"/>
          <w:szCs w:val="19"/>
          <w:u w:val="single" w:color="auto"/>
          <w:color w:val="auto"/>
        </w:rPr>
        <w:t>Option Shares</w:t>
      </w:r>
      <w:r>
        <w:rPr>
          <w:rFonts w:ascii="Arial" w:cs="Arial" w:eastAsia="Arial" w:hAnsi="Arial"/>
          <w:sz w:val="19"/>
          <w:szCs w:val="19"/>
          <w:color w:val="auto"/>
        </w:rPr>
        <w:t>”) on the terms and subject to the conditions set forth in this Agreement and as otherwise provided in the Plan. The Option is a Nonqualifed Stock Option. The Option shall vest in accordance with Section 2. The</w:t>
      </w:r>
    </w:p>
    <w:p>
      <w:pPr>
        <w:spacing w:after="0" w:line="3" w:lineRule="exact"/>
        <w:rPr>
          <w:sz w:val="20"/>
          <w:szCs w:val="20"/>
          <w:color w:val="auto"/>
        </w:rPr>
      </w:pPr>
    </w:p>
    <w:p>
      <w:pPr>
        <w:ind w:left="200"/>
        <w:spacing w:after="0"/>
        <w:tabs>
          <w:tab w:leader="none" w:pos="3360" w:val="left"/>
        </w:tabs>
        <w:rPr>
          <w:sz w:val="20"/>
          <w:szCs w:val="20"/>
          <w:color w:val="auto"/>
        </w:rPr>
      </w:pPr>
      <w:r>
        <w:rPr>
          <w:rFonts w:ascii="Arial" w:cs="Arial" w:eastAsia="Arial" w:hAnsi="Arial"/>
          <w:sz w:val="22"/>
          <w:szCs w:val="22"/>
          <w:color w:val="auto"/>
        </w:rPr>
        <w:t>Exercise Price shall be [</w:t>
      </w:r>
      <w:r>
        <w:rPr>
          <w:sz w:val="20"/>
          <w:szCs w:val="20"/>
          <w:color w:val="auto"/>
        </w:rPr>
        <w:tab/>
      </w:r>
      <w:r>
        <w:rPr>
          <w:rFonts w:ascii="Arial" w:cs="Arial" w:eastAsia="Arial" w:hAnsi="Arial"/>
          <w:sz w:val="19"/>
          <w:szCs w:val="19"/>
          <w:color w:val="auto"/>
        </w:rPr>
        <w:t>] per Option Share.</w:t>
      </w:r>
    </w:p>
    <w:p>
      <w:pPr>
        <w:spacing w:after="0" w:line="188" w:lineRule="exact"/>
        <w:rPr>
          <w:sz w:val="20"/>
          <w:szCs w:val="20"/>
          <w:color w:val="auto"/>
        </w:rPr>
      </w:pPr>
    </w:p>
    <w:p>
      <w:pPr>
        <w:ind w:left="200" w:right="219" w:firstLine="1305"/>
        <w:spacing w:after="0" w:line="274" w:lineRule="auto"/>
        <w:tabs>
          <w:tab w:leader="none" w:pos="2144"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 and any interpretations, rules and regulations and additional terms adopted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395" w:lineRule="exact"/>
        <w:rPr>
          <w:rFonts w:ascii="Arial" w:cs="Arial" w:eastAsia="Arial" w:hAnsi="Arial"/>
          <w:sz w:val="19"/>
          <w:szCs w:val="19"/>
          <w:color w:val="auto"/>
        </w:rPr>
      </w:pPr>
    </w:p>
    <w:p>
      <w:pPr>
        <w:ind w:left="1500" w:hanging="643"/>
        <w:spacing w:after="0"/>
        <w:tabs>
          <w:tab w:leader="none" w:pos="15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r>
        <w:rPr>
          <w:rFonts w:ascii="Arial" w:cs="Arial" w:eastAsia="Arial" w:hAnsi="Arial"/>
          <w:sz w:val="19"/>
          <w:szCs w:val="19"/>
          <w:color w:val="auto"/>
        </w:rPr>
        <w:t>. Except as may otherwise be provided herein, the Option shall vest and</w:t>
      </w:r>
    </w:p>
    <w:p>
      <w:pPr>
        <w:spacing w:after="0" w:line="49" w:lineRule="exact"/>
        <w:rPr>
          <w:sz w:val="20"/>
          <w:szCs w:val="20"/>
          <w:color w:val="auto"/>
        </w:rPr>
      </w:pPr>
    </w:p>
    <w:p>
      <w:pPr>
        <w:ind w:left="200" w:right="379"/>
        <w:spacing w:after="0" w:line="248" w:lineRule="auto"/>
        <w:rPr>
          <w:sz w:val="20"/>
          <w:szCs w:val="20"/>
          <w:color w:val="auto"/>
        </w:rPr>
      </w:pPr>
      <w:r>
        <w:rPr>
          <w:rFonts w:ascii="Arial" w:cs="Arial" w:eastAsia="Arial" w:hAnsi="Arial"/>
          <w:sz w:val="21"/>
          <w:szCs w:val="21"/>
          <w:color w:val="auto"/>
        </w:rPr>
        <w:t>become exercisable [ ] (each such date, a “</w:t>
      </w:r>
      <w:r>
        <w:rPr>
          <w:rFonts w:ascii="Arial" w:cs="Arial" w:eastAsia="Arial" w:hAnsi="Arial"/>
          <w:sz w:val="21"/>
          <w:szCs w:val="21"/>
          <w:u w:val="single" w:color="auto"/>
          <w:color w:val="auto"/>
        </w:rPr>
        <w:t>Vesting Date</w:t>
      </w:r>
      <w:r>
        <w:rPr>
          <w:rFonts w:ascii="Arial" w:cs="Arial" w:eastAsia="Arial" w:hAnsi="Arial"/>
          <w:sz w:val="21"/>
          <w:szCs w:val="21"/>
          <w:color w:val="auto"/>
        </w:rPr>
        <w:t>”), subject to the Participant’s continued employment with, appointment as a director of, or engagement to provide services to, the Company or any of its Affiliates through the applicable Vesting Date. 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7" w:name="page138"/>
    <w:bookmarkEnd w:id="137"/>
    <w:p>
      <w:pPr>
        <w:ind w:left="200" w:right="399"/>
        <w:spacing w:after="0" w:line="328" w:lineRule="auto"/>
        <w:rPr>
          <w:sz w:val="20"/>
          <w:szCs w:val="20"/>
          <w:color w:val="auto"/>
        </w:rPr>
      </w:pPr>
      <w:r>
        <w:rPr>
          <w:rFonts w:ascii="Arial" w:cs="Arial" w:eastAsia="Arial" w:hAnsi="Arial"/>
          <w:sz w:val="19"/>
          <w:szCs w:val="19"/>
          <w:color w:val="auto"/>
        </w:rPr>
        <w:t>fractional Option Share resulting from the application of the vesting schedule shall be aggregated and the Option Share resulting from such aggregation shall vest on the final Vesting Date.</w:t>
      </w:r>
    </w:p>
    <w:p>
      <w:pPr>
        <w:spacing w:after="0" w:line="99" w:lineRule="exact"/>
        <w:rPr>
          <w:sz w:val="20"/>
          <w:szCs w:val="20"/>
          <w:color w:val="auto"/>
        </w:rPr>
      </w:pPr>
    </w:p>
    <w:p>
      <w:pPr>
        <w:ind w:left="1500" w:hanging="643"/>
        <w:spacing w:after="0"/>
        <w:tabs>
          <w:tab w:leader="none" w:pos="150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or Services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0" w:right="239" w:firstLine="1305"/>
        <w:spacing w:after="0" w:line="236" w:lineRule="auto"/>
        <w:tabs>
          <w:tab w:leader="none" w:pos="2144"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Except as otherwise provided herein, if the Participant’s employment with, membership on the board of directors, or engagement to provide services to the Company or any of its Affiliates terminates for any reason, the unvested portion of the Option shall be canceled immediately and the Participant shall have no rights with respect to the Option Shares subject to such unvested portion.</w:t>
      </w:r>
    </w:p>
    <w:p>
      <w:pPr>
        <w:spacing w:after="0" w:line="187" w:lineRule="exact"/>
        <w:rPr>
          <w:rFonts w:ascii="Arial" w:cs="Arial" w:eastAsia="Arial" w:hAnsi="Arial"/>
          <w:sz w:val="22"/>
          <w:szCs w:val="22"/>
          <w:color w:val="auto"/>
        </w:rPr>
      </w:pPr>
    </w:p>
    <w:p>
      <w:pPr>
        <w:ind w:left="200" w:right="259" w:firstLine="1305"/>
        <w:spacing w:after="0" w:line="249" w:lineRule="auto"/>
        <w:tabs>
          <w:tab w:leader="none" w:pos="2144"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Notwithstanding anything to the contrary in Section 3, if the Participant’s employment with, membership on the board of directors, or engagement to provide services to the Company or any of its Affiliates terminates due to the Participant’s death or Disability, any unvested portion of the Option shall become fully vested as of the date of such termination, which shall be the final Vesting Date.</w:t>
      </w:r>
    </w:p>
    <w:p>
      <w:pPr>
        <w:spacing w:after="0" w:line="178" w:lineRule="exact"/>
        <w:rPr>
          <w:rFonts w:ascii="Arial" w:cs="Arial" w:eastAsia="Arial" w:hAnsi="Arial"/>
          <w:sz w:val="21"/>
          <w:szCs w:val="21"/>
          <w:color w:val="auto"/>
        </w:rPr>
      </w:pPr>
    </w:p>
    <w:p>
      <w:pPr>
        <w:ind w:left="200" w:right="259" w:firstLine="1305"/>
        <w:spacing w:after="0" w:line="273" w:lineRule="auto"/>
        <w:tabs>
          <w:tab w:leader="none" w:pos="2144"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unless otherwise defined in a Superseding Agreement or in a Resolution, the termination of a Participant’s employment with the Company or its Affiliates after the Participant has attained the age of 55 years and the Participant has stated at the time of resignation, in writing, his or her intention to leave the Company’s industry or to leave the general workforce. Notwithstanding the foregoing, the term “Retirement” shall not apply to any Participant whose employment is terminated with Cause or to any Participant who is solely a director or consultant. In the event that the Participant accepts full-time or part-time employment during the one-year period following the Participant’s employment termination date, the Participant’s termination will be deemed, for all purposes hereunder, to have been a voluntary resignation, and not a termination upon Retirement.</w:t>
      </w:r>
    </w:p>
    <w:p>
      <w:pPr>
        <w:spacing w:after="0" w:line="154" w:lineRule="exact"/>
        <w:rPr>
          <w:rFonts w:ascii="Arial" w:cs="Arial" w:eastAsia="Arial" w:hAnsi="Arial"/>
          <w:sz w:val="19"/>
          <w:szCs w:val="19"/>
          <w:color w:val="auto"/>
        </w:rPr>
      </w:pPr>
    </w:p>
    <w:p>
      <w:pPr>
        <w:ind w:left="1500" w:hanging="643"/>
        <w:spacing w:after="0"/>
        <w:tabs>
          <w:tab w:leader="none" w:pos="150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0" w:right="439" w:firstLine="1305"/>
        <w:spacing w:after="0" w:line="246" w:lineRule="auto"/>
        <w:tabs>
          <w:tab w:leader="none" w:pos="2144" w:val="left"/>
        </w:tabs>
        <w:numPr>
          <w:ilvl w:val="1"/>
          <w:numId w:val="90"/>
        </w:numPr>
        <w:rPr>
          <w:rFonts w:ascii="Arial" w:cs="Arial" w:eastAsia="Arial" w:hAnsi="Arial"/>
          <w:sz w:val="21"/>
          <w:szCs w:val="21"/>
          <w:color w:val="auto"/>
        </w:rPr>
      </w:pPr>
      <w:r>
        <w:rPr>
          <w:rFonts w:ascii="Arial" w:cs="Arial" w:eastAsia="Arial" w:hAnsi="Arial"/>
          <w:sz w:val="21"/>
          <w:szCs w:val="21"/>
          <w:color w:val="auto"/>
        </w:rPr>
        <w:t>In no event shall all or any portion of the Option be exercisable after the tenth annual anniversary of the Date of Grant (such ten-year period, the “</w:t>
      </w:r>
      <w:r>
        <w:rPr>
          <w:rFonts w:ascii="Arial" w:cs="Arial" w:eastAsia="Arial" w:hAnsi="Arial"/>
          <w:sz w:val="21"/>
          <w:szCs w:val="21"/>
          <w:u w:val="single" w:color="auto"/>
          <w:color w:val="auto"/>
        </w:rPr>
        <w:t>Option Period</w:t>
      </w:r>
      <w:r>
        <w:rPr>
          <w:rFonts w:ascii="Arial" w:cs="Arial" w:eastAsia="Arial" w:hAnsi="Arial"/>
          <w:sz w:val="21"/>
          <w:szCs w:val="21"/>
          <w:color w:val="auto"/>
        </w:rPr>
        <w:t>”); provided, that if the Option Period would expire at a time when trading in the shares of Common Stock is prohibited by the Company’s securities trading policy (or Company-imposed “blackout period”), the Option Period shall be automatically extended until the 30th day following the expiration of such prohibition (but not to the extent that any such extension would otherwise violate Section 409A of the Code).</w:t>
      </w:r>
    </w:p>
    <w:p>
      <w:pPr>
        <w:spacing w:after="0" w:line="184" w:lineRule="exact"/>
        <w:rPr>
          <w:rFonts w:ascii="Arial" w:cs="Arial" w:eastAsia="Arial" w:hAnsi="Arial"/>
          <w:sz w:val="21"/>
          <w:szCs w:val="21"/>
          <w:color w:val="auto"/>
        </w:rPr>
      </w:pPr>
    </w:p>
    <w:p>
      <w:pPr>
        <w:ind w:left="200" w:right="239" w:firstLine="1305"/>
        <w:spacing w:after="0" w:line="274" w:lineRule="auto"/>
        <w:tabs>
          <w:tab w:leader="none" w:pos="2144"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prior to the end of the Option Period, the Participant’s employment with, or engagement to provide services to, the Company and all Affiliates is terminated without Cause or by the Participant for any reason, then the Option shall expire on the earlier of the last day of the Option Period and the date that is 90 days after the date of such termination; provided, however, that if the Participant’s employment or engagement to provide services to the Company and its Affiliates is terminated and the Participant is subsequently rehired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8" w:name="page139"/>
    <w:bookmarkEnd w:id="138"/>
    <w:p>
      <w:pPr>
        <w:ind w:left="200" w:right="239"/>
        <w:spacing w:after="0" w:line="250" w:lineRule="auto"/>
        <w:rPr>
          <w:sz w:val="20"/>
          <w:szCs w:val="20"/>
          <w:color w:val="auto"/>
        </w:rPr>
      </w:pPr>
      <w:r>
        <w:rPr>
          <w:rFonts w:ascii="Arial" w:cs="Arial" w:eastAsia="Arial" w:hAnsi="Arial"/>
          <w:sz w:val="22"/>
          <w:szCs w:val="22"/>
          <w:color w:val="auto"/>
        </w:rPr>
        <w:t>(b), the Option shall remain exercisable by the Participant until its expiration only to the extent that the Option was exercisable at the time of such termination.</w:t>
      </w:r>
    </w:p>
    <w:p>
      <w:pPr>
        <w:spacing w:after="0" w:line="175" w:lineRule="exact"/>
        <w:rPr>
          <w:sz w:val="20"/>
          <w:szCs w:val="20"/>
          <w:color w:val="auto"/>
        </w:rPr>
      </w:pPr>
    </w:p>
    <w:p>
      <w:pPr>
        <w:ind w:left="200" w:right="239" w:firstLine="1305"/>
        <w:spacing w:after="0" w:line="273" w:lineRule="auto"/>
        <w:tabs>
          <w:tab w:leader="none" w:pos="2144" w:val="left"/>
        </w:tabs>
        <w:numPr>
          <w:ilvl w:val="1"/>
          <w:numId w:val="91"/>
        </w:numPr>
        <w:rPr>
          <w:rFonts w:ascii="Arial" w:cs="Arial" w:eastAsia="Arial" w:hAnsi="Arial"/>
          <w:sz w:val="19"/>
          <w:szCs w:val="19"/>
          <w:color w:val="auto"/>
        </w:rPr>
      </w:pPr>
      <w:r>
        <w:rPr>
          <w:rFonts w:ascii="Arial" w:cs="Arial" w:eastAsia="Arial" w:hAnsi="Arial"/>
          <w:sz w:val="19"/>
          <w:szCs w:val="19"/>
          <w:color w:val="auto"/>
        </w:rPr>
        <w:t>If (i) the Participant’s employment with or engagement to provide services to, the Company is terminated prior to the end of the Option Period on account of the Participant’s Disability, (ii) the Participant dies while still in the employ or engagement of the Company or an Affiliate, (iii) the Participant dies following a termination described in subsection (b) above but prior to the expiration of an Option, or (iv) the Participant’s employment with, or engagement to provide services to, the Company is terminated prior to the end of the Option Period on account of his or her Retirement, the Option shall expire on the earlier of the last day of the Option Period and the date that is one (1) year after the date of death or termination on account of Disability of or Retirement by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55" w:lineRule="exact"/>
        <w:rPr>
          <w:rFonts w:ascii="Arial" w:cs="Arial" w:eastAsia="Arial" w:hAnsi="Arial"/>
          <w:sz w:val="19"/>
          <w:szCs w:val="19"/>
          <w:color w:val="auto"/>
        </w:rPr>
      </w:pPr>
    </w:p>
    <w:p>
      <w:pPr>
        <w:ind w:left="200" w:right="399" w:firstLine="1305"/>
        <w:spacing w:after="0" w:line="236" w:lineRule="auto"/>
        <w:tabs>
          <w:tab w:leader="none" w:pos="2144" w:val="left"/>
        </w:tabs>
        <w:numPr>
          <w:ilvl w:val="1"/>
          <w:numId w:val="91"/>
        </w:numPr>
        <w:rPr>
          <w:rFonts w:ascii="Arial" w:cs="Arial" w:eastAsia="Arial" w:hAnsi="Arial"/>
          <w:sz w:val="22"/>
          <w:szCs w:val="22"/>
          <w:color w:val="auto"/>
        </w:rPr>
      </w:pPr>
      <w:r>
        <w:rPr>
          <w:rFonts w:ascii="Arial" w:cs="Arial" w:eastAsia="Arial" w:hAnsi="Arial"/>
          <w:sz w:val="22"/>
          <w:szCs w:val="22"/>
          <w:color w:val="auto"/>
        </w:rPr>
        <w:t>If the Participant’s Option Shares were awarded pursuant to a directorship, and prior to the end of the Option Period, the Participant’s directorship with the Company is terminated without Cause or by the Participant for any reason, then the Option shall expire on the earlier of the last day of the Option Period and the date that is two years after the date of such termination.</w:t>
      </w:r>
    </w:p>
    <w:p>
      <w:pPr>
        <w:spacing w:after="0" w:line="187" w:lineRule="exact"/>
        <w:rPr>
          <w:rFonts w:ascii="Arial" w:cs="Arial" w:eastAsia="Arial" w:hAnsi="Arial"/>
          <w:sz w:val="22"/>
          <w:szCs w:val="22"/>
          <w:color w:val="auto"/>
        </w:rPr>
      </w:pPr>
    </w:p>
    <w:p>
      <w:pPr>
        <w:ind w:left="200" w:right="219" w:firstLine="1305"/>
        <w:spacing w:after="0" w:line="238" w:lineRule="auto"/>
        <w:tabs>
          <w:tab w:leader="none" w:pos="2144" w:val="left"/>
        </w:tabs>
        <w:numPr>
          <w:ilvl w:val="1"/>
          <w:numId w:val="91"/>
        </w:numPr>
        <w:rPr>
          <w:rFonts w:ascii="Arial" w:cs="Arial" w:eastAsia="Arial" w:hAnsi="Arial"/>
          <w:sz w:val="22"/>
          <w:szCs w:val="22"/>
          <w:color w:val="auto"/>
        </w:rPr>
      </w:pPr>
      <w:r>
        <w:rPr>
          <w:rFonts w:ascii="Arial" w:cs="Arial" w:eastAsia="Arial" w:hAnsi="Arial"/>
          <w:sz w:val="22"/>
          <w:szCs w:val="22"/>
          <w:color w:val="auto"/>
        </w:rPr>
        <w:t>If the Participant ceases employment with or engagement to provide services to the Company or any Affiliates or is removed as a director due to a termination for Cause, the Option (whether vested or unvested) shall be cancelled immediately and the Participant shall have no rights with respect to the Option Shares.</w:t>
      </w:r>
    </w:p>
    <w:p>
      <w:pPr>
        <w:spacing w:after="0" w:line="178" w:lineRule="exact"/>
        <w:rPr>
          <w:rFonts w:ascii="Arial" w:cs="Arial" w:eastAsia="Arial" w:hAnsi="Arial"/>
          <w:sz w:val="22"/>
          <w:szCs w:val="22"/>
          <w:color w:val="auto"/>
        </w:rPr>
      </w:pPr>
    </w:p>
    <w:p>
      <w:pPr>
        <w:ind w:left="1500" w:hanging="643"/>
        <w:spacing w:after="0"/>
        <w:tabs>
          <w:tab w:leader="none" w:pos="15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Exercise and Form of Payment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0" w:right="279" w:firstLine="1305"/>
        <w:spacing w:after="0" w:line="270" w:lineRule="auto"/>
        <w:tabs>
          <w:tab w:leader="none" w:pos="2144" w:val="left"/>
        </w:tabs>
        <w:numPr>
          <w:ilvl w:val="1"/>
          <w:numId w:val="92"/>
        </w:numPr>
        <w:rPr>
          <w:rFonts w:ascii="Arial" w:cs="Arial" w:eastAsia="Arial" w:hAnsi="Arial"/>
          <w:sz w:val="19"/>
          <w:szCs w:val="19"/>
          <w:color w:val="auto"/>
        </w:rPr>
      </w:pPr>
      <w:r>
        <w:rPr>
          <w:rFonts w:ascii="Arial" w:cs="Arial" w:eastAsia="Arial" w:hAnsi="Arial"/>
          <w:sz w:val="19"/>
          <w:szCs w:val="19"/>
          <w:color w:val="auto"/>
        </w:rPr>
        <w:t>No Option Shares shall be delivered pursuant to any exercise of the Option until the Participant has paid in full to the Company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 (i) in cash, check or cash equivalent; or (ii) by such other method as the Committee may permit,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provided that such shares of Common Stock are not subject to any pledge or other security interest; (B) in other property having a Fair Market Value equal to the Exercise Price and all applicable required withholding taxes; or (C)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9" w:name="page140"/>
    <w:bookmarkEnd w:id="139"/>
    <w:p>
      <w:pPr>
        <w:ind w:left="200" w:right="779"/>
        <w:spacing w:after="0" w:line="274" w:lineRule="auto"/>
        <w:rPr>
          <w:sz w:val="20"/>
          <w:szCs w:val="20"/>
          <w:color w:val="auto"/>
        </w:rPr>
      </w:pPr>
      <w:r>
        <w:rPr>
          <w:rFonts w:ascii="Arial" w:cs="Arial" w:eastAsia="Arial" w:hAnsi="Arial"/>
          <w:sz w:val="21"/>
          <w:szCs w:val="21"/>
          <w:color w:val="auto"/>
        </w:rPr>
        <w:t>Price and all applicable required withholding taxes. Any fractional shares of Common Stock resulting from the application of this Section 5 shall be settled in cash.</w:t>
      </w:r>
    </w:p>
    <w:p>
      <w:pPr>
        <w:spacing w:after="0" w:line="145" w:lineRule="exact"/>
        <w:rPr>
          <w:sz w:val="20"/>
          <w:szCs w:val="20"/>
          <w:color w:val="auto"/>
        </w:rPr>
      </w:pPr>
    </w:p>
    <w:p>
      <w:pPr>
        <w:jc w:val="both"/>
        <w:ind w:left="200" w:right="239" w:firstLine="657"/>
        <w:spacing w:after="0" w:line="280" w:lineRule="auto"/>
        <w:tabs>
          <w:tab w:leader="none" w:pos="1496" w:val="left"/>
        </w:tabs>
        <w:numPr>
          <w:ilvl w:val="1"/>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Rights as a Stockholder</w:t>
      </w:r>
      <w:r>
        <w:rPr>
          <w:rFonts w:ascii="Arial" w:cs="Arial" w:eastAsia="Arial" w:hAnsi="Arial"/>
          <w:sz w:val="19"/>
          <w:szCs w:val="19"/>
          <w:color w:val="auto"/>
        </w:rPr>
        <w:t>. The Participant shall not be deemed for any purpose to be</w:t>
      </w:r>
      <w:r>
        <w:rPr>
          <w:rFonts w:ascii="Arial" w:cs="Arial" w:eastAsia="Arial" w:hAnsi="Arial"/>
          <w:sz w:val="19"/>
          <w:szCs w:val="19"/>
          <w:b w:val="1"/>
          <w:bCs w:val="1"/>
          <w:color w:val="auto"/>
        </w:rPr>
        <w:t xml:space="preserve"> </w:t>
      </w:r>
      <w:r>
        <w:rPr>
          <w:rFonts w:ascii="Arial" w:cs="Arial" w:eastAsia="Arial" w:hAnsi="Arial"/>
          <w:sz w:val="19"/>
          <w:szCs w:val="19"/>
          <w:color w:val="auto"/>
        </w:rPr>
        <w:t>the owner of any shares of Common Stock subject to this Option unless, until and to the extent that</w:t>
      </w:r>
    </w:p>
    <w:p>
      <w:pPr>
        <w:ind w:left="200" w:right="359" w:firstLine="9"/>
        <w:spacing w:after="0" w:line="244" w:lineRule="auto"/>
        <w:tabs>
          <w:tab w:leader="none" w:pos="458"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76" w:lineRule="exact"/>
        <w:rPr>
          <w:rFonts w:ascii="Arial" w:cs="Arial" w:eastAsia="Arial" w:hAnsi="Arial"/>
          <w:sz w:val="21"/>
          <w:szCs w:val="21"/>
          <w:color w:val="auto"/>
        </w:rPr>
      </w:pPr>
    </w:p>
    <w:p>
      <w:pPr>
        <w:ind w:left="1500" w:hanging="643"/>
        <w:spacing w:after="0"/>
        <w:tabs>
          <w:tab w:leader="none" w:pos="1500" w:val="left"/>
        </w:tabs>
        <w:numPr>
          <w:ilvl w:val="1"/>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Legal Requirements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0" w:right="279" w:firstLine="1305"/>
        <w:spacing w:after="0" w:line="277" w:lineRule="auto"/>
        <w:tabs>
          <w:tab w:leader="none" w:pos="2144"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51" w:lineRule="exact"/>
        <w:rPr>
          <w:rFonts w:ascii="Arial" w:cs="Arial" w:eastAsia="Arial" w:hAnsi="Arial"/>
          <w:sz w:val="19"/>
          <w:szCs w:val="19"/>
          <w:color w:val="auto"/>
        </w:rPr>
      </w:pPr>
    </w:p>
    <w:p>
      <w:pPr>
        <w:ind w:left="200" w:right="219" w:firstLine="1305"/>
        <w:spacing w:after="0" w:line="270" w:lineRule="auto"/>
        <w:tabs>
          <w:tab w:leader="none" w:pos="2144"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Any exercise of the Option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including the right to use a broker-assisted “cashless exercise” as described in Section 5(i)(C) hereof.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 Company’s transfer agent on the facilities of any exchange on which the Common Stock is listed at the time of such sale.</w:t>
      </w:r>
    </w:p>
    <w:p>
      <w:pPr>
        <w:spacing w:after="0" w:line="162" w:lineRule="exact"/>
        <w:rPr>
          <w:rFonts w:ascii="Arial" w:cs="Arial" w:eastAsia="Arial" w:hAnsi="Arial"/>
          <w:sz w:val="19"/>
          <w:szCs w:val="19"/>
          <w:color w:val="auto"/>
        </w:rPr>
      </w:pPr>
    </w:p>
    <w:p>
      <w:pPr>
        <w:ind w:left="1500" w:hanging="643"/>
        <w:spacing w:after="0"/>
        <w:tabs>
          <w:tab w:leader="none" w:pos="1500" w:val="left"/>
        </w:tabs>
        <w:numPr>
          <w:ilvl w:val="1"/>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0" w:right="399" w:firstLine="1305"/>
        <w:spacing w:after="0" w:line="287" w:lineRule="auto"/>
        <w:tabs>
          <w:tab w:leader="none" w:pos="2144"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14(b) of the Plan. Any attempted Transfer of the Option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0" w:name="page141"/>
    <w:bookmarkEnd w:id="140"/>
    <w:p>
      <w:pPr>
        <w:ind w:left="200" w:right="679"/>
        <w:spacing w:after="0" w:line="250" w:lineRule="auto"/>
        <w:rPr>
          <w:sz w:val="20"/>
          <w:szCs w:val="20"/>
          <w:color w:val="auto"/>
        </w:rPr>
      </w:pPr>
      <w:r>
        <w:rPr>
          <w:rFonts w:ascii="Arial" w:cs="Arial" w:eastAsia="Arial" w:hAnsi="Arial"/>
          <w:sz w:val="22"/>
          <w:szCs w:val="22"/>
          <w:color w:val="auto"/>
        </w:rPr>
        <w:t>contrary to the provisions hereof, and the levy of any execution, attachment or similar process upon the Option, shall be null and void and without effect.</w:t>
      </w:r>
    </w:p>
    <w:p>
      <w:pPr>
        <w:spacing w:after="0" w:line="175" w:lineRule="exact"/>
        <w:rPr>
          <w:sz w:val="20"/>
          <w:szCs w:val="20"/>
          <w:color w:val="auto"/>
        </w:rPr>
      </w:pPr>
    </w:p>
    <w:p>
      <w:pPr>
        <w:ind w:left="200" w:right="259" w:firstLine="1305"/>
        <w:spacing w:after="0" w:line="248" w:lineRule="auto"/>
        <w:tabs>
          <w:tab w:leader="none" w:pos="2144"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6" w:lineRule="exact"/>
        <w:rPr>
          <w:rFonts w:ascii="Arial" w:cs="Arial" w:eastAsia="Arial" w:hAnsi="Arial"/>
          <w:sz w:val="21"/>
          <w:szCs w:val="21"/>
          <w:color w:val="auto"/>
        </w:rPr>
      </w:pPr>
    </w:p>
    <w:p>
      <w:pPr>
        <w:ind w:left="200" w:right="279" w:firstLine="1305"/>
        <w:spacing w:after="0" w:line="272" w:lineRule="auto"/>
        <w:tabs>
          <w:tab w:leader="none" w:pos="214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Option or the Option Shares will not be subject to interest and penalties under Section 409A.</w:t>
      </w:r>
    </w:p>
    <w:p>
      <w:pPr>
        <w:spacing w:after="0" w:line="160" w:lineRule="exact"/>
        <w:rPr>
          <w:rFonts w:ascii="Arial" w:cs="Arial" w:eastAsia="Arial" w:hAnsi="Arial"/>
          <w:sz w:val="19"/>
          <w:szCs w:val="19"/>
          <w:color w:val="auto"/>
        </w:rPr>
      </w:pPr>
    </w:p>
    <w:p>
      <w:pPr>
        <w:ind w:left="200" w:right="499" w:firstLine="1305"/>
        <w:spacing w:after="0" w:line="287" w:lineRule="auto"/>
        <w:tabs>
          <w:tab w:leader="none" w:pos="214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anything to the contrary in this Agreement or the Plan, provided the Participant is still employed by or providing services to the Company on the date of a Change in Control, any unvested portion of the Option shall become fully vested as of the date of the Change in Control, which shall be the final Vesting Date.</w:t>
      </w:r>
    </w:p>
    <w:p>
      <w:pPr>
        <w:spacing w:after="0" w:line="142" w:lineRule="exact"/>
        <w:rPr>
          <w:rFonts w:ascii="Arial" w:cs="Arial" w:eastAsia="Arial" w:hAnsi="Arial"/>
          <w:sz w:val="19"/>
          <w:szCs w:val="19"/>
          <w:color w:val="auto"/>
        </w:rPr>
      </w:pPr>
    </w:p>
    <w:p>
      <w:pPr>
        <w:ind w:left="200" w:right="219" w:firstLine="1305"/>
        <w:spacing w:after="0" w:line="234" w:lineRule="auto"/>
        <w:tabs>
          <w:tab w:leader="none" w:pos="21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0" w:lineRule="exact"/>
        <w:rPr>
          <w:rFonts w:ascii="Arial" w:cs="Arial" w:eastAsia="Arial" w:hAnsi="Arial"/>
          <w:sz w:val="22"/>
          <w:szCs w:val="22"/>
          <w:color w:val="auto"/>
        </w:rPr>
      </w:pPr>
    </w:p>
    <w:p>
      <w:pPr>
        <w:ind w:left="200" w:right="359" w:firstLine="1305"/>
        <w:spacing w:after="0" w:line="238" w:lineRule="auto"/>
        <w:tabs>
          <w:tab w:leader="none" w:pos="21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4" w:lineRule="exact"/>
        <w:rPr>
          <w:rFonts w:ascii="Arial" w:cs="Arial" w:eastAsia="Arial" w:hAnsi="Arial"/>
          <w:sz w:val="22"/>
          <w:szCs w:val="22"/>
          <w:color w:val="auto"/>
        </w:rPr>
      </w:pPr>
    </w:p>
    <w:p>
      <w:pPr>
        <w:ind w:left="200" w:right="219" w:firstLine="1305"/>
        <w:spacing w:after="0" w:line="235" w:lineRule="auto"/>
        <w:tabs>
          <w:tab w:leader="none" w:pos="21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 Rights to Employment, Directorship or Service</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1" w:name="page142"/>
    <w:bookmarkEnd w:id="141"/>
    <w:p>
      <w:pPr>
        <w:jc w:val="both"/>
        <w:ind w:left="200" w:right="339" w:firstLine="1305"/>
        <w:spacing w:after="0" w:line="252" w:lineRule="auto"/>
        <w:tabs>
          <w:tab w:leader="none" w:pos="214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Fractional Shares</w:t>
      </w:r>
      <w:r>
        <w:rPr>
          <w:rFonts w:ascii="Arial" w:cs="Arial" w:eastAsia="Arial" w:hAnsi="Arial"/>
          <w:sz w:val="21"/>
          <w:szCs w:val="21"/>
          <w:color w:val="auto"/>
        </w:rPr>
        <w:t>. In lieu of issuing a fraction of a share of Common Stock resulting from any exercise of the Option or an adjustment of the Option pursuant to Section 11 of the Plan or otherwise, the Company shall be entitled to pay to the Participant an amount in cash equal to the Fair Market Value of such fractional share.</w:t>
      </w:r>
    </w:p>
    <w:p>
      <w:pPr>
        <w:spacing w:after="0" w:line="173" w:lineRule="exact"/>
        <w:rPr>
          <w:rFonts w:ascii="Arial" w:cs="Arial" w:eastAsia="Arial" w:hAnsi="Arial"/>
          <w:sz w:val="21"/>
          <w:szCs w:val="21"/>
          <w:color w:val="auto"/>
        </w:rPr>
      </w:pPr>
    </w:p>
    <w:p>
      <w:pPr>
        <w:ind w:left="200" w:right="439" w:firstLine="1305"/>
        <w:spacing w:after="0"/>
        <w:tabs>
          <w:tab w:leader="none" w:pos="214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Arial" w:cs="Arial" w:eastAsia="Arial" w:hAnsi="Arial"/>
          <w:sz w:val="22"/>
          <w:szCs w:val="22"/>
          <w:color w:val="auto"/>
        </w:rPr>
      </w:pPr>
    </w:p>
    <w:p>
      <w:pPr>
        <w:ind w:left="200" w:right="319" w:firstLine="1305"/>
        <w:spacing w:after="0" w:line="257" w:lineRule="auto"/>
        <w:tabs>
          <w:tab w:leader="none" w:pos="214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9" w:lineRule="exact"/>
        <w:rPr>
          <w:rFonts w:ascii="Arial" w:cs="Arial" w:eastAsia="Arial" w:hAnsi="Arial"/>
          <w:sz w:val="21"/>
          <w:szCs w:val="21"/>
          <w:color w:val="auto"/>
        </w:rPr>
      </w:pPr>
    </w:p>
    <w:p>
      <w:pPr>
        <w:ind w:left="200" w:right="219" w:firstLine="1305"/>
        <w:spacing w:after="0" w:line="271" w:lineRule="auto"/>
        <w:tabs>
          <w:tab w:leader="none" w:pos="214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Notwithstanding the foregoing or anything to the contrary herein, if the Participant is a party to an employment, consulting, change-in-control, severance or other applicable written agreement with the Company that modifies or supplements the terms of this Agreement (each, a “</w:t>
      </w:r>
      <w:r>
        <w:rPr>
          <w:rFonts w:ascii="Arial" w:cs="Arial" w:eastAsia="Arial" w:hAnsi="Arial"/>
          <w:sz w:val="19"/>
          <w:szCs w:val="19"/>
          <w:u w:val="single" w:color="auto"/>
          <w:color w:val="auto"/>
        </w:rPr>
        <w:t>Superseding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or is the subject of a resolution by the Committee or the board of directors of the Company evidencing the grant of an award that modifies or supplements the terms of this Agreement (a “</w:t>
      </w:r>
      <w:r>
        <w:rPr>
          <w:rFonts w:ascii="Arial" w:cs="Arial" w:eastAsia="Arial" w:hAnsi="Arial"/>
          <w:sz w:val="19"/>
          <w:szCs w:val="19"/>
          <w:u w:val="single" w:color="auto"/>
          <w:color w:val="auto"/>
        </w:rPr>
        <w:t>Resolution</w:t>
      </w:r>
      <w:r>
        <w:rPr>
          <w:rFonts w:ascii="Arial" w:cs="Arial" w:eastAsia="Arial" w:hAnsi="Arial"/>
          <w:sz w:val="19"/>
          <w:szCs w:val="19"/>
          <w:color w:val="auto"/>
        </w:rPr>
        <w:t>”),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Section 11 or 13 of the Plan.</w:t>
      </w:r>
    </w:p>
    <w:p>
      <w:pPr>
        <w:spacing w:after="0" w:line="164" w:lineRule="exact"/>
        <w:rPr>
          <w:rFonts w:ascii="Arial" w:cs="Arial" w:eastAsia="Arial" w:hAnsi="Arial"/>
          <w:sz w:val="19"/>
          <w:szCs w:val="19"/>
          <w:color w:val="auto"/>
        </w:rPr>
      </w:pPr>
    </w:p>
    <w:p>
      <w:pPr>
        <w:ind w:left="200" w:right="219" w:firstLine="1305"/>
        <w:spacing w:after="0" w:line="252" w:lineRule="auto"/>
        <w:tabs>
          <w:tab w:leader="none" w:pos="214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Governing Law and Venue</w:t>
      </w:r>
      <w:r>
        <w:rPr>
          <w:rFonts w:ascii="Arial" w:cs="Arial" w:eastAsia="Arial" w:hAnsi="Arial"/>
          <w:sz w:val="21"/>
          <w:szCs w:val="21"/>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3" w:lineRule="exact"/>
        <w:rPr>
          <w:rFonts w:ascii="Arial" w:cs="Arial" w:eastAsia="Arial" w:hAnsi="Arial"/>
          <w:sz w:val="21"/>
          <w:szCs w:val="21"/>
          <w:color w:val="auto"/>
        </w:rPr>
      </w:pPr>
    </w:p>
    <w:p>
      <w:pPr>
        <w:ind w:left="200" w:right="239" w:firstLine="1305"/>
        <w:spacing w:after="0" w:line="272" w:lineRule="auto"/>
        <w:tabs>
          <w:tab w:leader="none" w:pos="214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Dispute Resolution; Consent to Jurisdiction</w:t>
      </w:r>
      <w:r>
        <w:rPr>
          <w:rFonts w:ascii="Arial" w:cs="Arial" w:eastAsia="Arial" w:hAnsi="Arial"/>
          <w:sz w:val="19"/>
          <w:szCs w:val="19"/>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2" w:name="page143"/>
    <w:bookmarkEnd w:id="142"/>
    <w:p>
      <w:pPr>
        <w:ind w:left="200" w:right="239" w:firstLine="1305"/>
        <w:spacing w:after="0" w:line="275" w:lineRule="auto"/>
        <w:tabs>
          <w:tab w:leader="none" w:pos="214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7" w:lineRule="exact"/>
        <w:rPr>
          <w:rFonts w:ascii="Arial" w:cs="Arial" w:eastAsia="Arial" w:hAnsi="Arial"/>
          <w:sz w:val="19"/>
          <w:szCs w:val="19"/>
          <w:color w:val="auto"/>
        </w:rPr>
      </w:pPr>
    </w:p>
    <w:p>
      <w:pPr>
        <w:jc w:val="both"/>
        <w:ind w:left="200" w:right="239" w:firstLine="1305"/>
        <w:spacing w:after="0"/>
        <w:tabs>
          <w:tab w:leader="none" w:pos="21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186" w:lineRule="exact"/>
        <w:rPr>
          <w:rFonts w:ascii="Arial" w:cs="Arial" w:eastAsia="Arial" w:hAnsi="Arial"/>
          <w:sz w:val="22"/>
          <w:szCs w:val="22"/>
          <w:color w:val="auto"/>
        </w:rPr>
      </w:pPr>
    </w:p>
    <w:p>
      <w:pPr>
        <w:ind w:left="200" w:right="299" w:firstLine="1305"/>
        <w:spacing w:after="0" w:line="249" w:lineRule="auto"/>
        <w:tabs>
          <w:tab w:leader="none" w:pos="2144"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(including via electronic signature or acceptance, facsimile, or electronic image scan (pdf)), each of which shall be deemed to be an original, but both of which together shall constitute one and the same instrument and shall become effective when one or more counterparts have been signed by each of the parties and delivered to the other parties.</w:t>
      </w:r>
    </w:p>
    <w:p>
      <w:pPr>
        <w:spacing w:after="0" w:line="178" w:lineRule="exact"/>
        <w:rPr>
          <w:rFonts w:ascii="Arial" w:cs="Arial" w:eastAsia="Arial" w:hAnsi="Arial"/>
          <w:sz w:val="21"/>
          <w:szCs w:val="21"/>
          <w:color w:val="auto"/>
        </w:rPr>
      </w:pPr>
    </w:p>
    <w:p>
      <w:pPr>
        <w:ind w:left="200" w:right="339" w:firstLine="1305"/>
        <w:spacing w:after="0" w:line="235" w:lineRule="auto"/>
        <w:tabs>
          <w:tab w:leader="none" w:pos="21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22"/>
          <w:szCs w:val="22"/>
          <w:color w:val="auto"/>
        </w:rPr>
      </w:pPr>
    </w:p>
    <w:p>
      <w:pPr>
        <w:ind w:left="200" w:right="259" w:firstLine="1305"/>
        <w:spacing w:after="0" w:line="282" w:lineRule="auto"/>
        <w:tabs>
          <w:tab w:leader="none" w:pos="214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3" w:name="page144"/>
    <w:bookmarkEnd w:id="143"/>
    <w:p>
      <w:pPr>
        <w:ind w:left="200" w:right="639" w:firstLine="648"/>
        <w:spacing w:after="0" w:line="250" w:lineRule="auto"/>
        <w:rPr>
          <w:sz w:val="20"/>
          <w:szCs w:val="20"/>
          <w:color w:val="auto"/>
        </w:rPr>
      </w:pPr>
      <w:r>
        <w:rPr>
          <w:rFonts w:ascii="Arial" w:cs="Arial" w:eastAsia="Arial" w:hAnsi="Arial"/>
          <w:sz w:val="22"/>
          <w:szCs w:val="22"/>
          <w:color w:val="auto"/>
        </w:rPr>
        <w:t>IN WITNESS WHEREOF, this Agreement has been executed by the Company and the Participant as of the day first written above.</w:t>
      </w: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IOVANCE BIOTHERAPEUTICS, INC.</w:t>
      </w:r>
    </w:p>
    <w:p>
      <w:pPr>
        <w:spacing w:after="0" w:line="200" w:lineRule="exact"/>
        <w:rPr>
          <w:sz w:val="20"/>
          <w:szCs w:val="20"/>
          <w:color w:val="auto"/>
        </w:rPr>
      </w:pPr>
    </w:p>
    <w:p>
      <w:pPr>
        <w:spacing w:after="0" w:line="27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-17780</wp:posOffset>
            </wp:positionV>
            <wp:extent cx="2057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45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-22860</wp:posOffset>
            </wp:positionV>
            <wp:extent cx="2057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-29210</wp:posOffset>
            </wp:positionV>
            <wp:extent cx="2057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444500</wp:posOffset>
            </wp:positionV>
            <wp:extent cx="2468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[Insert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 Frederick G. Vogt, PhD., Esq., Interim Chief Executive Officer and President, and General Counsel of Iovance Biotherapeutics, Inc., certify that:</w:t>
      </w:r>
    </w:p>
    <w:p>
      <w:pPr>
        <w:spacing w:after="0" w:line="170" w:lineRule="exact"/>
        <w:rPr>
          <w:sz w:val="20"/>
          <w:szCs w:val="20"/>
          <w:color w:val="auto"/>
        </w:rPr>
      </w:pPr>
    </w:p>
    <w:p>
      <w:pPr>
        <w:ind w:left="680" w:hanging="67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Dated: August 5, 2021</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r>
        <w:trPr>
          <w:trHeight w:val="776"/>
        </w:trPr>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9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5, 2021</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Jean-Marc Bellemin</w:t>
            </w:r>
          </w:p>
        </w:tc>
      </w:tr>
      <w:tr>
        <w:trPr>
          <w:trHeight w:val="195"/>
        </w:trPr>
        <w:tc>
          <w:tcPr>
            <w:tcW w:w="3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2021, as filed with the Securities and Exchange Commission on the date hereof (the “Report”), Frederick G. Vogt, PhD., Esq, Interim Chief Executive Officer and President, and General Counsel,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5, 2021</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 /s/ Frederick G. Vogt, PhD., Esq</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Esq</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100" w:right="120" w:firstLine="648"/>
        <w:spacing w:after="0" w:line="311" w:lineRule="auto"/>
        <w:rPr>
          <w:sz w:val="20"/>
          <w:szCs w:val="20"/>
          <w:color w:val="auto"/>
        </w:rPr>
      </w:pPr>
      <w:r>
        <w:rPr>
          <w:rFonts w:ascii="Arial" w:cs="Arial" w:eastAsia="Arial" w:hAnsi="Arial"/>
          <w:sz w:val="16"/>
          <w:szCs w:val="16"/>
          <w:color w:val="auto"/>
        </w:rPr>
        <w:t>In connection with the Quarterly Report on Form 10-Q of Iovance Biotherapeutics, Inc. (the “Company”) for the quarter ended June 30, 2021 as filed with the Securities and Exchange Commission on the date hereof (the “Report”), Jean-Marc Bellemin, Chief Financial Officer, hereby certifies, pursuant to 18 U.S.C. §1350, as adopted pursuant to §906 of the Sarbanes-Oxley Act of 2002, that:</w:t>
      </w:r>
    </w:p>
    <w:p>
      <w:pPr>
        <w:spacing w:after="0" w:line="149" w:lineRule="exact"/>
        <w:rPr>
          <w:sz w:val="20"/>
          <w:szCs w:val="20"/>
          <w:color w:val="auto"/>
        </w:rPr>
      </w:pPr>
    </w:p>
    <w:p>
      <w:pPr>
        <w:ind w:left="360" w:hanging="252"/>
        <w:spacing w:after="0"/>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 w:firstLine="8"/>
        <w:spacing w:after="0" w:line="277" w:lineRule="auto"/>
        <w:tabs>
          <w:tab w:leader="none" w:pos="3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060" w:val="left"/>
          <w:tab w:leader="none" w:pos="546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-130175</wp:posOffset>
            </wp:positionV>
            <wp:extent cx="2948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323215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10020"/>
      </w:cols>
      <w:pgMar w:left="8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Roman"/>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decimal"/>
      <w:start w:val="1"/>
    </w:lvl>
    <w:lvl w:ilvl="1">
      <w:lvlJc w:val="left"/>
      <w:lvlText w:val="●"/>
      <w:numFmt w:val="bullet"/>
      <w:start w:val="1"/>
    </w:lvl>
  </w:abstractNum>
  <w:abstractNum w:abstractNumId="8">
    <w:nsid w:val="23F9C13C"/>
    <w:multiLevelType w:val="hybridMultilevel"/>
    <w:lvl w:ilvl="0">
      <w:lvlJc w:val="left"/>
      <w:lvlText w:val="●"/>
      <w:numFmt w:val="bullet"/>
      <w:start w:val="1"/>
    </w:lvl>
    <w:lvl w:ilvl="1">
      <w:lvlJc w:val="left"/>
      <w:lvlText w:val="●"/>
      <w:numFmt w:val="bullet"/>
      <w:start w:val="1"/>
    </w:lvl>
  </w:abstractNum>
  <w:abstractNum w:abstractNumId="9">
    <w:nsid w:val="649BB77C"/>
    <w:multiLevelType w:val="hybridMultilevel"/>
    <w:lvl w:ilvl="0">
      <w:lvlJc w:val="left"/>
      <w:lvlText w:val="●"/>
      <w:numFmt w:val="bullet"/>
      <w:start w:val="1"/>
    </w:lvl>
    <w:lvl w:ilvl="1">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01"/>
    </w:lvl>
  </w:abstractNum>
  <w:abstractNum w:abstractNumId="31">
    <w:nsid w:val="4AD084E9"/>
    <w:multiLevelType w:val="hybridMultilevel"/>
    <w:lvl w:ilvl="0">
      <w:lvlJc w:val="left"/>
      <w:lvlText w:val="#"/>
      <w:numFmt w:val="bullet"/>
      <w:start w:val="1"/>
    </w:lvl>
    <w:lvl w:ilvl="1">
      <w:lvlJc w:val="left"/>
      <w:lvlText w:val="%2"/>
      <w:numFmt w:val="decimal"/>
      <w:start w:val="104"/>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lowerLetter"/>
      <w:start w:val="1"/>
    </w:lvl>
    <w:lvl w:ilvl="1">
      <w:lvlJc w:val="left"/>
      <w:lvlText w:val="(%2)"/>
      <w:numFmt w:val="lowerLetter"/>
      <w:start w:val="9"/>
    </w:lvl>
  </w:abstractNum>
  <w:abstractNum w:abstractNumId="36">
    <w:nsid w:val="6590700B"/>
    <w:multiLevelType w:val="hybridMultilevel"/>
    <w:lvl w:ilvl="0">
      <w:lvlJc w:val="left"/>
      <w:lvlText w:val="%1"/>
      <w:numFmt w:val="lowerLetter"/>
      <w:start w:val="1"/>
    </w:lvl>
    <w:lvl w:ilvl="1">
      <w:lvlJc w:val="left"/>
      <w:lvlText w:val="(%2)"/>
      <w:numFmt w:val="lowerRoman"/>
      <w:start w:val="2"/>
    </w:lvl>
  </w:abstractNum>
  <w:abstractNum w:abstractNumId="37">
    <w:nsid w:val="15014ACB"/>
    <w:multiLevelType w:val="hybridMultilevel"/>
    <w:lvl w:ilvl="0">
      <w:lvlJc w:val="left"/>
      <w:lvlText w:val="(%1)"/>
      <w:numFmt w:val="lowerLetter"/>
      <w:start w:val="3"/>
    </w:lvl>
    <w:lvl w:ilvl="1">
      <w:lvlJc w:val="left"/>
      <w:lvlText w:val="%2"/>
      <w:numFmt w:val="lowerRoman"/>
      <w:start w:val="1"/>
    </w:lvl>
  </w:abstractNum>
  <w:abstractNum w:abstractNumId="38">
    <w:nsid w:val="5F5E7FD0"/>
    <w:multiLevelType w:val="hybridMultilevel"/>
    <w:lvl w:ilvl="0">
      <w:lvlJc w:val="left"/>
      <w:lvlText w:val="%1."/>
      <w:numFmt w:val="decimal"/>
      <w:start w:val="3"/>
    </w:lvl>
  </w:abstractNum>
  <w:abstractNum w:abstractNumId="39">
    <w:nsid w:val="98A3148"/>
    <w:multiLevelType w:val="hybridMultilevel"/>
    <w:lvl w:ilvl="0">
      <w:lvlJc w:val="left"/>
      <w:lvlText w:val="%1."/>
      <w:numFmt w:val="decimal"/>
      <w:start w:val="5"/>
    </w:lvl>
    <w:lvl w:ilvl="1">
      <w:lvlJc w:val="left"/>
      <w:lvlText w:val="(%2)"/>
      <w:numFmt w:val="lowerLetter"/>
      <w:start w:val="1"/>
    </w:lvl>
  </w:abstractNum>
  <w:abstractNum w:abstractNumId="40">
    <w:nsid w:val="799D0247"/>
    <w:multiLevelType w:val="hybridMultilevel"/>
    <w:lvl w:ilvl="0">
      <w:lvlJc w:val="left"/>
      <w:lvlText w:val="(%1)"/>
      <w:numFmt w:val="lowerLetter"/>
      <w:start w:val="1"/>
    </w:lvl>
    <w:lvl w:ilvl="1">
      <w:lvlJc w:val="left"/>
      <w:lvlText w:val="(%2)"/>
      <w:numFmt w:val="lowerRoman"/>
      <w:start w:val="1"/>
    </w:lvl>
  </w:abstractNum>
  <w:abstractNum w:abstractNumId="41">
    <w:nsid w:val="6B94764"/>
    <w:multiLevelType w:val="hybridMultilevel"/>
    <w:lvl w:ilvl="0">
      <w:lvlJc w:val="left"/>
      <w:lvlText w:val="%1"/>
      <w:numFmt w:val="decimal"/>
      <w:start w:val="1"/>
    </w:lvl>
    <w:lvl w:ilvl="1">
      <w:lvlJc w:val="left"/>
      <w:lvlText w:val="(%2)"/>
      <w:numFmt w:val="lowerLetter"/>
      <w:start w:val="3"/>
    </w:lvl>
  </w:abstractNum>
  <w:abstractNum w:abstractNumId="42">
    <w:nsid w:val="42C296BD"/>
    <w:multiLevelType w:val="hybridMultilevel"/>
    <w:lvl w:ilvl="0">
      <w:lvlJc w:val="left"/>
      <w:lvlText w:val="%1."/>
      <w:numFmt w:val="decimal"/>
      <w:start w:val="6"/>
    </w:lvl>
    <w:lvl w:ilvl="1">
      <w:lvlJc w:val="left"/>
      <w:lvlText w:val="(%2)"/>
      <w:numFmt w:val="lowerLetter"/>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decimal"/>
      <w:start w:val="7"/>
    </w:lvl>
  </w:abstractNum>
  <w:abstractNum w:abstractNumId="45">
    <w:nsid w:val="661E3F1E"/>
    <w:multiLevelType w:val="hybridMultilevel"/>
    <w:lvl w:ilvl="0">
      <w:lvlJc w:val="left"/>
      <w:lvlText w:val="%1."/>
      <w:numFmt w:val="decimal"/>
      <w:start w:val="8"/>
    </w:lvl>
  </w:abstractNum>
  <w:abstractNum w:abstractNumId="46">
    <w:nsid w:val="5DC79EA8"/>
    <w:multiLevelType w:val="hybridMultilevel"/>
    <w:lvl w:ilvl="0">
      <w:lvlJc w:val="left"/>
      <w:lvlText w:val="%1."/>
      <w:numFmt w:val="decimal"/>
      <w:start w:val="10"/>
    </w:lvl>
  </w:abstractNum>
  <w:abstractNum w:abstractNumId="47">
    <w:nsid w:val="540A471C"/>
    <w:multiLevelType w:val="hybridMultilevel"/>
    <w:lvl w:ilvl="0">
      <w:lvlJc w:val="left"/>
      <w:lvlText w:val="%1."/>
      <w:numFmt w:val="decimal"/>
      <w:start w:val="11"/>
    </w:lvl>
    <w:lvl w:ilvl="1">
      <w:lvlJc w:val="left"/>
      <w:lvlText w:val="(%2)"/>
      <w:numFmt w:val="lowerLetter"/>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decimal"/>
      <w:start w:val="12"/>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decimal"/>
      <w:start w:val="13"/>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decimal"/>
      <w:start w:val="14"/>
    </w:lvl>
  </w:abstractNum>
  <w:abstractNum w:abstractNumId="54">
    <w:nsid w:val="A0382C5"/>
    <w:multiLevelType w:val="hybridMultilevel"/>
    <w:lvl w:ilvl="0">
      <w:lvlJc w:val="left"/>
      <w:lvlText w:val="%1."/>
      <w:numFmt w:val="upperLetter"/>
      <w:start w:val="9"/>
    </w:lvl>
  </w:abstractNum>
  <w:abstractNum w:abstractNumId="55">
    <w:nsid w:val="8F2B15E"/>
    <w:multiLevelType w:val="hybridMultilevel"/>
    <w:lvl w:ilvl="0">
      <w:lvlJc w:val="left"/>
      <w:lvlText w:val="%1."/>
      <w:numFmt w:val="upperLetter"/>
      <w:start w:val="35"/>
    </w:lvl>
  </w:abstractNum>
  <w:abstractNum w:abstractNumId="56">
    <w:nsid w:val="1A32234B"/>
    <w:multiLevelType w:val="hybridMultilevel"/>
    <w:lvl w:ilvl="0">
      <w:lvlJc w:val="left"/>
      <w:lvlText w:val="%1."/>
      <w:numFmt w:val="decimal"/>
      <w:start w:val="1"/>
    </w:lvl>
    <w:lvl w:ilvl="1">
      <w:lvlJc w:val="left"/>
      <w:lvlText w:val="%2"/>
      <w:numFmt w:val="lowerLetter"/>
      <w:start w:val="1"/>
    </w:lvl>
  </w:abstractNum>
  <w:abstractNum w:abstractNumId="57">
    <w:nsid w:val="3B0FD379"/>
    <w:multiLevelType w:val="hybridMultilevel"/>
    <w:lvl w:ilvl="0">
      <w:lvlJc w:val="left"/>
      <w:lvlText w:val="%1."/>
      <w:numFmt w:val="decimal"/>
      <w:start w:val="13"/>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2"/>
    </w:lvl>
    <w:lvl w:ilvl="1">
      <w:lvlJc w:val="left"/>
      <w:lvlText w:val="%2"/>
      <w:numFmt w:val="lowerLetter"/>
      <w:start w:val="1"/>
    </w:lvl>
  </w:abstractNum>
  <w:abstractNum w:abstractNumId="60">
    <w:nsid w:val="60B6DF70"/>
    <w:multiLevelType w:val="hybridMultilevel"/>
    <w:lvl w:ilvl="0">
      <w:lvlJc w:val="left"/>
      <w:lvlText w:val="%1."/>
      <w:numFmt w:val="decimal"/>
      <w:start w:val="15"/>
    </w:lvl>
  </w:abstractNum>
  <w:abstractNum w:abstractNumId="61">
    <w:nsid w:val="6A5EE64"/>
    <w:multiLevelType w:val="hybridMultilevel"/>
    <w:lvl w:ilvl="0">
      <w:lvlJc w:val="left"/>
      <w:lvlText w:val="%1."/>
      <w:numFmt w:val="upperLetter"/>
      <w:start w:val="9"/>
    </w:lvl>
  </w:abstractNum>
  <w:abstractNum w:abstractNumId="62">
    <w:nsid w:val="14330624"/>
    <w:multiLevelType w:val="hybridMultilevel"/>
    <w:lvl w:ilvl="0">
      <w:lvlJc w:val="left"/>
      <w:lvlText w:val="%1."/>
      <w:numFmt w:val="upperLetter"/>
      <w:start w:val="35"/>
    </w:lvl>
  </w:abstractNum>
  <w:abstractNum w:abstractNumId="63">
    <w:nsid w:val="7FFFCA11"/>
    <w:multiLevelType w:val="hybridMultilevel"/>
    <w:lvl w:ilvl="0">
      <w:lvlJc w:val="left"/>
      <w:lvlText w:val="%1."/>
      <w:numFmt w:val="upperLetter"/>
      <w:start w:val="9"/>
    </w:lvl>
  </w:abstractNum>
  <w:abstractNum w:abstractNumId="64">
    <w:nsid w:val="1A27709E"/>
    <w:multiLevelType w:val="hybridMultilevel"/>
    <w:lvl w:ilvl="0">
      <w:lvlJc w:val="left"/>
      <w:lvlText w:val="%1."/>
      <w:numFmt w:val="upperLetter"/>
      <w:start w:val="35"/>
    </w:lvl>
  </w:abstractNum>
  <w:abstractNum w:abstractNumId="65">
    <w:nsid w:val="71EA1109"/>
    <w:multiLevelType w:val="hybridMultilevel"/>
    <w:lvl w:ilvl="0">
      <w:lvlJc w:val="left"/>
      <w:lvlText w:val="%1."/>
      <w:numFmt w:val="upperLetter"/>
      <w:start w:val="61"/>
    </w:lvl>
    <w:lvl w:ilvl="1">
      <w:lvlJc w:val="left"/>
      <w:lvlText w:val="(%2)"/>
      <w:numFmt w:val="lowerLetter"/>
      <w:start w:val="1"/>
    </w:lvl>
  </w:abstractNum>
  <w:abstractNum w:abstractNumId="66">
    <w:nsid w:val="100F59DC"/>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67">
    <w:nsid w:val="7FB7E0AA"/>
    <w:multiLevelType w:val="hybridMultilevel"/>
    <w:lvl w:ilvl="0">
      <w:lvlJc w:val="left"/>
      <w:lvlText w:val="%1"/>
      <w:numFmt w:val="lowerLetter"/>
      <w:start w:val="1"/>
    </w:lvl>
    <w:lvl w:ilvl="1">
      <w:lvlJc w:val="left"/>
      <w:lvlText w:val="%2."/>
      <w:numFmt w:val="lowerRoman"/>
      <w:start w:val="3"/>
    </w:lvl>
  </w:abstractNum>
  <w:abstractNum w:abstractNumId="68">
    <w:nsid w:val="6EB5BD4"/>
    <w:multiLevelType w:val="hybridMultilevel"/>
    <w:lvl w:ilvl="0">
      <w:lvlJc w:val="left"/>
      <w:lvlText w:val="(%1)"/>
      <w:numFmt w:val="lowerLetter"/>
      <w:start w:val="4"/>
    </w:lvl>
    <w:lvl w:ilvl="1">
      <w:lvlJc w:val="left"/>
      <w:lvlText w:val="%2."/>
      <w:numFmt w:val="lowerRoman"/>
      <w:start w:val="1"/>
    </w:lvl>
  </w:abstractNum>
  <w:abstractNum w:abstractNumId="69">
    <w:nsid w:val="6F6DD9AC"/>
    <w:multiLevelType w:val="hybridMultilevel"/>
    <w:lvl w:ilvl="0">
      <w:lvlJc w:val="left"/>
      <w:lvlText w:val="(%1)"/>
      <w:numFmt w:val="decimal"/>
      <w:start w:val="1"/>
    </w:lvl>
  </w:abstractNum>
  <w:abstractNum w:abstractNumId="70">
    <w:nsid w:val="94211F2"/>
    <w:multiLevelType w:val="hybridMultilevel"/>
    <w:lvl w:ilvl="0">
      <w:lvlJc w:val="left"/>
      <w:lvlText w:val="(%1)"/>
      <w:numFmt w:val="lowerLetter"/>
      <w:start w:val="1"/>
    </w:lvl>
    <w:lvl w:ilvl="1">
      <w:lvlJc w:val="left"/>
      <w:lvlText w:val="(%2)"/>
      <w:numFmt w:val="decimal"/>
      <w:start w:val="1"/>
    </w:lvl>
  </w:abstractNum>
  <w:abstractNum w:abstractNumId="71">
    <w:nsid w:val="885E1B"/>
    <w:multiLevelType w:val="hybridMultilevel"/>
    <w:lvl w:ilvl="0">
      <w:lvlJc w:val="left"/>
      <w:lvlText w:val="(%1)"/>
      <w:numFmt w:val="decimal"/>
      <w:start w:val="2"/>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decimal"/>
      <w:start w:val="6"/>
    </w:lvl>
  </w:abstractNum>
  <w:abstractNum w:abstractNumId="76">
    <w:nsid w:val="3222E7CD"/>
    <w:multiLevelType w:val="hybridMultilevel"/>
    <w:lvl w:ilvl="0">
      <w:lvlJc w:val="left"/>
      <w:lvlText w:val="%1."/>
      <w:numFmt w:val="decimal"/>
      <w:start w:val="7"/>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decimal"/>
      <w:start w:val="8"/>
    </w:lvl>
  </w:abstractNum>
  <w:abstractNum w:abstractNumId="79">
    <w:nsid w:val="2DF6D648"/>
    <w:multiLevelType w:val="hybridMultilevel"/>
    <w:lvl w:ilvl="0">
      <w:lvlJc w:val="left"/>
      <w:lvlText w:val="%1."/>
      <w:numFmt w:val="decimal"/>
      <w:start w:val="11"/>
    </w:lvl>
  </w:abstractNum>
  <w:abstractNum w:abstractNumId="80">
    <w:nsid w:val="46B7D447"/>
    <w:multiLevelType w:val="hybridMultilevel"/>
    <w:lvl w:ilvl="0">
      <w:lvlJc w:val="left"/>
      <w:lvlText w:val="%1."/>
      <w:numFmt w:val="decimal"/>
      <w:start w:val="16"/>
    </w:lvl>
  </w:abstractNum>
  <w:abstractNum w:abstractNumId="81">
    <w:nsid w:val="4A2AC315"/>
    <w:multiLevelType w:val="hybridMultilevel"/>
    <w:lvl w:ilvl="0">
      <w:lvlJc w:val="left"/>
      <w:lvlText w:val="%1"/>
      <w:numFmt w:val="lowerRoman"/>
      <w:start w:val="1"/>
    </w:lvl>
    <w:lvl w:ilvl="1">
      <w:lvlJc w:val="left"/>
      <w:lvlText w:val="%2."/>
      <w:numFmt w:val="decimal"/>
      <w:start w:val="23"/>
    </w:lvl>
  </w:abstractNum>
  <w:abstractNum w:abstractNumId="82">
    <w:nsid w:val="39EE015C"/>
    <w:multiLevelType w:val="hybridMultilevel"/>
    <w:lvl w:ilvl="0">
      <w:lvlJc w:val="left"/>
      <w:lvlText w:val="(%1)"/>
      <w:numFmt w:val="lowerRoman"/>
      <w:start w:val="1"/>
    </w:lvl>
    <w:lvl w:ilvl="1">
      <w:lvlJc w:val="left"/>
      <w:lvlText w:val="%2."/>
      <w:numFmt w:val="decimal"/>
      <w:start w:val="25"/>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decimal"/>
      <w:start w:val="1"/>
    </w:lvl>
    <w:lvl w:ilvl="1">
      <w:lvlJc w:val="left"/>
      <w:lvlText w:val="(%2)"/>
      <w:numFmt w:val="lowerLetter"/>
      <w:start w:val="2"/>
    </w:lvl>
  </w:abstractNum>
  <w:abstractNum w:abstractNumId="88">
    <w:nsid w:val="7F01579B"/>
    <w:multiLevelType w:val="hybridMultilevel"/>
    <w:lvl w:ilvl="0">
      <w:lvlJc w:val="left"/>
      <w:lvlText w:val="%1."/>
      <w:numFmt w:val="decimal"/>
      <w:start w:val="2"/>
    </w:lvl>
    <w:lvl w:ilvl="1">
      <w:lvlJc w:val="left"/>
      <w:lvlText w:val="%2"/>
      <w:numFmt w:val="lowerLetter"/>
      <w:start w:val="1"/>
    </w:lvl>
  </w:abstractNum>
  <w:abstractNum w:abstractNumId="89">
    <w:nsid w:val="49DA307D"/>
    <w:multiLevelType w:val="hybridMultilevel"/>
    <w:lvl w:ilvl="0">
      <w:lvlJc w:val="left"/>
      <w:lvlText w:val="%1."/>
      <w:numFmt w:val="decimal"/>
      <w:start w:val="3"/>
    </w:lvl>
    <w:lvl w:ilvl="1">
      <w:lvlJc w:val="left"/>
      <w:lvlText w:val="(%2)"/>
      <w:numFmt w:val="lowerLetter"/>
      <w:start w:val="1"/>
    </w:lvl>
  </w:abstractNum>
  <w:abstractNum w:abstractNumId="90">
    <w:nsid w:val="7055A5F5"/>
    <w:multiLevelType w:val="hybridMultilevel"/>
    <w:lvl w:ilvl="0">
      <w:lvlJc w:val="left"/>
      <w:lvlText w:val="%1"/>
      <w:numFmt w:val="decimal"/>
      <w:start w:val="1"/>
    </w:lvl>
    <w:lvl w:ilvl="1">
      <w:lvlJc w:val="left"/>
      <w:lvlText w:val="(%2)"/>
      <w:numFmt w:val="lowerLetter"/>
      <w:start w:val="3"/>
    </w:lvl>
  </w:abstractNum>
  <w:abstractNum w:abstractNumId="91">
    <w:nsid w:val="5FB8370B"/>
    <w:multiLevelType w:val="hybridMultilevel"/>
    <w:lvl w:ilvl="0">
      <w:lvlJc w:val="left"/>
      <w:lvlText w:val="%1."/>
      <w:numFmt w:val="decimal"/>
      <w:start w:val="5"/>
    </w:lvl>
    <w:lvl w:ilvl="1">
      <w:lvlJc w:val="left"/>
      <w:lvlText w:val="(%2)"/>
      <w:numFmt w:val="lowerLetter"/>
      <w:start w:val="1"/>
    </w:lvl>
  </w:abstractNum>
  <w:abstractNum w:abstractNumId="92">
    <w:nsid w:val="50801EE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3">
    <w:nsid w:val="488AC1A"/>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94">
    <w:nsid w:val="5FB8011C"/>
    <w:multiLevelType w:val="hybridMultilevel"/>
    <w:lvl w:ilvl="0">
      <w:lvlJc w:val="left"/>
      <w:lvlText w:val="(%1)"/>
      <w:numFmt w:val="lowerLetter"/>
      <w:start w:val="2"/>
    </w:lvl>
  </w:abstractNum>
  <w:abstractNum w:abstractNumId="95">
    <w:nsid w:val="6AA78F7F"/>
    <w:multiLevelType w:val="hybridMultilevel"/>
    <w:lvl w:ilvl="0">
      <w:lvlJc w:val="left"/>
      <w:lvlText w:val="(%1)"/>
      <w:numFmt w:val="lowerLetter"/>
      <w:start w:val="8"/>
    </w:lvl>
  </w:abstractNum>
  <w:abstractNum w:abstractNumId="96">
    <w:nsid w:val="7672BD23"/>
    <w:multiLevelType w:val="hybridMultilevel"/>
    <w:lvl w:ilvl="0">
      <w:lvlJc w:val="left"/>
      <w:lvlText w:val="(%1)"/>
      <w:numFmt w:val="lowerLetter"/>
      <w:start w:val="14"/>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52" Type="http://schemas.openxmlformats.org/officeDocument/2006/relationships/hyperlink" Target="https://www.sec.gov/ix?doc=/Archives/edgar/data/1425205/000155837021001858/iova-20201231x10k.htm" TargetMode="External"/><Relationship Id="rId100" Type="http://schemas.openxmlformats.org/officeDocument/2006/relationships/hyperlink" Target="https://www.sec.gov/Archives/edgar/data/1425205/000110465921054582/tm2113845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2021-08-05T18:03:42Z</dcterms:created>
  <dcterms:modified xsi:type="dcterms:W3CDTF">2021-08-05T18:03:42Z</dcterms:modified>
</cp:coreProperties>
</file>