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t>As filed with the Securities and Exchange Commission on June 18, 2026</w:t>
      </w:r>
    </w:p>
    <w:p>
      <w:pPr>
        <w:spacing w:after="0" w:line="2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IOVANCE BIOTHERAPEUTICS,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19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75-3254381</w:t>
      </w:r>
    </w:p>
    <w:p>
      <w:pPr>
        <w:spacing w:after="0" w:line="30"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13" w:lineRule="exact"/>
        <w:rPr>
          <w:sz w:val="24"/>
          <w:szCs w:val="24"/>
          <w:color w:val="auto"/>
        </w:rPr>
      </w:pPr>
    </w:p>
    <w:p>
      <w:pPr>
        <w:sectPr>
          <w:pgSz w:w="11900" w:h="16838" w:orient="portrait"/>
          <w:cols w:equalWidth="0" w:num="2">
            <w:col w:w="6440" w:space="720"/>
            <w:col w:w="4080"/>
          </w:cols>
          <w:pgMar w:left="320" w:top="468" w:right="33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825 Industrial Road, Suite 100</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registrant’s principal executive offices, including zip code)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Iovance Biotherapeutics, Inc. Amended and Restated 2021 Inducement Plan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Frederick G. Vogt, Ph.D., J.D.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Interim Chief Executive Officer and President, and General Counsel</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825 Industrial Road, Suite 100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260-7120</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Copies to:</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Emilio Ragosa</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DLA Piper LLP (US)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 John F. Kennedy Parkway, Suite 120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Short Hills, New Jersey 07078</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(973) 520-2550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68" w:right="339" w:bottom="1440" w:gutter="0" w:footer="0" w:header="0"/>
          <w:type w:val="continuous"/>
        </w:sectPr>
      </w:pPr>
    </w:p>
    <w:p>
      <w:pPr>
        <w:spacing w:after="0" w:line="136" w:lineRule="exact"/>
        <w:rPr>
          <w:sz w:val="24"/>
          <w:szCs w:val="24"/>
          <w:color w:val="auto"/>
        </w:rPr>
      </w:pPr>
    </w:p>
    <w:p>
      <w:pPr>
        <w:ind w:left="6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9" w:lineRule="exact"/>
        <w:rPr>
          <w:sz w:val="24"/>
          <w:szCs w:val="24"/>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280" w:space="720"/>
            <w:col w:w="5240"/>
          </w:cols>
          <w:pgMar w:left="320" w:top="468" w:right="339" w:bottom="1440" w:gutter="0" w:footer="0" w:header="0"/>
          <w:type w:val="continuous"/>
        </w:sectPr>
      </w:pPr>
    </w:p>
    <w:p>
      <w:pPr>
        <w:spacing w:after="0" w:line="12"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431165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4" w:lineRule="exact"/>
        <w:rPr>
          <w:sz w:val="20"/>
          <w:szCs w:val="20"/>
          <w:color w:val="auto"/>
        </w:rPr>
      </w:pPr>
    </w:p>
    <w:p>
      <w:pPr>
        <w:jc w:val="both"/>
        <w:ind w:firstLine="641"/>
        <w:spacing w:after="0" w:line="266"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This Registration Statement relates to the registration of an additional 1,250,000 shares (the “Shares”) of Iovance Biotherapeutics, Inc.’s (“Registrant”) common stock, $0.000041666 par value per share. The Shares are of the same class and relate to the same employee benefit plan, the Iovance Biotherapeutics, Inc. Amended and Restated 2021 Inducement Plan, which was amended and restated effective as of April 10, 2026 (in the form attached hereto as </w:t>
      </w:r>
      <w:r>
        <w:rPr>
          <w:rFonts w:ascii="Times New Roman" w:cs="Times New Roman" w:eastAsia="Times New Roman" w:hAnsi="Times New Roman"/>
          <w:sz w:val="17"/>
          <w:szCs w:val="17"/>
          <w:u w:val="single" w:color="auto"/>
          <w:color w:val="0000EE"/>
        </w:rPr>
        <w:t>Exhibit 99.1)</w:t>
      </w:r>
      <w:r>
        <w:rPr>
          <w:rFonts w:ascii="Times New Roman" w:cs="Times New Roman" w:eastAsia="Times New Roman" w:hAnsi="Times New Roman"/>
          <w:sz w:val="17"/>
          <w:szCs w:val="17"/>
          <w:color w:val="auto"/>
        </w:rPr>
        <w:t xml:space="preserve"> (the “Inducement Plan”), as those registered pursuant to the Registrant’s registration statement on Form S-8, previously filed with the </w:t>
      </w:r>
      <w:hyperlink r:id="rId14">
        <w:r>
          <w:rPr>
            <w:rFonts w:ascii="Times New Roman" w:cs="Times New Roman" w:eastAsia="Times New Roman" w:hAnsi="Times New Roman"/>
            <w:sz w:val="17"/>
            <w:szCs w:val="17"/>
            <w:color w:val="auto"/>
          </w:rPr>
          <w:t xml:space="preserve">U.S. Securities and Exchange Commission (the “SEC”) on </w:t>
        </w:r>
        <w:r>
          <w:rPr>
            <w:rFonts w:ascii="Times New Roman" w:cs="Times New Roman" w:eastAsia="Times New Roman" w:hAnsi="Times New Roman"/>
            <w:sz w:val="17"/>
            <w:szCs w:val="17"/>
            <w:u w:val="single" w:color="auto"/>
            <w:color w:val="0000EE"/>
          </w:rPr>
          <w:t>September 23, 2021 (Registration No. 333-259752)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11, 2022 (Registration No. 333-</w:t>
        </w:r>
      </w:hyperlink>
      <w:hyperlink r:id="rId15">
        <w:r>
          <w:rPr>
            <w:rFonts w:ascii="Times New Roman" w:cs="Times New Roman" w:eastAsia="Times New Roman" w:hAnsi="Times New Roman"/>
            <w:sz w:val="17"/>
            <w:szCs w:val="17"/>
            <w:u w:val="single" w:color="auto"/>
            <w:color w:val="0000EE"/>
          </w:rPr>
          <w:t>263503)</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May 10, 2023 (Registration No. 333-271810)</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May 10, 2024 (Registration No. 333-279287)</w:t>
        </w:r>
        <w:r>
          <w:rPr>
            <w:rFonts w:ascii="Times New Roman" w:cs="Times New Roman" w:eastAsia="Times New Roman" w:hAnsi="Times New Roman"/>
            <w:sz w:val="17"/>
            <w:szCs w:val="17"/>
            <w:color w:val="000000"/>
          </w:rPr>
          <w:t>, and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December 13, 2024 (Registration No. 333-</w:t>
        </w:r>
      </w:hyperlink>
    </w:p>
    <w:p>
      <w:pPr>
        <w:spacing w:after="0" w:line="1" w:lineRule="exact"/>
        <w:rPr>
          <w:sz w:val="20"/>
          <w:szCs w:val="20"/>
          <w:color w:val="auto"/>
        </w:rPr>
      </w:pPr>
    </w:p>
    <w:p>
      <w:pPr>
        <w:jc w:val="both"/>
        <w:spacing w:after="0" w:line="249" w:lineRule="auto"/>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u w:val="single" w:color="auto"/>
            <w:color w:val="0000EE"/>
          </w:rPr>
          <w:t>283825)</w:t>
        </w:r>
        <w:r>
          <w:rPr>
            <w:rFonts w:ascii="Times New Roman" w:cs="Times New Roman" w:eastAsia="Times New Roman" w:hAnsi="Times New Roman"/>
            <w:sz w:val="18"/>
            <w:szCs w:val="18"/>
            <w:color w:val="000000"/>
          </w:rPr>
          <w:t>. In accordance with General Instruction E of Form S-8, the contents of the Registrant’s registration statements on Form S-8 filed with the SEC on</w:t>
        </w:r>
      </w:hyperlink>
      <w:r>
        <w:rPr>
          <w:rFonts w:ascii="Times New Roman" w:cs="Times New Roman" w:eastAsia="Times New Roman" w:hAnsi="Times New Roman"/>
          <w:sz w:val="18"/>
          <w:szCs w:val="18"/>
          <w:color w:val="0000EE"/>
        </w:rPr>
        <w:t xml:space="preserve"> </w:t>
      </w:r>
      <w:hyperlink r:id="rId16">
        <w:r>
          <w:rPr>
            <w:rFonts w:ascii="Times New Roman" w:cs="Times New Roman" w:eastAsia="Times New Roman" w:hAnsi="Times New Roman"/>
            <w:sz w:val="18"/>
            <w:szCs w:val="18"/>
            <w:u w:val="single" w:color="auto"/>
            <w:color w:val="0000EE"/>
          </w:rPr>
          <w:t>September 23, 2021 (Registration No. 333-259752)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11, 2022 (Registration No. 333-263503)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10, 2023 (Registration No. 333-271810)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10,</w:t>
        </w:r>
      </w:hyperlink>
      <w:r>
        <w:rPr>
          <w:rFonts w:ascii="Times New Roman" w:cs="Times New Roman" w:eastAsia="Times New Roman" w:hAnsi="Times New Roman"/>
          <w:sz w:val="18"/>
          <w:szCs w:val="18"/>
          <w:color w:val="0000EE"/>
        </w:rPr>
        <w:t xml:space="preserve"> </w:t>
      </w:r>
      <w:hyperlink r:id="rId16">
        <w:r>
          <w:rPr>
            <w:rFonts w:ascii="Times New Roman" w:cs="Times New Roman" w:eastAsia="Times New Roman" w:hAnsi="Times New Roman"/>
            <w:sz w:val="18"/>
            <w:szCs w:val="18"/>
            <w:u w:val="single" w:color="auto"/>
            <w:color w:val="0000EE"/>
          </w:rPr>
          <w:t>2024 (Registration No. 333-279287)</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 xml:space="preserve">December 13, 2024 (Registration No. 333-283825) </w:t>
        </w:r>
      </w:hyperlink>
      <w:hyperlink r:id="rId16">
        <w:r>
          <w:rPr>
            <w:rFonts w:ascii="Times New Roman" w:cs="Times New Roman" w:eastAsia="Times New Roman" w:hAnsi="Times New Roman"/>
            <w:sz w:val="18"/>
            <w:szCs w:val="18"/>
            <w:color w:val="000000"/>
          </w:rPr>
          <w:t>are incorporated herein by reference (solely to the extent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contents of such registration statement relate to the Inducement Plan) and the information required by Part II is omitted, except as supplemented by the information set forth below.</w:t>
      </w:r>
    </w:p>
    <w:p>
      <w:pPr>
        <w:spacing w:after="0" w:line="18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ectPr>
          <w:pgSz w:w="11900" w:h="16838" w:orient="portrait"/>
          <w:cols w:equalWidth="0" w:num="1">
            <w:col w:w="11240"/>
          </w:cols>
          <w:pgMar w:left="320" w:top="892" w:right="339" w:bottom="1440" w:gutter="0" w:footer="0" w:header="0"/>
        </w:sectPr>
      </w:pPr>
    </w:p>
    <w:p>
      <w:pPr>
        <w:spacing w:after="0" w:line="220" w:lineRule="exact"/>
        <w:rPr>
          <w:rFonts w:ascii="Times New Roman" w:cs="Times New Roman" w:eastAsia="Times New Roman" w:hAnsi="Times New Roman"/>
          <w:sz w:val="18"/>
          <w:szCs w:val="18"/>
          <w:color w:val="0000EE"/>
        </w:rPr>
      </w:pPr>
    </w:p>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41" w:lineRule="exact"/>
        <w:rPr>
          <w:rFonts w:ascii="Times New Roman" w:cs="Times New Roman" w:eastAsia="Times New Roman" w:hAnsi="Times New Roman"/>
          <w:sz w:val="18"/>
          <w:szCs w:val="18"/>
          <w:color w:val="0000EE"/>
        </w:rPr>
      </w:pPr>
    </w:p>
    <w:p>
      <w:pPr>
        <w:jc w:val="center"/>
        <w:ind w:right="41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3810</wp:posOffset>
            </wp:positionV>
            <wp:extent cx="364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200" w:lineRule="exact"/>
        <w:rPr>
          <w:rFonts w:ascii="Times New Roman" w:cs="Times New Roman" w:eastAsia="Times New Roman" w:hAnsi="Times New Roman"/>
          <w:sz w:val="18"/>
          <w:szCs w:val="18"/>
          <w:color w:val="0000EE"/>
        </w:rPr>
      </w:pPr>
    </w:p>
    <w:p>
      <w:pPr>
        <w:spacing w:after="0" w:line="214" w:lineRule="exact"/>
        <w:rPr>
          <w:rFonts w:ascii="Times New Roman" w:cs="Times New Roman" w:eastAsia="Times New Roman" w:hAnsi="Times New Roman"/>
          <w:sz w:val="18"/>
          <w:szCs w:val="18"/>
          <w:color w:val="0000EE"/>
        </w:rPr>
      </w:pPr>
    </w:p>
    <w:p>
      <w:pPr>
        <w:jc w:val="center"/>
        <w:ind w:right="486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-3088640</wp:posOffset>
            </wp:positionH>
            <wp:positionV relativeFrom="paragraph">
              <wp:posOffset>26035</wp:posOffset>
            </wp:positionV>
            <wp:extent cx="673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734810" cy="8255"/>
                    </a:xfrm>
                    <a:prstGeom prst="rect">
                      <a:avLst/>
                    </a:prstGeom>
                    <a:noFill/>
                  </pic:spPr>
                </pic:pic>
              </a:graphicData>
            </a:graphic>
          </wp:anchor>
        </w:drawing>
      </w:r>
    </w:p>
    <w:p>
      <w:pPr>
        <w:spacing w:after="0" w:line="41" w:lineRule="exact"/>
        <w:rPr>
          <w:rFonts w:ascii="Times New Roman" w:cs="Times New Roman" w:eastAsia="Times New Roman" w:hAnsi="Times New Roman"/>
          <w:sz w:val="18"/>
          <w:szCs w:val="18"/>
          <w:color w:val="0000EE"/>
        </w:rPr>
      </w:pPr>
    </w:p>
    <w:p>
      <w:pPr>
        <w:sectPr>
          <w:pgSz w:w="11900" w:h="16838" w:orient="portrait"/>
          <w:cols w:equalWidth="0" w:num="2">
            <w:col w:w="4780" w:space="720"/>
            <w:col w:w="5740"/>
          </w:cols>
          <w:pgMar w:left="320" w:top="892" w:right="339" w:bottom="1440" w:gutter="0" w:footer="0" w:header="0"/>
          <w:type w:val="continuous"/>
        </w:sectPr>
      </w:pPr>
    </w:p>
    <w:p>
      <w:pPr>
        <w:ind w:left="640" w:right="100" w:hanging="451"/>
        <w:spacing w:after="0" w:line="255" w:lineRule="auto"/>
        <w:tabs>
          <w:tab w:leader="none" w:pos="620" w:val="left"/>
        </w:tabs>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19">
        <w:r>
          <w:rPr>
            <w:rFonts w:ascii="Times New Roman" w:cs="Times New Roman" w:eastAsia="Times New Roman" w:hAnsi="Times New Roman"/>
            <w:sz w:val="18"/>
            <w:szCs w:val="18"/>
            <w:u w:val="single" w:color="auto"/>
            <w:color w:val="0000EE"/>
          </w:rPr>
          <w:t>Certificate of Incorporation, as amended, of Registrant (incorporated herein by reference to Exhibit 3.1 to Registrant’s Form S-3 filed with the SEC</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on June 18, 2026).</w:t>
        </w:r>
      </w:hyperlink>
    </w:p>
    <w:p>
      <w:pPr>
        <w:spacing w:after="0" w:line="1" w:lineRule="exact"/>
        <w:rPr>
          <w:rFonts w:ascii="Times New Roman" w:cs="Times New Roman" w:eastAsia="Times New Roman" w:hAnsi="Times New Roman"/>
          <w:sz w:val="18"/>
          <w:szCs w:val="18"/>
          <w:u w:val="single" w:color="auto"/>
          <w:color w:val="0000EE"/>
        </w:rPr>
      </w:pPr>
    </w:p>
    <w:p>
      <w:pPr>
        <w:ind w:left="640" w:right="260" w:hanging="451"/>
        <w:spacing w:after="0" w:line="247" w:lineRule="auto"/>
        <w:tabs>
          <w:tab w:leader="none" w:pos="620" w:val="left"/>
        </w:tabs>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20">
        <w:r>
          <w:rPr>
            <w:rFonts w:ascii="Times New Roman" w:cs="Times New Roman" w:eastAsia="Times New Roman" w:hAnsi="Times New Roman"/>
            <w:sz w:val="18"/>
            <w:szCs w:val="18"/>
            <w:u w:val="single" w:color="auto"/>
            <w:color w:val="0000EE"/>
          </w:rPr>
          <w:t>Fourth Amended and Restated Bylaws (incorporated herein by reference to Exhibit 3.1 to the Registrant’s Current Report on Form 8-K filed with</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the SEC on March 29, 2024).</w:t>
        </w:r>
      </w:hyperlink>
    </w:p>
    <w:p>
      <w:pPr>
        <w:spacing w:after="0" w:line="1" w:lineRule="exact"/>
        <w:rPr>
          <w:rFonts w:ascii="Times New Roman" w:cs="Times New Roman" w:eastAsia="Times New Roman" w:hAnsi="Times New Roman"/>
          <w:sz w:val="18"/>
          <w:szCs w:val="18"/>
          <w:u w:val="single" w:color="auto"/>
          <w:color w:val="0000EE"/>
        </w:rPr>
      </w:pPr>
    </w:p>
    <w:p>
      <w:pPr>
        <w:ind w:left="640" w:right="200" w:hanging="451"/>
        <w:spacing w:after="0" w:line="247" w:lineRule="auto"/>
        <w:tabs>
          <w:tab w:leader="none" w:pos="620" w:val="left"/>
        </w:tabs>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21">
        <w:r>
          <w:rPr>
            <w:rFonts w:ascii="Times New Roman" w:cs="Times New Roman" w:eastAsia="Times New Roman" w:hAnsi="Times New Roman"/>
            <w:sz w:val="18"/>
            <w:szCs w:val="18"/>
            <w:u w:val="single" w:color="auto"/>
            <w:color w:val="0000EE"/>
          </w:rPr>
          <w:t>Specimen of Stock Certificate (incorporated herein by reference to Exhibit 4.2 to Registrant’s Annual Report on Form 10-K filed with the SEC on</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March 12, 2018).</w:t>
        </w:r>
      </w:hyperlink>
    </w:p>
    <w:p>
      <w:pPr>
        <w:spacing w:after="0" w:line="1" w:lineRule="exact"/>
        <w:rPr>
          <w:rFonts w:ascii="Times New Roman" w:cs="Times New Roman" w:eastAsia="Times New Roman" w:hAnsi="Times New Roman"/>
          <w:sz w:val="18"/>
          <w:szCs w:val="18"/>
          <w:u w:val="single" w:color="auto"/>
          <w:color w:val="0000EE"/>
        </w:rPr>
      </w:pPr>
    </w:p>
    <w:p>
      <w:pPr>
        <w:ind w:left="180"/>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DLA Piper LLP (US) (filed herewith).</w:t>
      </w:r>
    </w:p>
    <w:p>
      <w:pPr>
        <w:spacing w:after="0" w:line="7" w:lineRule="exact"/>
        <w:rPr>
          <w:rFonts w:ascii="Times New Roman" w:cs="Times New Roman" w:eastAsia="Times New Roman" w:hAnsi="Times New Roman"/>
          <w:sz w:val="18"/>
          <w:szCs w:val="18"/>
          <w:u w:val="single" w:color="auto"/>
          <w:color w:val="0000EE"/>
        </w:rPr>
      </w:pPr>
    </w:p>
    <w:p>
      <w:pPr>
        <w:ind w:left="140"/>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 (filed herewith).</w:t>
      </w:r>
    </w:p>
    <w:p>
      <w:pPr>
        <w:spacing w:after="0" w:line="7" w:lineRule="exact"/>
        <w:rPr>
          <w:rFonts w:ascii="Times New Roman" w:cs="Times New Roman" w:eastAsia="Times New Roman" w:hAnsi="Times New Roman"/>
          <w:sz w:val="18"/>
          <w:szCs w:val="18"/>
          <w:u w:val="single" w:color="auto"/>
          <w:color w:val="0000EE"/>
        </w:rPr>
      </w:pPr>
    </w:p>
    <w:p>
      <w:pPr>
        <w:ind w:left="140"/>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DLA Piper LLP (US) (included in Exhibit 5.1).</w:t>
      </w:r>
    </w:p>
    <w:p>
      <w:pPr>
        <w:spacing w:after="0" w:line="7" w:lineRule="exact"/>
        <w:rPr>
          <w:rFonts w:ascii="Times New Roman" w:cs="Times New Roman" w:eastAsia="Times New Roman" w:hAnsi="Times New Roman"/>
          <w:sz w:val="18"/>
          <w:szCs w:val="18"/>
          <w:u w:val="single" w:color="auto"/>
          <w:color w:val="0000EE"/>
        </w:rPr>
      </w:pPr>
    </w:p>
    <w:p>
      <w:pPr>
        <w:ind w:left="200"/>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24</w:t>
      </w:r>
      <w:r>
        <w:rPr>
          <w:sz w:val="20"/>
          <w:szCs w:val="20"/>
          <w:color w:val="auto"/>
        </w:rPr>
        <w:tab/>
      </w:r>
      <w:r>
        <w:rPr>
          <w:rFonts w:ascii="Times New Roman" w:cs="Times New Roman" w:eastAsia="Times New Roman" w:hAnsi="Times New Roman"/>
          <w:sz w:val="18"/>
          <w:szCs w:val="18"/>
          <w:u w:val="single" w:color="auto"/>
          <w:color w:val="0000EE"/>
        </w:rPr>
        <w:t>Power of Attorney (contained on the signature page hereto).</w:t>
      </w:r>
    </w:p>
    <w:p>
      <w:pPr>
        <w:spacing w:after="0" w:line="7" w:lineRule="exact"/>
        <w:rPr>
          <w:rFonts w:ascii="Times New Roman" w:cs="Times New Roman" w:eastAsia="Times New Roman" w:hAnsi="Times New Roman"/>
          <w:sz w:val="18"/>
          <w:szCs w:val="18"/>
          <w:u w:val="single" w:color="auto"/>
          <w:color w:val="0000EE"/>
        </w:rPr>
      </w:pPr>
    </w:p>
    <w:p>
      <w:pPr>
        <w:ind w:left="140"/>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Iovance Biotherapeutics, Inc. Amended and Restated 2021 Inducement Plan (filed herewith).</w:t>
      </w:r>
    </w:p>
    <w:p>
      <w:pPr>
        <w:spacing w:after="0" w:line="7" w:lineRule="exact"/>
        <w:rPr>
          <w:rFonts w:ascii="Times New Roman" w:cs="Times New Roman" w:eastAsia="Times New Roman" w:hAnsi="Times New Roman"/>
          <w:sz w:val="18"/>
          <w:szCs w:val="18"/>
          <w:u w:val="single" w:color="auto"/>
          <w:color w:val="0000EE"/>
        </w:rPr>
      </w:pPr>
    </w:p>
    <w:p>
      <w:pPr>
        <w:ind w:left="640" w:right="100" w:hanging="495"/>
        <w:spacing w:after="0" w:line="247" w:lineRule="auto"/>
        <w:tabs>
          <w:tab w:leader="none" w:pos="620" w:val="left"/>
        </w:tabs>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99.2</w:t>
        </w:r>
      </w:hyperlink>
      <w:r>
        <w:rPr>
          <w:rFonts w:ascii="Times New Roman" w:cs="Times New Roman" w:eastAsia="Times New Roman" w:hAnsi="Times New Roman"/>
          <w:sz w:val="18"/>
          <w:szCs w:val="18"/>
          <w:u w:val="single" w:color="auto"/>
          <w:color w:val="0000EE"/>
        </w:rPr>
        <w:tab/>
      </w:r>
      <w:hyperlink r:id="rId22">
        <w:r>
          <w:rPr>
            <w:rFonts w:ascii="Times New Roman" w:cs="Times New Roman" w:eastAsia="Times New Roman" w:hAnsi="Times New Roman"/>
            <w:sz w:val="18"/>
            <w:szCs w:val="18"/>
            <w:u w:val="single" w:color="auto"/>
            <w:color w:val="0000EE"/>
          </w:rPr>
          <w:t>Form of Iovance Biotherapeutics, Inc.’s Stock Option Grant Notice and Stock Option Agreement under the 2021 Inducement Plan (incorporated by</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reference to Exhibit 10.2 to Registrant’s Current Report on Form 8-K filed with the SEC on September 23, 2021).</w:t>
        </w:r>
      </w:hyperlink>
    </w:p>
    <w:p>
      <w:pPr>
        <w:spacing w:after="0" w:line="1" w:lineRule="exact"/>
        <w:rPr>
          <w:rFonts w:ascii="Times New Roman" w:cs="Times New Roman" w:eastAsia="Times New Roman" w:hAnsi="Times New Roman"/>
          <w:sz w:val="18"/>
          <w:szCs w:val="18"/>
          <w:u w:val="single" w:color="auto"/>
          <w:color w:val="0000EE"/>
        </w:rPr>
      </w:pPr>
    </w:p>
    <w:p>
      <w:pPr>
        <w:ind w:left="640" w:right="160" w:hanging="495"/>
        <w:spacing w:after="0" w:line="247" w:lineRule="auto"/>
        <w:tabs>
          <w:tab w:leader="none" w:pos="620" w:val="left"/>
        </w:tabs>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99.3</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8"/>
            <w:szCs w:val="18"/>
            <w:u w:val="single" w:color="auto"/>
            <w:color w:val="0000EE"/>
          </w:rPr>
          <w:t>Form of Iovance Biotherapeutics, Inc.’s Restricted Stock Unit Grant Notice and Restricted Stock Unit Agreement under the 2021 Inducement Plan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(incorporated by reference to Exhibit 10.3 to Registrant’s Current Report on Form 8-K filed with the SEC on September 23, 2021).</w:t>
        </w:r>
      </w:hyperlink>
    </w:p>
    <w:p>
      <w:pPr>
        <w:spacing w:after="0" w:line="1" w:lineRule="exact"/>
        <w:rPr>
          <w:rFonts w:ascii="Times New Roman" w:cs="Times New Roman" w:eastAsia="Times New Roman" w:hAnsi="Times New Roman"/>
          <w:sz w:val="18"/>
          <w:szCs w:val="18"/>
          <w:u w:val="single" w:color="auto"/>
          <w:color w:val="0000EE"/>
        </w:rPr>
      </w:pPr>
    </w:p>
    <w:p>
      <w:pPr>
        <w:ind w:left="160"/>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107</w:t>
        <w:tab/>
        <w:t>Filing Fee Table (filed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4"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with respect to the Iovance Biotherapeutics, Inc. Amended and Restated 2021 Inducement Plan, to be signed on its behalf by the undersigned, thereunto duly authorized, in the City of San Carlos, State of California, on June 18,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Frederick G. Vogt, Ph.D., J.D.</w:t>
            </w:r>
          </w:p>
        </w:tc>
        <w:tc>
          <w:tcPr>
            <w:tcW w:w="5600" w:type="dxa"/>
            <w:vAlign w:val="bottom"/>
          </w:tcPr>
          <w:p>
            <w:pPr>
              <w:spacing w:after="0"/>
              <w:rPr>
                <w:sz w:val="20"/>
                <w:szCs w:val="20"/>
                <w:color w:val="auto"/>
              </w:rPr>
            </w:pPr>
          </w:p>
        </w:tc>
      </w:tr>
      <w:tr>
        <w:trPr>
          <w:trHeight w:val="189"/>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Frederick G. Vogt, Ph.D., J.D.</w:t>
            </w:r>
          </w:p>
        </w:tc>
        <w:tc>
          <w:tcPr>
            <w:tcW w:w="5600" w:type="dxa"/>
            <w:vAlign w:val="bottom"/>
          </w:tcPr>
          <w:p>
            <w:pPr>
              <w:spacing w:after="0"/>
              <w:rPr>
                <w:sz w:val="16"/>
                <w:szCs w:val="16"/>
                <w:color w:val="auto"/>
              </w:rPr>
            </w:pP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Interim CEO and President, and General Counsel</w:t>
            </w:r>
          </w:p>
        </w:tc>
        <w:tc>
          <w:tcPr>
            <w:tcW w:w="5600" w:type="dxa"/>
            <w:vAlign w:val="bottom"/>
          </w:tcPr>
          <w:p>
            <w:pPr>
              <w:spacing w:after="0"/>
              <w:rPr>
                <w:sz w:val="20"/>
                <w:szCs w:val="20"/>
                <w:color w:val="auto"/>
              </w:rPr>
            </w:pPr>
          </w:p>
        </w:tc>
      </w:tr>
      <w:tr>
        <w:trPr>
          <w:trHeight w:val="427"/>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Frederick G. Vogt and Corleen Roche, and each of them, his or her true and lawful attorneys-in-fact and agents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by virtue hereof.</w:t>
      </w:r>
    </w:p>
    <w:p>
      <w:pPr>
        <w:spacing w:after="0" w:line="18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on June 18,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0" w:type="dxa"/>
            <w:vAlign w:val="bottom"/>
          </w:tcPr>
          <w:p>
            <w:pPr>
              <w:spacing w:after="0"/>
              <w:rPr>
                <w:sz w:val="20"/>
                <w:szCs w:val="20"/>
                <w:color w:val="auto"/>
              </w:rPr>
            </w:pPr>
          </w:p>
        </w:tc>
        <w:tc>
          <w:tcPr>
            <w:tcW w:w="7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1"/>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Frederick G. Vogt, Ph.D., J.D.</w:t>
            </w:r>
          </w:p>
        </w:tc>
        <w:tc>
          <w:tcPr>
            <w:tcW w:w="60" w:type="dxa"/>
            <w:vAlign w:val="bottom"/>
          </w:tcPr>
          <w:p>
            <w:pPr>
              <w:spacing w:after="0"/>
              <w:rPr>
                <w:sz w:val="24"/>
                <w:szCs w:val="24"/>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Executive Officer and President, General Counsel, and Director</w:t>
            </w:r>
          </w:p>
        </w:tc>
      </w:tr>
      <w:tr>
        <w:trPr>
          <w:trHeight w:val="22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Frederick G. Vogt, Ph.D., J.D.</w:t>
            </w:r>
          </w:p>
        </w:tc>
        <w:tc>
          <w:tcPr>
            <w:tcW w:w="60" w:type="dxa"/>
            <w:vAlign w:val="bottom"/>
          </w:tcPr>
          <w:p>
            <w:pPr>
              <w:spacing w:after="0"/>
              <w:rPr>
                <w:sz w:val="19"/>
                <w:szCs w:val="19"/>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0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Corleen Roche</w:t>
            </w:r>
          </w:p>
        </w:tc>
        <w:tc>
          <w:tcPr>
            <w:tcW w:w="60" w:type="dxa"/>
            <w:vAlign w:val="bottom"/>
          </w:tcPr>
          <w:p>
            <w:pPr>
              <w:spacing w:after="0"/>
              <w:rPr>
                <w:sz w:val="24"/>
                <w:szCs w:val="24"/>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2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Corleen Roche</w:t>
            </w:r>
          </w:p>
        </w:tc>
        <w:tc>
          <w:tcPr>
            <w:tcW w:w="60" w:type="dxa"/>
            <w:vAlign w:val="bottom"/>
          </w:tcPr>
          <w:p>
            <w:pPr>
              <w:spacing w:after="0"/>
              <w:rPr>
                <w:sz w:val="19"/>
                <w:szCs w:val="19"/>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 and Principal Accounting Officer)</w:t>
            </w:r>
          </w:p>
        </w:tc>
      </w:tr>
      <w:tr>
        <w:trPr>
          <w:trHeight w:val="40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Iain Dukes, D. Phil.</w:t>
            </w:r>
          </w:p>
        </w:tc>
        <w:tc>
          <w:tcPr>
            <w:tcW w:w="60" w:type="dxa"/>
            <w:vAlign w:val="bottom"/>
          </w:tcPr>
          <w:p>
            <w:pPr>
              <w:spacing w:after="0"/>
              <w:rPr>
                <w:sz w:val="24"/>
                <w:szCs w:val="24"/>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Iain Dukes, D. Phil.</w:t>
            </w:r>
          </w:p>
        </w:tc>
        <w:tc>
          <w:tcPr>
            <w:tcW w:w="60" w:type="dxa"/>
            <w:vAlign w:val="bottom"/>
          </w:tcPr>
          <w:p>
            <w:pPr>
              <w:spacing w:after="0"/>
              <w:rPr>
                <w:sz w:val="19"/>
                <w:szCs w:val="19"/>
                <w:color w:val="auto"/>
              </w:rPr>
            </w:pPr>
          </w:p>
        </w:tc>
        <w:tc>
          <w:tcPr>
            <w:tcW w:w="7840" w:type="dxa"/>
            <w:vAlign w:val="bottom"/>
          </w:tcPr>
          <w:p>
            <w:pPr>
              <w:spacing w:after="0"/>
              <w:rPr>
                <w:sz w:val="19"/>
                <w:szCs w:val="19"/>
                <w:color w:val="auto"/>
              </w:rPr>
            </w:pPr>
          </w:p>
        </w:tc>
      </w:tr>
      <w:tr>
        <w:trPr>
          <w:trHeight w:val="40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Athena Countouriotis, M.D.</w:t>
            </w:r>
          </w:p>
        </w:tc>
        <w:tc>
          <w:tcPr>
            <w:tcW w:w="60" w:type="dxa"/>
            <w:vAlign w:val="bottom"/>
          </w:tcPr>
          <w:p>
            <w:pPr>
              <w:spacing w:after="0"/>
              <w:rPr>
                <w:sz w:val="24"/>
                <w:szCs w:val="24"/>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Athena Countouriotis, M.D.</w:t>
            </w:r>
          </w:p>
        </w:tc>
        <w:tc>
          <w:tcPr>
            <w:tcW w:w="60" w:type="dxa"/>
            <w:vAlign w:val="bottom"/>
          </w:tcPr>
          <w:p>
            <w:pPr>
              <w:spacing w:after="0"/>
              <w:rPr>
                <w:sz w:val="19"/>
                <w:szCs w:val="19"/>
                <w:color w:val="auto"/>
              </w:rPr>
            </w:pPr>
          </w:p>
        </w:tc>
        <w:tc>
          <w:tcPr>
            <w:tcW w:w="7840" w:type="dxa"/>
            <w:vAlign w:val="bottom"/>
          </w:tcPr>
          <w:p>
            <w:pPr>
              <w:spacing w:after="0"/>
              <w:rPr>
                <w:sz w:val="19"/>
                <w:szCs w:val="19"/>
                <w:color w:val="auto"/>
              </w:rPr>
            </w:pPr>
          </w:p>
        </w:tc>
      </w:tr>
      <w:tr>
        <w:trPr>
          <w:trHeight w:val="40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Maynard</w:t>
            </w:r>
          </w:p>
        </w:tc>
        <w:tc>
          <w:tcPr>
            <w:tcW w:w="60" w:type="dxa"/>
            <w:vAlign w:val="bottom"/>
          </w:tcPr>
          <w:p>
            <w:pPr>
              <w:spacing w:after="0"/>
              <w:rPr>
                <w:sz w:val="24"/>
                <w:szCs w:val="24"/>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Ryan Maynard</w:t>
            </w:r>
          </w:p>
        </w:tc>
        <w:tc>
          <w:tcPr>
            <w:tcW w:w="60" w:type="dxa"/>
            <w:vAlign w:val="bottom"/>
          </w:tcPr>
          <w:p>
            <w:pPr>
              <w:spacing w:after="0"/>
              <w:rPr>
                <w:sz w:val="19"/>
                <w:szCs w:val="19"/>
                <w:color w:val="auto"/>
              </w:rPr>
            </w:pPr>
          </w:p>
        </w:tc>
        <w:tc>
          <w:tcPr>
            <w:tcW w:w="7840" w:type="dxa"/>
            <w:vAlign w:val="bottom"/>
          </w:tcPr>
          <w:p>
            <w:pPr>
              <w:spacing w:after="0"/>
              <w:rPr>
                <w:sz w:val="19"/>
                <w:szCs w:val="19"/>
                <w:color w:val="auto"/>
              </w:rPr>
            </w:pPr>
          </w:p>
        </w:tc>
      </w:tr>
      <w:tr>
        <w:trPr>
          <w:trHeight w:val="40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Wayne Rothbaum</w:t>
            </w:r>
          </w:p>
        </w:tc>
        <w:tc>
          <w:tcPr>
            <w:tcW w:w="60" w:type="dxa"/>
            <w:vAlign w:val="bottom"/>
          </w:tcPr>
          <w:p>
            <w:pPr>
              <w:spacing w:after="0"/>
              <w:rPr>
                <w:sz w:val="24"/>
                <w:szCs w:val="24"/>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Wayne Rothbaum</w:t>
            </w:r>
          </w:p>
        </w:tc>
        <w:tc>
          <w:tcPr>
            <w:tcW w:w="60" w:type="dxa"/>
            <w:vAlign w:val="bottom"/>
          </w:tcPr>
          <w:p>
            <w:pPr>
              <w:spacing w:after="0"/>
              <w:rPr>
                <w:sz w:val="19"/>
                <w:szCs w:val="19"/>
                <w:color w:val="auto"/>
              </w:rPr>
            </w:pPr>
          </w:p>
        </w:tc>
        <w:tc>
          <w:tcPr>
            <w:tcW w:w="7840" w:type="dxa"/>
            <w:vAlign w:val="bottom"/>
          </w:tcPr>
          <w:p>
            <w:pPr>
              <w:spacing w:after="0"/>
              <w:rPr>
                <w:sz w:val="19"/>
                <w:szCs w:val="19"/>
                <w:color w:val="auto"/>
              </w:rPr>
            </w:pPr>
          </w:p>
        </w:tc>
      </w:tr>
      <w:tr>
        <w:trPr>
          <w:trHeight w:val="409"/>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Weiser, M.D., Ph.D.</w:t>
            </w:r>
          </w:p>
        </w:tc>
        <w:tc>
          <w:tcPr>
            <w:tcW w:w="60" w:type="dxa"/>
            <w:vAlign w:val="bottom"/>
          </w:tcPr>
          <w:p>
            <w:pPr>
              <w:spacing w:after="0"/>
              <w:rPr>
                <w:sz w:val="24"/>
                <w:szCs w:val="24"/>
                <w:color w:val="auto"/>
              </w:rPr>
            </w:pPr>
          </w:p>
        </w:tc>
        <w:tc>
          <w:tcPr>
            <w:tcW w:w="7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Michael Weiser, M.D., Ph.D.</w:t>
            </w:r>
          </w:p>
        </w:tc>
        <w:tc>
          <w:tcPr>
            <w:tcW w:w="60" w:type="dxa"/>
            <w:vAlign w:val="bottom"/>
          </w:tcPr>
          <w:p>
            <w:pPr>
              <w:spacing w:after="0"/>
              <w:rPr>
                <w:sz w:val="19"/>
                <w:szCs w:val="19"/>
                <w:color w:val="auto"/>
              </w:rPr>
            </w:pPr>
          </w:p>
        </w:tc>
        <w:tc>
          <w:tcPr>
            <w:tcW w:w="7840" w:type="dxa"/>
            <w:vAlign w:val="bottom"/>
          </w:tcPr>
          <w:p>
            <w:pPr>
              <w:spacing w:after="0"/>
              <w:rPr>
                <w:sz w:val="19"/>
                <w:szCs w:val="19"/>
                <w:color w:val="auto"/>
              </w:rPr>
            </w:pPr>
          </w:p>
        </w:tc>
      </w:tr>
      <w:tr>
        <w:trPr>
          <w:trHeight w:val="409"/>
        </w:trPr>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John F. Kennedy Parkway, Suite 120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Hills, New Jersey 07078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www.dlapiper.com</w:t>
      </w:r>
    </w:p>
    <w:p>
      <w:pPr>
        <w:spacing w:after="0" w:line="7" w:lineRule="exact"/>
        <w:rPr>
          <w:sz w:val="20"/>
          <w:szCs w:val="20"/>
          <w:color w:val="auto"/>
        </w:rPr>
      </w:pPr>
    </w:p>
    <w:p>
      <w:pPr>
        <w:ind w:left="200" w:hanging="193"/>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973-520-2550</w:t>
      </w:r>
    </w:p>
    <w:p>
      <w:pPr>
        <w:spacing w:after="0" w:line="6" w:lineRule="exact"/>
        <w:rPr>
          <w:rFonts w:ascii="Times New Roman" w:cs="Times New Roman" w:eastAsia="Times New Roman" w:hAnsi="Times New Roman"/>
          <w:sz w:val="18"/>
          <w:szCs w:val="18"/>
          <w:color w:val="auto"/>
        </w:rPr>
      </w:pPr>
    </w:p>
    <w:p>
      <w:pPr>
        <w:ind w:left="200" w:hanging="193"/>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973-520-2551</w:t>
      </w:r>
    </w:p>
    <w:p>
      <w:pPr>
        <w:spacing w:after="0" w:line="6" w:lineRule="exact"/>
        <w:rPr>
          <w:rFonts w:ascii="Times New Roman" w:cs="Times New Roman" w:eastAsia="Times New Roman" w:hAnsi="Times New Roman"/>
          <w:sz w:val="18"/>
          <w:szCs w:val="18"/>
          <w:color w:val="auto"/>
        </w:rPr>
      </w:pPr>
    </w:p>
    <w:p>
      <w:pPr>
        <w:ind w:right="80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Responsible for Short Hills Office: Emilio Ragosa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Iovance Biotherapeutics,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825 Industrial Road, Suite 100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California 94070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Securities Being Registered under 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counsel to Iovance Biotherapeutics,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Registration Statement relates to the registration of 1,250,000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$0.000041666 par value per share, of the Company, that may be issued pursuant to the Iovance Biotherapeutics, Inc. Amended and Restated 2021 Inducement Plan (the “</w:t>
      </w:r>
      <w:r>
        <w:rPr>
          <w:rFonts w:ascii="Times New Roman" w:cs="Times New Roman" w:eastAsia="Times New Roman" w:hAnsi="Times New Roman"/>
          <w:sz w:val="18"/>
          <w:szCs w:val="18"/>
          <w:b w:val="1"/>
          <w:bCs w:val="1"/>
          <w:i w:val="1"/>
          <w:iCs w:val="1"/>
          <w:color w:val="auto"/>
        </w:rPr>
        <w:t>Inducement Plan</w:t>
      </w:r>
      <w:r>
        <w:rPr>
          <w:rFonts w:ascii="Times New Roman" w:cs="Times New Roman" w:eastAsia="Times New Roman" w:hAnsi="Times New Roman"/>
          <w:sz w:val="18"/>
          <w:szCs w:val="18"/>
          <w:color w:val="auto"/>
        </w:rPr>
        <w:t>”), as referenced in the Registration Statement.</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and originals, or copies certified or otherwise identified to our satisfaction, of the Certificate of Incorporation, as amended, and the Fourth Amended and Restated Bylaws of the Company and such other documents, records and other instruments as we have deemed appropriate for purposes of the opinion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 w:name="page6"/>
    <w:bookmarkEnd w:id="5"/>
    <w:p>
      <w:pPr>
        <w:jc w:val="both"/>
        <w:spacing w:after="0" w:line="262"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authorized and, when and to the extent issued in accordance with the terms of the Inducement Plan and any award agreement entered into under the Inducement Plan, the Shares will be validly issued, fully paid and nonassessable.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expressed herein is limited to the Delaware General Corporation Law.</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Registration Statement. In giving such consent, we do not hereby admit that we are acting within the category of persons whose consent is required under Section 7 of the Securities Act or the rules or regulations of the U.S. Securities and Exchange Commission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Iovance Biotherapeutics, Inc. Amended and Restated 2021 Inducement Plan of our reports dated February 24, 2026, with respect to the consolidated financial statements of Iovance Biotherapeutics, Inc. and the effectiveness of internal control over financial reporting of Iovance Biotherapeutics, Inc. included in its Annual Report (Form 10-K) for the year ended December 31, 2025,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 AMENDED AND RESTATED 2021 INDUCEMENT PLAN</w:t>
      </w:r>
    </w:p>
    <w:p>
      <w:pPr>
        <w:spacing w:after="0" w:line="220" w:lineRule="exact"/>
        <w:rPr>
          <w:sz w:val="20"/>
          <w:szCs w:val="20"/>
          <w:color w:val="auto"/>
        </w:rPr>
      </w:pPr>
    </w:p>
    <w:p>
      <w:pPr>
        <w:jc w:val="both"/>
        <w:ind w:firstLine="648"/>
        <w:spacing w:after="0" w:line="250" w:lineRule="auto"/>
        <w:tabs>
          <w:tab w:leader="none" w:pos="8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Iovance Biotherapeutics, Inc. Amended and Restated 2021 Inducement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amends and restates, in its entirety, the Iovance Biotherapeutics, Inc. 2021 Inducement Plan (as originally adopted by the Board of Directors of the Company on September 22, 2021) and is intended to help Iovance Biotherapeutics, Inc., a Delaware corporation (including any successor thereto,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its Affiliates attract new employees by providing them the opportunity to acquire an equity interest in the Company or other incentive compensation measured by reference to the value of Common Stock and to align the interests of key personnel with those of the Company’s stockholders. The purpose of the Plan is to provide an Award (as defined below) to individuals as an inducement material to the individual's entering into employment with the Company, who are not previously employees or non-employee directors of the Company. The only persons eligible to receive grants of Awards under this Plan are individuals who satisfy the standards for inducement grants under Nasdaq Marketplace Rule 5635(c)(4) or 5635(c)(3), if applicable, and the related guidance under Nasdaq IM 5635-1. A person who previously served as an employee or director will not be eligible to receive Awards under the Plan, other than following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period of non-employment. These Awards must be approved by either a majority of the Company’s “Independent Directors” (as such term is defined in Nasdaq Marketplace Rule 5605(a)(2)) (“</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or the Committee (as defined below), provided the Committee is comprised solely of Independent Directors of the Company in order to comply with the exemption from the stockholder approval requirement for “inducement grants” provided under Rule 5635(c)(4) of the Nasdaq Marketplace Rules.</w:t>
      </w:r>
    </w:p>
    <w:p>
      <w:pPr>
        <w:spacing w:after="0" w:line="189" w:lineRule="exact"/>
        <w:rPr>
          <w:rFonts w:ascii="Times New Roman" w:cs="Times New Roman" w:eastAsia="Times New Roman" w:hAnsi="Times New Roman"/>
          <w:sz w:val="18"/>
          <w:szCs w:val="18"/>
          <w:color w:val="auto"/>
        </w:rPr>
      </w:pPr>
    </w:p>
    <w:p>
      <w:pPr>
        <w:jc w:val="both"/>
        <w:ind w:firstLine="648"/>
        <w:spacing w:after="0" w:line="259" w:lineRule="auto"/>
        <w:tabs>
          <w:tab w:leader="none" w:pos="8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Duration</w:t>
      </w:r>
      <w:r>
        <w:rPr>
          <w:rFonts w:ascii="Times New Roman" w:cs="Times New Roman" w:eastAsia="Times New Roman" w:hAnsi="Times New Roman"/>
          <w:sz w:val="18"/>
          <w:szCs w:val="18"/>
          <w:color w:val="auto"/>
        </w:rPr>
        <w:t>. The Plan will become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that the Plan is approved by the board of directors of the Company. The expiration date of the Plan, on and after which date no Awards may be granted, shall be the tenth anniversary of the Effective Date; provided, however, that such expiration shall not affect Awards then outstanding, and the terms and conditions of the Plan shall continue to apply to such Awards.</w:t>
      </w:r>
    </w:p>
    <w:p>
      <w:pPr>
        <w:spacing w:after="0" w:line="179" w:lineRule="exact"/>
        <w:rPr>
          <w:rFonts w:ascii="Times New Roman" w:cs="Times New Roman" w:eastAsia="Times New Roman" w:hAnsi="Times New Roman"/>
          <w:sz w:val="18"/>
          <w:szCs w:val="18"/>
          <w:color w:val="auto"/>
        </w:rPr>
      </w:pPr>
    </w:p>
    <w:p>
      <w:pPr>
        <w:ind w:firstLine="648"/>
        <w:spacing w:after="0" w:line="277" w:lineRule="auto"/>
        <w:tabs>
          <w:tab w:leader="none" w:pos="8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When used herein, the following capitalized terms shall have the meanings indicated, and their plural forms shall have the pluralized forms of their meanings indicated:</w:t>
      </w:r>
    </w:p>
    <w:p>
      <w:pPr>
        <w:spacing w:after="0" w:line="159" w:lineRule="exact"/>
        <w:rPr>
          <w:rFonts w:ascii="Times New Roman" w:cs="Times New Roman" w:eastAsia="Times New Roman" w:hAnsi="Times New Roman"/>
          <w:sz w:val="18"/>
          <w:szCs w:val="18"/>
          <w:color w:val="auto"/>
        </w:rPr>
      </w:pPr>
    </w:p>
    <w:p>
      <w:pPr>
        <w:jc w:val="both"/>
        <w:ind w:firstLine="1289"/>
        <w:spacing w:after="0" w:line="259" w:lineRule="auto"/>
        <w:tabs>
          <w:tab w:leader="none" w:pos="15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or entity that directly or indirectly controls, is controlled by, or is under common control with, the Company.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75" w:lineRule="exact"/>
        <w:rPr>
          <w:rFonts w:ascii="Times New Roman" w:cs="Times New Roman" w:eastAsia="Times New Roman" w:hAnsi="Times New Roman"/>
          <w:sz w:val="18"/>
          <w:szCs w:val="18"/>
          <w:color w:val="auto"/>
        </w:rPr>
      </w:pPr>
    </w:p>
    <w:p>
      <w:pPr>
        <w:ind w:firstLine="1289"/>
        <w:spacing w:after="0" w:line="282" w:lineRule="auto"/>
        <w:tabs>
          <w:tab w:leader="none" w:pos="154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Nonqualified Stock Option, Stock Appreciation Right, Restricted Stock, Restricted Stock Unit, or Other Stock-Based Award granted under the Plan.</w:t>
      </w:r>
    </w:p>
    <w:p>
      <w:pPr>
        <w:spacing w:after="0" w:line="154" w:lineRule="exact"/>
        <w:rPr>
          <w:rFonts w:ascii="Times New Roman" w:cs="Times New Roman" w:eastAsia="Times New Roman" w:hAnsi="Times New Roman"/>
          <w:sz w:val="18"/>
          <w:szCs w:val="18"/>
          <w:color w:val="auto"/>
        </w:rPr>
      </w:pPr>
    </w:p>
    <w:p>
      <w:pPr>
        <w:ind w:firstLine="1289"/>
        <w:spacing w:after="0" w:line="282" w:lineRule="auto"/>
        <w:tabs>
          <w:tab w:leader="none" w:pos="153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agreement (whether in written or electronic form) or other instrument or document evidencing any Award granted under the Plan.</w:t>
      </w:r>
    </w:p>
    <w:p>
      <w:pPr>
        <w:spacing w:after="0" w:line="154" w:lineRule="exact"/>
        <w:rPr>
          <w:rFonts w:ascii="Times New Roman" w:cs="Times New Roman" w:eastAsia="Times New Roman" w:hAnsi="Times New Roman"/>
          <w:sz w:val="18"/>
          <w:szCs w:val="18"/>
          <w:color w:val="auto"/>
        </w:rPr>
      </w:pPr>
    </w:p>
    <w:p>
      <w:pPr>
        <w:ind w:left="1540" w:hanging="251"/>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has the meaning set forth in Rule 13d-3 promulgated under Section 13 of the Exchange Act.</w:t>
      </w:r>
    </w:p>
    <w:p>
      <w:pPr>
        <w:spacing w:after="0" w:line="220" w:lineRule="exact"/>
        <w:rPr>
          <w:rFonts w:ascii="Times New Roman" w:cs="Times New Roman" w:eastAsia="Times New Roman" w:hAnsi="Times New Roman"/>
          <w:sz w:val="18"/>
          <w:szCs w:val="18"/>
          <w:color w:val="auto"/>
        </w:rPr>
      </w:pPr>
    </w:p>
    <w:p>
      <w:pPr>
        <w:ind w:left="1540" w:hanging="251"/>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jc w:val="both"/>
        <w:ind w:left="-7" w:firstLine="1289"/>
        <w:spacing w:after="0" w:line="267" w:lineRule="auto"/>
        <w:tabs>
          <w:tab w:leader="none" w:pos="1498"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in the case of a particular Award, unless the applicable Award Agreement states otherwise, (i) shall have the meaning given such term (or term of similar import) in any employment, consulting, change-in-control, severance or any other agreement between the Participant and the Company or any of its Affiliates, or severance plan in which the Participant is eligible to participate, in either case in effect at the time of the Participant’s termination of employment or service with the Company and its Affiliates, or (ii) if “cause” (or term of similar import) is not defined in, or in the absence of, any such employment, consulting, change-in-control, severance or any other agreement between the Participant and the Company or any of its Affiliates, or severance plan in which the Participant is eligible to participate, means: (A) the Participant’s conviction of, or entry of a plea of no contest to (x) a felony or</w:t>
      </w:r>
    </w:p>
    <w:p>
      <w:pPr>
        <w:jc w:val="both"/>
        <w:ind w:left="-7" w:firstLine="7"/>
        <w:spacing w:after="0" w:line="248" w:lineRule="auto"/>
        <w:tabs>
          <w:tab w:leader="none" w:pos="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misdemeanor involving moral turpitude, (B) the Participant’s gross negligence or willful misconduct, or a willful failure to attempt in good faith to substantially perform his or her duties (other than due to physical illness or incapacity), (C) the Participant’s material breach of a material provision of any employment agreement, consulting agreement, directorship agreement or similar services agreement or offer letter between the Participant and the Company or any of its Affiliates, or any non-competition, non-disclosure or non-solicitation agreement with the Company or any of its Affiliates, (D) the Participant’s material violation of any written policies adopted by the Company or any of its Affiliates governing the conduct of persons performing services on behalf of the Company or any of its Affiliates, (E) the Participant’s obtaining any material improper personal benefit as result of breach by the Participant of any covenant or agreement (including a breach by the Participant of the Company’s code of ethics or a material breach by the Participant of other written policies furnished to the Participant relating to personal investment transactions) of which the Participant was or should have been aware, (F) the Participant’s fraud or misappropriation, embezzlement or material misuse of funds or property belonging to the Company or any of its Affiliates, (G) the Participant’s use of alcohol or drugs that materially interferes with the performance of his or her duties, or (H) willful or reckless misconduct in respect of the Participant’s obligations to the Company or its Affiliates or other acts of misconduct by the Participant occurring during the course of the Participant’s employment or service that in either case results in or could reasonably be expected to result in material damage to the property, business or reputation of the Company or its Affiliates. Notwithstanding anything to the contrary herein, and except where provided otherwise by an applicable agreement, if, within six (6) months following a Participant’s termination of employment or service for any reason other than by the Company for Cause, the Company determines that such Participant’s termination of employment or service could have been for Cause, such Participant’s termination of employment or service will be deemed to have been for Cause for all purposes, and such Participant will be required to disgorge to the Company all amounts received under this Plan, any Award Agreement or otherwise that would not have been payable to such Participant had such termination of employment or service been by the Company for Cause. The determination of whether Cause exists shall be made by the Committee in its sole discretion.</w:t>
      </w:r>
    </w:p>
    <w:p>
      <w:pPr>
        <w:spacing w:after="0" w:line="188" w:lineRule="exact"/>
        <w:rPr>
          <w:rFonts w:ascii="Times New Roman" w:cs="Times New Roman" w:eastAsia="Times New Roman" w:hAnsi="Times New Roman"/>
          <w:sz w:val="18"/>
          <w:szCs w:val="18"/>
          <w:color w:val="auto"/>
        </w:rPr>
      </w:pPr>
    </w:p>
    <w:p>
      <w:pPr>
        <w:jc w:val="both"/>
        <w:ind w:left="-7" w:firstLine="1289"/>
        <w:spacing w:after="0" w:line="265" w:lineRule="auto"/>
        <w:tabs>
          <w:tab w:leader="none" w:pos="15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in the case of a particular Award, unless the applicable Award Agreement (or any employment, consulting, change-in-control, severance or other agreement between the Participant and the Company or any of its Affiliates) states otherwise, the first to occur of any of the following events:</w:t>
      </w:r>
    </w:p>
    <w:p>
      <w:pPr>
        <w:spacing w:after="0" w:line="173" w:lineRule="exact"/>
        <w:rPr>
          <w:rFonts w:ascii="Times New Roman" w:cs="Times New Roman" w:eastAsia="Times New Roman" w:hAnsi="Times New Roman"/>
          <w:sz w:val="18"/>
          <w:szCs w:val="18"/>
          <w:color w:val="auto"/>
        </w:rPr>
      </w:pPr>
    </w:p>
    <w:p>
      <w:pPr>
        <w:jc w:val="both"/>
        <w:ind w:left="633" w:firstLine="1290"/>
        <w:spacing w:after="0" w:line="252" w:lineRule="auto"/>
        <w:tabs>
          <w:tab w:leader="none" w:pos="2131"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related “group” (as such term is used in Section 13(d) and Section 14(d) of the Exchange Act)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8"/>
          <w:szCs w:val="18"/>
          <w:b w:val="1"/>
          <w:bCs w:val="1"/>
          <w:color w:val="auto"/>
        </w:rPr>
        <w:t>Outstanding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or (B) the combined voting power of the then-outstanding voting securities of the Company entitled to vote in the 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(the “</w:t>
      </w:r>
      <w:r>
        <w:rPr>
          <w:rFonts w:ascii="Times New Roman" w:cs="Times New Roman" w:eastAsia="Times New Roman" w:hAnsi="Times New Roman"/>
          <w:sz w:val="18"/>
          <w:szCs w:val="18"/>
          <w:b w:val="1"/>
          <w:bCs w:val="1"/>
          <w:color w:val="auto"/>
        </w:rPr>
        <w:t>Outstanding Company Voting Securities</w:t>
      </w:r>
      <w:r>
        <w:rPr>
          <w:rFonts w:ascii="Times New Roman" w:cs="Times New Roman" w:eastAsia="Times New Roman" w:hAnsi="Times New Roman"/>
          <w:sz w:val="18"/>
          <w:szCs w:val="18"/>
          <w:color w:val="auto"/>
        </w:rPr>
        <w:t>”), but excluding any acquisition by the Company or any of its Affiliates or by any employee benefit plan sponsored or maintained by the Company or any of its Affiliates;</w:t>
      </w:r>
    </w:p>
    <w:p>
      <w:pPr>
        <w:spacing w:after="0" w:line="188" w:lineRule="exact"/>
        <w:rPr>
          <w:rFonts w:ascii="Times New Roman" w:cs="Times New Roman" w:eastAsia="Times New Roman" w:hAnsi="Times New Roman"/>
          <w:sz w:val="18"/>
          <w:szCs w:val="18"/>
          <w:color w:val="auto"/>
        </w:rPr>
      </w:pPr>
    </w:p>
    <w:p>
      <w:pPr>
        <w:jc w:val="both"/>
        <w:ind w:left="633" w:firstLine="1290"/>
        <w:spacing w:after="0" w:line="253" w:lineRule="auto"/>
        <w:tabs>
          <w:tab w:leader="none" w:pos="220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such that members of the Board during any consecutive 12-month period (the “</w:t>
      </w:r>
      <w:r>
        <w:rPr>
          <w:rFonts w:ascii="Times New Roman" w:cs="Times New Roman" w:eastAsia="Times New Roman" w:hAnsi="Times New Roman"/>
          <w:sz w:val="18"/>
          <w:szCs w:val="18"/>
          <w:b w:val="1"/>
          <w:bCs w:val="1"/>
          <w:color w:val="auto"/>
        </w:rPr>
        <w:t>Incumbent Directors</w:t>
      </w:r>
      <w:r>
        <w:rPr>
          <w:rFonts w:ascii="Times New Roman" w:cs="Times New Roman" w:eastAsia="Times New Roman" w:hAnsi="Times New Roman"/>
          <w:sz w:val="18"/>
          <w:szCs w:val="18"/>
          <w:color w:val="auto"/>
        </w:rPr>
        <w:t>”) cease to constitute a majority of the Board. Any person becoming a director through election or nomination for election approved by a valid vote of at least two thirds of the Incumbent Directors shall be deemed an Incumbent Director; provided, however,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an Incumbent Director;</w:t>
      </w:r>
    </w:p>
    <w:p>
      <w:pPr>
        <w:spacing w:after="0" w:line="186" w:lineRule="exact"/>
        <w:rPr>
          <w:rFonts w:ascii="Times New Roman" w:cs="Times New Roman" w:eastAsia="Times New Roman" w:hAnsi="Times New Roman"/>
          <w:sz w:val="18"/>
          <w:szCs w:val="18"/>
          <w:color w:val="auto"/>
        </w:rPr>
      </w:pPr>
    </w:p>
    <w:p>
      <w:pPr>
        <w:ind w:left="2233" w:hanging="310"/>
        <w:spacing w:after="0"/>
        <w:tabs>
          <w:tab w:leader="none" w:pos="2233"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stockholders of the Company of a plan of complete dissolution or liquidation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9" w:name="page10"/>
    <w:bookmarkEnd w:id="9"/>
    <w:p>
      <w:pPr>
        <w:jc w:val="both"/>
        <w:ind w:left="-480" w:firstLine="1290"/>
        <w:spacing w:after="0" w:line="265" w:lineRule="auto"/>
        <w:tabs>
          <w:tab w:leader="none" w:pos="113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recapitalization, merger, amalgamation, consolidation, statutory share exchange or similar form of corporate transaction involving the Company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or sale, transfer or other disposition of all or substantially all of the business or assets of the Company to an entity that is not an Affiliate of the Company (a “</w:t>
      </w:r>
      <w:r>
        <w:rPr>
          <w:rFonts w:ascii="Times New Roman" w:cs="Times New Roman" w:eastAsia="Times New Roman" w:hAnsi="Times New Roman"/>
          <w:sz w:val="17"/>
          <w:szCs w:val="17"/>
          <w:b w:val="1"/>
          <w:bCs w:val="1"/>
          <w:color w:val="auto"/>
        </w:rPr>
        <w:t>Sale</w:t>
      </w:r>
      <w:r>
        <w:rPr>
          <w:rFonts w:ascii="Times New Roman" w:cs="Times New Roman" w:eastAsia="Times New Roman" w:hAnsi="Times New Roman"/>
          <w:sz w:val="17"/>
          <w:szCs w:val="17"/>
          <w:color w:val="auto"/>
        </w:rPr>
        <w:t>”),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Times New Roman" w:cs="Times New Roman" w:eastAsia="Times New Roman" w:hAnsi="Times New Roman"/>
          <w:sz w:val="17"/>
          <w:szCs w:val="17"/>
          <w:b w:val="1"/>
          <w:bCs w:val="1"/>
          <w:color w:val="auto"/>
        </w:rPr>
        <w:t>Surviving Company</w:t>
      </w:r>
      <w:r>
        <w:rPr>
          <w:rFonts w:ascii="Times New Roman" w:cs="Times New Roman" w:eastAsia="Times New Roman" w:hAnsi="Times New Roman"/>
          <w:sz w:val="17"/>
          <w:szCs w:val="17"/>
          <w:color w:val="auto"/>
        </w:rPr>
        <w:t>”), or the ultimate parent entity that has Beneficial Ownership of sufficient voting power to elect a majority of the board of directors (or analogous governing body) of the Surviving Company (the “</w:t>
      </w:r>
      <w:r>
        <w:rPr>
          <w:rFonts w:ascii="Times New Roman" w:cs="Times New Roman" w:eastAsia="Times New Roman" w:hAnsi="Times New Roman"/>
          <w:sz w:val="17"/>
          <w:szCs w:val="17"/>
          <w:b w:val="1"/>
          <w:bCs w:val="1"/>
          <w:color w:val="auto"/>
        </w:rPr>
        <w:t>Parent Company</w:t>
      </w:r>
      <w:r>
        <w:rPr>
          <w:rFonts w:ascii="Times New Roman" w:cs="Times New Roman" w:eastAsia="Times New Roman" w:hAnsi="Times New Roman"/>
          <w:sz w:val="17"/>
          <w:szCs w:val="17"/>
          <w:color w:val="auto"/>
        </w:rPr>
        <w:t>”), is represented by the Outstanding Company Voting Securities that were outstanding immediately 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 (B)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175" w:lineRule="exact"/>
        <w:rPr>
          <w:rFonts w:ascii="Times New Roman" w:cs="Times New Roman" w:eastAsia="Times New Roman" w:hAnsi="Times New Roman"/>
          <w:sz w:val="17"/>
          <w:szCs w:val="17"/>
          <w:color w:val="auto"/>
        </w:rPr>
      </w:pPr>
    </w:p>
    <w:p>
      <w:pPr>
        <w:ind w:left="-1120" w:right="20" w:firstLine="1289"/>
        <w:spacing w:after="0" w:line="282"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154" w:lineRule="exact"/>
        <w:rPr>
          <w:rFonts w:ascii="Times New Roman" w:cs="Times New Roman" w:eastAsia="Times New Roman" w:hAnsi="Times New Roman"/>
          <w:sz w:val="18"/>
          <w:szCs w:val="18"/>
          <w:color w:val="auto"/>
        </w:rPr>
      </w:pPr>
    </w:p>
    <w:p>
      <w:pPr>
        <w:jc w:val="both"/>
        <w:ind w:left="-1120" w:firstLine="1289"/>
        <w:spacing w:after="0" w:line="265"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or a subcommittee thereof if required with respect to actions taken to comply with Rule 16b-3 promulgated under the Exchange Act in respect of Awards or, if no such Compensation Committee or subcommittee thereof exists, or if the Board otherwise takes action hereunder on behalf of the Committee, the Board.</w:t>
      </w:r>
    </w:p>
    <w:p>
      <w:pPr>
        <w:spacing w:after="0" w:line="169" w:lineRule="exact"/>
        <w:rPr>
          <w:rFonts w:ascii="Times New Roman" w:cs="Times New Roman" w:eastAsia="Times New Roman" w:hAnsi="Times New Roman"/>
          <w:sz w:val="18"/>
          <w:szCs w:val="18"/>
          <w:color w:val="auto"/>
        </w:rPr>
      </w:pPr>
    </w:p>
    <w:p>
      <w:pPr>
        <w:ind w:left="-1120" w:firstLine="1289"/>
        <w:spacing w:after="0" w:line="282"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$0.000041666 per share (and any stock or other securities into which such common stock may be converted or into which it may be exchanged).</w:t>
      </w:r>
    </w:p>
    <w:p>
      <w:pPr>
        <w:spacing w:after="0" w:line="154" w:lineRule="exact"/>
        <w:rPr>
          <w:rFonts w:ascii="Times New Roman" w:cs="Times New Roman" w:eastAsia="Times New Roman" w:hAnsi="Times New Roman"/>
          <w:sz w:val="18"/>
          <w:szCs w:val="18"/>
          <w:color w:val="auto"/>
        </w:rPr>
      </w:pPr>
    </w:p>
    <w:p>
      <w:pPr>
        <w:jc w:val="both"/>
        <w:ind w:left="-1120" w:right="20" w:firstLine="1289"/>
        <w:spacing w:after="0" w:line="265" w:lineRule="auto"/>
        <w:tabs>
          <w:tab w:leader="none" w:pos="4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169" w:lineRule="exact"/>
        <w:rPr>
          <w:rFonts w:ascii="Times New Roman" w:cs="Times New Roman" w:eastAsia="Times New Roman" w:hAnsi="Times New Roman"/>
          <w:sz w:val="18"/>
          <w:szCs w:val="18"/>
          <w:color w:val="auto"/>
        </w:rPr>
      </w:pPr>
    </w:p>
    <w:p>
      <w:pPr>
        <w:ind w:left="380" w:hanging="211"/>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refer to the United States dollars.</w:t>
      </w:r>
    </w:p>
    <w:p>
      <w:pPr>
        <w:spacing w:after="0" w:line="220" w:lineRule="exact"/>
        <w:rPr>
          <w:rFonts w:ascii="Times New Roman" w:cs="Times New Roman" w:eastAsia="Times New Roman" w:hAnsi="Times New Roman"/>
          <w:sz w:val="18"/>
          <w:szCs w:val="18"/>
          <w:color w:val="auto"/>
        </w:rPr>
      </w:pPr>
    </w:p>
    <w:p>
      <w:pPr>
        <w:ind w:left="480" w:hanging="311"/>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Director</w:t>
      </w:r>
      <w:r>
        <w:rPr>
          <w:rFonts w:ascii="Times New Roman" w:cs="Times New Roman" w:eastAsia="Times New Roman" w:hAnsi="Times New Roman"/>
          <w:sz w:val="18"/>
          <w:szCs w:val="18"/>
          <w:color w:val="auto"/>
        </w:rPr>
        <w:t>” means a director who satisfies the conditions set forth in Section 4(a) of the Plan.</w:t>
      </w:r>
    </w:p>
    <w:p>
      <w:pPr>
        <w:spacing w:after="0" w:line="220" w:lineRule="exact"/>
        <w:rPr>
          <w:rFonts w:ascii="Times New Roman" w:cs="Times New Roman" w:eastAsia="Times New Roman" w:hAnsi="Times New Roman"/>
          <w:sz w:val="18"/>
          <w:szCs w:val="18"/>
          <w:color w:val="auto"/>
        </w:rPr>
      </w:pPr>
    </w:p>
    <w:p>
      <w:pPr>
        <w:jc w:val="both"/>
        <w:ind w:left="-1120" w:firstLine="1289"/>
        <w:spacing w:after="0" w:line="256" w:lineRule="auto"/>
        <w:tabs>
          <w:tab w:leader="none" w:pos="4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(i) individual employed by the Company or a Subsidiary; provided, however, that no such employee covered by a collective bargaining agreement shall be an Eligible Person, (ii) director or officer of the Company or a Subsidiary, (iii) consultant or advisor to the Company or an Affiliate who may be offered securities registrable on Form S-8 under the Securities Act, or (iv) prospective employee, director, officer, consultant or advisor who has accepted an offer of employment or service from the Company or its Subsidiaries (and would satisfy the provisions of clause (i), (ii) or (iii) above once such individual begins employment with or providing services to the Company or a Subsidiary).</w:t>
      </w:r>
    </w:p>
    <w:p>
      <w:pPr>
        <w:spacing w:after="0" w:line="178" w:lineRule="exact"/>
        <w:rPr>
          <w:rFonts w:ascii="Times New Roman" w:cs="Times New Roman" w:eastAsia="Times New Roman" w:hAnsi="Times New Roman"/>
          <w:sz w:val="18"/>
          <w:szCs w:val="18"/>
          <w:color w:val="auto"/>
        </w:rPr>
      </w:pPr>
    </w:p>
    <w:p>
      <w:pPr>
        <w:jc w:val="both"/>
        <w:ind w:left="-1120" w:firstLine="1289"/>
        <w:spacing w:after="0" w:line="265"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257175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10" w:name="page11"/>
    <w:bookmarkEnd w:id="10"/>
    <w:p>
      <w:pPr>
        <w:ind w:left="420" w:hanging="251"/>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has the meaning set forth in Section 7(b) of the Plan.</w:t>
      </w:r>
    </w:p>
    <w:p>
      <w:pPr>
        <w:spacing w:after="0" w:line="220" w:lineRule="exact"/>
        <w:rPr>
          <w:rFonts w:ascii="Times New Roman" w:cs="Times New Roman" w:eastAsia="Times New Roman" w:hAnsi="Times New Roman"/>
          <w:sz w:val="18"/>
          <w:szCs w:val="18"/>
          <w:color w:val="auto"/>
        </w:rPr>
      </w:pPr>
    </w:p>
    <w:p>
      <w:pPr>
        <w:jc w:val="both"/>
        <w:ind w:left="-1120" w:firstLine="1289"/>
        <w:spacing w:after="0" w:line="256" w:lineRule="auto"/>
        <w:tabs>
          <w:tab w:leader="none" w:pos="4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(i) with respect to Common Stock on a given date, (x) if the Common Stock is listed on a national securities exchange, the closing sales price of a share of Common Stock reported on such exchange on such date, or if there is no such sale on that date, then on the last preceding date on which such a sale was reported, or (y) if the Common Stock is not listed on any national securities exchange, the amount determined by the Committee in good faith to be the fair market value of the Common Stock, or (ii) with respect to any other property on any given date, the amount determined by the Committee in good faith to be the fair market value of such other property as of such date.</w:t>
      </w:r>
    </w:p>
    <w:p>
      <w:pPr>
        <w:spacing w:after="0" w:line="178" w:lineRule="exact"/>
        <w:rPr>
          <w:rFonts w:ascii="Times New Roman" w:cs="Times New Roman" w:eastAsia="Times New Roman" w:hAnsi="Times New Roman"/>
          <w:sz w:val="18"/>
          <w:szCs w:val="18"/>
          <w:color w:val="auto"/>
        </w:rPr>
      </w:pPr>
    </w:p>
    <w:p>
      <w:pPr>
        <w:ind w:left="400" w:hanging="231"/>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has the meaning set forth in Section 14(b)(ii) of the Plan.</w:t>
      </w:r>
    </w:p>
    <w:p>
      <w:pPr>
        <w:spacing w:after="0" w:line="220" w:lineRule="exact"/>
        <w:rPr>
          <w:rFonts w:ascii="Times New Roman" w:cs="Times New Roman" w:eastAsia="Times New Roman" w:hAnsi="Times New Roman"/>
          <w:sz w:val="18"/>
          <w:szCs w:val="18"/>
          <w:color w:val="auto"/>
        </w:rPr>
      </w:pPr>
    </w:p>
    <w:p>
      <w:pPr>
        <w:ind w:left="400" w:hanging="231"/>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Indemnifiable Person</w:t>
      </w:r>
      <w:r>
        <w:rPr>
          <w:rFonts w:ascii="Times New Roman" w:cs="Times New Roman" w:eastAsia="Times New Roman" w:hAnsi="Times New Roman"/>
          <w:sz w:val="18"/>
          <w:szCs w:val="18"/>
          <w:color w:val="auto"/>
        </w:rPr>
        <w:t>” has the meaning set forth in Section 4(e) of the Plan.</w:t>
      </w:r>
    </w:p>
    <w:p>
      <w:pPr>
        <w:spacing w:after="0" w:line="220" w:lineRule="exact"/>
        <w:rPr>
          <w:rFonts w:ascii="Times New Roman" w:cs="Times New Roman" w:eastAsia="Times New Roman" w:hAnsi="Times New Roman"/>
          <w:sz w:val="18"/>
          <w:szCs w:val="18"/>
          <w:color w:val="auto"/>
        </w:rPr>
      </w:pPr>
    </w:p>
    <w:p>
      <w:pPr>
        <w:ind w:left="380" w:hanging="211"/>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0" w:lineRule="exact"/>
        <w:rPr>
          <w:rFonts w:ascii="Times New Roman" w:cs="Times New Roman" w:eastAsia="Times New Roman" w:hAnsi="Times New Roman"/>
          <w:sz w:val="18"/>
          <w:szCs w:val="18"/>
          <w:color w:val="auto"/>
        </w:rPr>
      </w:pPr>
    </w:p>
    <w:p>
      <w:pPr>
        <w:ind w:left="-1120" w:firstLine="1289"/>
        <w:spacing w:after="0" w:line="282" w:lineRule="auto"/>
        <w:tabs>
          <w:tab w:leader="none" w:pos="4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that is not designated by the Committee as an incentive stock option as described in Section 422 of the Code.</w:t>
      </w:r>
    </w:p>
    <w:p>
      <w:pPr>
        <w:spacing w:after="0" w:line="154"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Award granted under Section 7 of the Plan.</w:t>
      </w:r>
    </w:p>
    <w:p>
      <w:pPr>
        <w:spacing w:after="0" w:line="220" w:lineRule="exact"/>
        <w:rPr>
          <w:rFonts w:ascii="Times New Roman" w:cs="Times New Roman" w:eastAsia="Times New Roman" w:hAnsi="Times New Roman"/>
          <w:sz w:val="18"/>
          <w:szCs w:val="18"/>
          <w:color w:val="auto"/>
        </w:rPr>
      </w:pPr>
    </w:p>
    <w:p>
      <w:pPr>
        <w:ind w:left="460" w:hanging="291"/>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has the meaning set forth in Section 7(c) of the Plan.</w:t>
      </w:r>
    </w:p>
    <w:p>
      <w:pPr>
        <w:spacing w:after="0" w:line="220"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an Award granted under Section 10 of the Plan.</w:t>
      </w:r>
    </w:p>
    <w:p>
      <w:pPr>
        <w:spacing w:after="0" w:line="220"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set forth in Section 6 of the Plan.</w:t>
      </w:r>
    </w:p>
    <w:p>
      <w:pPr>
        <w:spacing w:after="0" w:line="220"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has the meaning set forth in Section 14(b)(ii) of the Plan.</w:t>
      </w:r>
    </w:p>
    <w:p>
      <w:pPr>
        <w:spacing w:after="0" w:line="220" w:lineRule="exact"/>
        <w:rPr>
          <w:sz w:val="20"/>
          <w:szCs w:val="20"/>
          <w:color w:val="auto"/>
        </w:rPr>
      </w:pPr>
    </w:p>
    <w:p>
      <w:pPr>
        <w:jc w:val="both"/>
        <w:ind w:left="-1120" w:firstLine="1289"/>
        <w:spacing w:after="0" w:line="256" w:lineRule="auto"/>
        <w:tabs>
          <w:tab w:leader="none" w:pos="4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Common Stock of the Company.</w:t>
      </w:r>
    </w:p>
    <w:p>
      <w:pPr>
        <w:spacing w:after="0" w:line="178" w:lineRule="exact"/>
        <w:rPr>
          <w:rFonts w:ascii="Times New Roman" w:cs="Times New Roman" w:eastAsia="Times New Roman" w:hAnsi="Times New Roman"/>
          <w:sz w:val="18"/>
          <w:szCs w:val="18"/>
          <w:color w:val="auto"/>
        </w:rPr>
      </w:pPr>
    </w:p>
    <w:p>
      <w:pPr>
        <w:ind w:left="520" w:hanging="351"/>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Unit</w:t>
      </w:r>
      <w:r>
        <w:rPr>
          <w:rFonts w:ascii="Times New Roman" w:cs="Times New Roman" w:eastAsia="Times New Roman" w:hAnsi="Times New Roman"/>
          <w:sz w:val="18"/>
          <w:szCs w:val="18"/>
          <w:color w:val="auto"/>
        </w:rPr>
        <w:t>” has the meaning set forth in Section 9(d)(ii) of the Plan.</w:t>
      </w:r>
    </w:p>
    <w:p>
      <w:pPr>
        <w:spacing w:after="0" w:line="220" w:lineRule="exact"/>
        <w:rPr>
          <w:rFonts w:ascii="Times New Roman" w:cs="Times New Roman" w:eastAsia="Times New Roman" w:hAnsi="Times New Roman"/>
          <w:sz w:val="18"/>
          <w:szCs w:val="18"/>
          <w:color w:val="auto"/>
        </w:rPr>
      </w:pPr>
    </w:p>
    <w:p>
      <w:pPr>
        <w:ind w:left="500" w:hanging="331"/>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has the meaning set forth in Section 9(a) of the Plan.</w:t>
      </w:r>
    </w:p>
    <w:p>
      <w:pPr>
        <w:spacing w:after="0" w:line="220" w:lineRule="exact"/>
        <w:rPr>
          <w:rFonts w:ascii="Times New Roman" w:cs="Times New Roman" w:eastAsia="Times New Roman" w:hAnsi="Times New Roman"/>
          <w:sz w:val="18"/>
          <w:szCs w:val="18"/>
          <w:color w:val="auto"/>
        </w:rPr>
      </w:pPr>
    </w:p>
    <w:p>
      <w:pPr>
        <w:ind w:left="520" w:hanging="351"/>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 Award of Common Stock, subject to certain specified restrictions, granted under Section 9 of the Plan.</w:t>
      </w:r>
    </w:p>
    <w:p>
      <w:pPr>
        <w:spacing w:after="0" w:line="220" w:lineRule="exact"/>
        <w:rPr>
          <w:rFonts w:ascii="Times New Roman" w:cs="Times New Roman" w:eastAsia="Times New Roman" w:hAnsi="Times New Roman"/>
          <w:sz w:val="18"/>
          <w:szCs w:val="18"/>
          <w:color w:val="auto"/>
        </w:rPr>
      </w:pPr>
    </w:p>
    <w:p>
      <w:pPr>
        <w:ind w:left="-1120" w:right="20" w:firstLine="1289"/>
        <w:spacing w:after="0" w:line="282" w:lineRule="auto"/>
        <w:tabs>
          <w:tab w:leader="none" w:pos="4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an Award of an unfunded and unsecured promise to deliver shares of Common Stock, cash, other securities or other property, subject to certain specified restrictions, granted under Section 9 of the Plan.</w:t>
      </w:r>
    </w:p>
    <w:p>
      <w:pPr>
        <w:spacing w:after="0" w:line="154" w:lineRule="exact"/>
        <w:rPr>
          <w:rFonts w:ascii="Times New Roman" w:cs="Times New Roman" w:eastAsia="Times New Roman" w:hAnsi="Times New Roman"/>
          <w:sz w:val="18"/>
          <w:szCs w:val="18"/>
          <w:color w:val="auto"/>
        </w:rPr>
      </w:pPr>
    </w:p>
    <w:p>
      <w:pPr>
        <w:ind w:left="440" w:hanging="271"/>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 Period</w:t>
      </w:r>
      <w:r>
        <w:rPr>
          <w:rFonts w:ascii="Times New Roman" w:cs="Times New Roman" w:eastAsia="Times New Roman" w:hAnsi="Times New Roman"/>
          <w:sz w:val="18"/>
          <w:szCs w:val="18"/>
          <w:color w:val="auto"/>
        </w:rPr>
        <w:t>” has the meaning set forth in Section 8(c) of the Plan.</w:t>
      </w:r>
    </w:p>
    <w:p>
      <w:pPr>
        <w:spacing w:after="0" w:line="220" w:lineRule="exact"/>
        <w:rPr>
          <w:rFonts w:ascii="Times New Roman" w:cs="Times New Roman" w:eastAsia="Times New Roman" w:hAnsi="Times New Roman"/>
          <w:sz w:val="18"/>
          <w:szCs w:val="18"/>
          <w:color w:val="auto"/>
        </w:rPr>
      </w:pPr>
    </w:p>
    <w:p>
      <w:pPr>
        <w:jc w:val="both"/>
        <w:ind w:left="-1120" w:firstLine="1289"/>
        <w:spacing w:after="0" w:line="265" w:lineRule="auto"/>
        <w:tabs>
          <w:tab w:leader="none" w:pos="5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other interpretive guidance.</w:t>
      </w:r>
    </w:p>
    <w:p>
      <w:pPr>
        <w:spacing w:after="0" w:line="169" w:lineRule="exact"/>
        <w:rPr>
          <w:rFonts w:ascii="Times New Roman" w:cs="Times New Roman" w:eastAsia="Times New Roman" w:hAnsi="Times New Roman"/>
          <w:sz w:val="18"/>
          <w:szCs w:val="18"/>
          <w:color w:val="auto"/>
        </w:rPr>
      </w:pPr>
    </w:p>
    <w:p>
      <w:pPr>
        <w:ind w:left="520" w:hanging="351"/>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Strike Price</w:t>
      </w:r>
      <w:r>
        <w:rPr>
          <w:rFonts w:ascii="Times New Roman" w:cs="Times New Roman" w:eastAsia="Times New Roman" w:hAnsi="Times New Roman"/>
          <w:sz w:val="18"/>
          <w:szCs w:val="18"/>
          <w:color w:val="auto"/>
        </w:rPr>
        <w:t>” has the meaning set forth in Section 8(b)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290195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2" w:right="339" w:bottom="1440" w:gutter="0" w:footer="0" w:header="0"/>
        </w:sectPr>
      </w:pPr>
    </w:p>
    <w:bookmarkStart w:id="11" w:name="page12"/>
    <w:bookmarkEnd w:id="11"/>
    <w:p>
      <w:pPr>
        <w:ind w:left="912" w:hanging="271"/>
        <w:spacing w:after="0"/>
        <w:tabs>
          <w:tab w:leader="none" w:pos="9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Section 8 of the Plan.</w:t>
      </w:r>
    </w:p>
    <w:p>
      <w:pPr>
        <w:spacing w:after="0" w:line="220" w:lineRule="exact"/>
        <w:rPr>
          <w:rFonts w:ascii="Times New Roman" w:cs="Times New Roman" w:eastAsia="Times New Roman" w:hAnsi="Times New Roman"/>
          <w:sz w:val="18"/>
          <w:szCs w:val="18"/>
          <w:color w:val="auto"/>
        </w:rPr>
      </w:pPr>
    </w:p>
    <w:p>
      <w:pPr>
        <w:ind w:left="-648" w:firstLine="1289"/>
        <w:spacing w:after="0" w:line="282" w:lineRule="auto"/>
        <w:tabs>
          <w:tab w:leader="none" w:pos="9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a majority of whose outstanding voting stock or voting power is beneficially owned directly or indirectly by the Company.</w:t>
      </w:r>
    </w:p>
    <w:p>
      <w:pPr>
        <w:spacing w:after="0" w:line="154" w:lineRule="exact"/>
        <w:rPr>
          <w:rFonts w:ascii="Times New Roman" w:cs="Times New Roman" w:eastAsia="Times New Roman" w:hAnsi="Times New Roman"/>
          <w:sz w:val="18"/>
          <w:szCs w:val="18"/>
          <w:color w:val="auto"/>
        </w:rPr>
      </w:pPr>
    </w:p>
    <w:p>
      <w:pPr>
        <w:ind w:left="992" w:hanging="351"/>
        <w:spacing w:after="0"/>
        <w:tabs>
          <w:tab w:leader="none" w:pos="9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has the meaning set forth in Section 5(e) of the Plan.</w:t>
      </w:r>
    </w:p>
    <w:p>
      <w:pPr>
        <w:spacing w:after="0" w:line="22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648" w:firstLine="1289"/>
        <w:spacing w:after="0" w:line="249" w:lineRule="auto"/>
        <w:tabs>
          <w:tab w:leader="none" w:pos="8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 or, in the Board's sole discretion, by the Board. Subject to the terms of the Plan, the Committee (or the Board) shall have the sole and plenary authority to (i) designate Participants, (ii) determine the type, size, and terms and conditions of Awards to be granted and to grant such Awards, (iii) determine the method by which an Award may be settled, exercised, canceled, forfeited, suspended, or repurchased by the Company, (iv) determine the circumstances under which the delivery of cash, property or other amounts payable with respect to an Award may be deferred, either automatically or at the Participant’s or Committee’s election, (v) interpret, administer, reconcile any inconsistency in, correct any defect in and supply any omission in the Plan and any Award granted under the Plan, (vi) establish, amend, suspend, or waive any rules and regulations and appoint such agents as the Committee shall deem appropriate for the proper administration of the Plan, (vii) accelerate the vesting, delivery or exercisability of, or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any exception or exemption under applicable securities laws or the applicable NASDAQ rules or the rules of any other securities exchange or inter-dealer quotation service on which the Common Stock is listed or quoted, as applicable, it is intended that each member of the Committee shall, at the time such member takes any action with respect to an Award under the Plan, be (1) a “non-employee director” within the meaning of Rule 16b-3 promulgated under the Exchange Act or (2) an “independent director” under NASDAQ rules or the rules of any other securities exchange or inter-dealer quotation service on which the Common Stock is listed or quoted, or a person meeting any similar requirement under any successor rule or regulation (“</w:t>
      </w:r>
      <w:r>
        <w:rPr>
          <w:rFonts w:ascii="Times New Roman" w:cs="Times New Roman" w:eastAsia="Times New Roman" w:hAnsi="Times New Roman"/>
          <w:sz w:val="18"/>
          <w:szCs w:val="18"/>
          <w:b w:val="1"/>
          <w:bCs w:val="1"/>
          <w:color w:val="auto"/>
        </w:rPr>
        <w:t>Eligible Director</w:t>
      </w:r>
      <w:r>
        <w:rPr>
          <w:rFonts w:ascii="Times New Roman" w:cs="Times New Roman" w:eastAsia="Times New Roman" w:hAnsi="Times New Roman"/>
          <w:sz w:val="18"/>
          <w:szCs w:val="18"/>
          <w:color w:val="auto"/>
        </w:rPr>
        <w:t>”). However, the fact that a Committee member shall fail to qualify as an Eligible Director shall not invalidate any Award granted or action taken by the Committee that is otherwise validly granted or taken under the Plan.</w:t>
      </w:r>
    </w:p>
    <w:p>
      <w:pPr>
        <w:spacing w:after="0" w:line="196" w:lineRule="exact"/>
        <w:rPr>
          <w:rFonts w:ascii="Times New Roman" w:cs="Times New Roman" w:eastAsia="Times New Roman" w:hAnsi="Times New Roman"/>
          <w:sz w:val="18"/>
          <w:szCs w:val="18"/>
          <w:color w:val="auto"/>
        </w:rPr>
      </w:pPr>
    </w:p>
    <w:p>
      <w:pPr>
        <w:jc w:val="both"/>
        <w:ind w:left="-648" w:firstLine="1289"/>
        <w:spacing w:after="0" w:line="262" w:lineRule="auto"/>
        <w:tabs>
          <w:tab w:leader="none" w:pos="9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delegate all or any portion of its responsibilities and powers to any persons selected by it, except for grants of Awards to persons who are non-employee members of the Board or are otherwise subject to Section 16 of the Exchange Act. Any such delegation may be revoked by the Committee at any time.</w:t>
      </w:r>
    </w:p>
    <w:p>
      <w:pPr>
        <w:spacing w:after="0" w:line="177" w:lineRule="exact"/>
        <w:rPr>
          <w:rFonts w:ascii="Times New Roman" w:cs="Times New Roman" w:eastAsia="Times New Roman" w:hAnsi="Times New Roman"/>
          <w:sz w:val="18"/>
          <w:szCs w:val="18"/>
          <w:color w:val="auto"/>
        </w:rPr>
      </w:pPr>
    </w:p>
    <w:p>
      <w:pPr>
        <w:jc w:val="both"/>
        <w:ind w:left="-648" w:firstLine="1289"/>
        <w:spacing w:after="0" w:line="255" w:lineRule="auto"/>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set forth in Section 14(f)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provided, however, that no such action shall be taken without stockholder approval if such approval is required by applicable securities laws or regulation or NASDAQ rules or the rules of any other securities exchange or inter-dealer quotation service on which the Common Stock is listed or quoted.</w:t>
      </w:r>
    </w:p>
    <w:p>
      <w:pPr>
        <w:spacing w:after="0" w:line="182" w:lineRule="exact"/>
        <w:rPr>
          <w:rFonts w:ascii="Times New Roman" w:cs="Times New Roman" w:eastAsia="Times New Roman" w:hAnsi="Times New Roman"/>
          <w:sz w:val="18"/>
          <w:szCs w:val="18"/>
          <w:color w:val="auto"/>
        </w:rPr>
      </w:pPr>
    </w:p>
    <w:p>
      <w:pPr>
        <w:jc w:val="both"/>
        <w:ind w:left="-648" w:firstLine="1289"/>
        <w:spacing w:after="0" w:line="257" w:lineRule="auto"/>
        <w:tabs>
          <w:tab w:leader="none" w:pos="90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and entities, including, without limitation, the Company, any Affiliate, any Participant, any holder or beneficiary of any Award, and any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262890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2" w:right="339" w:bottom="1440" w:gutter="0" w:footer="0" w:header="0"/>
        </w:sectPr>
      </w:pPr>
    </w:p>
    <w:bookmarkStart w:id="12" w:name="page13"/>
    <w:bookmarkEnd w:id="12"/>
    <w:p>
      <w:pPr>
        <w:jc w:val="both"/>
        <w:ind w:left="-648" w:firstLine="1289"/>
        <w:spacing w:after="0" w:line="249" w:lineRule="auto"/>
        <w:tabs>
          <w:tab w:leader="none" w:pos="90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the Committee, nor any employee or agent of the Company (each such person, an “</w:t>
      </w:r>
      <w:r>
        <w:rPr>
          <w:rFonts w:ascii="Times New Roman" w:cs="Times New Roman" w:eastAsia="Times New Roman" w:hAnsi="Times New Roman"/>
          <w:sz w:val="18"/>
          <w:szCs w:val="18"/>
          <w:b w:val="1"/>
          <w:bCs w:val="1"/>
          <w:color w:val="auto"/>
        </w:rPr>
        <w:t>Indemnifiable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be liable for any action taken or omitted to be taken or any determination made with respect to the Plan or any Award hereunder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constituting fraud or a willful criminal act or willful criminal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willful criminal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198" w:lineRule="exact"/>
        <w:rPr>
          <w:rFonts w:ascii="Times New Roman" w:cs="Times New Roman" w:eastAsia="Times New Roman" w:hAnsi="Times New Roman"/>
          <w:sz w:val="18"/>
          <w:szCs w:val="18"/>
          <w:color w:val="auto"/>
        </w:rPr>
      </w:pPr>
    </w:p>
    <w:p>
      <w:pPr>
        <w:ind w:left="-648" w:firstLine="1289"/>
        <w:spacing w:after="0" w:line="277" w:lineRule="auto"/>
        <w:tabs>
          <w:tab w:leader="none" w:pos="8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and from time to time grant Awards and administer the Plan with respect to such Awards. In any such case, the Board shall have all the authority granted to the Committee under the Plan.</w:t>
      </w:r>
    </w:p>
    <w:p>
      <w:pPr>
        <w:spacing w:after="0" w:line="16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Awards; Shares Subject to the Plan; Limitations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892" w:hanging="251"/>
        <w:spacing w:after="0"/>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The Committee may grant Awards to one or more Eligible Persons.</w:t>
      </w:r>
    </w:p>
    <w:p>
      <w:pPr>
        <w:spacing w:after="0" w:line="220" w:lineRule="exact"/>
        <w:rPr>
          <w:rFonts w:ascii="Times New Roman" w:cs="Times New Roman" w:eastAsia="Times New Roman" w:hAnsi="Times New Roman"/>
          <w:sz w:val="18"/>
          <w:szCs w:val="18"/>
          <w:color w:val="auto"/>
        </w:rPr>
      </w:pPr>
    </w:p>
    <w:p>
      <w:pPr>
        <w:ind w:left="-648" w:firstLine="1289"/>
        <w:spacing w:after="0" w:line="277"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Limits</w:t>
      </w:r>
      <w:r>
        <w:rPr>
          <w:rFonts w:ascii="Times New Roman" w:cs="Times New Roman" w:eastAsia="Times New Roman" w:hAnsi="Times New Roman"/>
          <w:sz w:val="18"/>
          <w:szCs w:val="18"/>
          <w:color w:val="auto"/>
        </w:rPr>
        <w:t>. Subject to adjustment as provided in the Plan, no more than 6,000,000 shares of Common Stock may be reserved for issuance and delivered in the aggregate pursuant to Awards granted under the Plan (the “</w:t>
      </w:r>
      <w:r>
        <w:rPr>
          <w:rFonts w:ascii="Times New Roman" w:cs="Times New Roman" w:eastAsia="Times New Roman" w:hAnsi="Times New Roman"/>
          <w:sz w:val="18"/>
          <w:szCs w:val="18"/>
          <w:b w:val="1"/>
          <w:bCs w:val="1"/>
          <w:color w:val="auto"/>
        </w:rPr>
        <w:t>Share Pool</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jc w:val="both"/>
        <w:ind w:left="-648" w:firstLine="1289"/>
        <w:spacing w:after="0" w:line="267" w:lineRule="auto"/>
        <w:tabs>
          <w:tab w:leader="none" w:pos="8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Counting</w:t>
      </w:r>
      <w:r>
        <w:rPr>
          <w:rFonts w:ascii="Times New Roman" w:cs="Times New Roman" w:eastAsia="Times New Roman" w:hAnsi="Times New Roman"/>
          <w:sz w:val="17"/>
          <w:szCs w:val="17"/>
          <w:color w:val="auto"/>
        </w:rPr>
        <w:t>. The Share Pool shall be reduced, on the date of grant,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Pool. If and to the extent that Awards originating from the Share Pool terminate, expire, or are canceled, forfeited, exchanged, or surrendered without having been exercised, vested, or settled, the shares of Common Stock subject to such Awards shall again be available for Awards under the Share Pool. Notwithstanding the foregoing, the following shares of Common Stock shall not become available for issuance under the Plan: (i) shares of Common Stock tendered by Participants, or withheld by the Company, as full or partial payment to the Company upon the exercise of Stock Options granted under the Plan; (ii) shares of Common Stock reserved for issuance upon the grant of Stock Appreciation Rights, to the extent that the number of reserved shares of Common Stock exceeds the number of shares of Common Stock actually issued upon the exercise of the Stock Appreciation Rights; and (iii) shares of Common Stock withheld by, or otherwise remitted to, the Company to satisfy a Participant’s tax withholding obligations upon the lapse of restrictions on, settlement of, or exercise of Awards granted under the Plan.</w:t>
      </w:r>
    </w:p>
    <w:p>
      <w:pPr>
        <w:spacing w:after="0" w:line="176" w:lineRule="exact"/>
        <w:rPr>
          <w:rFonts w:ascii="Times New Roman" w:cs="Times New Roman" w:eastAsia="Times New Roman" w:hAnsi="Times New Roman"/>
          <w:sz w:val="17"/>
          <w:szCs w:val="17"/>
          <w:color w:val="auto"/>
        </w:rPr>
      </w:pPr>
    </w:p>
    <w:p>
      <w:pPr>
        <w:ind w:left="-648" w:firstLine="1289"/>
        <w:spacing w:after="0" w:line="277" w:lineRule="auto"/>
        <w:tabs>
          <w:tab w:leader="none" w:pos="8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w:t>
      </w:r>
      <w:r>
        <w:rPr>
          <w:rFonts w:ascii="Times New Roman" w:cs="Times New Roman" w:eastAsia="Times New Roman" w:hAnsi="Times New Roman"/>
          <w:sz w:val="18"/>
          <w:szCs w:val="18"/>
          <w:color w:val="auto"/>
        </w:rPr>
        <w:t>. 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377" w:lineRule="exact"/>
        <w:rPr>
          <w:rFonts w:ascii="Times New Roman" w:cs="Times New Roman" w:eastAsia="Times New Roman" w:hAnsi="Times New Roman"/>
          <w:sz w:val="18"/>
          <w:szCs w:val="18"/>
          <w:color w:val="auto"/>
        </w:rPr>
      </w:pPr>
    </w:p>
    <w:p>
      <w:pPr>
        <w:jc w:val="both"/>
        <w:ind w:left="-648" w:firstLine="1289"/>
        <w:spacing w:after="0" w:line="262" w:lineRule="auto"/>
        <w:tabs>
          <w:tab w:leader="none" w:pos="8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The Committee may grant Awards in assumption of, or in substitution for, outstanding awards previously granted by the Company or any Affiliate or an entity directly or indirectly acquired by the Company or with which the Company combines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and such Substitute Awards shall not be counted against the aggregate number of shares of Common Stock available for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259715</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2" w:right="339" w:bottom="1440" w:gutter="0" w:footer="0" w:header="0"/>
        </w:sectPr>
      </w:pPr>
    </w:p>
    <w:bookmarkStart w:id="13" w:name="page14"/>
    <w:bookmarkEnd w:id="13"/>
    <w:p>
      <w:pPr>
        <w:ind w:left="-648" w:firstLine="648"/>
        <w:spacing w:after="0" w:line="277"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Participation shall be limited to Eligible Persons who have been selected by the Committee and who have entered into an Award Agreement with respect to an Award granted to them under the Plan (each such Eligible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648" w:firstLine="1289"/>
        <w:spacing w:after="0" w:line="277" w:lineRule="auto"/>
        <w:tabs>
          <w:tab w:leader="none" w:pos="8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Each Option shall be subject to the conditions set forth in the Plan and in the applicable Award Agreement. All Options granted under the Plan shall be Nonqualified Stock Options unless the Award Agreement expressly states otherwise.</w:t>
      </w:r>
    </w:p>
    <w:p>
      <w:pPr>
        <w:spacing w:after="0" w:line="159" w:lineRule="exact"/>
        <w:rPr>
          <w:rFonts w:ascii="Times New Roman" w:cs="Times New Roman" w:eastAsia="Times New Roman" w:hAnsi="Times New Roman"/>
          <w:sz w:val="18"/>
          <w:szCs w:val="18"/>
          <w:color w:val="auto"/>
        </w:rPr>
      </w:pPr>
    </w:p>
    <w:p>
      <w:pPr>
        <w:jc w:val="both"/>
        <w:ind w:left="-648" w:firstLine="1289"/>
        <w:spacing w:after="0" w:line="265" w:lineRule="auto"/>
        <w:tabs>
          <w:tab w:leader="none" w:pos="8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per share of Common Stock for each Option (that is not a Substitute Award) shall not be less than 100% of the Fair Market Value of such share, determined as of the date of grant. Any modification to the Exercise Price of an outstanding Option shall be subject to the prohibition on repricing set forth in Section 13(b).</w:t>
      </w:r>
    </w:p>
    <w:p>
      <w:pPr>
        <w:spacing w:after="0" w:line="173" w:lineRule="exact"/>
        <w:rPr>
          <w:rFonts w:ascii="Times New Roman" w:cs="Times New Roman" w:eastAsia="Times New Roman" w:hAnsi="Times New Roman"/>
          <w:sz w:val="18"/>
          <w:szCs w:val="18"/>
          <w:color w:val="auto"/>
        </w:rPr>
      </w:pPr>
    </w:p>
    <w:p>
      <w:pPr>
        <w:jc w:val="both"/>
        <w:ind w:left="-648" w:firstLine="1289"/>
        <w:spacing w:after="0" w:line="253" w:lineRule="auto"/>
        <w:tabs>
          <w:tab w:leader="none" w:pos="8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Exercise and Expiration</w:t>
      </w:r>
      <w:r>
        <w:rPr>
          <w:rFonts w:ascii="Times New Roman" w:cs="Times New Roman" w:eastAsia="Times New Roman" w:hAnsi="Times New Roman"/>
          <w:sz w:val="18"/>
          <w:szCs w:val="18"/>
          <w:color w:val="auto"/>
        </w:rPr>
        <w:t>. The Committee shall determine the manner and timing of vesting, exercise and expiration of Options. The period between the date of grant and the scheduled expiration date of the Option (“</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shall not exceed ten years, unless the Option Period would expire at a time when trading in the shares of Common Stock is prohibited by the Company’s insider-trading policy or a Company-imposed “blackout period,” in which case the Option Period shall be extended automatically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186" w:lineRule="exact"/>
        <w:rPr>
          <w:rFonts w:ascii="Times New Roman" w:cs="Times New Roman" w:eastAsia="Times New Roman" w:hAnsi="Times New Roman"/>
          <w:sz w:val="18"/>
          <w:szCs w:val="18"/>
          <w:color w:val="auto"/>
        </w:rPr>
      </w:pPr>
    </w:p>
    <w:p>
      <w:pPr>
        <w:jc w:val="both"/>
        <w:ind w:left="-648" w:firstLine="1289"/>
        <w:spacing w:after="0" w:line="249" w:lineRule="auto"/>
        <w:tabs>
          <w:tab w:leader="none" w:pos="8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and Form of Payment</w:t>
      </w:r>
      <w:r>
        <w:rPr>
          <w:rFonts w:ascii="Times New Roman" w:cs="Times New Roman" w:eastAsia="Times New Roman" w:hAnsi="Times New Roman"/>
          <w:sz w:val="18"/>
          <w:szCs w:val="18"/>
          <w:color w:val="auto"/>
        </w:rPr>
        <w:t>. No shares of Common Stock shall be delivered pursuant to any exercise of an Option until the Participant has paid the Exercise Price to the Company in full,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third-party administrator) in accordance with the terms of the Option and the Award Agreement accompanied by payment of the Exercise Price and such applicable taxes. The Exercise Price and delivery of all applicable required withholding taxes shall be payable (i) in cash, by check or cash equivalent, or (ii) by such other method as elected by the Participant and that the Committee may permit, in its sole discretion, including without limitation: (A)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or any combination of the foregoing; provided, that such shares of Common Stock are not subject to any pledge or other security interest; (B) in the form of other property having a Fair Market Value on the date of exercise equal to the Exercise Price and all applicable required withholding taxes; (C) if there is a public market for the shares of Common Stock at such time, by means of a broker-assisted “cashless exercise” pursuant to which the Company or its designee (including third-party administrators) is delivered a copy of irrevocable instructions to a stockbroker to sell the shares of Common Stock otherwise deliverable upon the exercise of the Option and to deliver promptly to the Company an amount equal to the Exercise Price and all applicable required withholding taxes against delivery of the shares of Common Stock to settle the applicable trade; or (D) by means of a “net exercise” procedure effected by withholding the minimum number of shares of Common Stock otherwise deliverable in respect of an Option that are needed to pay for the Exercise Price and up to the maximum required withholding taxes. In all events of cashless or net exercise, any fractional shares of Common Stock shall be settled in cash.</w:t>
      </w:r>
    </w:p>
    <w:p>
      <w:pPr>
        <w:spacing w:after="0" w:line="196" w:lineRule="exact"/>
        <w:rPr>
          <w:rFonts w:ascii="Times New Roman" w:cs="Times New Roman" w:eastAsia="Times New Roman" w:hAnsi="Times New Roman"/>
          <w:sz w:val="18"/>
          <w:szCs w:val="18"/>
          <w:color w:val="auto"/>
        </w:rPr>
      </w:pPr>
    </w:p>
    <w:p>
      <w:pPr>
        <w:jc w:val="both"/>
        <w:ind w:left="-648" w:firstLine="1289"/>
        <w:spacing w:after="0" w:line="257" w:lineRule="auto"/>
        <w:tabs>
          <w:tab w:leader="none" w:pos="8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Notwithstanding the foregoing, in no event shall the Participant be permitted to exercise an Option in a manner that the Committee determines would violate the 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262890</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6" w:right="339" w:bottom="1440" w:gutter="0" w:footer="0" w:header="0"/>
        </w:sectPr>
      </w:pPr>
    </w:p>
    <w:bookmarkStart w:id="14" w:name="page15"/>
    <w:bookmarkEnd w:id="14"/>
    <w:p>
      <w:pPr>
        <w:ind w:left="172" w:hanging="172"/>
        <w:spacing w:after="0"/>
        <w:tabs>
          <w:tab w:leader="none" w:pos="1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 (SARs)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648" w:firstLine="1289"/>
        <w:spacing w:after="0" w:line="277" w:lineRule="auto"/>
        <w:tabs>
          <w:tab w:leader="none" w:pos="8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Each SAR shall be subject to the conditions set forth in the Plan and the Award Agreement. Any Option granted under the Plan may include a tandem SAR. The Committee also may award SARs independent of any Option.</w:t>
      </w:r>
    </w:p>
    <w:p>
      <w:pPr>
        <w:spacing w:after="0" w:line="159" w:lineRule="exact"/>
        <w:rPr>
          <w:rFonts w:ascii="Times New Roman" w:cs="Times New Roman" w:eastAsia="Times New Roman" w:hAnsi="Times New Roman"/>
          <w:sz w:val="18"/>
          <w:szCs w:val="18"/>
          <w:color w:val="auto"/>
        </w:rPr>
      </w:pPr>
    </w:p>
    <w:p>
      <w:pPr>
        <w:jc w:val="both"/>
        <w:ind w:left="-648" w:firstLine="1289"/>
        <w:spacing w:after="0" w:line="259" w:lineRule="auto"/>
        <w:tabs>
          <w:tab w:leader="none" w:pos="8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Strike Price</w:t>
      </w:r>
      <w:r>
        <w:rPr>
          <w:rFonts w:ascii="Times New Roman" w:cs="Times New Roman" w:eastAsia="Times New Roman" w:hAnsi="Times New Roman"/>
          <w:sz w:val="18"/>
          <w:szCs w:val="18"/>
          <w:color w:val="auto"/>
        </w:rPr>
        <w:t>. The strike price (“</w:t>
      </w:r>
      <w:r>
        <w:rPr>
          <w:rFonts w:ascii="Times New Roman" w:cs="Times New Roman" w:eastAsia="Times New Roman" w:hAnsi="Times New Roman"/>
          <w:sz w:val="18"/>
          <w:szCs w:val="18"/>
          <w:b w:val="1"/>
          <w:bCs w:val="1"/>
          <w:color w:val="auto"/>
        </w:rPr>
        <w:t>Strike Price</w:t>
      </w:r>
      <w:r>
        <w:rPr>
          <w:rFonts w:ascii="Times New Roman" w:cs="Times New Roman" w:eastAsia="Times New Roman" w:hAnsi="Times New Roman"/>
          <w:sz w:val="18"/>
          <w:szCs w:val="18"/>
          <w:color w:val="auto"/>
        </w:rPr>
        <w:t>”) per share of Common Stock for each SAR shall not be less than 100% of the Fair Market Value of such share, determined as of the date of grant; provided, however, 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13(b).</w:t>
      </w:r>
    </w:p>
    <w:p>
      <w:pPr>
        <w:spacing w:after="0" w:line="179" w:lineRule="exact"/>
        <w:rPr>
          <w:rFonts w:ascii="Times New Roman" w:cs="Times New Roman" w:eastAsia="Times New Roman" w:hAnsi="Times New Roman"/>
          <w:sz w:val="18"/>
          <w:szCs w:val="18"/>
          <w:color w:val="auto"/>
        </w:rPr>
      </w:pPr>
    </w:p>
    <w:p>
      <w:pPr>
        <w:jc w:val="both"/>
        <w:ind w:left="-648" w:firstLine="1289"/>
        <w:spacing w:after="0" w:line="252" w:lineRule="auto"/>
        <w:tabs>
          <w:tab w:leader="none" w:pos="8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Expiration</w:t>
      </w:r>
      <w:r>
        <w:rPr>
          <w:rFonts w:ascii="Times New Roman" w:cs="Times New Roman" w:eastAsia="Times New Roman" w:hAnsi="Times New Roman"/>
          <w:sz w:val="18"/>
          <w:szCs w:val="18"/>
          <w:color w:val="auto"/>
        </w:rPr>
        <w:t>. A SAR granted in tandem with an Option shall vest and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Times New Roman" w:cs="Times New Roman" w:eastAsia="Times New Roman" w:hAnsi="Times New Roman"/>
          <w:sz w:val="18"/>
          <w:szCs w:val="18"/>
          <w:b w:val="1"/>
          <w:bCs w:val="1"/>
          <w:color w:val="auto"/>
        </w:rPr>
        <w:t>SAR Period</w:t>
      </w:r>
      <w:r>
        <w:rPr>
          <w:rFonts w:ascii="Times New Roman" w:cs="Times New Roman" w:eastAsia="Times New Roman" w:hAnsi="Times New Roman"/>
          <w:sz w:val="18"/>
          <w:szCs w:val="18"/>
          <w:color w:val="auto"/>
        </w:rPr>
        <w:t>”); provided, however,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insider trading policy or a Company-imposed “blackout period,” the SAR Period shall be automatically extended until the 30th day following the expiration of such prohibition (so long as such extension shall not violate Section 409A of the Code).</w:t>
      </w:r>
    </w:p>
    <w:p>
      <w:pPr>
        <w:spacing w:after="0" w:line="184" w:lineRule="exact"/>
        <w:rPr>
          <w:rFonts w:ascii="Times New Roman" w:cs="Times New Roman" w:eastAsia="Times New Roman" w:hAnsi="Times New Roman"/>
          <w:sz w:val="18"/>
          <w:szCs w:val="18"/>
          <w:color w:val="auto"/>
        </w:rPr>
      </w:pPr>
    </w:p>
    <w:p>
      <w:pPr>
        <w:jc w:val="both"/>
        <w:ind w:left="-648" w:firstLine="1289"/>
        <w:spacing w:after="0" w:line="26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SARs may be exercised by delivery of written or electronic notice of exercise to the Company or its designee (including a third-party administrator) in accordance with the terms of the Award, specifying the number of SARs to be exercised and the date on which such SARs were awarded.</w:t>
      </w:r>
    </w:p>
    <w:p>
      <w:pPr>
        <w:spacing w:after="0" w:line="177" w:lineRule="exact"/>
        <w:rPr>
          <w:rFonts w:ascii="Times New Roman" w:cs="Times New Roman" w:eastAsia="Times New Roman" w:hAnsi="Times New Roman"/>
          <w:sz w:val="18"/>
          <w:szCs w:val="18"/>
          <w:color w:val="auto"/>
        </w:rPr>
      </w:pPr>
    </w:p>
    <w:p>
      <w:pPr>
        <w:jc w:val="both"/>
        <w:ind w:left="-648" w:firstLine="1289"/>
        <w:spacing w:after="0" w:line="253" w:lineRule="auto"/>
        <w:tabs>
          <w:tab w:leader="none" w:pos="8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 any U.S. federal, state and local income and employment taxes and non-U.S. income and employment taxes, social contributions and any other tax-related items required to be withheld. The Company shall pay such amount in cash, in shares of Common Stock valued at Fair Market Value as determined on the date of exercise, or any combination thereof, as determined by the Committee. Any fractional shares of Common Stock shall be settled in cash.</w:t>
      </w:r>
    </w:p>
    <w:p>
      <w:pPr>
        <w:spacing w:after="0" w:line="186"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648" w:firstLine="1289"/>
        <w:spacing w:after="0" w:line="251" w:lineRule="auto"/>
        <w:tabs>
          <w:tab w:leader="none" w:pos="8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Each Restricted Stock and Restricted Stock Unit Award shall be subject to the conditions set forth in the Plan and the applicable Award Agreement. The Committee shall establish restrictions applicable to Restricted Stock and Restricted Stock Units, including the period over which the restrictions shall apply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and the time or times at which Restricted Stock or Restricted Stock Units shall become vested (which, for the avoidance of doubt, may include service- and/or performance-based vesting conditions). Subject to such rules, approvals, and conditions as the Committee may impose from time to time, an Eligible Person who is a non-employee director may elect to receive all or a portion of such Eligible Person’s cash director fees and other cash director compensation payable for director services provided to the Company by such Eligible Person in any fiscal year, in whole or in part, in the form of Restricted Stock Units. The Committee may accelerate the vesting and/or the lapse of any or all of the restrictions on Restricted Stock and Restricted Stock Units which acceleration shall not affect any other terms and conditions of such Awards. No share of Common Stock shall be issued at the time an Award of Restricted Stock Units is made, and the Company will not be required to set aside a fund for the payment of any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265430</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6" w:right="339" w:bottom="1440" w:gutter="0" w:footer="0" w:header="0"/>
        </w:sectPr>
      </w:pPr>
    </w:p>
    <w:bookmarkStart w:id="15" w:name="page16"/>
    <w:bookmarkEnd w:id="15"/>
    <w:p>
      <w:pPr>
        <w:jc w:val="both"/>
        <w:ind w:left="-1120" w:firstLine="1289"/>
        <w:spacing w:after="0" w:line="251" w:lineRule="auto"/>
        <w:tabs>
          <w:tab w:leader="none" w:pos="4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 Escrow or Similar Arrangement</w:t>
      </w:r>
      <w:r>
        <w:rPr>
          <w:rFonts w:ascii="Times New Roman" w:cs="Times New Roman" w:eastAsia="Times New Roman" w:hAnsi="Times New Roman"/>
          <w:sz w:val="18"/>
          <w:szCs w:val="18"/>
          <w:color w:val="auto"/>
        </w:rPr>
        <w:t>. Upon the grant of Restricted Stock, the Committee shall cause share(s) of Common Stock to be registered in the name of the Participant and held in book-entry form subject to the Company’s directions. The Committee may also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or its designee (including third-party administrators) (i)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stockholder as to such Restricted Stock, including without limitation the right to vote such Restricted Stock.</w:t>
      </w:r>
    </w:p>
    <w:p>
      <w:pPr>
        <w:spacing w:after="0" w:line="189" w:lineRule="exact"/>
        <w:rPr>
          <w:rFonts w:ascii="Times New Roman" w:cs="Times New Roman" w:eastAsia="Times New Roman" w:hAnsi="Times New Roman"/>
          <w:sz w:val="18"/>
          <w:szCs w:val="18"/>
          <w:color w:val="auto"/>
        </w:rPr>
      </w:pPr>
    </w:p>
    <w:p>
      <w:pPr>
        <w:jc w:val="both"/>
        <w:ind w:left="-1120" w:firstLine="1289"/>
        <w:spacing w:after="0" w:line="252" w:lineRule="auto"/>
        <w:tabs>
          <w:tab w:leader="none" w:pos="4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Forfeiture</w:t>
      </w:r>
      <w:r>
        <w:rPr>
          <w:rFonts w:ascii="Times New Roman" w:cs="Times New Roman" w:eastAsia="Times New Roman" w:hAnsi="Times New Roman"/>
          <w:sz w:val="18"/>
          <w:szCs w:val="18"/>
          <w:color w:val="auto"/>
        </w:rPr>
        <w:t>.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stockholder with respect thereto), and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grant of the Restricted Stock Award or Restricted Stock Unit Award, such action is appropriate.</w:t>
      </w:r>
    </w:p>
    <w:p>
      <w:pPr>
        <w:spacing w:after="0" w:line="184"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Restricted Stock and Settlement of Restricted Stock Units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480" w:firstLine="1290"/>
        <w:spacing w:after="0" w:line="270" w:lineRule="auto"/>
        <w:tabs>
          <w:tab w:leader="none" w:pos="103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such Participant’s beneficiary (via book-entry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(or a combination of cash and shares of Common Stock) equal to the amount of such dividends, upon the release of restrictions on the Restricted Stock.</w:t>
      </w:r>
    </w:p>
    <w:p>
      <w:pPr>
        <w:spacing w:after="0" w:line="170" w:lineRule="exact"/>
        <w:rPr>
          <w:rFonts w:ascii="Times New Roman" w:cs="Times New Roman" w:eastAsia="Times New Roman" w:hAnsi="Times New Roman"/>
          <w:sz w:val="17"/>
          <w:szCs w:val="17"/>
          <w:color w:val="auto"/>
        </w:rPr>
      </w:pPr>
    </w:p>
    <w:p>
      <w:pPr>
        <w:jc w:val="both"/>
        <w:ind w:left="-480" w:firstLine="1290"/>
        <w:spacing w:after="0" w:line="251" w:lineRule="auto"/>
        <w:tabs>
          <w:tab w:leader="none" w:pos="10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such Participant’s beneficiary (via book-entry notation or, if applicable, in stock certificate form), one share of Common Stock (or other securities or other property, as applicable) for each such outstanding Restricted Stock Unit that has not then been forfeited and with respect to which the Restricted Period has expired and any other such vesting criteria are attained (“</w:t>
      </w:r>
      <w:r>
        <w:rPr>
          <w:rFonts w:ascii="Times New Roman" w:cs="Times New Roman" w:eastAsia="Times New Roman" w:hAnsi="Times New Roman"/>
          <w:sz w:val="18"/>
          <w:szCs w:val="18"/>
          <w:b w:val="1"/>
          <w:bCs w:val="1"/>
          <w:color w:val="auto"/>
        </w:rPr>
        <w:t>Released Unit</w:t>
      </w:r>
      <w:r>
        <w:rPr>
          <w:rFonts w:ascii="Times New Roman" w:cs="Times New Roman" w:eastAsia="Times New Roman" w:hAnsi="Times New Roman"/>
          <w:sz w:val="18"/>
          <w:szCs w:val="18"/>
          <w:color w:val="auto"/>
        </w:rPr>
        <w:t>”); provided, however, that the Committee may elect to (A) pay cash or part cash and part Common Stock in lieu of delivering only shares of Common Stock in respect of such Released Units or (B) establish a program for deferred delivery of Common Stock (or cash or part Common Stock and part cash, as the case may be) beyond the expiration of the Restricted Period in compliance with Section 409A of the Code. If a cash payment is made in lieu of delivering shares of Common Stock, the amount of such payment shall be equal to the Fair Market Value of the Common Stock as of the date on which the shares of Common Stock would have otherwise been delivered to the Participant in respect of such Restricted Stock Units.</w:t>
      </w:r>
    </w:p>
    <w:p>
      <w:pPr>
        <w:spacing w:after="0" w:line="186" w:lineRule="exact"/>
        <w:rPr>
          <w:rFonts w:ascii="Times New Roman" w:cs="Times New Roman" w:eastAsia="Times New Roman" w:hAnsi="Times New Roman"/>
          <w:sz w:val="18"/>
          <w:szCs w:val="18"/>
          <w:color w:val="auto"/>
        </w:rPr>
      </w:pPr>
    </w:p>
    <w:p>
      <w:pPr>
        <w:jc w:val="both"/>
        <w:ind w:left="-480" w:firstLine="1290"/>
        <w:spacing w:after="0" w:line="252" w:lineRule="auto"/>
        <w:tabs>
          <w:tab w:leader="none" w:pos="11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as of the date of payment (or a combination of cash and shares of Common Stock) (and 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(in the case of Restricted Stock Units, following the release of restrictions on such Restricted Stock Units), and if such Restricted Stock Units are forfeited, the holder thereof shall have no right to such dividend equivalent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264795</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16" w:name="page17"/>
    <w:bookmarkEnd w:id="16"/>
    <w:p>
      <w:pPr>
        <w:jc w:val="both"/>
        <w:ind w:firstLine="1289"/>
        <w:spacing w:after="0" w:line="262"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Restricted Stock</w:t>
      </w:r>
      <w:r>
        <w:rPr>
          <w:rFonts w:ascii="Times New Roman" w:cs="Times New Roman" w:eastAsia="Times New Roman" w:hAnsi="Times New Roman"/>
          <w:sz w:val="18"/>
          <w:szCs w:val="18"/>
          <w:color w:val="auto"/>
        </w:rPr>
        <w:t>.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TRANSFER OF THIS CERTIFICATE AND THE SHARES REPRESENTED HEREBY IS RESTRICTED PURSUANT TO THE TERMS OF THE IOVANCE BIOTHERAPEUTICS, INC. AMENDED AND RESTATED 2021 INDUCEMENT PLAN AND A RESTRICTED STOCK AWARD AGREEMENT, DATED AS OF, BETWEEN IOVANCE BIOTHERAPEUTICS, INC. AND. A COPY OF SUCH PLAN AND AWARD AGREEMENT IS ON FILE AT THE PRINCIPAL EXECUTIVE OFFICES OF IOVANCE BIOTHERAPEUTICS, INC.</w:t>
      </w:r>
    </w:p>
    <w:p>
      <w:pPr>
        <w:spacing w:after="0" w:line="182" w:lineRule="exact"/>
        <w:rPr>
          <w:sz w:val="20"/>
          <w:szCs w:val="20"/>
          <w:color w:val="auto"/>
        </w:rPr>
      </w:pPr>
    </w:p>
    <w:p>
      <w:pPr>
        <w:jc w:val="both"/>
        <w:ind w:firstLine="648"/>
        <w:spacing w:after="0" w:line="253" w:lineRule="auto"/>
        <w:tabs>
          <w:tab w:leader="none" w:pos="9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The Committee may issue unrestricted Common Stock, rights to receive future grants of Awards, or other Awards denominated in Common Stock (including performance shares or performance units), or Awards that provide for cash payments based in whole or in part on the value or future value of shares of Common Stock under the Plan to Eligible Persons, alone or in tandem with other Awards, in such amounts as the Committee shall from time to time determine (“</w:t>
      </w:r>
      <w:r>
        <w:rPr>
          <w:rFonts w:ascii="Times New Roman" w:cs="Times New Roman" w:eastAsia="Times New Roman" w:hAnsi="Times New Roman"/>
          <w:sz w:val="18"/>
          <w:szCs w:val="18"/>
          <w:b w:val="1"/>
          <w:bCs w:val="1"/>
          <w:color w:val="auto"/>
        </w:rPr>
        <w:t>Other Stock-Based Awards</w:t>
      </w:r>
      <w:r>
        <w:rPr>
          <w:rFonts w:ascii="Times New Roman" w:cs="Times New Roman" w:eastAsia="Times New Roman" w:hAnsi="Times New Roman"/>
          <w:sz w:val="18"/>
          <w:szCs w:val="18"/>
          <w:color w:val="auto"/>
        </w:rPr>
        <w:t>”). Each Other Stock-Based Award shall be evidenced by an Award Agreement, which may include conditions including, without limitation, the payment by the Participant of the Fair Market Value of such shares of Common Stock on the date of grant.</w:t>
      </w:r>
    </w:p>
    <w:p>
      <w:pPr>
        <w:spacing w:after="0" w:line="186" w:lineRule="exact"/>
        <w:rPr>
          <w:rFonts w:ascii="Times New Roman" w:cs="Times New Roman" w:eastAsia="Times New Roman" w:hAnsi="Times New Roman"/>
          <w:sz w:val="18"/>
          <w:szCs w:val="18"/>
          <w:color w:val="auto"/>
        </w:rPr>
      </w:pPr>
    </w:p>
    <w:p>
      <w:pPr>
        <w:jc w:val="both"/>
        <w:ind w:firstLine="648"/>
        <w:spacing w:after="0" w:line="251" w:lineRule="auto"/>
        <w:tabs>
          <w:tab w:leader="none" w:pos="9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 and Similar Events</w:t>
      </w:r>
      <w:r>
        <w:rPr>
          <w:rFonts w:ascii="Times New Roman" w:cs="Times New Roman" w:eastAsia="Times New Roman" w:hAnsi="Times New Roman"/>
          <w:sz w:val="18"/>
          <w:szCs w:val="18"/>
          <w:color w:val="auto"/>
        </w:rPr>
        <w:t>. In the event of (a) any dividend (other than regular cash dividends) or other distribution (whether in the form of cash, shares of Common Stock, other securities or other property), recapitalization, stock split, reverse stock split, reorganization, merger, amalgamation,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make any such adjustments in such manner as it may deem equitable, including without limitation any or all of the following:</w:t>
      </w:r>
    </w:p>
    <w:p>
      <w:pPr>
        <w:spacing w:after="0" w:line="189" w:lineRule="exact"/>
        <w:rPr>
          <w:rFonts w:ascii="Times New Roman" w:cs="Times New Roman" w:eastAsia="Times New Roman" w:hAnsi="Times New Roman"/>
          <w:sz w:val="18"/>
          <w:szCs w:val="18"/>
          <w:color w:val="auto"/>
        </w:rPr>
      </w:pPr>
    </w:p>
    <w:p>
      <w:pPr>
        <w:jc w:val="both"/>
        <w:ind w:left="640" w:firstLine="1290"/>
        <w:spacing w:after="0" w:line="253" w:lineRule="auto"/>
        <w:tabs>
          <w:tab w:leader="none" w:pos="21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any or all of (A)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and/or (3) any applicable performance measures;</w:t>
      </w:r>
    </w:p>
    <w:p>
      <w:pPr>
        <w:spacing w:after="0" w:line="186" w:lineRule="exact"/>
        <w:rPr>
          <w:rFonts w:ascii="Times New Roman" w:cs="Times New Roman" w:eastAsia="Times New Roman" w:hAnsi="Times New Roman"/>
          <w:sz w:val="18"/>
          <w:szCs w:val="18"/>
          <w:color w:val="auto"/>
        </w:rPr>
      </w:pPr>
    </w:p>
    <w:p>
      <w:pPr>
        <w:jc w:val="both"/>
        <w:ind w:left="640" w:firstLine="1290"/>
        <w:spacing w:after="0" w:line="257" w:lineRule="auto"/>
        <w:tabs>
          <w:tab w:leader="none" w:pos="219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or become no longer exercisable upon the occurrence of such event);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7" w:name="page18"/>
    <w:bookmarkEnd w:id="17"/>
    <w:p>
      <w:pPr>
        <w:jc w:val="both"/>
        <w:ind w:left="640" w:firstLine="1290"/>
        <w:spacing w:after="0" w:line="265" w:lineRule="auto"/>
        <w:tabs>
          <w:tab w:leader="none" w:pos="2247"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per-share Exercise Price or Strike Price equal to, or in excess of, the Fair Market Value (as of the date specified by the Committee) of a share of Common Stock subject thereto may be canceled and terminated without any payment or consideration therefor); provided, however, that the Committee shall make an equitable or proportionate adjustment to outstanding Awards to reflect any “equity restructuring” (within the meaning of the Financial Accounting Standards Codification Topic 718 (or any successor pronouncement thereto)). Except as otherwise determined by the Committee, any adjustments under this Section 11 shall be made in a manner that does not adversely affect the exemption provided pursuant to Rule16b-3 promulgated under the Exchange Act. The Company shall give each Participant notice of an adjustment hereunder and, upon notice, such adjustment shall be conclusive and binding for all purposes. In anticipation of the occurrence of any event listed in the first sentence of this Section 11, for reasons of administrative convenience, the Committee in its sole discretion may refuse to permit the exercise of any Award during a period of up to 30 days prior to, and/or up to 30 days after, the anticipated occurrence of any such event.</w:t>
      </w:r>
    </w:p>
    <w:p>
      <w:pPr>
        <w:spacing w:after="0" w:line="182" w:lineRule="exact"/>
        <w:rPr>
          <w:rFonts w:ascii="Times New Roman" w:cs="Times New Roman" w:eastAsia="Times New Roman" w:hAnsi="Times New Roman"/>
          <w:sz w:val="17"/>
          <w:szCs w:val="17"/>
          <w:color w:val="auto"/>
        </w:rPr>
      </w:pPr>
    </w:p>
    <w:p>
      <w:pPr>
        <w:jc w:val="both"/>
        <w:ind w:firstLine="648"/>
        <w:spacing w:after="0" w:line="262" w:lineRule="auto"/>
        <w:tabs>
          <w:tab w:leader="none" w:pos="9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in Control</w:t>
      </w:r>
      <w:r>
        <w:rPr>
          <w:rFonts w:ascii="Times New Roman" w:cs="Times New Roman" w:eastAsia="Times New Roman" w:hAnsi="Times New Roman"/>
          <w:sz w:val="18"/>
          <w:szCs w:val="18"/>
          <w:color w:val="auto"/>
        </w:rPr>
        <w:t>. Except to the extent otherwise provided in an Award Agreement, or any applicable employment, consulting, change-in-control, severance or other agreement between the Participant and the Company or an Affiliate, in the event of a Change in Control, notwithstanding any provision of the Plan to the contrary:</w:t>
      </w:r>
    </w:p>
    <w:p>
      <w:pPr>
        <w:spacing w:after="0" w:line="177" w:lineRule="exact"/>
        <w:rPr>
          <w:rFonts w:ascii="Times New Roman" w:cs="Times New Roman" w:eastAsia="Times New Roman" w:hAnsi="Times New Roman"/>
          <w:sz w:val="18"/>
          <w:szCs w:val="18"/>
          <w:color w:val="auto"/>
        </w:rPr>
      </w:pPr>
    </w:p>
    <w:p>
      <w:pPr>
        <w:jc w:val="both"/>
        <w:ind w:firstLine="1289"/>
        <w:spacing w:after="0" w:line="252" w:lineRule="auto"/>
        <w:tabs>
          <w:tab w:leader="none" w:pos="152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employment with or service to the Company or an Affiliate is terminated by the Company or Affiliate without Cause (and other than due to death or Disability) on or within 12 months following a Change in Control, all Options and SARs held by such Participant shall automatically become immediately exercisable with respect to 100% of the shares subject to such Options and SARs, and that the Restricted Period (and any other conditions) shall expire immediately with respect to 100% of the shares of Restricted Stock and Restricted Stock Units and any other Awards held by such Participant (including a waiver of any applicable performance goals); provided, that if the vesting or exercisability of any Award would otherwise be subject to the achievement of performance conditions, the portion of such Award that shall become fully vested and immediately exercisable shall be based on the assumed achievement of actual or target performance as determined by the Committee and, unless otherwise determined by the Committee, prorated for the number of days elapsed from the grant date of such Award through the date of termination.</w:t>
      </w:r>
    </w:p>
    <w:p>
      <w:pPr>
        <w:spacing w:after="0" w:line="184" w:lineRule="exact"/>
        <w:rPr>
          <w:rFonts w:ascii="Times New Roman" w:cs="Times New Roman" w:eastAsia="Times New Roman" w:hAnsi="Times New Roman"/>
          <w:sz w:val="18"/>
          <w:szCs w:val="18"/>
          <w:color w:val="auto"/>
        </w:rPr>
      </w:pPr>
    </w:p>
    <w:p>
      <w:pPr>
        <w:jc w:val="both"/>
        <w:ind w:firstLine="1289"/>
        <w:spacing w:after="0" w:line="252" w:lineRule="auto"/>
        <w:tabs>
          <w:tab w:leader="none" w:pos="154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Committee may upon at least ten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stockholders of the Company in the event (it being understood that any Option or SAR having a per-share Exercise Price or Strike Price equal to, or in excess of, the Fair Market Value (as of the date specified by the Committee) of a share of Common Stock subject thereto may be canceled and terminated without any payment or consideration therefor). Notwithstanding the above, the Committee shall exercise such discretion over the timing of settlement of any Award subject to Code Section 409A at the time such Award is granted.</w:t>
      </w:r>
    </w:p>
    <w:p>
      <w:pPr>
        <w:spacing w:after="0" w:line="189"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To the extent practicable, the provisions of this Section 12 shall occur in a manner and at a time that allows affected Participants the ability to participate in the Change in Control transaction with respect to the Common Stock subject to their Awards.</w:t>
      </w:r>
    </w:p>
    <w:p>
      <w:pPr>
        <w:spacing w:after="0" w:line="163" w:lineRule="exact"/>
        <w:rPr>
          <w:sz w:val="20"/>
          <w:szCs w:val="20"/>
          <w:color w:val="auto"/>
        </w:rPr>
      </w:pPr>
    </w:p>
    <w:p>
      <w:pPr>
        <w:ind w:left="920" w:hanging="272"/>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Termination</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firstLine="1289"/>
        <w:spacing w:after="0" w:line="268" w:lineRule="auto"/>
        <w:tabs>
          <w:tab w:leader="none" w:pos="153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Plan</w:t>
      </w:r>
      <w:r>
        <w:rPr>
          <w:rFonts w:ascii="Times New Roman" w:cs="Times New Roman" w:eastAsia="Times New Roman" w:hAnsi="Times New Roman"/>
          <w:sz w:val="17"/>
          <w:szCs w:val="17"/>
          <w:color w:val="auto"/>
        </w:rPr>
        <w:t>. 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applicable to the Plan (including, without limitation, as necessary to comply with any applicable rules or requirements of NASDAQ or of any other securities exchange or inter-dealer quotation service on which the shares of Common Stock is listed or quoted, for changes in GAAP to new accounting standards); and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is the required or advisable in order for the Company, the Plan or the Award to satisfy any applicable law or regulation. Notwithstanding the foregoing, no amendment shall be made to the last proviso of Section 13(b)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257175</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 w:name="page19"/>
    <w:bookmarkEnd w:id="18"/>
    <w:p>
      <w:pPr>
        <w:jc w:val="both"/>
        <w:ind w:left="-648" w:firstLine="648"/>
        <w:spacing w:after="0" w:line="249"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 Agreements</w:t>
      </w:r>
      <w:r>
        <w:rPr>
          <w:rFonts w:ascii="Times New Roman" w:cs="Times New Roman" w:eastAsia="Times New Roman" w:hAnsi="Times New Roman"/>
          <w:sz w:val="18"/>
          <w:szCs w:val="18"/>
          <w:color w:val="auto"/>
        </w:rPr>
        <w:t>. The Committee may, to the extent not inconsistent with the terms of any applicable Award Agreement or the Plan, waive any conditions or rights under, amend any terms of, or alter, suspend, discontinue, cancel or terminate, any Award theretofore granted or the associated Award Agreement, prospectively or retroactively (including after the Participant’s termination of employment or service with the Company);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is either required or advisable in order for the Company, the Plan or the Award to satisfy any applicable law or regulation; and provided, further, that except as otherwise permitted under Section 11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that would either (A) be reportable on the Company’s proxy statement or Form 10-K (if applicable) as Options that have been “repriced” (as such term is used in Item 402 of Regulation S-K promulgated under the Exchange Act), or (B) result in any “repricing” for financial statement reporting purposes (or otherwise cause the Award to fail to qualify for equity accounting treatment), (iii) the Committee takes any other action that is considered a “repricing” for purposes of the stockholder approval rules of the applicable securities exchange or inter-dealer quotation service on which the Common Stock is listed or quoted, or (iv) the Committee cancels any outstanding Option or SAR that has a per-share Exercise Price or Strike Price (as applicable) at or above the Fair Market Value of a share of Common Stock on the date of cancellation, and pays any consideration to the holder thereof, whether in cash, securities, or other property, or any combination thereof, then, in the case of the immediately preceding clauses (i) through (iv), any such action shall not be effective without stockholder approval.</w:t>
      </w:r>
    </w:p>
    <w:p>
      <w:pPr>
        <w:spacing w:after="0" w:line="196" w:lineRule="exact"/>
        <w:rPr>
          <w:sz w:val="20"/>
          <w:szCs w:val="20"/>
          <w:color w:val="auto"/>
        </w:rPr>
      </w:pPr>
    </w:p>
    <w:p>
      <w:pPr>
        <w:ind w:left="272" w:hanging="272"/>
        <w:spacing w:after="0"/>
        <w:tabs>
          <w:tab w:leader="none" w:pos="2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648" w:firstLine="1289"/>
        <w:spacing w:after="0" w:line="257" w:lineRule="auto"/>
        <w:tabs>
          <w:tab w:leader="none" w:pos="9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Agreements; Other Agreements</w:t>
      </w:r>
      <w:r>
        <w:rPr>
          <w:rFonts w:ascii="Times New Roman" w:cs="Times New Roman" w:eastAsia="Times New Roman" w:hAnsi="Times New Roman"/>
          <w:sz w:val="18"/>
          <w:szCs w:val="18"/>
          <w:color w:val="auto"/>
        </w:rPr>
        <w:t>. Each Award under the Plan shall be evidenced by an Award Agreement, which shall be delivered to the Participant and shall specify the terms and conditions of the Award and any rules applicable thereto. In the event of any conflict between the terms of the Plan and any Award Agreement or employment, change-in-control, severance or other agreement in effect with the Participant, the term of the Plan shall control.</w:t>
      </w:r>
    </w:p>
    <w:p>
      <w:pPr>
        <w:spacing w:after="0" w:line="182" w:lineRule="exact"/>
        <w:rPr>
          <w:rFonts w:ascii="Times New Roman" w:cs="Times New Roman" w:eastAsia="Times New Roman" w:hAnsi="Times New Roman"/>
          <w:sz w:val="18"/>
          <w:szCs w:val="18"/>
          <w:color w:val="auto"/>
        </w:rPr>
      </w:pPr>
    </w:p>
    <w:p>
      <w:pPr>
        <w:ind w:left="892" w:hanging="251"/>
        <w:spacing w:after="0"/>
        <w:tabs>
          <w:tab w:leader="none" w:pos="8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8" w:firstLine="1290"/>
        <w:spacing w:after="0" w:line="255" w:lineRule="auto"/>
        <w:tabs>
          <w:tab w:leader="none" w:pos="1503"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82" w:lineRule="exact"/>
        <w:rPr>
          <w:rFonts w:ascii="Times New Roman" w:cs="Times New Roman" w:eastAsia="Times New Roman" w:hAnsi="Times New Roman"/>
          <w:sz w:val="18"/>
          <w:szCs w:val="18"/>
          <w:color w:val="auto"/>
        </w:rPr>
      </w:pPr>
    </w:p>
    <w:p>
      <w:pPr>
        <w:jc w:val="both"/>
        <w:ind w:left="-8" w:firstLine="1290"/>
        <w:spacing w:after="0" w:line="251" w:lineRule="auto"/>
        <w:tabs>
          <w:tab w:leader="none" w:pos="1541"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Committee may permit Awards to be transferred by the Participant, without consideration, subject to such rules as the Committee may adopt, to (A) any person who is a “family member” of the Participant, as such term is used in the instructions to Form S-8 under the Securities Act or any successor form of registration statements promulgated by the Securities and Exchange Commission (collectively, the “</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(B) a trust solely for the benefit of the Participant or the Participant’s Immediate Family Members; (C) a partnership or limited liability company whose only partners or stockholders are the Participant and the Participant’s Immediate Family Members; or (D) any other transferee as may be approved either (1) by the Board or the Committee, or (2) as provided in the applicable Award Agreement; (each transferee described in clause (A), (B), (C) or (D) above is hereinafter referred to as a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provided, that the Participant gives the Committee advance written notice describing the terms and conditions of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and the Committee notifies the Participant in writing that such a transfer would comply with the requirements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267335</wp:posOffset>
            </wp:positionV>
            <wp:extent cx="713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6" w:right="339" w:bottom="1440" w:gutter="0" w:footer="0" w:header="0"/>
        </w:sectPr>
      </w:pPr>
    </w:p>
    <w:bookmarkStart w:id="19" w:name="page20"/>
    <w:bookmarkEnd w:id="19"/>
    <w:p>
      <w:pPr>
        <w:jc w:val="both"/>
        <w:ind w:left="-480" w:firstLine="1290"/>
        <w:spacing w:after="0" w:line="250" w:lineRule="auto"/>
        <w:tabs>
          <w:tab w:leader="none" w:pos="113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Award transferred in accordance with the immediately preceding paragraph shall apply to the Permitted Transferee, and any reference in the Plan, or in any applicable Award 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 and (E) any non-competition, non-solicitation, non-disparagement, non-disclosure, or other restrictive covenants contained in any Award Agreement or other agreement between the Participant and the Company or any Affiliate shall continue to apply to the Participant and the consequences of the violation of such covenants shall continue to be applied with respect to the transferred Award, including without limitation the clawback and forfeiture provisions of Section 14(v) of the Plan.</w:t>
      </w:r>
    </w:p>
    <w:p>
      <w:pPr>
        <w:spacing w:after="0" w:line="187" w:lineRule="exact"/>
        <w:rPr>
          <w:rFonts w:ascii="Times New Roman" w:cs="Times New Roman" w:eastAsia="Times New Roman" w:hAnsi="Times New Roman"/>
          <w:sz w:val="18"/>
          <w:szCs w:val="18"/>
          <w:color w:val="auto"/>
        </w:rPr>
      </w:pPr>
    </w:p>
    <w:p>
      <w:pPr>
        <w:jc w:val="both"/>
        <w:ind w:left="-1120" w:firstLine="1289"/>
        <w:spacing w:after="0" w:line="252" w:lineRule="auto"/>
        <w:tabs>
          <w:tab w:leader="none" w:pos="4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Dividend Equivalents</w:t>
      </w:r>
      <w:r>
        <w:rPr>
          <w:rFonts w:ascii="Times New Roman" w:cs="Times New Roman" w:eastAsia="Times New Roman" w:hAnsi="Times New Roman"/>
          <w:sz w:val="18"/>
          <w:szCs w:val="18"/>
          <w:color w:val="auto"/>
        </w:rPr>
        <w:t>. The Committee may provide the Participant with dividends or dividend equivalents as part of an Award,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provided, that no dividends or dividend equivalents shall be payable (i) in respect of outstanding Options or SARs or (ii) in respect of any other Award unless and until the Participant vests in such underlying Award; provided, further,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184"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480" w:firstLine="1290"/>
        <w:spacing w:after="0" w:line="253" w:lineRule="auto"/>
        <w:tabs>
          <w:tab w:leader="none" w:pos="101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(up to the maximum permissible withholding amounts) in respect of an Award, its exercise, or any payment or transfer under an Award or under the Plan and to take such other action that the Committee or the Company deem necessary to satisfy all obligations for the payment of such withholding taxes.</w:t>
      </w:r>
    </w:p>
    <w:p>
      <w:pPr>
        <w:spacing w:after="0" w:line="187" w:lineRule="exact"/>
        <w:rPr>
          <w:sz w:val="20"/>
          <w:szCs w:val="20"/>
          <w:color w:val="auto"/>
        </w:rPr>
      </w:pPr>
    </w:p>
    <w:p>
      <w:pPr>
        <w:jc w:val="both"/>
        <w:ind w:left="-480" w:firstLine="1290"/>
        <w:spacing w:after="0" w:line="270" w:lineRule="auto"/>
        <w:tabs>
          <w:tab w:leader="none" w:pos="106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paragraph (i) above, the Committee may permit the Participant to satisfy, in whole or in part, the foregoing withholding liability by (A) payment in cash, (B) the delivery of shares of Common Stock (which shares are not subject to any pledge or other security interest) owned by the Participant having a Fair Market Value on such date equal to such withholding liability or (C) having the Company withhold from the number of shares of Common Stock otherwise issuable or deliverable pursuant to the exercise or settlement of the Award a number of shares with a Fair Market Value on such date equal to such withholding liability. In addition, subject to any requirements of applicable law, the Participant may also satisfy the tax withholding obligations by other methods, including selling shares of Common Stock that would otherwise be available for delivery, provided that the Board or the Committee has specifically approved such payment method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255905</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20" w:name="page21"/>
    <w:bookmarkEnd w:id="20"/>
    <w:p>
      <w:pPr>
        <w:jc w:val="both"/>
        <w:ind w:left="-1120" w:firstLine="1289"/>
        <w:spacing w:after="0" w:line="252" w:lineRule="auto"/>
        <w:tabs>
          <w:tab w:leader="none" w:pos="4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Claim to Awards; No Rights to Continued Employment, Directorship or Engagement</w:t>
      </w:r>
      <w:r>
        <w:rPr>
          <w:rFonts w:ascii="Times New Roman" w:cs="Times New Roman" w:eastAsia="Times New Roman" w:hAnsi="Times New Roman"/>
          <w:sz w:val="18"/>
          <w:szCs w:val="18"/>
          <w:color w:val="auto"/>
        </w:rPr>
        <w:t>. No employee, director of the Company, consultant providing service to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or to continue in the employ or the service of the Company or an Affiliate, nor shall it be construed as giving any Participant who is a director any rights to continued service on the Board.</w:t>
      </w:r>
    </w:p>
    <w:p>
      <w:pPr>
        <w:spacing w:after="0" w:line="184" w:lineRule="exact"/>
        <w:rPr>
          <w:rFonts w:ascii="Times New Roman" w:cs="Times New Roman" w:eastAsia="Times New Roman" w:hAnsi="Times New Roman"/>
          <w:sz w:val="18"/>
          <w:szCs w:val="18"/>
          <w:color w:val="auto"/>
        </w:rPr>
      </w:pPr>
    </w:p>
    <w:p>
      <w:pPr>
        <w:jc w:val="both"/>
        <w:ind w:left="-1120" w:firstLine="1289"/>
        <w:spacing w:after="0" w:line="252" w:lineRule="auto"/>
        <w:tabs>
          <w:tab w:leader="none" w:pos="3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International Participants</w:t>
      </w:r>
      <w:r>
        <w:rPr>
          <w:rFonts w:ascii="Times New Roman" w:cs="Times New Roman" w:eastAsia="Times New Roman" w:hAnsi="Times New Roman"/>
          <w:sz w:val="18"/>
          <w:szCs w:val="18"/>
          <w:color w:val="auto"/>
        </w:rPr>
        <w:t>.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that vary with local requirements. The Committee may also adopt rules, procedures or sub-plans applicable to particular Affiliates or locations.</w:t>
      </w:r>
    </w:p>
    <w:p>
      <w:pPr>
        <w:spacing w:after="0" w:line="188" w:lineRule="exact"/>
        <w:rPr>
          <w:rFonts w:ascii="Times New Roman" w:cs="Times New Roman" w:eastAsia="Times New Roman" w:hAnsi="Times New Roman"/>
          <w:sz w:val="18"/>
          <w:szCs w:val="18"/>
          <w:color w:val="auto"/>
        </w:rPr>
      </w:pPr>
    </w:p>
    <w:p>
      <w:pPr>
        <w:jc w:val="both"/>
        <w:ind w:left="-1120" w:firstLine="1289"/>
        <w:spacing w:after="0" w:line="253" w:lineRule="auto"/>
        <w:tabs>
          <w:tab w:leader="none" w:pos="4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 The Participant’s beneficiary shall be the Participant’s spouse (or domestic partner if such status is recognized by the Company and in such jurisdiction), or if the Participant is otherwise unmarried at the time of death, the Participant’s estate, except to the extent that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186" w:lineRule="exact"/>
        <w:rPr>
          <w:rFonts w:ascii="Times New Roman" w:cs="Times New Roman" w:eastAsia="Times New Roman" w:hAnsi="Times New Roman"/>
          <w:sz w:val="18"/>
          <w:szCs w:val="18"/>
          <w:color w:val="auto"/>
        </w:rPr>
      </w:pPr>
    </w:p>
    <w:p>
      <w:pPr>
        <w:jc w:val="both"/>
        <w:ind w:left="-1120" w:firstLine="1289"/>
        <w:spacing w:after="0" w:line="251" w:lineRule="auto"/>
        <w:tabs>
          <w:tab w:leader="none" w:pos="4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The Committee, in its sole discretion, shall determine the effect of all matters and questions related to the termination of employment of or service of a Participant.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189" w:lineRule="exact"/>
        <w:rPr>
          <w:rFonts w:ascii="Times New Roman" w:cs="Times New Roman" w:eastAsia="Times New Roman" w:hAnsi="Times New Roman"/>
          <w:sz w:val="18"/>
          <w:szCs w:val="18"/>
          <w:color w:val="auto"/>
        </w:rPr>
      </w:pPr>
    </w:p>
    <w:p>
      <w:pPr>
        <w:jc w:val="both"/>
        <w:ind w:left="-1120" w:firstLine="1289"/>
        <w:spacing w:after="0" w:line="262"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specifically provided in the Plan or any Award Agreement, no person shall be entitled to the privileges of ownership in respect of shares of Common Stock that are subject to Awards hereunder until such shares have been issued or delivered to that person.</w:t>
      </w:r>
    </w:p>
    <w:p>
      <w:pPr>
        <w:spacing w:after="0" w:line="177" w:lineRule="exact"/>
        <w:rPr>
          <w:rFonts w:ascii="Times New Roman" w:cs="Times New Roman" w:eastAsia="Times New Roman" w:hAnsi="Times New Roman"/>
          <w:sz w:val="18"/>
          <w:szCs w:val="18"/>
          <w:color w:val="auto"/>
        </w:rPr>
      </w:pPr>
    </w:p>
    <w:p>
      <w:pPr>
        <w:ind w:left="380" w:hanging="211"/>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480" w:firstLine="1290"/>
        <w:spacing w:after="0" w:line="262" w:lineRule="auto"/>
        <w:tabs>
          <w:tab w:leader="none" w:pos="102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shall be deemed to authorize the Committee or Board or any members thereof to take any action contrary to applicable law or regulation, or Nasdaq rules or the rules of any other securities exchange or inter-dealer quotation service on which the Common Stock is listed or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259715</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21" w:name="page22"/>
    <w:bookmarkEnd w:id="21"/>
    <w:p>
      <w:pPr>
        <w:jc w:val="both"/>
        <w:ind w:left="-480" w:firstLine="1290"/>
        <w:spacing w:after="0" w:line="249" w:lineRule="auto"/>
        <w:tabs>
          <w:tab w:leader="none" w:pos="108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delivered under the Plan shall be subject to such stop-transfer orders and other restrictions as the Committee may deem advisable under the Plan, the applicable Award Agreement, U.S. federal securities laws, or the rules, regulations and other requirements of the U.S. Securities and Exchange Commission, any securities exchange or inter-dealer quotation service upon which such shares or other securities of the Company 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95" w:lineRule="exact"/>
        <w:rPr>
          <w:rFonts w:ascii="Times New Roman" w:cs="Times New Roman" w:eastAsia="Times New Roman" w:hAnsi="Times New Roman"/>
          <w:sz w:val="18"/>
          <w:szCs w:val="18"/>
          <w:color w:val="auto"/>
        </w:rPr>
      </w:pPr>
    </w:p>
    <w:p>
      <w:pPr>
        <w:jc w:val="both"/>
        <w:ind w:left="-480" w:firstLine="1290"/>
        <w:spacing w:after="0" w:line="251" w:lineRule="auto"/>
        <w:tabs>
          <w:tab w:leader="none" w:pos="11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186" w:lineRule="exact"/>
        <w:rPr>
          <w:rFonts w:ascii="Times New Roman" w:cs="Times New Roman" w:eastAsia="Times New Roman" w:hAnsi="Times New Roman"/>
          <w:sz w:val="18"/>
          <w:szCs w:val="18"/>
          <w:color w:val="auto"/>
        </w:rPr>
      </w:pPr>
    </w:p>
    <w:p>
      <w:pPr>
        <w:jc w:val="both"/>
        <w:ind w:left="-1120" w:firstLine="1289"/>
        <w:spacing w:after="0" w:line="262" w:lineRule="auto"/>
        <w:tabs>
          <w:tab w:leader="none" w:pos="4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Elections</w:t>
      </w:r>
      <w:r>
        <w:rPr>
          <w:rFonts w:ascii="Times New Roman" w:cs="Times New Roman" w:eastAsia="Times New Roman" w:hAnsi="Times New Roman"/>
          <w:sz w:val="18"/>
          <w:szCs w:val="18"/>
          <w:color w:val="auto"/>
        </w:rPr>
        <w:t>. If a Participant, in connection with the acquisition of shares of Common Stock under the Plan, makes an election under Section 83(b) of the Code, the Participant shall notify the Company of such election within ten days after filing notice of the election with the Internal Revenue Service, in addition to any filing and notification required pursuant to Section 83(b) of the Code.</w:t>
      </w:r>
    </w:p>
    <w:p>
      <w:pPr>
        <w:spacing w:after="0" w:line="177" w:lineRule="exact"/>
        <w:rPr>
          <w:rFonts w:ascii="Times New Roman" w:cs="Times New Roman" w:eastAsia="Times New Roman" w:hAnsi="Times New Roman"/>
          <w:sz w:val="18"/>
          <w:szCs w:val="18"/>
          <w:color w:val="auto"/>
        </w:rPr>
      </w:pPr>
    </w:p>
    <w:p>
      <w:pPr>
        <w:jc w:val="both"/>
        <w:ind w:left="-1120" w:firstLine="1289"/>
        <w:spacing w:after="0" w:line="253" w:lineRule="auto"/>
        <w:tabs>
          <w:tab w:leader="none" w:pos="3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Persons Other Than Participants</w:t>
      </w:r>
      <w:r>
        <w:rPr>
          <w:rFonts w:ascii="Times New Roman" w:cs="Times New Roman" w:eastAsia="Times New Roman" w:hAnsi="Times New Roman"/>
          <w:sz w:val="18"/>
          <w:szCs w:val="18"/>
          <w:color w:val="auto"/>
        </w:rPr>
        <w:t>. If the Committee shall find that any person to whom any amount is payable under the Plan is unable to care for such person’s affairs because of illness or accident, or is a minor, or has died, then any payment due to such person or such person’s estate (unless a prior claim therefor has been made by a duly appointed legal representative or a beneficiary designation form has been filed with the Company) may, if the Committee so directs the Company, be paid to such person’s spouse, child, or relative, or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6" w:lineRule="exact"/>
        <w:rPr>
          <w:rFonts w:ascii="Times New Roman" w:cs="Times New Roman" w:eastAsia="Times New Roman" w:hAnsi="Times New Roman"/>
          <w:sz w:val="18"/>
          <w:szCs w:val="18"/>
          <w:color w:val="auto"/>
        </w:rPr>
      </w:pPr>
    </w:p>
    <w:p>
      <w:pPr>
        <w:jc w:val="both"/>
        <w:ind w:left="-1120" w:firstLine="1289"/>
        <w:spacing w:after="0" w:line="257" w:lineRule="auto"/>
        <w:tabs>
          <w:tab w:leader="none" w:pos="4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awards otherwise than under the Plan, and such arrangements may be either applicable generally or only in specific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262890</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22" w:name="page23"/>
    <w:bookmarkEnd w:id="22"/>
    <w:p>
      <w:pPr>
        <w:jc w:val="both"/>
        <w:ind w:left="-1120" w:firstLine="1289"/>
        <w:spacing w:after="0" w:line="252" w:lineRule="auto"/>
        <w:tabs>
          <w:tab w:leader="none" w:pos="4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Trust or Fund Created</w:t>
      </w:r>
      <w:r>
        <w:rPr>
          <w:rFonts w:ascii="Times New Roman" w:cs="Times New Roman" w:eastAsia="Times New Roman" w:hAnsi="Times New Roman"/>
          <w:sz w:val="18"/>
          <w:szCs w:val="18"/>
          <w:color w:val="auto"/>
        </w:rPr>
        <w:t>. This Plan and Awards hereunder are intended to be unfunded for tax purposes and for purposes of the Employee Retirement Income Security Act of 1974, as amended, and shall be construed and interpreted in accordance with such intent.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to otherwise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184" w:lineRule="exact"/>
        <w:rPr>
          <w:rFonts w:ascii="Times New Roman" w:cs="Times New Roman" w:eastAsia="Times New Roman" w:hAnsi="Times New Roman"/>
          <w:sz w:val="18"/>
          <w:szCs w:val="18"/>
          <w:color w:val="auto"/>
        </w:rPr>
      </w:pPr>
    </w:p>
    <w:p>
      <w:pPr>
        <w:jc w:val="both"/>
        <w:ind w:left="-1120" w:firstLine="1289"/>
        <w:spacing w:after="0" w:line="257" w:lineRule="auto"/>
        <w:tabs>
          <w:tab w:leader="none" w:pos="4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Reports</w:t>
      </w:r>
      <w:r>
        <w:rPr>
          <w:rFonts w:ascii="Times New Roman" w:cs="Times New Roman" w:eastAsia="Times New Roman" w:hAnsi="Times New Roman"/>
          <w:sz w:val="18"/>
          <w:szCs w:val="18"/>
          <w:color w:val="auto"/>
        </w:rPr>
        <w:t>. Each member of the Committee and each member of the Board (and each such member’s respective designees) shall be fully justified in acting or failing to act, as the case may be, and shall not be liable for having so acted or failed to act in good faith, in reliance upon any report made by the independent registered public accounting firm of the Company or any of its Affiliates or any other information furnished in connection with the Plan by any agent or advisor of the Company or the Committee or the Board.</w:t>
      </w:r>
    </w:p>
    <w:p>
      <w:pPr>
        <w:spacing w:after="0" w:line="182" w:lineRule="exact"/>
        <w:rPr>
          <w:rFonts w:ascii="Times New Roman" w:cs="Times New Roman" w:eastAsia="Times New Roman" w:hAnsi="Times New Roman"/>
          <w:sz w:val="18"/>
          <w:szCs w:val="18"/>
          <w:color w:val="auto"/>
        </w:rPr>
      </w:pPr>
    </w:p>
    <w:p>
      <w:pPr>
        <w:ind w:left="-1120" w:firstLine="1289"/>
        <w:spacing w:after="0" w:line="277" w:lineRule="auto"/>
        <w:tabs>
          <w:tab w:leader="none" w:pos="4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63" w:lineRule="exact"/>
        <w:rPr>
          <w:rFonts w:ascii="Times New Roman" w:cs="Times New Roman" w:eastAsia="Times New Roman" w:hAnsi="Times New Roman"/>
          <w:sz w:val="18"/>
          <w:szCs w:val="18"/>
          <w:color w:val="auto"/>
        </w:rPr>
      </w:pPr>
    </w:p>
    <w:p>
      <w:pPr>
        <w:jc w:val="both"/>
        <w:ind w:left="-1120" w:firstLine="1289"/>
        <w:spacing w:after="0" w:line="255" w:lineRule="auto"/>
        <w:tabs>
          <w:tab w:leader="none" w:pos="4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for Investment</w:t>
      </w:r>
      <w:r>
        <w:rPr>
          <w:rFonts w:ascii="Times New Roman" w:cs="Times New Roman" w:eastAsia="Times New Roman" w:hAnsi="Times New Roman"/>
          <w:sz w:val="18"/>
          <w:szCs w:val="18"/>
          <w:color w:val="auto"/>
        </w:rPr>
        <w:t>. Whether or not the Options and shares covered by the Plan have been registered under the Securities Act, each person exercising an Option under the Plan or acquiring shares under the Plan may be required by the Company to give a representation in writing that such person is acquiring such shares for investment and not with a view to, or for sale in connection with, the distribution of any part thereof. The Company will endorse any necessary legend referring to the foregoing restriction upon the certificate or certificates representing any shares issued or transferred to the Participant upon the exercise of any Option granted under the Plan.</w:t>
      </w:r>
    </w:p>
    <w:p>
      <w:pPr>
        <w:spacing w:after="0" w:line="182" w:lineRule="exact"/>
        <w:rPr>
          <w:rFonts w:ascii="Times New Roman" w:cs="Times New Roman" w:eastAsia="Times New Roman" w:hAnsi="Times New Roman"/>
          <w:sz w:val="18"/>
          <w:szCs w:val="18"/>
          <w:color w:val="auto"/>
        </w:rPr>
      </w:pPr>
    </w:p>
    <w:p>
      <w:pPr>
        <w:jc w:val="both"/>
        <w:ind w:left="-1120" w:firstLine="1289"/>
        <w:spacing w:after="0" w:line="262" w:lineRule="auto"/>
        <w:tabs>
          <w:tab w:leader="none" w:pos="3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shall be governed by and construed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77" w:lineRule="exact"/>
        <w:rPr>
          <w:rFonts w:ascii="Times New Roman" w:cs="Times New Roman" w:eastAsia="Times New Roman" w:hAnsi="Times New Roman"/>
          <w:sz w:val="18"/>
          <w:szCs w:val="18"/>
          <w:color w:val="auto"/>
        </w:rPr>
      </w:pPr>
    </w:p>
    <w:p>
      <w:pPr>
        <w:jc w:val="both"/>
        <w:ind w:left="-1120" w:firstLine="1289"/>
        <w:spacing w:after="0" w:line="255" w:lineRule="auto"/>
        <w:tabs>
          <w:tab w:leader="none" w:pos="4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82" w:lineRule="exact"/>
        <w:rPr>
          <w:rFonts w:ascii="Times New Roman" w:cs="Times New Roman" w:eastAsia="Times New Roman" w:hAnsi="Times New Roman"/>
          <w:sz w:val="18"/>
          <w:szCs w:val="18"/>
          <w:color w:val="auto"/>
        </w:rPr>
      </w:pPr>
    </w:p>
    <w:p>
      <w:pPr>
        <w:jc w:val="both"/>
        <w:ind w:left="-1120" w:firstLine="1289"/>
        <w:spacing w:after="0" w:line="262"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Binding on Successors</w:t>
      </w:r>
      <w:r>
        <w:rPr>
          <w:rFonts w:ascii="Times New Roman" w:cs="Times New Roman" w:eastAsia="Times New Roman" w:hAnsi="Times New Roman"/>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177"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jc w:val="both"/>
        <w:ind w:left="-480" w:firstLine="1290"/>
        <w:spacing w:after="0" w:line="251" w:lineRule="auto"/>
        <w:tabs>
          <w:tab w:leader="none" w:pos="10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the Plan be exempt from or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267335</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20"/>
          </w:cols>
          <w:pgMar w:left="1440" w:top="896" w:right="339" w:bottom="1440" w:gutter="0" w:footer="0" w:header="0"/>
        </w:sectPr>
      </w:pPr>
    </w:p>
    <w:bookmarkStart w:id="23" w:name="page24"/>
    <w:bookmarkEnd w:id="23"/>
    <w:p>
      <w:pPr>
        <w:jc w:val="both"/>
        <w:ind w:left="640" w:firstLine="1290"/>
        <w:spacing w:after="0" w:line="253" w:lineRule="auto"/>
        <w:tabs>
          <w:tab w:leader="none" w:pos="221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to the contrary, if the Participant is a “specified employee” within the meaning of Section 409A(a)(2)(B)(i) of the Code, no payments or deliveries in respect of any Awards that are payable on account of the Participant’s “separation from service” and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186" w:lineRule="exact"/>
        <w:rPr>
          <w:rFonts w:ascii="Times New Roman" w:cs="Times New Roman" w:eastAsia="Times New Roman" w:hAnsi="Times New Roman"/>
          <w:sz w:val="18"/>
          <w:szCs w:val="18"/>
          <w:color w:val="auto"/>
        </w:rPr>
      </w:pPr>
    </w:p>
    <w:p>
      <w:pPr>
        <w:jc w:val="both"/>
        <w:ind w:left="640" w:firstLine="1290"/>
        <w:spacing w:after="0" w:line="253" w:lineRule="auto"/>
        <w:tabs>
          <w:tab w:leader="none" w:pos="22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86" w:lineRule="exact"/>
        <w:rPr>
          <w:rFonts w:ascii="Times New Roman" w:cs="Times New Roman" w:eastAsia="Times New Roman" w:hAnsi="Times New Roman"/>
          <w:sz w:val="18"/>
          <w:szCs w:val="18"/>
          <w:color w:val="auto"/>
        </w:rPr>
      </w:pPr>
    </w:p>
    <w:p>
      <w:pPr>
        <w:jc w:val="both"/>
        <w:ind w:firstLine="1289"/>
        <w:spacing w:after="0" w:line="255" w:lineRule="auto"/>
        <w:tabs>
          <w:tab w:leader="none" w:pos="15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Clawback/Forfeiture</w:t>
      </w:r>
      <w:r>
        <w:rPr>
          <w:rFonts w:ascii="Times New Roman" w:cs="Times New Roman" w:eastAsia="Times New Roman" w:hAnsi="Times New Roman"/>
          <w:sz w:val="18"/>
          <w:szCs w:val="18"/>
          <w:color w:val="auto"/>
        </w:rPr>
        <w:t>. Notwithstanding anything to the contrary contained herein, to the extent required by applicable law (including, without limitation, Section 304 of the Sarbanes-Oxley Act and Section 954 of the Dodd-Frank Wall Street Reform and Consumer Protection Act and any rules or regulations promulgated thereunder) and/or the rules and regulations of NASDAQ or any other securities exchange or inter-dealer quotation service on which the Common Stock is listed or quoted, Awards shall be subject (including on a retroactive basis) to clawback, forfeiture or similar requirements (and such requirements shall be deemed incorporated by reference into all outstanding Award Agreements).</w:t>
      </w:r>
    </w:p>
    <w:p>
      <w:pPr>
        <w:spacing w:after="0" w:line="182" w:lineRule="exact"/>
        <w:rPr>
          <w:rFonts w:ascii="Times New Roman" w:cs="Times New Roman" w:eastAsia="Times New Roman" w:hAnsi="Times New Roman"/>
          <w:sz w:val="18"/>
          <w:szCs w:val="18"/>
          <w:color w:val="auto"/>
        </w:rPr>
      </w:pPr>
    </w:p>
    <w:p>
      <w:pPr>
        <w:jc w:val="both"/>
        <w:ind w:firstLine="1289"/>
        <w:spacing w:after="0" w:line="257" w:lineRule="auto"/>
        <w:tabs>
          <w:tab w:leader="none" w:pos="157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 or Covenants with Respect to Tax Qualification</w:t>
      </w:r>
      <w:r>
        <w:rPr>
          <w:rFonts w:ascii="Times New Roman" w:cs="Times New Roman" w:eastAsia="Times New Roman" w:hAnsi="Times New Roman"/>
          <w:sz w:val="18"/>
          <w:szCs w:val="18"/>
          <w:color w:val="auto"/>
        </w:rPr>
        <w:t>. Although the Company may endeavor to (i) 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182" w:lineRule="exact"/>
        <w:rPr>
          <w:rFonts w:ascii="Times New Roman" w:cs="Times New Roman" w:eastAsia="Times New Roman" w:hAnsi="Times New Roman"/>
          <w:sz w:val="18"/>
          <w:szCs w:val="18"/>
          <w:color w:val="auto"/>
        </w:rPr>
      </w:pPr>
    </w:p>
    <w:p>
      <w:pPr>
        <w:jc w:val="both"/>
        <w:ind w:firstLine="1289"/>
        <w:spacing w:after="0" w:line="257" w:lineRule="auto"/>
        <w:tabs>
          <w:tab w:leader="none" w:pos="15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w:t>
      </w:r>
      <w:r>
        <w:rPr>
          <w:rFonts w:ascii="Times New Roman" w:cs="Times New Roman" w:eastAsia="Times New Roman" w:hAnsi="Times New Roman"/>
          <w:sz w:val="18"/>
          <w:szCs w:val="18"/>
          <w:color w:val="auto"/>
        </w:rPr>
        <w:t>. The existence of the Plan, any Award Agreement, and the Awards granted hereunder shall not affect or restrict in any way the right or power of the Company, the Board, the Committee,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or preferred or prior preference stocks whose rights are superior to or affect the Common Stock or the rights thereof or that are convertible into or exchangeable for Common Stock, or the dissolution or liquidation of the Company or any Affiliate, or any sale or transfer of all or any part of their assets or business, or any other corporate act or proceeding, whether of a similar character or otherwise.</w:t>
      </w:r>
    </w:p>
    <w:p>
      <w:pPr>
        <w:spacing w:after="0" w:line="177" w:lineRule="exact"/>
        <w:rPr>
          <w:sz w:val="20"/>
          <w:szCs w:val="20"/>
          <w:color w:val="auto"/>
        </w:rPr>
      </w:pPr>
    </w:p>
    <w:p>
      <w:pPr>
        <w:jc w:val="both"/>
        <w:ind w:firstLine="1289"/>
        <w:spacing w:after="0" w:line="262" w:lineRule="auto"/>
        <w:tabs>
          <w:tab w:leader="none" w:pos="15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Titles and Headings</w:t>
      </w:r>
      <w:r>
        <w:rPr>
          <w:rFonts w:ascii="Times New Roman" w:cs="Times New Roman" w:eastAsia="Times New Roman" w:hAnsi="Times New Roman"/>
          <w:sz w:val="18"/>
          <w:szCs w:val="18"/>
          <w:color w:val="auto"/>
        </w:rPr>
        <w:t>. The expenses of administering the Plan shall be borne by the Company and its Affiliates. The titles and headings of the sections in the Plan are for convenience of reference only, and in the event of any conflict, the text of the Plan, rather than such titles or headings shall control.</w:t>
      </w:r>
    </w:p>
    <w:p>
      <w:pPr>
        <w:spacing w:after="0" w:line="177"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4" w:name="page25"/>
    <w:bookmarkEnd w:id="24"/>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As adopted by the Company on September 22, 2021, as amended and restated by the Company on January 12, 2022, as amended and restated by the Company on March 13, 2023, as amended and restated by the Company on February 26, 2024, as amended and restated by the Company on November 22, 2024, and as further amended and restated by the Company on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5" w:name="page26"/>
    <w:bookmarkEnd w:id="25"/>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IOVANCE BIOTHERAPEUTICS,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vMerge w:val="restart"/>
            <w:shd w:val="clear" w:color="auto" w:fill="9ADAF6"/>
          </w:tcPr>
          <w:p>
            <w:pPr>
              <w:ind w:left="14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160" w:type="dxa"/>
            <w:vAlign w:val="bottom"/>
            <w:shd w:val="clear" w:color="auto" w:fill="9ADAF6"/>
          </w:tcPr>
          <w:p>
            <w:pPr>
              <w:ind w:left="4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w w:val="99"/>
              </w:rPr>
              <w:t>Registered</w:t>
            </w: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4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1,250,000</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$ 3.97</w:t>
            </w:r>
          </w:p>
        </w:tc>
        <w:tc>
          <w:tcPr>
            <w:tcW w:w="20" w:type="dxa"/>
            <w:vAlign w:val="bottom"/>
          </w:tcPr>
          <w:p>
            <w:pPr>
              <w:spacing w:after="0"/>
              <w:rPr>
                <w:sz w:val="20"/>
                <w:szCs w:val="20"/>
                <w:color w:val="auto"/>
              </w:rPr>
            </w:pPr>
          </w:p>
        </w:tc>
        <w:tc>
          <w:tcPr>
            <w:tcW w:w="14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$ 685.32</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$0.0000416</w:t>
            </w:r>
          </w:p>
        </w:tc>
        <w:tc>
          <w:tcPr>
            <w:tcW w:w="2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4,962,500.00</w:t>
            </w:r>
          </w:p>
        </w:tc>
        <w:tc>
          <w:tcPr>
            <w:tcW w:w="40" w:type="dxa"/>
            <w:vAlign w:val="bottom"/>
          </w:tcPr>
          <w:p>
            <w:pPr>
              <w:spacing w:after="0"/>
              <w:rPr>
                <w:sz w:val="20"/>
                <w:szCs w:val="20"/>
                <w:color w:val="auto"/>
              </w:rPr>
            </w:pPr>
          </w:p>
        </w:tc>
        <w:tc>
          <w:tcPr>
            <w:tcW w:w="10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66 per</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$ 685.32</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4,962,500.00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$ 685.32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980" w:firstLine="2"/>
        <w:spacing w:after="0" w:line="248" w:lineRule="auto"/>
        <w:tabs>
          <w:tab w:leader="none" w:pos="1121" w:val="left"/>
        </w:tabs>
        <w:numPr>
          <w:ilvl w:val="0"/>
          <w:numId w:val="34"/>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the Registrant's common stock that becomes issuable in respect of the securities identified in the above table by reason of any stock dividend, stock split, recapitalization, or other similar transaction effected without the receipt of consideration that increases the number of the Registrant's outstanding shares of common stock.</w:t>
      </w:r>
    </w:p>
    <w:p>
      <w:pPr>
        <w:spacing w:after="0" w:line="195" w:lineRule="exact"/>
        <w:rPr>
          <w:rFonts w:ascii="Arial" w:cs="Arial" w:eastAsia="Arial" w:hAnsi="Arial"/>
          <w:sz w:val="21"/>
          <w:szCs w:val="21"/>
          <w:color w:val="auto"/>
        </w:rPr>
      </w:pPr>
    </w:p>
    <w:p>
      <w:pPr>
        <w:ind w:left="800" w:right="1600" w:firstLine="2"/>
        <w:spacing w:after="0" w:line="278" w:lineRule="auto"/>
        <w:tabs>
          <w:tab w:leader="none" w:pos="1121" w:val="left"/>
        </w:tabs>
        <w:numPr>
          <w:ilvl w:val="0"/>
          <w:numId w:val="34"/>
        </w:numPr>
        <w:rPr>
          <w:rFonts w:ascii="Arial" w:cs="Arial" w:eastAsia="Arial" w:hAnsi="Arial"/>
          <w:sz w:val="21"/>
          <w:szCs w:val="21"/>
          <w:color w:val="auto"/>
        </w:rPr>
      </w:pPr>
      <w:r>
        <w:rPr>
          <w:rFonts w:ascii="Arial" w:cs="Arial" w:eastAsia="Arial" w:hAnsi="Arial"/>
          <w:sz w:val="21"/>
          <w:szCs w:val="21"/>
          <w:color w:val="auto"/>
        </w:rPr>
        <w:t>Represents 1,250,000 additional shares of common stock reserved for issuance under the Registrant's Amended and Restated 2021 Inducement Plan.</w:t>
      </w:r>
    </w:p>
    <w:p>
      <w:pPr>
        <w:spacing w:after="0" w:line="161" w:lineRule="exact"/>
        <w:rPr>
          <w:rFonts w:ascii="Arial" w:cs="Arial" w:eastAsia="Arial" w:hAnsi="Arial"/>
          <w:sz w:val="21"/>
          <w:szCs w:val="21"/>
          <w:color w:val="auto"/>
        </w:rPr>
      </w:pPr>
    </w:p>
    <w:p>
      <w:pPr>
        <w:ind w:left="800" w:right="760" w:firstLine="2"/>
        <w:spacing w:after="0" w:line="258" w:lineRule="auto"/>
        <w:tabs>
          <w:tab w:leader="none" w:pos="1121" w:val="left"/>
        </w:tabs>
        <w:numPr>
          <w:ilvl w:val="0"/>
          <w:numId w:val="34"/>
        </w:numPr>
        <w:rPr>
          <w:rFonts w:ascii="Arial" w:cs="Arial" w:eastAsia="Arial" w:hAnsi="Arial"/>
          <w:sz w:val="21"/>
          <w:szCs w:val="21"/>
          <w:color w:val="auto"/>
        </w:rPr>
      </w:pPr>
      <w:r>
        <w:rPr>
          <w:rFonts w:ascii="Arial" w:cs="Arial" w:eastAsia="Arial" w:hAnsi="Arial"/>
          <w:sz w:val="21"/>
          <w:szCs w:val="21"/>
          <w:color w:val="auto"/>
        </w:rPr>
        <w:t>Estimated in accordance with Rule 457(c) and (h) under the Securities Act solely for the purpose of calculating the registration fee on the basis of $3.97, the average of the high and low prices of the Registrant's common stock as reported on The Nasdaq Global Market on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69215</wp:posOffset>
            </wp:positionV>
            <wp:extent cx="63874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0"/>
    </w:lvl>
  </w:abstractNum>
  <w:abstractNum w:abstractNumId="1">
    <w:nsid w:val="431BD7B7"/>
    <w:multiLevelType w:val="hybridMultilevel"/>
    <w:lvl w:ilvl="0">
      <w:lvlJc w:val="left"/>
      <w:lvlText w:val="%1:"/>
      <w:numFmt w:val="upperLetter"/>
      <w:start w:val="6"/>
    </w:lvl>
  </w:abstractNum>
  <w:abstractNum w:abstractNumId="2">
    <w:nsid w:val="3F2DBA31"/>
    <w:multiLevelType w:val="hybridMultilevel"/>
    <w:lvl w:ilvl="0">
      <w:lvlJc w:val="left"/>
      <w:lvlText w:val="%1."/>
      <w:numFmt w:val="decimal"/>
      <w:start w:val="1"/>
    </w:lvl>
    <w:lvl w:ilvl="1">
      <w:lvlJc w:val="left"/>
      <w:lvlText w:val="(%2)"/>
      <w:numFmt w:val="lowerLetter"/>
      <w:start w:val="1"/>
    </w:lvl>
  </w:abstractNum>
  <w:abstractNum w:abstractNumId="3">
    <w:nsid w:val="7C83E458"/>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4">
    <w:nsid w:val="257130A3"/>
    <w:multiLevelType w:val="hybridMultilevel"/>
    <w:lvl w:ilvl="0">
      <w:lvlJc w:val="left"/>
      <w:lvlText w:val="(%1)"/>
      <w:numFmt w:val="lowerLetter"/>
      <w:start w:val="25"/>
    </w:lvl>
    <w:lvl w:ilvl="1">
      <w:lvlJc w:val="left"/>
      <w:lvlText w:val="(%2)"/>
      <w:numFmt w:val="lowerLetter"/>
      <w:start w:val="7"/>
    </w:lvl>
    <w:lvl w:ilvl="2">
      <w:lvlJc w:val="left"/>
      <w:lvlText w:val="(%3)"/>
      <w:numFmt w:val="lowerRoman"/>
      <w:start w:val="1"/>
    </w:lvl>
  </w:abstractNum>
  <w:abstractNum w:abstractNumId="5">
    <w:nsid w:val="62BBD95A"/>
    <w:multiLevelType w:val="hybridMultilevel"/>
    <w:lvl w:ilvl="0">
      <w:lvlJc w:val="left"/>
      <w:lvlText w:val="%1"/>
      <w:numFmt w:val="lowerLetter"/>
      <w:start w:val="1"/>
    </w:lvl>
    <w:lvl w:ilvl="1">
      <w:lvlJc w:val="left"/>
      <w:lvlText w:val="(%2)"/>
      <w:numFmt w:val="lowerRoman"/>
      <w:start w:val="4"/>
    </w:lvl>
  </w:abstractNum>
  <w:abstractNum w:abstractNumId="6">
    <w:nsid w:val="436C6125"/>
    <w:multiLevelType w:val="hybridMultilevel"/>
    <w:lvl w:ilvl="0">
      <w:lvlJc w:val="left"/>
      <w:lvlText w:val="(%1)"/>
      <w:numFmt w:val="lowerLetter"/>
      <w:start w:val="8"/>
    </w:lvl>
    <w:lvl w:ilvl="1">
      <w:lvlJc w:val="left"/>
      <w:lvlText w:val="%2"/>
      <w:numFmt w:val="lowerRoman"/>
      <w:start w:val="1"/>
    </w:lvl>
  </w:abstractNum>
  <w:abstractNum w:abstractNumId="7">
    <w:nsid w:val="628C895D"/>
    <w:multiLevelType w:val="hybridMultilevel"/>
    <w:lvl w:ilvl="0">
      <w:lvlJc w:val="left"/>
      <w:lvlText w:val="(%1)"/>
      <w:numFmt w:val="lowerLetter"/>
      <w:start w:val="16"/>
    </w:lvl>
  </w:abstractNum>
  <w:abstractNum w:abstractNumId="8">
    <w:nsid w:val="333AB105"/>
    <w:multiLevelType w:val="hybridMultilevel"/>
    <w:lvl w:ilvl="0">
      <w:lvlJc w:val="left"/>
      <w:lvlText w:val="(%1)"/>
      <w:numFmt w:val="lowerLetter"/>
      <w:start w:val="27"/>
    </w:lvl>
  </w:abstractNum>
  <w:abstractNum w:abstractNumId="9">
    <w:nsid w:val="721DA317"/>
    <w:multiLevelType w:val="hybridMultilevel"/>
    <w:lvl w:ilvl="0">
      <w:lvlJc w:val="left"/>
      <w:lvlText w:val="%1"/>
      <w:numFmt w:val="decimal"/>
      <w:start w:val="1"/>
    </w:lvl>
    <w:lvl w:ilvl="1">
      <w:lvlJc w:val="left"/>
      <w:lvlText w:val="(%2)"/>
      <w:numFmt w:val="lowerLetter"/>
      <w:start w:val="35"/>
    </w:lvl>
  </w:abstractNum>
  <w:abstractNum w:abstractNumId="10">
    <w:nsid w:val="2443A858"/>
    <w:multiLevelType w:val="hybridMultilevel"/>
    <w:lvl w:ilvl="0">
      <w:lvlJc w:val="left"/>
      <w:lvlText w:val="%1."/>
      <w:numFmt w:val="decimal"/>
      <w:start w:val="4"/>
    </w:lvl>
    <w:lvl w:ilvl="1">
      <w:lvlJc w:val="left"/>
      <w:lvlText w:val="(%2)"/>
      <w:numFmt w:val="lowerLetter"/>
      <w:start w:val="1"/>
    </w:lvl>
  </w:abstractNum>
  <w:abstractNum w:abstractNumId="11">
    <w:nsid w:val="2D1D5AE9"/>
    <w:multiLevelType w:val="hybridMultilevel"/>
    <w:lvl w:ilvl="0">
      <w:lvlJc w:val="left"/>
      <w:lvlText w:val="%1"/>
      <w:numFmt w:val="decimal"/>
      <w:start w:val="1"/>
    </w:lvl>
    <w:lvl w:ilvl="1">
      <w:lvlJc w:val="left"/>
      <w:lvlText w:val="(%2)"/>
      <w:numFmt w:val="lowerLetter"/>
      <w:start w:val="5"/>
    </w:lvl>
  </w:abstractNum>
  <w:abstractNum w:abstractNumId="12">
    <w:nsid w:val="6763845E"/>
    <w:multiLevelType w:val="hybridMultilevel"/>
    <w:lvl w:ilvl="0">
      <w:lvlJc w:val="left"/>
      <w:lvlText w:val="%1."/>
      <w:numFmt w:val="decimal"/>
      <w:start w:val="5"/>
    </w:lvl>
    <w:lvl w:ilvl="1">
      <w:lvlJc w:val="left"/>
      <w:lvlText w:val="(%2)"/>
      <w:numFmt w:val="lowerLetter"/>
      <w:start w:val="1"/>
    </w:lvl>
  </w:abstractNum>
  <w:abstractNum w:abstractNumId="13">
    <w:nsid w:val="75A2A8D4"/>
    <w:multiLevelType w:val="hybridMultilevel"/>
    <w:lvl w:ilvl="0">
      <w:lvlJc w:val="left"/>
      <w:lvlText w:val="%1."/>
      <w:numFmt w:val="decimal"/>
      <w:start w:val="6"/>
    </w:lvl>
    <w:lvl w:ilvl="1">
      <w:lvlJc w:val="left"/>
      <w:lvlText w:val="(%2)"/>
      <w:numFmt w:val="lowerLetter"/>
      <w:start w:val="1"/>
    </w:lvl>
  </w:abstractNum>
  <w:abstractNum w:abstractNumId="14">
    <w:nsid w:val="8EDBDAB"/>
    <w:multiLevelType w:val="hybridMultilevel"/>
    <w:lvl w:ilvl="0">
      <w:lvlJc w:val="left"/>
      <w:lvlText w:val="%1."/>
      <w:numFmt w:val="decimal"/>
      <w:start w:val="8"/>
    </w:lvl>
    <w:lvl w:ilvl="1">
      <w:lvlJc w:val="left"/>
      <w:lvlText w:val="(%2)"/>
      <w:numFmt w:val="lowerLetter"/>
      <w:start w:val="1"/>
    </w:lvl>
  </w:abstractNum>
  <w:abstractNum w:abstractNumId="15">
    <w:nsid w:val="79838CB2"/>
    <w:multiLevelType w:val="hybridMultilevel"/>
    <w:lvl w:ilvl="0">
      <w:lvlJc w:val="left"/>
      <w:lvlText w:val="(%1)"/>
      <w:numFmt w:val="lowerLetter"/>
      <w:start w:val="2"/>
    </w:lvl>
    <w:lvl w:ilvl="1">
      <w:lvlJc w:val="left"/>
      <w:lvlText w:val="(%2)"/>
      <w:numFmt w:val="lowerRoman"/>
      <w:start w:val="1"/>
    </w:lvl>
  </w:abstractNum>
  <w:abstractNum w:abstractNumId="16">
    <w:nsid w:val="4353D0CD"/>
    <w:multiLevelType w:val="hybridMultilevel"/>
    <w:lvl w:ilvl="0">
      <w:lvlJc w:val="left"/>
      <w:lvlText w:val="(%1)"/>
      <w:numFmt w:val="lowerLetter"/>
      <w:start w:val="5"/>
    </w:lvl>
  </w:abstractNum>
  <w:abstractNum w:abstractNumId="17">
    <w:nsid w:val="B03E0C6"/>
    <w:multiLevelType w:val="hybridMultilevel"/>
    <w:lvl w:ilvl="0">
      <w:lvlJc w:val="left"/>
      <w:lvlText w:val="%1."/>
      <w:numFmt w:val="decimal"/>
      <w:start w:val="10"/>
    </w:lvl>
    <w:lvl w:ilvl="1">
      <w:lvlJc w:val="left"/>
      <w:lvlText w:val="(%2)"/>
      <w:numFmt w:val="lowerRoman"/>
      <w:start w:val="1"/>
    </w:lvl>
  </w:abstractNum>
  <w:abstractNum w:abstractNumId="18">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9">
    <w:nsid w:val="54E49EB4"/>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20">
    <w:nsid w:val="71F32454"/>
    <w:multiLevelType w:val="hybridMultilevel"/>
    <w:lvl w:ilvl="0">
      <w:lvlJc w:val="left"/>
      <w:lvlText w:val="%1."/>
      <w:numFmt w:val="decimal"/>
      <w:start w:val="13"/>
    </w:lvl>
    <w:lvl w:ilvl="1">
      <w:lvlJc w:val="left"/>
      <w:lvlText w:val="(%2)"/>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3">
    <w:nsid w:val="2901D82"/>
    <w:multiLevelType w:val="hybridMultilevel"/>
    <w:lvl w:ilvl="0">
      <w:lvlJc w:val="left"/>
      <w:lvlText w:val="%1"/>
      <w:numFmt w:val="lowerLetter"/>
      <w:start w:val="1"/>
    </w:lvl>
    <w:lvl w:ilvl="1">
      <w:lvlJc w:val="left"/>
      <w:lvlText w:val="(%2)"/>
      <w:numFmt w:val="lowerLetter"/>
      <w:start w:val="61"/>
    </w:lvl>
  </w:abstractNum>
  <w:abstractNum w:abstractNumId="24">
    <w:nsid w:val="3A95F874"/>
    <w:multiLevelType w:val="hybridMultilevel"/>
    <w:lvl w:ilvl="0">
      <w:lvlJc w:val="left"/>
      <w:lvlText w:val="(%1)"/>
      <w:numFmt w:val="lowerLetter"/>
      <w:start w:val="3"/>
    </w:lvl>
    <w:lvl w:ilvl="1">
      <w:lvlJc w:val="left"/>
      <w:lvlText w:val="(%2)"/>
      <w:numFmt w:val="lowerLetter"/>
      <w:start w:val="9"/>
    </w:lvl>
  </w:abstractNum>
  <w:abstractNum w:abstractNumId="25">
    <w:nsid w:val="8138641"/>
    <w:multiLevelType w:val="hybridMultilevel"/>
    <w:lvl w:ilvl="0">
      <w:lvlJc w:val="left"/>
      <w:lvlText w:val="(%1)"/>
      <w:numFmt w:val="lowerRoman"/>
      <w:start w:val="2"/>
    </w:lvl>
  </w:abstractNum>
  <w:abstractNum w:abstractNumId="26">
    <w:nsid w:val="1E7FF521"/>
    <w:multiLevelType w:val="hybridMultilevel"/>
    <w:lvl w:ilvl="0">
      <w:lvlJc w:val="left"/>
      <w:lvlText w:val="(%1)"/>
      <w:numFmt w:val="lowerLetter"/>
      <w:start w:val="5"/>
    </w:lvl>
    <w:lvl w:ilvl="1">
      <w:lvlJc w:val="left"/>
      <w:lvlText w:val="(%2)"/>
      <w:numFmt w:val="lowerLetter"/>
      <w:start w:val="9"/>
    </w:lvl>
  </w:abstractNum>
  <w:abstractNum w:abstractNumId="27">
    <w:nsid w:val="7C3DBD3D"/>
    <w:multiLevelType w:val="hybridMultilevel"/>
    <w:lvl w:ilvl="0">
      <w:lvlJc w:val="left"/>
      <w:lvlText w:val="%1"/>
      <w:numFmt w:val="lowerLetter"/>
      <w:start w:val="1"/>
    </w:lvl>
    <w:lvl w:ilvl="1">
      <w:lvlJc w:val="left"/>
      <w:lvlText w:val="(%2)"/>
      <w:numFmt w:val="lowerRoman"/>
      <w:start w:val="2"/>
    </w:lvl>
  </w:abstractNum>
  <w:abstractNum w:abstractNumId="28">
    <w:nsid w:val="737B8DDC"/>
    <w:multiLevelType w:val="hybridMultilevel"/>
    <w:lvl w:ilvl="0">
      <w:lvlJc w:val="left"/>
      <w:lvlText w:val="(%1)"/>
      <w:numFmt w:val="lowerLetter"/>
      <w:start w:val="11"/>
    </w:lvl>
    <w:lvl w:ilvl="1">
      <w:lvlJc w:val="left"/>
      <w:lvlText w:val="%2"/>
      <w:numFmt w:val="lowerRoman"/>
      <w:start w:val="1"/>
    </w:lvl>
  </w:abstractNum>
  <w:abstractNum w:abstractNumId="29">
    <w:nsid w:val="6CEAF087"/>
    <w:multiLevelType w:val="hybridMultilevel"/>
    <w:lvl w:ilvl="0">
      <w:lvlJc w:val="left"/>
      <w:lvlText w:val="(%1)"/>
      <w:numFmt w:val="lowerLetter"/>
      <w:start w:val="14"/>
    </w:lvl>
    <w:lvl w:ilvl="1">
      <w:lvlJc w:val="left"/>
      <w:lvlText w:val="(%2)"/>
      <w:numFmt w:val="lowerLetter"/>
      <w:start w:val="9"/>
    </w:lvl>
  </w:abstractNum>
  <w:abstractNum w:abstractNumId="30">
    <w:nsid w:val="22221A70"/>
    <w:multiLevelType w:val="hybridMultilevel"/>
    <w:lvl w:ilvl="0">
      <w:lvlJc w:val="left"/>
      <w:lvlText w:val="%1"/>
      <w:numFmt w:val="lowerLetter"/>
      <w:start w:val="1"/>
    </w:lvl>
    <w:lvl w:ilvl="1">
      <w:lvlJc w:val="left"/>
      <w:lvlText w:val="(%2)"/>
      <w:numFmt w:val="lowerRoman"/>
      <w:start w:val="2"/>
    </w:lvl>
  </w:abstractNum>
  <w:abstractNum w:abstractNumId="31">
    <w:nsid w:val="4516DDE9"/>
    <w:multiLevelType w:val="hybridMultilevel"/>
    <w:lvl w:ilvl="0">
      <w:lvlJc w:val="left"/>
      <w:lvlText w:val="(%1)"/>
      <w:numFmt w:val="lowerLetter"/>
      <w:start w:val="22"/>
    </w:lvl>
    <w:lvl w:ilvl="1">
      <w:lvlJc w:val="left"/>
      <w:lvlText w:val="%2"/>
      <w:numFmt w:val="lowerRoman"/>
      <w:start w:val="1"/>
    </w:lvl>
  </w:abstractNum>
  <w:abstractNum w:abstractNumId="32">
    <w:nsid w:val="3006C83E"/>
    <w:multiLevelType w:val="hybridMultilevel"/>
    <w:lvl w:ilvl="0">
      <w:lvlJc w:val="left"/>
      <w:lvlText w:val="(%1)"/>
      <w:numFmt w:val="lowerLetter"/>
      <w:start w:val="25"/>
    </w:lvl>
    <w:lvl w:ilvl="1">
      <w:lvlJc w:val="left"/>
      <w:lvlText w:val="*"/>
      <w:numFmt w:val="bullet"/>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14" Type="http://schemas.openxmlformats.org/officeDocument/2006/relationships/hyperlink" Target="https://www.sec.gov/Archives/edgar/data/1425205/000110465922032967/tm228903d1_s8.htm" TargetMode="External"/><Relationship Id="rId15" Type="http://schemas.openxmlformats.org/officeDocument/2006/relationships/hyperlink" Target="https://www.sec.gov/Archives/edgar/data/1425205/000110465924128516/tm2430094d1_s8.htm" TargetMode="External"/><Relationship Id="rId16" Type="http://schemas.openxmlformats.org/officeDocument/2006/relationships/hyperlink" Target="https://www.sec.gov/Archives/edgar/data/1425205/000110465924059473/tm2412380d1_s8.htm" TargetMode="External"/><Relationship Id="rId19" Type="http://schemas.openxmlformats.org/officeDocument/2006/relationships/hyperlink" Target="https://www.sec.gov/Archives/edgar/data/1425205/000110465926075778/iova-20260618xex3d1.htm" TargetMode="External"/><Relationship Id="rId20" Type="http://schemas.openxmlformats.org/officeDocument/2006/relationships/hyperlink" Target="http://www.sec.gov/Archives/edgar/data/1425205/000110465924041200/tm2410183d1_ex3-1.htm" TargetMode="External"/><Relationship Id="rId21" Type="http://schemas.openxmlformats.org/officeDocument/2006/relationships/hyperlink" Target="http://www.sec.gov/Archives/edgar/data/1425205/000114420418014151/tv485173_ex4-2.htm" TargetMode="External"/><Relationship Id="rId22" Type="http://schemas.openxmlformats.org/officeDocument/2006/relationships/hyperlink" Target="https://www.sec.gov/Archives/edgar/data/1425205/000155837021012704/iova-20210922xex10d2.htm" TargetMode="External"/><Relationship Id="rId23" Type="http://schemas.openxmlformats.org/officeDocument/2006/relationships/hyperlink" Target="https://www.sec.gov/Archives/edgar/data/1425205/000155837021012704/iova-20210922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2026-06-18T16:27:26Z</dcterms:created>
  <dcterms:modified xsi:type="dcterms:W3CDTF">2026-06-18T16:27:26Z</dcterms:modified>
</cp:coreProperties>
</file>