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40" w:right="2160" w:hanging="3832"/>
        <w:spacing w:after="0" w:line="277" w:lineRule="auto"/>
        <w:tabs>
          <w:tab w:leader="none" w:pos="58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2017</w:t>
      </w:r>
    </w:p>
    <w:p>
      <w:pPr>
        <w:spacing w:after="0" w:line="17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4160"/>
        <w:spacing w:after="0"/>
        <w:tabs>
          <w:tab w:leader="none" w:pos="6700" w:val="left"/>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4063365</wp:posOffset>
            </wp:positionH>
            <wp:positionV relativeFrom="paragraph">
              <wp:posOffset>-20320</wp:posOffset>
            </wp:positionV>
            <wp:extent cx="142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-20320</wp:posOffset>
            </wp:positionV>
            <wp:extent cx="142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89"/>
              </w:rPr>
              <w:t>Delaware</w:t>
            </w:r>
          </w:p>
        </w:tc>
        <w:tc>
          <w:tcPr>
            <w:tcW w:w="3540" w:type="dxa"/>
            <w:vAlign w:val="bottom"/>
          </w:tcPr>
          <w:p>
            <w:pPr>
              <w:jc w:val="center"/>
              <w:ind w:left="1810"/>
              <w:spacing w:after="0"/>
              <w:rPr>
                <w:sz w:val="20"/>
                <w:szCs w:val="20"/>
                <w:color w:val="auto"/>
              </w:rPr>
            </w:pPr>
            <w:r>
              <w:rPr>
                <w:rFonts w:ascii="Arial" w:cs="Arial" w:eastAsia="Arial" w:hAnsi="Arial"/>
                <w:sz w:val="18"/>
                <w:szCs w:val="18"/>
                <w:color w:val="auto"/>
                <w:w w:val="91"/>
              </w:rPr>
              <w:t>75-3254381</w:t>
            </w:r>
          </w:p>
        </w:tc>
      </w:tr>
      <w:tr>
        <w:trPr>
          <w:trHeight w:val="216"/>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left="183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ind w:left="382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75" w:right="239" w:bottom="1440" w:gutter="0" w:footer="0" w:header="0"/>
        </w:sectPr>
      </w:pPr>
    </w:p>
    <w:p>
      <w:pPr>
        <w:spacing w:after="0" w:line="181"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 Do not check if a smaller reporting company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780" w:space="140"/>
            <w:col w:w="4440" w:space="720"/>
            <w:col w:w="4340"/>
          </w:cols>
          <w:pgMar w:left="240" w:top="675" w:right="239" w:bottom="1440" w:gutter="0" w:footer="0" w:header="0"/>
          <w:type w:val="continuous"/>
        </w:sectPr>
      </w:pPr>
    </w:p>
    <w:p>
      <w:pPr>
        <w:spacing w:after="0" w:line="3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91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 October 31, 2017, the issuer had 72,632,717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80" w:type="dxa"/>
            <w:vAlign w:val="bottom"/>
            <w:gridSpan w:val="1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280" w:type="dxa"/>
            <w:vAlign w:val="bottom"/>
            <w:gridSpan w:val="4"/>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7980" w:type="dxa"/>
            <w:vAlign w:val="bottom"/>
            <w:gridSpan w:val="1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5"/>
                <w:szCs w:val="15"/>
                <w:color w:val="auto"/>
              </w:rPr>
            </w:pPr>
          </w:p>
        </w:tc>
        <w:tc>
          <w:tcPr>
            <w:tcW w:w="7980" w:type="dxa"/>
            <w:vAlign w:val="bottom"/>
            <w:gridSpan w:val="1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2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16"/>
          </w:tcPr>
          <w:p>
            <w:pPr>
              <w:spacing w:after="0"/>
              <w:rPr>
                <w:sz w:val="20"/>
                <w:szCs w:val="20"/>
                <w:color w:val="auto"/>
              </w:rPr>
            </w:pPr>
            <w:r>
              <w:rPr>
                <w:rFonts w:ascii="Arial" w:cs="Arial" w:eastAsia="Arial" w:hAnsi="Arial"/>
                <w:sz w:val="18"/>
                <w:szCs w:val="18"/>
                <w:color w:val="auto"/>
              </w:rPr>
              <w:t>PART II OTHER INFORMATION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8"/>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7980" w:type="dxa"/>
            <w:vAlign w:val="bottom"/>
            <w:gridSpan w:val="1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38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Unregistered Sales of Securities and Use of Proceeds</w:t>
              </w:r>
            </w:hyperlink>
          </w:p>
        </w:tc>
        <w:tc>
          <w:tcPr>
            <w:tcW w:w="4160" w:type="dxa"/>
            <w:vAlign w:val="bottom"/>
            <w:tcBorders>
              <w:bottom w:val="single" w:sz="8" w:color="CCEEFF"/>
            </w:tcBorders>
            <w:gridSpan w:val="4"/>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7980" w:type="dxa"/>
            <w:vAlign w:val="bottom"/>
            <w:gridSpan w:val="1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w:t>
              </w:r>
            </w:hyperlink>
          </w:p>
        </w:tc>
        <w:tc>
          <w:tcPr>
            <w:tcW w:w="6280" w:type="dxa"/>
            <w:vAlign w:val="bottom"/>
            <w:tcBorders>
              <w:bottom w:val="single" w:sz="8" w:color="CCEEFF"/>
            </w:tcBorders>
            <w:gridSpan w:val="7"/>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7980" w:type="dxa"/>
            <w:vAlign w:val="bottom"/>
            <w:gridSpan w:val="1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6.</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380" w:type="dxa"/>
            <w:vAlign w:val="bottom"/>
            <w:tcBorders>
              <w:bottom w:val="single" w:sz="8" w:color="CCEEFF"/>
            </w:tcBorders>
            <w:gridSpan w:val="11"/>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60" w:type="dxa"/>
            <w:vAlign w:val="bottom"/>
            <w:gridSpan w:val="3"/>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520" w:type="dxa"/>
            <w:vAlign w:val="bottom"/>
          </w:tcPr>
          <w:p>
            <w:pPr>
              <w:ind w:left="324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520" w:type="dxa"/>
            <w:vAlign w:val="bottom"/>
          </w:tcPr>
          <w:p>
            <w:pPr>
              <w:ind w:left="3240"/>
              <w:spacing w:after="0"/>
              <w:rPr>
                <w:sz w:val="20"/>
                <w:szCs w:val="20"/>
                <w:color w:val="auto"/>
              </w:rPr>
            </w:pPr>
            <w:r>
              <w:rPr>
                <w:rFonts w:ascii="Arial" w:cs="Arial" w:eastAsia="Arial" w:hAnsi="Arial"/>
                <w:sz w:val="18"/>
                <w:szCs w:val="18"/>
                <w:b w:val="1"/>
                <w:bCs w:val="1"/>
                <w:color w:val="auto"/>
              </w:rPr>
              <w:t>IOVANCE BIOTHERAPEUTICS,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520" w:type="dxa"/>
            <w:vAlign w:val="bottom"/>
          </w:tcPr>
          <w:p>
            <w:pPr>
              <w:ind w:left="3220"/>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520" w:type="dxa"/>
            <w:vAlign w:val="bottom"/>
          </w:tcPr>
          <w:p>
            <w:pPr>
              <w:ind w:left="3220"/>
              <w:spacing w:after="0"/>
              <w:rPr>
                <w:sz w:val="20"/>
                <w:szCs w:val="20"/>
                <w:color w:val="auto"/>
              </w:rPr>
            </w:pPr>
            <w:r>
              <w:rPr>
                <w:rFonts w:ascii="Arial" w:cs="Arial" w:eastAsia="Arial" w:hAnsi="Arial"/>
                <w:sz w:val="18"/>
                <w:szCs w:val="18"/>
                <w:b w:val="1"/>
                <w:bCs w:val="1"/>
                <w:color w:val="auto"/>
              </w:rPr>
              <w:t>(in thousands, except share information)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163,380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Total Assets</w:t>
            </w:r>
          </w:p>
        </w:tc>
        <w:tc>
          <w:tcPr>
            <w:tcW w:w="75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173,970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w w:val="98"/>
              </w:rPr>
              <w:t>Series A Convertible Preferred stock, $0.001 par value; 17,000 shares authorized, 1,694 shares issued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3"/>
          </w:tcPr>
          <w:p>
            <w:pPr>
              <w:spacing w:after="0"/>
              <w:rPr>
                <w:sz w:val="20"/>
                <w:szCs w:val="20"/>
                <w:color w:val="auto"/>
              </w:rPr>
            </w:pPr>
            <w:r>
              <w:rPr>
                <w:rFonts w:ascii="Arial" w:cs="Arial" w:eastAsia="Arial" w:hAnsi="Arial"/>
                <w:sz w:val="18"/>
                <w:szCs w:val="18"/>
                <w:color w:val="auto"/>
                <w:w w:val="98"/>
              </w:rPr>
              <w:t>outstanding, as of September 30, 2017 and December 31, 2016, respectively (aggregate liquidation value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$1,694)</w:t>
            </w:r>
          </w:p>
        </w:tc>
        <w:tc>
          <w:tcPr>
            <w:tcW w:w="7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Series B Convertible Preferred stock, $0.001 par value; 11,500,000 shares authorized, 7,946,673 shares issued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and outstanding as of September 30, 2017 and December 31, 2016, respectively (aggregate liquidation value of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$37,747)</w:t>
            </w:r>
          </w:p>
        </w:tc>
        <w:tc>
          <w:tcPr>
            <w:tcW w:w="7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w w:val="96"/>
              </w:rPr>
              <w:t>Common stock, $0.000041666 par value; 150,000,000 shares authorized, 71,954,843 and 62,248,074 shares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3"/>
          </w:tcPr>
          <w:p>
            <w:pPr>
              <w:spacing w:after="0"/>
              <w:rPr>
                <w:sz w:val="20"/>
                <w:szCs w:val="20"/>
                <w:color w:val="auto"/>
              </w:rPr>
            </w:pPr>
            <w:r>
              <w:rPr>
                <w:rFonts w:ascii="Arial" w:cs="Arial" w:eastAsia="Arial" w:hAnsi="Arial"/>
                <w:sz w:val="18"/>
                <w:szCs w:val="18"/>
                <w:color w:val="auto"/>
              </w:rPr>
              <w:t>issued and outstanding as of September 30, 2017 and December 31, 2016, respectively</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(223,326)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17,753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54,029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(22,343)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(18,979)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(66,806)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ind w:left="160"/>
              <w:spacing w:after="0" w:line="201" w:lineRule="exact"/>
              <w:rPr>
                <w:sz w:val="20"/>
                <w:szCs w:val="20"/>
                <w:color w:val="auto"/>
              </w:rPr>
            </w:pPr>
            <w:r>
              <w:rPr>
                <w:rFonts w:ascii="Arial" w:cs="Arial" w:eastAsia="Arial" w:hAnsi="Arial"/>
                <w:sz w:val="18"/>
                <w:szCs w:val="18"/>
                <w:color w:val="auto"/>
              </w:rPr>
              <w:t>Deemed dividend related to beneficial conversion feature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convertible preferred stock</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(49,454)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(49,454)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Common Shares Outstanding, Basic and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63,332</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59,113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62,697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52,963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6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2016</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(37,206)</w:t>
            </w:r>
          </w:p>
        </w:tc>
        <w:tc>
          <w:tcPr>
            <w:tcW w:w="100" w:type="dxa"/>
            <w:vAlign w:val="bottom"/>
            <w:gridSpan w:val="2"/>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gain on short-term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(18,673</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(66,210)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discount (premium) on investments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Purchase of short- term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 term investments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59,705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issuance of preferred stock and common stock,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Unrealized (loss) gain on short-term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property and equipment under accounts payable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Offering costs under accounts payable and accrued expenses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Deemed dividend related to a beneficial conversion feature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Conversion of convertible preferred stock to common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Iovance Biotherapeutics, Inc. (the “Company,” “we,” “us” or “our”) is a biopharmaceutical company focused on the development and commercialization of novel cancer immunotherapy products designed to harness the power of a patient’s own immune system to eradicate cancer cells. Our lead program is an adoptive cell therapy (ACT) utilizing tumor-infiltrating lymphocytes (TIL), which are T cells derived from patients’ tumors, for the treatment of metastatic melanoma. The TIL are extracted from the tumor tissue, expanded in our manufacturing suites and then infused back into the patient to fight their cancer. On June 1, 2017, the Company reincorporated to become a Company governed by Delaware corporation laws. On June 27, 2017, we changed our name to Iovance Biotherapeutics, Inc.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and nine months ended September 30, 2017 and 2016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2016, was derived from the audited financial statements included in the Company's financial statements as of and for the year ended December 31, 2016 included in the Company’s Annual Report on Form 10-K filed with the Securities and Exchange Commission (the “SEC”) on March 8, 2017. These financial statements should be read in conjunction with that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currently engaged in the development of therapeutics to fight cancer, specifically solid tumors. We do not have any commercial products and have not yet generated any revenues from our business. We currently do not anticipate that we will generate any revenues during the upcoming 12 months, from the sale or licensing of any products. As shown in the accompanying financial statements, we have incurred a net loss of $66.2 million for the nine months ended September 30, 2017 and used $57.7 million of cash in our operating activities during the nine months ended September 30, 2017. As of September 30, 2017, we had $163.4 million of cash and cash equivalents.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expects to further increase its research and development activities, which will increase the amount of cash used during the remainder of 2017 and beyond. Specifically, we expect continued spending on clinical trials, continued and expansion of manufacturing activities, higher payroll expenses as we increase our professional and scientific staff and research and development activities. Based on the funds we have available, we believe that we have sufficient capital to fund our anticipated operating expenses for at least 12 months from the date that these financial statements are issued.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short-term investments are classified as “available-for-sale”. The Company includes these investments in current assets and carries them at fair value. Unrealized gains and losses on available-for-sale securities are included in accumulated other comprehensive income. The amortized cost of debt securities is adjusted for the amortization of premiums and accretion of discounts to maturity. Such amortization is included in interest income. Gains and losses on securities sold are recorded based on the specific identification method and are included in interest income in the statement of operations. We have not incurred any realized gains or losses from sales of securities to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Diluted net loss per share is computed using the weighted average number of shares of common stock outstanding during the period increased to include the number of additional shares of common stock that would have been outstanding if the potentially dilutive securities had been issued.</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At September 30, 2017 and 2016,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1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2"/>
              </w:rPr>
              <w:t>September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6,706,964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4,945,358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6,411,216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6,808,216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1380" w:type="dxa"/>
            <w:vAlign w:val="bottom"/>
          </w:tcPr>
          <w:p>
            <w:pPr>
              <w:jc w:val="right"/>
              <w:spacing w:after="0"/>
              <w:rPr>
                <w:sz w:val="20"/>
                <w:szCs w:val="20"/>
                <w:color w:val="auto"/>
              </w:rPr>
            </w:pPr>
            <w:r>
              <w:rPr>
                <w:rFonts w:ascii="Arial" w:cs="Arial" w:eastAsia="Arial" w:hAnsi="Arial"/>
                <w:sz w:val="18"/>
                <w:szCs w:val="18"/>
                <w:color w:val="auto"/>
              </w:rPr>
              <w:t>7,946,673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7,946,673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126,041</w:t>
            </w: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22,038,728</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21,106,414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dilutive effect of potentially dilutive securities is reflected in diluted earnings per common share by application of the treasury stock method. Under the treasury stock method, an increase in the fair market value of the Company's common stock can result in a greater dilutive effect from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valued assets we held and have held are generally assessed under Level 2 were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third-party pricing service providers. We review independent auditor’s reports from our third-party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there were no financial assets measured at fair value.</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8"/>
                <w:szCs w:val="18"/>
                <w:b w:val="1"/>
                <w:bCs w:val="1"/>
                <w:color w:val="auto"/>
                <w:w w:val="89"/>
              </w:rPr>
              <w:t>Assets at Fair Value as of December 31, 2016</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4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9"/>
                <w:szCs w:val="19"/>
                <w:color w:val="auto"/>
              </w:rPr>
            </w:pPr>
          </w:p>
        </w:tc>
      </w:tr>
      <w:tr>
        <w:trPr>
          <w:trHeight w:val="223"/>
        </w:trPr>
        <w:tc>
          <w:tcPr>
            <w:tcW w:w="4740" w:type="dxa"/>
            <w:vAlign w:val="bottom"/>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accounting for potential liabilities, the valuation allowance associated with the Company’s deferred tax assets, and the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subsidiary, Iovance Biotherapeutics GmbH (formerly Lion Biotechnologies GmbH). All intercompany accounts and transactions have been eliminated. The U.S. dollar is the functional currency for all the Company's consolidated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2" w:lineRule="exact"/>
        <w:rPr>
          <w:sz w:val="20"/>
          <w:szCs w:val="20"/>
          <w:color w:val="auto"/>
        </w:rPr>
      </w:pPr>
    </w:p>
    <w:p>
      <w:pPr>
        <w:jc w:val="both"/>
        <w:ind w:firstLine="8"/>
        <w:spacing w:after="0" w:line="254"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related to all our stock-based awards was recorded on the statements of operations as follows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ind w:left="50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5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2016</w:t>
            </w:r>
          </w:p>
        </w:tc>
        <w:tc>
          <w:tcPr>
            <w:tcW w:w="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1,053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4,336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1,566</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88"/>
              </w:rPr>
              <w:t>4,872</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tcPr>
          <w:p>
            <w:pPr>
              <w:spacing w:after="0"/>
              <w:rPr>
                <w:sz w:val="19"/>
                <w:szCs w:val="19"/>
                <w:color w:val="auto"/>
              </w:rPr>
            </w:pPr>
          </w:p>
        </w:tc>
      </w:tr>
      <w:tr>
        <w:trPr>
          <w:trHeight w:val="223"/>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2,619</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9,208</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Total stock-based compensation broken down based on each individual instrument was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2016</w:t>
            </w:r>
          </w:p>
        </w:tc>
        <w:tc>
          <w:tcPr>
            <w:tcW w:w="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Restricted stock award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3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per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Improvements to Employee Share-Based Payment Accounting. This ASU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ASU will be effective for fiscal years beginning after December 15, 2016, and interim periods within those annual periods. The Company adopted this ASU and it did not have a material impact on the Company’s disclosures in the footnotes to its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is effective for the Company on a prospective basis beginning on January 1, 2018, with early adoption permitted. The Company is currently evaluating the impact that ASU 2017-09 will have on its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consolidated financial statements.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amounts within the statements of cash flows for the prior periods have been reclassified to conform with the current period presentation. These reclassifications had no impact on the Company's previously reported financial position or cash flows for any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NOTE 3. CASH AND CASH EQUIVALENTS AND SHORT-TERM INVESTMENTS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780" w:type="dxa"/>
            <w:vAlign w:val="bottom"/>
            <w:gridSpan w:val="3"/>
          </w:tcPr>
          <w:p>
            <w:pPr>
              <w:spacing w:after="0"/>
              <w:rPr>
                <w:sz w:val="20"/>
                <w:szCs w:val="20"/>
                <w:color w:val="auto"/>
              </w:rPr>
            </w:pPr>
            <w:r>
              <w:rPr>
                <w:rFonts w:ascii="Arial" w:cs="Arial" w:eastAsia="Arial" w:hAnsi="Arial"/>
                <w:sz w:val="18"/>
                <w:szCs w:val="18"/>
                <w:color w:val="auto"/>
              </w:rPr>
              <w:t>Cash and cash equivalents and short-term investments consist of the following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8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Demand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76,071</w:t>
            </w:r>
          </w:p>
        </w:tc>
        <w:tc>
          <w:tcPr>
            <w:tcW w:w="1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equivalents - Money market funds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91,094</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30,646</w:t>
            </w:r>
          </w:p>
        </w:tc>
        <w:tc>
          <w:tcPr>
            <w:tcW w:w="100" w:type="dxa"/>
            <w:vAlign w:val="bottom"/>
            <w:tcBorders>
              <w:bottom w:val="single" w:sz="8" w:color="CCEE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 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163,380</w:t>
            </w: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8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200" w:type="dxa"/>
            <w:vAlign w:val="bottom"/>
            <w:gridSpan w:val="2"/>
          </w:tcPr>
          <w:p>
            <w:pPr>
              <w:ind w:left="100"/>
              <w:spacing w:after="0"/>
              <w:rPr>
                <w:sz w:val="20"/>
                <w:szCs w:val="20"/>
                <w:color w:val="auto"/>
              </w:rPr>
            </w:pPr>
            <w:r>
              <w:rPr>
                <w:rFonts w:ascii="Arial" w:cs="Arial" w:eastAsia="Arial" w:hAnsi="Arial"/>
                <w:sz w:val="18"/>
                <w:szCs w:val="18"/>
                <w:color w:val="auto"/>
              </w:rPr>
              <w:t>Short-term investments 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59,753</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Gross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91,094</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91,094</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gains and losses are included in Accumulated other comprehensive income.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As of December 31, 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29,178</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shd w:val="clear" w:color="auto" w:fill="CCEEFF"/>
          </w:tcPr>
          <w:p>
            <w:pPr>
              <w:spacing w:after="0"/>
              <w:rPr>
                <w:sz w:val="18"/>
                <w:szCs w:val="18"/>
                <w:color w:val="auto"/>
              </w:rPr>
            </w:pPr>
          </w:p>
        </w:tc>
      </w:tr>
      <w:tr>
        <w:trPr>
          <w:trHeight w:val="230"/>
        </w:trPr>
        <w:tc>
          <w:tcPr>
            <w:tcW w:w="4540" w:type="dxa"/>
            <w:vAlign w:val="bottom"/>
          </w:tcPr>
          <w:p>
            <w:pPr>
              <w:ind w:left="16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9"/>
                <w:szCs w:val="19"/>
                <w:color w:val="auto"/>
              </w:rPr>
            </w:pPr>
          </w:p>
        </w:tc>
      </w:tr>
      <w:tr>
        <w:trPr>
          <w:trHeight w:val="223"/>
        </w:trPr>
        <w:tc>
          <w:tcPr>
            <w:tcW w:w="4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the Company did not have any short-term 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gridSpan w:val="2"/>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gridSpan w:val="3"/>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Total Property and equipment, cost</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3"/>
            <w:vMerge w:val="continue"/>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Legal and related services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Manufacturing related</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1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25, 2017, the Company sold 8,846,154 shares of its common stock in an underwritten public offering at $6.50 per share for net proceeds of $53.8 million after deducting underwriting discounts and expenses of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September 30, 2017 and December 31, 2016, 17,000 shares have been designated as Series A Convertible Preferred Stock and 11,500,000 designated as Series B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total of 17,000 shares of Series A Convertible Preferred Stock (“Series A Preferred Stock”) have been authorized for issuance under the Certificate of Designation of Preferences and Rights of Series A Convertible Preferred Stock. The shares of Series A Preferred Stock have a stated value of $1,000 per share and are initially convertible into shares of common stock at a price of $2.00 per share, subject to adjustment.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A Preferred Stock may, at the option of each investor, be converted into fully paid and non-assessable shares of common stock. The holders of shares of Series A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Preferred Stock shall first receive an equal dividend on each outstanding share of Series A Preferred Stock. The common shares issued were determined on a formula basis of 500 common shares for each share of Series A Preferred Stock converted. During the three and nine months ended September 30, 2017 and 2016, no Series A Preferred stock was converted into common stock, respectively.</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Series B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created a new class of Preferred Stock designated as Series B Convertible Preferred Stock (the “Series B Preferred”). The rights of the Series B Preferred are set forth in the Certificate of Designation of Rights, Preferences and Privileges of Series B Preferred Stock (the “Series B Certificate of Designation”). A total of 11,500,000 shares of Series B Preferred are authorized for issuance under the Series B Certificate of Designation. The shares of Series B Preferred have a stated value of $4.75 per share and are convertible into shares of common stock at an initial conversion price of $4.75 per share.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Holders of the Series B Preferred are entitled to dividends on an as-if-converted basis in the same form as any dividends actually paid on shares of the Company’s Series A Preferred Stock or the Company’s common stock. So long as any Series B Preferred remains outstanding, the Company may not redeem, purchase or otherwise acquire any material amount of our Series A Preferred Stock or any junior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2017 and 2016, zero and 3,421,960 Series B Preferred were converted into common stock. At September 30, 2017, 7,946,673 shares of Series B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warrant activity for the nine months ended September 30, 2017:</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Outstanding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-130175</wp:posOffset>
            </wp:positionV>
            <wp:extent cx="615759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Issued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Expired/Cancelled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Outstanding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warrants have a weighted average remaining life of 1.1 years at September 30,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Under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r>
      <w:tr>
        <w:trPr>
          <w:trHeight w:val="195"/>
        </w:trPr>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6,566,216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2.51</w:t>
            </w:r>
          </w:p>
        </w:tc>
      </w:tr>
      <w:tr>
        <w:trPr>
          <w:trHeight w:val="216"/>
        </w:trPr>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6,411,216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73" w:lineRule="exact"/>
        <w:rPr>
          <w:sz w:val="20"/>
          <w:szCs w:val="20"/>
          <w:color w:val="auto"/>
        </w:rPr>
      </w:pPr>
    </w:p>
    <w:p>
      <w:pPr>
        <w:sectPr>
          <w:pgSz w:w="11900" w:h="16838" w:orient="portrait"/>
          <w:cols w:equalWidth="0" w:num="2">
            <w:col w:w="7340" w:space="720"/>
            <w:col w:w="3360"/>
          </w:cols>
          <w:pgMar w:left="240" w:top="692" w:right="239" w:bottom="1440" w:gutter="0" w:footer="0" w:header="0"/>
          <w:type w:val="continuous"/>
        </w:sectPr>
      </w:pP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2014, the Company’s Board of Directors adopted the Iovance Biotherapeutics, Inc. 2014 Equity Incentive Plan (the “2014 Plan”). The 2014 Plan was approved by our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by 1,650,000 from 2,350,000 shares to 4,000,000 shares. The increase in shares available for issuance under the 2014 Plan was approved by stockholders on June 12, 2015.</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August 16, 2016, the stockholders approved the increase the total number of shares that can be issued under the 2014 Plan by 5,000,000 from 4,000,000 shares to 9,000,000 shares. At September 30, 2017, 2,608,830 shares were available for grant under the Company’s 2014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 2016, the Company entered into a restricted stock unit agreement with the Company’s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Of the 550,000 restricted stock units 137,500 restricted stock units vested on the first anniversary of the effective date of Dr. Fardis’ employment agreement, and 275,000 restricted stock units vested in 2017 upon the satisfaction of certain clinical trial and manufacturing milestones. The remaining 137,500 restricted stock units will vest in equal monthly installments over the 36-month period that commenced on June 1, 2017 (the first anniversary of the effective date of Dr. Fardis’ employment), provided that Dr. Fardis has been continuously employed with the Company as of such vesting dates. As of September 30, 2017, 126,041 restricted stock units remained unvested.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for restricted stock units is measured based on the closing fair market value of the Company's common stock on the date of grant. The stock compensation expense was $0.1 million and $0.6 million for the three months ended September 30, 2017 and 2016, respectively and was $1.0 million and $0.9 million for the nine months ended September 30, 2017 and 2016,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there is $0.7 million of total unrecognized compensation expense related to the restricted stock units to be recognized over a weighted average period of 2.7 years.</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options activity for the nine months ended September 30, 2017:</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6,233,150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2,044,400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Expired/Forfeited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(1,085,736)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6,706,964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stock-based compensation costs related to options of $2.6 million and $7.9 million for the three months ended September 30, 2017 and 2016, respectively and $8.2 million and $13.9 million for the nine months ended September 30, 2017 and 2016, respectively. As of September 30, 2017, there was $22.1 million of total unrecognized compensation expense related to the options to be recognized over a weighted average period of 2.0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per share of options granted under the Plan was $5.81 and $8.97 for the three months ended September 30, 2017 and 2016, respectively and was $6.46 and $6.75 for the nine months ended September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restricted common stock awards activity for the nine months ended September 30, 2017:</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Non-vested shares,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-123190</wp:posOffset>
            </wp:positionV>
            <wp:extent cx="615759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Non-vested shares,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-100330</wp:posOffset>
            </wp:positionV>
            <wp:extent cx="61575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of Shares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7,084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6.48</w:t>
            </w:r>
          </w:p>
        </w:tc>
      </w:tr>
      <w:tr>
        <w:trPr>
          <w:trHeight w:val="216"/>
        </w:trPr>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360"/>
          </w:cols>
          <w:pgMar w:left="240" w:top="692" w:right="239" w:bottom="1440" w:gutter="0" w:footer="0" w:header="0"/>
          <w:type w:val="continuous"/>
        </w:sectPr>
      </w:pPr>
    </w:p>
    <w:p>
      <w:pPr>
        <w:spacing w:after="0" w:line="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recorded stock compensation costs related to restricted stock awards of $0.0 million and $0.2 million for the three months ended September 30, 2017 and 2016, respectively and was $0.0 million and $1.0 million for the nine months ended September 30, 2017 and 2016, respectively. As of September 30, 2017, the amount of unvested compensation related to the unvested outstanding shares of restricted common stock was immaterial.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Pursuant to the terms of the CRADA, we are currently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may be required to supply certain test articles, including TIL, grown and processed under cGMP conditions, suitable for use in clinical trials, where we hold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September 30, 2017 and 2016, respectively and was $1.5 million for the nine months ended September 30, 2017 and 2016, respectively. These costs were recorded as research and development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October 5, 2011, the Company entered into a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2015, the Company entered into an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consideration for the exclusive rights granted under the Exclusive Patent License Agreement, the Company agreed to pay the NIH a non-refundable upfront licensing fee in the amount of $0.8 million. The Company also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 The costs associated with this agreement were immaterial for the three and nine month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2014, we entered into a research collaboration agreement with Moffitt to jointly engage in translational research and development of adoptive tumor-infiltrating lymphocyte cell therapy with improved anti-tumor properties and process.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2016, we entered into a new three-year Sponsored Research Agreement with Moffitt (the “Moffitt SRA”). At the same time, we entered into a Clinical Grant Agreement with Moffitt to support an ongoing clinical trial at Moffitt that combines TIL therapy with Opdivo® (nivolumab) for the treatment of patients with metastatic melanoma. In June 2017, we entered into a second Clinical Grant Agreement with Moffitt to support a new clinical trial at Moffitt that combines TIL therapy with Opdivo for the treatment of patients with non-small cell lung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Moffitt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with Moffitt (the “Moffitt License”), effective as of June 28, 2014, under which the Company received a world-wide license to Moffitt’s rights to patent-pending technologies related to methods for improving TIL for adoptive cell therapy. Unless earlier terminated, the term of the license extends until the earlier of the expiration of the last issued patent related to the licensed technology or 20 years after the effective date of the license agreement.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Pursuant to the Moffitt License, the Company paid an upfront licensing fee in the amount of $0.1 million. A patent issuance fee will also be payable under the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related to the treatment of any cancers in the United States, Europe and Japan and in other countries designated by the Company in agreement with Moffitt. The Company recorded costs associated with Moffitt of $2.0 million and $0.0 million for the three months ended September 30, 2017 and 2016, respectively and $4.3 million and $0.4 million for the nine months ended September 30, 2017 and 2016, respectively. These costs were recorded as research and development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 and Karolinska University 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will reimburse PolyBioCept up to $0.2 million in expenses related to the transfer of know-how and will pay PolyBioCept $0.1 million as a clinical trials management fee. The Company also separately engaged PolyBioCept as a consultant to provide certain product development and research related services in a one-year agreement for up to $0.2 million, subject to the consent of the Karolinska Institute to the services to be performed by its employees thereunder. The PolyBioCept Agreement has an initial term of 30 years, and may be extended for additional five-year periods. The Company recorded costs associated with the PolyBioCept of $0.0 million and $2.4 million for the three months ended September 30, 2017 and 2016, respectively and $0.2 million and $2.5 million for the nine months ended September 30, 2017 and 2016, respectively. These costs were recorded as research and development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Karolinska University Hospital and Karolinska Institute Agreements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The Company agreed to enter into the sponsored research agreement within 90 days after the date of the PolyBioCept Agreement, which date has been extended by amendments to the PolyBioCept Agreement. Failure to enter into the sponsored research agreement or further amend the PolyBioCept Agreement will give PolyBioCept the right to terminate the PolyBioCept Agreement (and the Company shall have the right to repayment of $2.2 million of the payments it made). The Company will pay the Karolinska Institute an additional $2.6 million in connection with these other related agreements. In 2016 the Company paid Karolinska University Hospital $1.6 million under this agreement to conduct the clinical trials. The $1.6 million payment has been classified as prepaid expense and will be expensed in accordance with the Company’s Research and Development Expense significant accounting practices. The Company had no costs associated with the Karolinska University Hospital for the three months ended September 30, 2017 and 2016, respectively and was $0.7 million and $0.0 million for the nine months ended September 30, 2017 and 2016, respectively. These costs were recorded as research and development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 Anderson”) under which the Company and M.D. Anderson agreed to conduct clinical and preclinical research studies. The Company agreed in the SAA to provide total funding not to exceed approximately $14.2 million for the performance of the multi-year studies under the SAA. In return, we will acquire all rights to inventions resulting from the studies and have been granted a non-exclusive, sub-licensable, royalty-free, and perpetual license to specified background intellectual property of M.D. Anderson reasonably necessary to exploit, including the commercialization of, any invention. We have also been granted certain rights in clinical data generated by M.D. Anderson outside of the clinical trials to be performed under the SAA. The SAA’s term shall continue in effect until the later of the fourth anniversary of the SAA or the completion or termination of the research and receipt by us of all deliverables due from M.D. Anderson thereunder. As of September 30, 2017, the Company had paid $1.4 million under this agreement. This amount has been recorded as a prepaid asset, and will be amortized to research and development expenses based on enrollment and other factors. The Company has not recorded any expense associated with the M.D. Anderson SAA for the three and nine months ended September 30, 2017.</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2015, the Company entered into a collaboration to conduct clinical and preclinical research in immuno-oncology with MedImmune, the global biologics research and development arm of AstraZeneca. Under the terms of the agreement, the Company will fund and conduct at least one Phase 2a clinical trial combining MedImmune's PD-L1 inhibitor, </w:t>
      </w:r>
      <w:r>
        <w:rPr>
          <w:rFonts w:ascii="Arial" w:cs="Arial" w:eastAsia="Arial" w:hAnsi="Arial"/>
          <w:sz w:val="17"/>
          <w:szCs w:val="17"/>
          <w:color w:val="333333"/>
        </w:rPr>
        <w:t>IMFINZI™ (</w:t>
      </w:r>
      <w:r>
        <w:rPr>
          <w:rFonts w:ascii="Arial" w:cs="Arial" w:eastAsia="Arial" w:hAnsi="Arial"/>
          <w:sz w:val="17"/>
          <w:szCs w:val="17"/>
          <w:color w:val="auto"/>
        </w:rPr>
        <w:t>durvalumab)with TIL for the treatment of patients. MedImmune will supply IMFINZI for the clinical trials. The purpose of the studies is to establish a dosing regimen for this combination therapy and assess its safety and efficacy.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Class Action Lawsuits</w:t>
      </w:r>
      <w:r>
        <w:rPr>
          <w:rFonts w:ascii="Arial" w:cs="Arial" w:eastAsia="Arial" w:hAnsi="Arial"/>
          <w:sz w:val="17"/>
          <w:szCs w:val="17"/>
          <w:color w:val="auto"/>
        </w:rPr>
        <w:t xml:space="preserve"> . On April 10, 2017, the SEC announced settlements with us and with other public companies and unrelated parties in the </w:t>
      </w:r>
      <w:r>
        <w:rPr>
          <w:rFonts w:ascii="Arial" w:cs="Arial" w:eastAsia="Arial" w:hAnsi="Arial"/>
          <w:sz w:val="17"/>
          <w:szCs w:val="17"/>
          <w:i w:val="1"/>
          <w:iCs w:val="1"/>
          <w:color w:val="auto"/>
        </w:rPr>
        <w:t>In the Matter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Certain Stock Promotion </w:t>
      </w:r>
      <w:r>
        <w:rPr>
          <w:rFonts w:ascii="Arial" w:cs="Arial" w:eastAsia="Arial" w:hAnsi="Arial"/>
          <w:sz w:val="17"/>
          <w:szCs w:val="17"/>
          <w:color w:val="auto"/>
        </w:rPr>
        <w:t>investigation. Our settlement with the SEC is consistent with our previous disclosures (including in our Form 10-K that we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2017). On April 14 2017, a purported shareholder filed a class action complaint in the United States District Court, Northern District of California for violations of the federal securities laws (</w:t>
      </w:r>
      <w:r>
        <w:rPr>
          <w:rFonts w:ascii="Arial" w:cs="Arial" w:eastAsia="Arial" w:hAnsi="Arial"/>
          <w:sz w:val="17"/>
          <w:szCs w:val="17"/>
          <w:i w:val="1"/>
          <w:iCs w:val="1"/>
          <w:color w:val="auto"/>
        </w:rPr>
        <w:t>Leonard DeSilvio v. Lion Biotechnologies, Inc., et al., case no: 3:17cv2086</w:t>
      </w:r>
      <w:r>
        <w:rPr>
          <w:rFonts w:ascii="Arial" w:cs="Arial" w:eastAsia="Arial" w:hAnsi="Arial"/>
          <w:sz w:val="17"/>
          <w:szCs w:val="17"/>
          <w:color w:val="auto"/>
        </w:rPr>
        <w:t xml:space="preserve"> ) against our company and three of our former officers and directors. On April 19, 2017, a second class action complaint </w:t>
      </w:r>
      <w:r>
        <w:rPr>
          <w:rFonts w:ascii="Arial" w:cs="Arial" w:eastAsia="Arial" w:hAnsi="Arial"/>
          <w:sz w:val="17"/>
          <w:szCs w:val="17"/>
          <w:i w:val="1"/>
          <w:iCs w:val="1"/>
          <w:color w:val="auto"/>
        </w:rPr>
        <w:t>(Amra Kuc vs. Lion Biotechnologies,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case no: 3:17cv2086</w:t>
      </w:r>
      <w:r>
        <w:rPr>
          <w:rFonts w:ascii="Arial" w:cs="Arial" w:eastAsia="Arial" w:hAnsi="Arial"/>
          <w:sz w:val="17"/>
          <w:szCs w:val="17"/>
          <w:color w:val="auto"/>
        </w:rPr>
        <w:t>) was filed in the same court. Both complaints allege, among other things, that the defendants violated the federal securities laws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July 20, 2017 the plaintiff in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case filed a notice to voluntarily dismiss that case. The Court entered an order dismissing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complaint on July 21, 2017. On July 26, 2017, the court appointed a movant as lead plaintiff. On September 8, 2017, the lead plaintiff filed an amended complaint that alleges, among other things, that the defendants violated the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October 6, 2017, the court entered an order setting a schedule for the case, which includes a briefing schedule for motions to dismiss and a hearing date of December 22, 2017.</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w:t>
      </w:r>
      <w:r>
        <w:rPr>
          <w:rFonts w:ascii="Arial" w:cs="Arial" w:eastAsia="Arial" w:hAnsi="Arial"/>
          <w:sz w:val="17"/>
          <w:szCs w:val="17"/>
          <w:i w:val="1"/>
          <w:iCs w:val="1"/>
          <w:color w:val="auto"/>
        </w:rPr>
        <w:t>Solomon Capital, LLC, Solomon Capital 401(K) Trust, Solomon Sharbat and Shelhav Raff v. Lion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Biotechnologies, Inc. </w:t>
      </w:r>
      <w:r>
        <w:rPr>
          <w:rFonts w:ascii="Arial" w:cs="Arial" w:eastAsia="Arial" w:hAnsi="Arial"/>
          <w:sz w:val="17"/>
          <w:szCs w:val="17"/>
          <w:color w:val="auto"/>
        </w:rPr>
        <w:t>was filed by Solomon Capital, LLC, Solomon Capital 401(k) Trust, Solomon Sharbat and Shelhav Raff against the Company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was effected in May 2013. Based on the foregoing, the plaintiffs allege causes for breach of contract and unjust enrichment and demand judgment against the Company in an unspecified amount exceeding $1.5 million, plus interest and attorneys’ fees.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The case has been assigned to a new judge, but the court has not yet scheduled a status conference or otherwise set a schedule for the case.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Company materials, prohibiting him from disclosing or using Company materials, and granting expedited discovery, which is currently proceeding.</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We intend to vigorously defend against Dr. Fischkoff’s lawsuit and pursue the Company’s counterclaims. Based on the very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total expected rental payments under the lease are expected to be $2.1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in San Carlos, California. The space consists of approximately 11,449 rentable square feet in the building located in San Carlos, California and will expire on October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leases office space in New York for a monthly rental of approximately $18,000 a month through July 2017. On June 5, 2017, the Company entered into an agreement whereby the Company will lease office space from August 1, 2017 to July 31, 2018 for approximately $9,000 a month.</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Company recognizes rental expense on the facilities on a straight-line basis over the lease term. Differences between the straight-line rent expense and rent payments are classified as deferred rent liability on the balance sheet. As of September 30, 2017, the Company's future minimum lease payments under non-cancelable operating leases are as follows (in thousands):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Operating</w:t>
            </w:r>
          </w:p>
        </w:tc>
      </w:tr>
      <w:tr>
        <w:trPr>
          <w:trHeight w:val="216"/>
        </w:trPr>
        <w:tc>
          <w:tcPr>
            <w:tcW w:w="9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9540" w:type="dxa"/>
            <w:vAlign w:val="bottom"/>
            <w:gridSpan w:val="2"/>
          </w:tcPr>
          <w:p>
            <w:pPr>
              <w:ind w:left="4480"/>
              <w:spacing w:after="0"/>
              <w:rPr>
                <w:sz w:val="20"/>
                <w:szCs w:val="20"/>
                <w:color w:val="auto"/>
              </w:rPr>
            </w:pPr>
            <w:r>
              <w:rPr>
                <w:rFonts w:ascii="Arial" w:cs="Arial" w:eastAsia="Arial" w:hAnsi="Arial"/>
                <w:sz w:val="18"/>
                <w:szCs w:val="18"/>
                <w:b w:val="1"/>
                <w:bCs w:val="1"/>
                <w:color w:val="auto"/>
              </w:rPr>
              <w:t>Year</w:t>
            </w:r>
          </w:p>
        </w:tc>
        <w:tc>
          <w:tcPr>
            <w:tcW w:w="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Commitments</w:t>
            </w: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(remaining three months)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r>
      <w:tr>
        <w:trPr>
          <w:trHeight w:val="23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r>
      <w:tr>
        <w:trPr>
          <w:trHeight w:val="223"/>
        </w:trPr>
        <w:tc>
          <w:tcPr>
            <w:tcW w:w="9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was $0.3 million and $0.2 million for the three months ended September 30, 2017 and 2016, respectively and was $0.7 million and $0.4 million for the nine months ended September 30,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Sanford J. Hillsberg, one of the Company’s directors, is an attorney at TroyGould PC. TroyGould PC rendered and continues to render legal services to the Company. The Company paid TroyGould PC $0.1 million and $0.4 million for the three months ended September 30, 2017 and 2016, respectively and $0.5 million and $0.7 million for the nine months ended September 30, 2017 and 2016, respectively. Mr. Hillsberg did not directly provide any legal services to the Company during the periods noted. As of September 30, 2017, the Company had $0.1 million in liabilities owing to TroyGould PC related to legal services.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14, 2017, we entered into a three-year consulting agreement with Iain Dukes, D. Phil, the Chairman of our Board of Directors. As compensation for his consulting services, we granted Dr. Dukes a stock option to purchase up to 150,000 shares of our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$0.1 million for the three months ended September 30, 2017, and $0.1 million for the nine months ended September 30, 2017.</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Iovance Biotherapeutics, Inc.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This management’s discussion and analysis of financial condition as of September 30, 2017 and results of operations for the three and nine months ended September 30, 2017 and 2016, should be read in conjunction with management’s discussion and analysis of financial condition and results of operations included in our Annual Report on Form 10-K for the year ended December 31, 2016 which was filed with the SEC on March 8,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2016.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as a lead indication as well as other cancer types.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patient's immune system, particularly their TIL, can play an important role in identifying and killing cancer cells. TIL consist of a polyclonal population of T cells that can recognize a wide variety of cancer-specific antigens. TIL therapy involves growing a patient's TIL in special culture conditions outside of the patient's body, or ex vivo, and then infusing the T cells back into the patient followed by infusion of up to six doses of interleukin-2 (IL-2). By expanding a patient’s TIL ex vivo, away from the immunosuppressive tumor microenvironment, the T cells can rapidly proliferate in the presence of IL-2. As a result, billions of TIL, when infused back into the patient subsequent to administration of non-myeloablative chemotherapy to remove the patient’s hostile microenvironment, are expected to be better able to potentially eradicate the tumor.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 on-going Phase 2 clinical trial of our lead product candidate, autologous TIL product (LN-144), for the treatment of metastatic melanoma. This three-arm study is enrolling patients with melanoma whose disease has progressed following treatment with at least one systemic therapy which include anti-PD-1 and if BRAF mutated, a BRAF inhibitor. The trial opened for enrollment during the second half of 2015 and is being conducted at eleven U.S. sites. The purpose of the study is to evaluate the efficacy, as defined by overall response rate (ORR), as a primary endpoint, and to evaluate safety and efficacy as secondary endpoints. An interim update from cohort one of this Phase 2 trial was presented at the American Society of Clinical Oncology (ASCO) 2017 conference. In June 2017, we reported data from 16 patients enrolled in the first cohort of this study. The data reported showed clinically-meaningful outcomes of the evaluable patients, with a 29% ORR (per RECIST v1.1) including one complete response continuing beyond 15 months post-administration of a single TIL treatment, and 77% of patients had reduction in target tumor size. The Phase 2 study was conducted in a heavily pre-treated patient group, all of which had received prior anti-PD-1 therapy and 88% of which had received prior anti-CTLA-4 checkpoint inhibitors, with a median of three prior therapies. The most common treatment emergent serious adverse events observed were febrile neutropenia and decreases in neutrophil count and platelet count.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received an orphan drug designation for LN-144 in the United States to treat malignant melanoma stages IIB-IV. This designation provides seven years of market exclusivity in the United States, subject to certain limited exceptions. However, the orphan drug designation does not convey any advantage in, or shorten the duration of, the regulatory review or approval process.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pursuing metastatic melanoma as our first target indication because of the promising initial results in this indication generated by Dr. Steven Rosenberg, M.D., Ph.D., Chief of the Surgery Branch of the National Cancer Institute (NCI) and the commercial opportunity inherent in the significant unmet need of this patient population. Melanoma is a common type of skin cancer, accounting for approximately 87,110 patients diagnosed and 9,730 deaths in 2017 in the United States according to the American Cancer Society’s Cancer Estimates for 2017. According to the NCI’s Surveillance, Epidemiology and End Results (SEER) program, about 2-5% of patients with melanoma have metastatic disease. Patients with metastatic melanoma following treatment under the current standards of care have a particularly dire prognosis with very few curative treatment options.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In addition to our ongoing trial in metastatic melanoma, we have initiated clinical trials of TIL therapy in recurrent, metastatic, or persistent cervical cancer and in recurrent and/or metastatic squamous cell carcinoma of the head and neck. In the future, we plan to initiate clinical studies in additional indications by the company as well as through collaborations.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current product candidate pipeline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586220" cy="2924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Affecting our Financial Condition and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17, 2017, we entered into a Strategic Alliance Agreement (the “SAA”) with M.D. Anderson Cancer Center (“M.D. Anderson”) under which we and M.D. Anderson agreed to conduct clinical and preclinical research studies. Initially, we plan to conduct multi-arm clinical trials to evaluate tumor-infiltrating lymphocyte, or TIL, technology in several different cancers using two different TIL manufacturing processes. We have agreed in the SAA to provide total funding not to exceed approximately $14.2 million for the performance of the multi-year studies under the SAA.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June 1, 2017, we reincorporated from a Nevada corporation to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27, 2017, we changed our name from “Lion Biotechnologies, Inc.” to “Iovance Biotherapeutics,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August 31, 2017, we were granted Fast Track designation by the U.S. Food and Drug Administration (FDA) for LN-144, TIL in advanced melanoma.</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7, 2017, we entered into a preclinical research collaboration with The Ohio State University Comprehensive Cancer Center – Arthur G. James Cancer Hospital and Richard J. Solove Research Institute (OSUCCC – James) focused on TIL, marrow-infiltrating lymphocyte (MIL) and peripheral blood-associated lymphocyte technologies. The collaboration will initially focus on hematologic malignancies in areas of poor prognostic cancers with high unmet medical need, which include acute myeloid leukemia (AML) and chronic lymphocytic leukemia (CLL).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2017, we completed an underwritten public offering, in which we sold 8,846,154 shares of common stock at a public offering price of $6.50 per share. We received gross proceeds of approximately $57.5 million and net proceeds of approximately $54 million, net of underwriting discounts and offering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previously disclosed its clinical trials agreement to conduct clinical trials in glioblastoma and pancreatic cancer at Karolinska University Hospital. As a result of personnel changes at the Karolinska University Hospital, the Company expects that the start of those clinical trials will be delayed to dates that have not yet been determined.</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biotechnology business or otherwise since our formation. We currently do not anticipate that we will generate any revenues during 2017 from the sale or licensing of our products. Our ability to generate revenues in the future will depend on our ability to complete the development of our product candidates and to obtain regulatory approval for them.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(in thousands)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4"/>
        </w:trPr>
        <w:tc>
          <w:tcPr>
            <w:tcW w:w="30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Three months ended</w:t>
            </w:r>
          </w:p>
        </w:tc>
        <w:tc>
          <w:tcPr>
            <w:tcW w:w="1100" w:type="dxa"/>
            <w:vAlign w:val="bottom"/>
            <w:gridSpan w:val="3"/>
          </w:tcPr>
          <w:p>
            <w:pPr>
              <w:ind w:left="420"/>
              <w:spacing w:after="0"/>
              <w:rPr>
                <w:sz w:val="20"/>
                <w:szCs w:val="20"/>
                <w:color w:val="auto"/>
              </w:rPr>
            </w:pPr>
            <w:r>
              <w:rPr>
                <w:rFonts w:ascii="Arial" w:cs="Arial" w:eastAsia="Arial" w:hAnsi="Arial"/>
                <w:sz w:val="18"/>
                <w:szCs w:val="18"/>
                <w:b w:val="1"/>
                <w:bCs w:val="1"/>
                <w:color w:val="auto"/>
                <w:w w:val="90"/>
              </w:rPr>
              <w:t>Increase</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Nine months ended</w:t>
            </w: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87"/>
              </w:rPr>
              <w:t>Increase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8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(Decrease)</w:t>
            </w:r>
          </w:p>
        </w:tc>
        <w:tc>
          <w:tcPr>
            <w:tcW w:w="1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7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30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17,753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8,481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$ 54,029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$ 17,200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w w:val="90"/>
              </w:rPr>
              <w:t>Stock-based compensation expense included in research</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and development expense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1,053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4,336</w:t>
            </w:r>
          </w:p>
        </w:tc>
        <w:tc>
          <w:tcPr>
            <w:tcW w:w="680" w:type="dxa"/>
            <w:vAlign w:val="bottom"/>
          </w:tcPr>
          <w:p>
            <w:pPr>
              <w:jc w:val="right"/>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2,518</w:t>
            </w:r>
          </w:p>
        </w:tc>
        <w:tc>
          <w:tcPr>
            <w:tcW w:w="2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for the three months ended September 30, 2017 increased by $9.3 million, or 109%, compared to the three months ended September 30, 2016 The increase was primarily attributable to a $6.7 million increase in drug manufacturing costs related to the addition of capacity, an increase of $1.7 million related to consultants and outside services contracted with to perform research and development activities on our behalf, $0.9 million increase in payroll and related expenses primarily due to an increase in headcount, and $0.4 million increase in stock-based compensation expense, offset by a $0.2 million decrease in costs related to our clinical trials.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for the nine months ended September 30, 2017 increased by $36.8 million, or 214%, compared to the nine months ended September 30, 2016. The increase was primarily attributable to a $18.3 million increase in drug manufacturing costs, an increase of $6.5 million related to consultants and outside services contracted with to perform research and development activities on our behalf, a $5.9 million increase in payroll and related expenses primarily due to an increase in headcount, a $3.9 million increase in costs related to our clinical trials, and a $2.5 million increase in stock-based compensation expense.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the cost to manufacture product and other drugs used in the clinical trial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 (in thousands)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4"/>
        </w:trPr>
        <w:tc>
          <w:tcPr>
            <w:tcW w:w="3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Three months ended</w:t>
            </w:r>
          </w:p>
        </w:tc>
        <w:tc>
          <w:tcPr>
            <w:tcW w:w="110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Increase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Nine months ended</w:t>
            </w:r>
          </w:p>
        </w:tc>
        <w:tc>
          <w:tcPr>
            <w:tcW w:w="11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7"/>
              </w:rPr>
              <w:t>Increase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6"/>
              </w:rPr>
              <w:t>(Decrease)</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7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3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4,590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$ 10,498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(5,908)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$ 12,777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$ 20,517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(7,740)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w w:val="91"/>
              </w:rPr>
              <w:t>Stock-based compensation expense included in general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and administrative</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1,566</w:t>
            </w:r>
          </w:p>
        </w:tc>
        <w:tc>
          <w:tcPr>
            <w:tcW w:w="680" w:type="dxa"/>
            <w:vAlign w:val="bottom"/>
          </w:tcPr>
          <w:p>
            <w:pPr>
              <w:jc w:val="right"/>
              <w:spacing w:after="0"/>
              <w:rPr>
                <w:sz w:val="20"/>
                <w:szCs w:val="20"/>
                <w:color w:val="auto"/>
              </w:rPr>
            </w:pPr>
            <w:r>
              <w:rPr>
                <w:rFonts w:ascii="Arial" w:cs="Arial" w:eastAsia="Arial" w:hAnsi="Arial"/>
                <w:sz w:val="18"/>
                <w:szCs w:val="18"/>
                <w:color w:val="auto"/>
              </w:rPr>
              <w:t>8,005</w:t>
            </w:r>
          </w:p>
        </w:tc>
        <w:tc>
          <w:tcPr>
            <w:tcW w:w="2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(6,439)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-80%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4,872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13,963</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(9,091)</w:t>
            </w:r>
          </w:p>
        </w:tc>
        <w:tc>
          <w:tcPr>
            <w:tcW w:w="2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for the three months ended September 30, 2017 decreased by $5.9 million, or 56%, compared to the three months ended September 30, 2016, inclusive of stock-based compensation. The change was primarily attributable to a $6.4 million decrease in stock-based compensation expense, driven by expense incurred in connection with the separation of the previous CFO from the Company in August 2016, and a $0.2 million decrease in payroll, offset by a $0.7 million increase in consulting and legal related expenses.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 for the nine months ended September 30, 2017 decreased by $7.7 million, or 38%, compared to the nine months ended September 30, 2016, inclusive of stock-based compensation. The changed was primarily attributable to a $0.5 million decrease in payroll and a $9.1 million decrease in stock-based compensation expense, driven by expense incurred in connection with the separation of the previous CEO and CFO from the Company in June and August of 2016, , offset by a $1.8 million increase in consulting and legal related expenses.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include personnel costs for our employees engaged in general and administrative activities, legal fees, audit and tax fees, consultants and professional services, and general corporate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i w:val="1"/>
                <w:iCs w:val="1"/>
                <w:color w:val="auto"/>
              </w:rPr>
              <w:t>Interest Income (in thousands)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Increase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Nine months ended</w:t>
            </w:r>
          </w:p>
        </w:tc>
        <w:tc>
          <w:tcPr>
            <w:tcW w:w="11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7"/>
              </w:rPr>
              <w:t>Increase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5"/>
          </w:tcPr>
          <w:p>
            <w:pPr>
              <w:ind w:left="12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7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22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2016</w:t>
            </w:r>
          </w:p>
        </w:tc>
        <w:tc>
          <w:tcPr>
            <w:tcW w:w="2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2016</w:t>
            </w:r>
          </w:p>
        </w:tc>
        <w:tc>
          <w:tcPr>
            <w:tcW w:w="2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w w:val="72"/>
              </w:rPr>
              <w:t>(27)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income results from our interest-bearing cash and investment balances. Interest income for the three months ended September 30, 2017 decreased due to lower cash balances held compared to the same period in 2016. Interest income for the nine-months ended September 30, 2017 increased compared to the nine months ended September 30, 2016 due to funds received from a $100 million financing transaction that closed in early June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$22.2 million and $66.2 million for the three and nine months ended September 30, 2017, respectively. The increase in our net losses in 2017 are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Corporate Capitalization</w:t>
      </w:r>
      <w:r>
        <w:rPr>
          <w:rFonts w:ascii="Arial" w:cs="Arial" w:eastAsia="Arial" w:hAnsi="Arial"/>
          <w:sz w:val="17"/>
          <w:szCs w:val="17"/>
          <w:color w:val="auto"/>
        </w:rPr>
        <w:t>. As of September 30, 2017, we had outstanding 71,954,843 shares of our $0.000041666 par value common stock, 1,694</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$0.001 par value Series A Convertible Preferred Stock, and 7,946,673 shares of our $0.001 par value Series B Convertible Preferred Stock. The outstanding shares of Series A Convertible Preferred Stock are currently convertible into 847,000 shares of our common stock, and the outstanding shares of Series B Convertible Preferred Stock are currently convertible into 7,946,673 shares of our common stock. The shares of Series A Convertible Preferred Stock and Series B Convertible Preferred Stock do not have voting rights or accrue dividends.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equity securities (both common stock and preferred stock), from option and warrant exercises, and from interest income.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23, 2016, we filed a shelf registration statement with the Securities and Exchange Commission, or SEC, for the issuance of common stock, preferred stock, warrants, rights, debt securities and units up to an aggregate amount of $100 million, which we refer to as the 2016 Shelf Registration Statement. On January 11, 2017, the 2016 Shelf Registration Statement was declared effective by the SEC. We completed an offering of common stock in September 2017 utilizing the 2016 Shelf Registration Statement (see below). In the future, we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2017, we sold 8,846,154 shares of its common stock in an underwritten public offering at a public offering price of $6.50 per share. We received gross proceeds of approximately $57.5 million and net proceeds of approximately $53.8 million, after deducting underwriting discounts and offering expenses.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We have incurred a net loss of $66.2 million for the nine months ended September 30, 2017 and used $57.7 million of cash in our operating activities during the nine months ended September 30, 2017. As of September 30, 2017, we had $163.4 million of cash and cash equivalents and short-term investments, stockholders’ equity of $165.4 million and had working capital of $162.8 million.</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further increase our research and development activities, which will increase the amount of cash we will use during the remainder of 2017 and beyond. Specifically, we expect increased spending on clinical trials, research and development activities, higher payroll expenses as we increase our professional and scientific staff and continued and expansion of manufacturing activities. However, based on the funds we have available; we believe that we have sufficient capital to fund our anticipated operating expenses for at least 12 months from the date of filing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2017, we had no obligations that would require disclosure as off-balance sheet arrangements.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 significant portion of our investments are in short-term debt securities issued by the U.S. government, corporations and institutional money market funds. The primary objective of our investment activities is to preserve principal. Due to the nature of our marketable securities, we believe that we are not exposed to any material market risk. We do not have any derivative financial instruments or foreign currency instruments. If interest rates had varied by 10% in the three and nine months ended September 30, 2017, it would not have had a material effect on our results of operations or cash flows for that period.</w:t>
      </w:r>
    </w:p>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September 30, 2017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Class Action Lawsuits</w:t>
      </w:r>
      <w:r>
        <w:rPr>
          <w:rFonts w:ascii="Arial" w:cs="Arial" w:eastAsia="Arial" w:hAnsi="Arial"/>
          <w:sz w:val="17"/>
          <w:szCs w:val="17"/>
          <w:color w:val="auto"/>
        </w:rPr>
        <w:t xml:space="preserve"> .. On April 10, 2017, the SEC announced settlements with us and with other public companies and unrelated parties in the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Matter of Certain Stock Promotion </w:t>
      </w:r>
      <w:r>
        <w:rPr>
          <w:rFonts w:ascii="Arial" w:cs="Arial" w:eastAsia="Arial" w:hAnsi="Arial"/>
          <w:sz w:val="17"/>
          <w:szCs w:val="17"/>
          <w:color w:val="auto"/>
        </w:rPr>
        <w:t>investigation. Our settlement with the SEC is consistent with our previous disclosures (including in our Form 10-K</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filed with the SEC on March 9, 2017). On April 14 2017, a purported shareholder filed a class action complaint in the United States District Court, Northern District of California for violations of the federal securities laws (</w:t>
      </w:r>
      <w:r>
        <w:rPr>
          <w:rFonts w:ascii="Arial" w:cs="Arial" w:eastAsia="Arial" w:hAnsi="Arial"/>
          <w:sz w:val="17"/>
          <w:szCs w:val="17"/>
          <w:i w:val="1"/>
          <w:iCs w:val="1"/>
          <w:color w:val="auto"/>
        </w:rPr>
        <w:t>Leonard DeSilvio v. Lion Biotechnologies, Inc., et al., case no: 3:17cv2086</w:t>
      </w:r>
      <w:r>
        <w:rPr>
          <w:rFonts w:ascii="Arial" w:cs="Arial" w:eastAsia="Arial" w:hAnsi="Arial"/>
          <w:sz w:val="17"/>
          <w:szCs w:val="17"/>
          <w:color w:val="auto"/>
        </w:rPr>
        <w:t xml:space="preserve"> ) against our company and three of our former officers and directors. On April 19, 2017, a second class action complaint </w:t>
      </w:r>
      <w:r>
        <w:rPr>
          <w:rFonts w:ascii="Arial" w:cs="Arial" w:eastAsia="Arial" w:hAnsi="Arial"/>
          <w:sz w:val="17"/>
          <w:szCs w:val="17"/>
          <w:i w:val="1"/>
          <w:iCs w:val="1"/>
          <w:color w:val="auto"/>
        </w:rPr>
        <w:t>(Amra Kuc vs. Lion Biotechnologies,</w:t>
      </w:r>
      <w:r>
        <w:rPr>
          <w:rFonts w:ascii="Arial" w:cs="Arial" w:eastAsia="Arial" w:hAnsi="Arial"/>
          <w:sz w:val="17"/>
          <w:szCs w:val="17"/>
          <w:color w:val="auto"/>
        </w:rPr>
        <w:t xml:space="preserve"> </w:t>
      </w:r>
      <w:r>
        <w:rPr>
          <w:rFonts w:ascii="Arial" w:cs="Arial" w:eastAsia="Arial" w:hAnsi="Arial"/>
          <w:sz w:val="17"/>
          <w:szCs w:val="17"/>
          <w:i w:val="1"/>
          <w:iCs w:val="1"/>
          <w:color w:val="auto"/>
        </w:rPr>
        <w:t>Inc., et al., case no: 3:17cv2086</w:t>
      </w:r>
      <w:r>
        <w:rPr>
          <w:rFonts w:ascii="Arial" w:cs="Arial" w:eastAsia="Arial" w:hAnsi="Arial"/>
          <w:sz w:val="17"/>
          <w:szCs w:val="17"/>
          <w:color w:val="auto"/>
        </w:rPr>
        <w:t>) was filed in the same court. Both complaints allege, among other things, that the defendants violated the federal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July 20, 2017 the plaintiff in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case filed a notice to voluntarily dismiss that case. The Court entered an order dismissing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complaint on July 21, 2017. On July 26, 2017, the court appointed a movant as lead plaintiff. On September 8, 2017, the lead plaintiff filed an amended complaint that alleges, among other things, that the defendants violated the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October 6, 2017, the court entered an order setting a schedule for the case, which includes a briefing schedule for motions to dismiss and a hearing date of December 22, 2017.</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Lion Biotechnologies, Inc. </w:t>
      </w:r>
      <w:r>
        <w:rPr>
          <w:rFonts w:ascii="Arial" w:cs="Arial" w:eastAsia="Arial" w:hAnsi="Arial"/>
          <w:sz w:val="16"/>
          <w:szCs w:val="16"/>
          <w:color w:val="auto"/>
        </w:rPr>
        <w:t>was filed by Solomon Capital, LLC, Solomon Capital 401(k) Trust, Solomon Sharbat and Shelhav Raff against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was effected in May 2013. Based on the foregoing, the plaintiffs allege causes for breach of contract and unjust enrichment and demand judgment against the Company in an unspecified amount exceeding $1.5 million, plus interest and attorneys’ fees.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The case has been assigned to a new judge, but the court has not yet scheduled a status conference or otherwise set a schedule for the case.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Company materials, prohibiting him from disclosing or using Company materials, and granting expedited discovery, which is currently proceeding.</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vigorously defend against Dr. Fischkoff’s lawsuit and pursue the Company’s counterclaims. Based on the very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2016. Except as follows, there have been no material changes from the risk factors previously disclosed in the above-mentioned periodic report.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obtain additional financing to fund our operations and, if we are unable to obtain such financing, we may be unable to complete the development and commercialization of our product candidates.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have consumed substantial amounts of cash since inception. From our inception to September 30, 2017, we have cumulative net cash flows used by operating activities of $130.2 million. We will need to obtain additional financing to fund our future operations, including completing the development and commercialization of our product candidates. We will need to obtain additional financing to conduct additional trials for the approval of our product candidates if requested by regulatory authorities, and to complete the development of any additional product candidates we might acquire. Moreover, our fixed expenses such as rent, minimum payments to our contract manufacturers, and other contractual commitments, including those for our research collaborations, are substantial and are expected to increase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3" w:lineRule="exact"/>
        <w:rPr>
          <w:sz w:val="20"/>
          <w:szCs w:val="20"/>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EMA regulations;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Terms and timing of our current and any potential future collaborations, licensing or other arrangements that we have established or may establish;</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If adequate funds are not available, we may be required to delay or reduce the scope of or eliminate one or more of our research or development programs or our commercialization efforts. We may seek to access the public or private capital markets whenever conditions are favorable, even if we do not have an immediate need for additional capital at that time. In addition, if we raise additional funds through collaborations, strategic alliances or marketing, distribution or licensing arrangements with third parties, we may have to relinquish valuable rights to our technologies, future revenue streams or product candidates or to grant licenses on terms that may not be favorable to us.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recently completed public offering, and may not use them effectively.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recently completed public offering,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recently completed public offering, their ultimate use may vary substantially from their currently intended use. Our failure to apply the net proceeds of our capital raises, including our recently completed public offering,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recently completed public offering. Pending their use, we may invest the net proceeds from our capital raises, including our recently completed public offering, in short-term, investment-grade, interest-bearing instruments and U.S. government securities. These temporary investments are not likely to yield a significant return.</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2016, we had U.S. net operating loss carryforwards of approximately $62.0 million. Our net operating loss carryforwards will begin expiring in 2027 if we have not used them prior to that time. Additionally, our ability to use any net operating loss and credit carryforwards to offset taxable income or tax, respectively, in the future will be limited under Internal Revenue Code Sections 382 and 383, respectively, if we have a cumulative change in ownership of more than 50% within a three-year period. The May 2013 recapitalization and 2014 private placement, together with our recently completed public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 has issued an administrative order against us that may make it more difficult for us to raise capital in the future.</w:t>
      </w:r>
    </w:p>
    <w:p>
      <w:pPr>
        <w:spacing w:after="0" w:line="225"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 xml:space="preserve">On April 10, 2017, the SEC issued an administrative order that requires us to cease and desist from committing or causing any violations and any future violations of Sections 5(b), 17(a), and 17(b) of the Securities Act of 1933, and of Section 10(b) of the Securities Exchange Act of 1934 and Rule 10b-5 thereunder. The order was entered into as part of our settlement with the SEC in the investigation titled </w:t>
      </w:r>
      <w:r>
        <w:rPr>
          <w:rFonts w:ascii="Arial" w:cs="Arial" w:eastAsia="Arial" w:hAnsi="Arial"/>
          <w:sz w:val="16"/>
          <w:szCs w:val="16"/>
          <w:i w:val="1"/>
          <w:iCs w:val="1"/>
          <w:u w:val="single" w:color="auto"/>
          <w:color w:val="auto"/>
        </w:rPr>
        <w:t>In the Matter of Certain Stock Promotion</w:t>
      </w:r>
      <w:r>
        <w:rPr>
          <w:rFonts w:ascii="Arial" w:cs="Arial" w:eastAsia="Arial" w:hAnsi="Arial"/>
          <w:sz w:val="16"/>
          <w:szCs w:val="16"/>
          <w:color w:val="auto"/>
        </w:rPr>
        <w:t>. The SEC’s investigation, in part, involved the conduct of our former Chief Executive Officer, Manish Singh, during the period between September 2013 and April 2014, and the failure by authors of certain articles about this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and in the future may be, subject to Federal securities legal actions that could adversely affect our results of operations and our business.</w:t>
      </w:r>
    </w:p>
    <w:p>
      <w:pPr>
        <w:spacing w:after="0" w:line="24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u w:val="single" w:color="auto"/>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Promotion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two securities class action complaints were filed in the U.S. District Court for the Northern District of California against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class action complaint in the United States District Court, Northern District of California (</w:t>
      </w:r>
      <w:r>
        <w:rPr>
          <w:rFonts w:ascii="Arial" w:cs="Arial" w:eastAsia="Arial" w:hAnsi="Arial"/>
          <w:sz w:val="16"/>
          <w:szCs w:val="16"/>
          <w:i w:val="1"/>
          <w:iCs w:val="1"/>
          <w:color w:val="auto"/>
        </w:rPr>
        <w:t>Jay Rabkin v. Lion Biotechnologies, Inc., et al., case no. 3:17cv0286-SI</w:t>
      </w:r>
      <w:r>
        <w:rPr>
          <w:rFonts w:ascii="Arial" w:cs="Arial" w:eastAsia="Arial" w:hAnsi="Arial"/>
          <w:sz w:val="16"/>
          <w:szCs w:val="16"/>
          <w:color w:val="auto"/>
        </w:rPr>
        <w:t xml:space="preserve">)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 of Certain Stock Promotions </w:t>
      </w:r>
      <w:r>
        <w:rPr>
          <w:rFonts w:ascii="Arial" w:cs="Arial" w:eastAsia="Arial" w:hAnsi="Arial"/>
          <w:sz w:val="16"/>
          <w:szCs w:val="16"/>
          <w:color w:val="auto"/>
        </w:rPr>
        <w:t>SEC investigation. We intend to vigorously defend against the class action case. However, based on the very early stage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aforementioned litigation, it is not possible to estimate the amount or range of possible loss that might result from an adverse judgment or a settlement of these matters. Furthermore, litigation is inherently uncertain, and there is no assurance as to the outcome of this,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 also may distract the time and attention of our officers and directors or divert our other resources away from our ongoing commercial and development programs. An unfavorable outcome in this matter could damage our business and reputation or result in additional claims or proceedings against us.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provisions in our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ind w:firstLine="64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0"/>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6"/>
          </w:tcPr>
          <w:p>
            <w:pPr>
              <w:ind w:left="92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4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140" w:type="dxa"/>
            <w:vAlign w:val="bottom"/>
            <w:gridSpan w:val="14"/>
          </w:tcPr>
          <w:p>
            <w:pPr>
              <w:spacing w:after="0" w:line="190"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Plan of Conversion (incorporated herein by reference to Exhibit 2.1 to Registrant’s Current Report on Form 8-K filed with the Commission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on June 2,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Articles of Conversion (incorporated herein by reference to Exhibit 3.1 to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Commission on June 2, 2017).</w:t>
              </w:r>
            </w:hyperlink>
          </w:p>
        </w:tc>
        <w:tc>
          <w:tcPr>
            <w:tcW w:w="7920" w:type="dxa"/>
            <w:vAlign w:val="bottom"/>
            <w:tcBorders>
              <w:top w:val="single" w:sz="8" w:color="0000EE"/>
            </w:tcBorders>
            <w:gridSpan w:val="8"/>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8"/>
              </w:rPr>
            </w:pPr>
            <w:hyperlink r:id="rId51">
              <w:r>
                <w:rPr>
                  <w:rFonts w:ascii="Arial" w:cs="Arial" w:eastAsia="Arial" w:hAnsi="Arial"/>
                  <w:sz w:val="18"/>
                  <w:szCs w:val="18"/>
                  <w:color w:val="0000EE"/>
                  <w:w w:val="98"/>
                </w:rPr>
                <w:t>Certificate of Conversion (incorporated herein by reference to Exhibit 3.2 of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Commission on June 2,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3"/>
              </w:rPr>
            </w:pPr>
            <w:hyperlink r:id="rId52">
              <w:r>
                <w:rPr>
                  <w:rFonts w:ascii="Arial" w:cs="Arial" w:eastAsia="Arial" w:hAnsi="Arial"/>
                  <w:sz w:val="18"/>
                  <w:szCs w:val="18"/>
                  <w:color w:val="0000EE"/>
                  <w:w w:val="93"/>
                </w:rPr>
                <w:t>Certificate of Incorporation of Registrant (incorporated herein by reference to Exhibit 3.3 of Registrant’s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with the Commission on June 2, 2017.)</w:t>
              </w:r>
            </w:hyperlink>
          </w:p>
        </w:tc>
        <w:tc>
          <w:tcPr>
            <w:tcW w:w="7300" w:type="dxa"/>
            <w:vAlign w:val="bottom"/>
            <w:tcBorders>
              <w:top w:val="single" w:sz="8" w:color="0000EE"/>
            </w:tcBorders>
            <w:gridSpan w:val="7"/>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Certificate of Designations of Rights, Preferences and Privileges of Series A Convertible Preferred Stock (incorporated herein by reference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to Exhibit 3.4 of Registrant’s Registration Statement on Form S-3 filed with the Commission on July 31,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Certificate of Designations of Rights, Preferences and Privileges of Series B Preferred Stock (incorporated herein by reference to Exhibit 3.5</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of Registrant’s Registration Statement on Form S-3 filed with the Commission on July 31, 2017.)</w:t>
              </w:r>
            </w:hyperlink>
          </w:p>
        </w:tc>
        <w:tc>
          <w:tcPr>
            <w:tcW w:w="3120" w:type="dxa"/>
            <w:vAlign w:val="bottom"/>
            <w:tcBorders>
              <w:top w:val="single" w:sz="8" w:color="0000EE"/>
            </w:tcBorders>
            <w:gridSpan w:val="3"/>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Certificate of Amendment of Certificate of Incorporation of Registrant (incorporated herein by reference to Exhibit 3.1 of Registrant’s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Current Report on Form 8-K filed with the Commission on June 27, 2017.)</w:t>
              </w:r>
            </w:hyperlink>
          </w:p>
        </w:tc>
        <w:tc>
          <w:tcPr>
            <w:tcW w:w="4720" w:type="dxa"/>
            <w:vAlign w:val="bottom"/>
            <w:tcBorders>
              <w:top w:val="single" w:sz="8" w:color="0000EE"/>
            </w:tcBorders>
            <w:gridSpan w:val="5"/>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8"/>
              </w:rPr>
            </w:pPr>
            <w:hyperlink r:id="rId56">
              <w:r>
                <w:rPr>
                  <w:rFonts w:ascii="Arial" w:cs="Arial" w:eastAsia="Arial" w:hAnsi="Arial"/>
                  <w:sz w:val="18"/>
                  <w:szCs w:val="18"/>
                  <w:color w:val="0000EE"/>
                  <w:w w:val="98"/>
                </w:rPr>
                <w:t>Bylaws of Registrant (incorporated herein by reference to the Exhibit 3.4 to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Commission on June 2,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Amendment to the Bylaws of Registrant (incorporated herein by reference to the Exhibit 3.2 to Registrant’s Current Report on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filed with the Commission on June 27, 2017).</w:t>
              </w:r>
            </w:hyperlink>
          </w:p>
        </w:tc>
        <w:tc>
          <w:tcPr>
            <w:tcW w:w="6840" w:type="dxa"/>
            <w:vAlign w:val="bottom"/>
            <w:tcBorders>
              <w:top w:val="single" w:sz="8" w:color="0000EE"/>
            </w:tcBorders>
            <w:gridSpan w:val="6"/>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Executive Employment Agreement, effective August 14, 2017, between Timothy E. Morris and Registrant.*+</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5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Consulting Agreement, dated as of September 8, 2017, between Registrant and Iain Dukes, D. Phil. (incorporated herein by reference from</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Registrant's Current Report on Form 8-K filed with the Commission on September 15,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of Principal Executive Officer pursuant to Rule 13a-14 and Rule 15d-14(a), promulgated under the Securities and Exchange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Act of 1934, as amended.</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00" w:type="dxa"/>
            <w:vAlign w:val="bottom"/>
            <w:gridSpan w:val="10"/>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Principal Financial Officer pursuant to Rule 13a-14 and Rule 15d 14(a), promulgated under the Securities and Exchange Act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of 1934, as amended.</w:t>
              </w:r>
            </w:hyperlink>
          </w:p>
        </w:tc>
        <w:tc>
          <w:tcPr>
            <w:tcW w:w="8600" w:type="dxa"/>
            <w:vAlign w:val="bottom"/>
            <w:gridSpan w:val="11"/>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pursuant to 18 U.S.C. Section 1350, as adopted pursuant to Section 906 of the Sarbanes-Oxley Act of 2002 (Chief Executive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Officer).</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13"/>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Certification pursuant to 18 U.S.C. Section 1350, as adopted pursuant to Section 906 of the Sarbanes-Oxley Act of 2002 (Chief Financial</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Officer).</w:t>
              </w:r>
            </w:hyperlink>
          </w:p>
        </w:tc>
      </w:tr>
      <w:tr>
        <w:trPr>
          <w:trHeight w:val="20"/>
        </w:trPr>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13"/>
          </w:tcPr>
          <w:p>
            <w:pPr>
              <w:spacing w:after="0" w:line="20" w:lineRule="exact"/>
              <w:rPr>
                <w:sz w:val="1"/>
                <w:szCs w:val="1"/>
                <w:color w:val="auto"/>
              </w:rPr>
            </w:pPr>
          </w:p>
        </w:tc>
      </w:tr>
      <w:tr>
        <w:trPr>
          <w:trHeight w:val="222"/>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19"/>
                <w:szCs w:val="19"/>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18"/>
                <w:szCs w:val="18"/>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18"/>
                <w:szCs w:val="18"/>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18"/>
                <w:szCs w:val="18"/>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18"/>
                <w:szCs w:val="18"/>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453"/>
        </w:trPr>
        <w:tc>
          <w:tcPr>
            <w:tcW w:w="5720" w:type="dxa"/>
            <w:vAlign w:val="bottom"/>
          </w:tcPr>
          <w:p>
            <w:pPr>
              <w:spacing w:after="0"/>
              <w:rPr>
                <w:sz w:val="20"/>
                <w:szCs w:val="20"/>
                <w:color w:val="auto"/>
              </w:rPr>
            </w:pPr>
            <w:r>
              <w:rPr>
                <w:rFonts w:ascii="Arial" w:cs="Arial" w:eastAsia="Arial" w:hAnsi="Arial"/>
                <w:sz w:val="18"/>
                <w:szCs w:val="18"/>
                <w:color w:val="auto"/>
              </w:rPr>
              <w:t>November 2, 2017</w:t>
            </w: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3460" w:type="dxa"/>
            <w:vAlign w:val="bottom"/>
            <w:tcBorders>
              <w:bottom w:val="single" w:sz="8" w:color="auto"/>
            </w:tcBorders>
          </w:tcPr>
          <w:p>
            <w:pPr>
              <w:spacing w:after="0"/>
              <w:rPr>
                <w:sz w:val="24"/>
                <w:szCs w:val="24"/>
                <w:color w:val="auto"/>
              </w:rPr>
            </w:pPr>
          </w:p>
        </w:tc>
      </w:tr>
      <w:tr>
        <w:trPr>
          <w:trHeight w:val="195"/>
        </w:trPr>
        <w:tc>
          <w:tcPr>
            <w:tcW w:w="5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November 2, 2017</w:t>
            </w: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5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August 4, 2017, by and between Iovance Biotherapeutics,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Timothy Morris (“</w:t>
      </w:r>
      <w:r>
        <w:rPr>
          <w:rFonts w:ascii="Arial" w:cs="Arial" w:eastAsia="Arial" w:hAnsi="Arial"/>
          <w:sz w:val="18"/>
          <w:szCs w:val="18"/>
          <w:b w:val="1"/>
          <w:bCs w:val="1"/>
          <w:color w:val="auto"/>
        </w:rPr>
        <w:t>Executive</w:t>
      </w:r>
      <w:r>
        <w:rPr>
          <w:rFonts w:ascii="Arial" w:cs="Arial" w:eastAsia="Arial" w:hAnsi="Arial"/>
          <w:sz w:val="18"/>
          <w:szCs w:val="18"/>
          <w:color w:val="auto"/>
        </w:rPr>
        <w:t>”) (either party individually,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employ Executive to serve as the Company’s Chief Financial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enter into this Agreement to set forth the terms and conditions of Executive’s employment by the Company and to address certain matters related to Executive’s employment with the Company;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1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NOW, THEREFORE, in consideration of the foregoing, the promises and obligations set forth below and for other good and valuable consideration, the receipt of which is hereby acknowledged by the Parties, the Company and Executive agree and intend to be legally bound, as follows:</w:t>
      </w:r>
    </w:p>
    <w:p>
      <w:pPr>
        <w:spacing w:after="0" w:line="124" w:lineRule="exact"/>
        <w:rPr>
          <w:sz w:val="20"/>
          <w:szCs w:val="20"/>
          <w:color w:val="auto"/>
        </w:rPr>
      </w:pPr>
    </w:p>
    <w:p>
      <w:pPr>
        <w:ind w:firstLine="656"/>
        <w:spacing w:after="0" w:line="277"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Effective August 14, 2017 (the “Effective Date”), the Company hereby employs Executive, and Executive hereby accepts such employment, upon the terms and conditions set forth herein.</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The Company agrees to employ Executive in the position of Chief Financial Officer reporting to the Chief Executive Officer. The Executive shall have the duties and responsibilities consistent with the office of a Chief Financial Officer of a publicly traded corporation, and such other duties and responsibilities as determined from time to time by the Company, including but not limited to the Chief Executive Officer. Executive shall perform faithfully and diligently such duties as are reasonable and customary for Executive’s position, as well as such other duties as the Company and/or Chief Executive Officer shall reasonably assign from time to time. Executive shall perform his duties in the Company’s offices in San Carlos, California subject to customary travel as reasonably required.</w:t>
      </w:r>
    </w:p>
    <w:p>
      <w:pPr>
        <w:spacing w:after="0" w:line="19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Best Efforts/Full-Time</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2.2(a) Executive understands and agrees that Executive will faithfully devote Executive’s best efforts and substantially all of his time during normal business hours to the faithful and loyal performance of his job duties to the Company (except for permitted vacation periods and reasonable periods of illness or other incapacity).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 take no action which materially harms the business, business interests, or reputation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jc w:val="both"/>
        <w:ind w:firstLine="1297"/>
        <w:spacing w:after="0" w:line="264" w:lineRule="auto"/>
        <w:rPr>
          <w:sz w:val="20"/>
          <w:szCs w:val="20"/>
          <w:color w:val="auto"/>
        </w:rPr>
      </w:pPr>
      <w:r>
        <w:rPr>
          <w:rFonts w:ascii="Arial" w:cs="Arial" w:eastAsia="Arial" w:hAnsi="Arial"/>
          <w:sz w:val="18"/>
          <w:szCs w:val="18"/>
          <w:color w:val="auto"/>
        </w:rPr>
        <w:t>2.2(b) Executive agrees that Executive shall not, directly or indirectly, (i) engage or participate in any outside activity that would, or may be perceived to, conflict with the best interests of the Company or Executive’s duties to the Company, or (ii) provide services to or invest in any corporation or entity that competes or intends to compete with the business of the Company.</w:t>
      </w:r>
    </w:p>
    <w:p>
      <w:pPr>
        <w:spacing w:after="0" w:line="18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2.2(c) Notwithstanding the foregoing, nothing herein shall prohibit Executive from (i) serving, with the prior written consent of the Company, as a member of the board of directors of an entity engaged solely in charitable activities or community affairs, provided that, such activity shall be limited by Executive so as not to interfere with the performance of Executive’s duties and responsibilities hereunder; (ii) owning, as a passive investment, less than 1%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Arial" w:cs="Arial" w:eastAsia="Arial" w:hAnsi="Arial"/>
          <w:sz w:val="17"/>
          <w:szCs w:val="17"/>
          <w:b w:val="1"/>
          <w:bCs w:val="1"/>
          <w:color w:val="auto"/>
        </w:rPr>
        <w:t>Board</w:t>
      </w:r>
      <w:r>
        <w:rPr>
          <w:rFonts w:ascii="Arial" w:cs="Arial" w:eastAsia="Arial" w:hAnsi="Arial"/>
          <w:sz w:val="17"/>
          <w:szCs w:val="17"/>
          <w:color w:val="auto"/>
        </w:rPr>
        <w:t>”). The parties agree that during the term of this Agreement, Executive may serve as a board member of two organizations other than the Company, provided that such service does not require him to perform more than 16 hours of work per month including travel or preparation for such board meetings. The Executive’s service on such other board is subject to the Executive disclosing the name of the organization for which he serves as a board member to the Company. Such service is subject to the approval of the Company’s Chief Executive Officer, and/or the Board. To the extent Executive wishes to serve on an organization’s board where he currently does not serve, he must obtain agreement from the Company’s Chief Executive Office and/or the Board.</w:t>
      </w:r>
    </w:p>
    <w:p>
      <w:pPr>
        <w:spacing w:after="0" w:line="183" w:lineRule="exact"/>
        <w:rPr>
          <w:sz w:val="20"/>
          <w:szCs w:val="20"/>
          <w:color w:val="auto"/>
        </w:rPr>
      </w:pPr>
    </w:p>
    <w:p>
      <w:pPr>
        <w:jc w:val="both"/>
        <w:ind w:firstLine="656"/>
        <w:spacing w:after="0" w:line="259" w:lineRule="auto"/>
        <w:tabs>
          <w:tab w:leader="none" w:pos="111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Executive’s employment with the Company will be “at-will” and will not be for any specific period of time. As a 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6 of this Agreement.</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As compensation for the performance of all duties to be performed by Executive hereunder, the Company shall pay to Executive a base salary of $450,000 per year, less applicable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Stock Options.</w:t>
      </w:r>
      <w:r>
        <w:rPr>
          <w:rFonts w:ascii="Arial" w:cs="Arial" w:eastAsia="Arial" w:hAnsi="Arial"/>
          <w:sz w:val="17"/>
          <w:szCs w:val="17"/>
          <w:color w:val="auto"/>
        </w:rPr>
        <w:t xml:space="preserve"> As of the Effective Date, Executive shall receive stock options to purchase an aggregate of 250,000 shares of the Company’s common stock. To the extent legally permitted, the stock options shall be incentive stock options. The stock options will have an exercise price equal to the closing trading price of the common stock on the Effective Date. Provided that Executive is still employed with the Company on the following dates, the foregoing stock options will vest in installments as follows: (i) Options for the purchase of one-third of the 250,000 shares shall vest on one year anniversary of the Effective Date; and (ii) the remaining stock options shall vest as to one-twelfth of 250,000 shares at the end of each quarter over the next two years, commencing with the first quarter following the first anniversary of the Effective Date. Upon the termination of Executive’s employment with the Company, except as provided herein, the unvested options will be forfeited and returned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1297"/>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Executive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The Incentive Compensation shall be paid in accordance with the terms and conditions outlined in the Incentive Plan and based upon the achievement of certain goals, objectives, and other metrics as decided by the Board. The maximum potential amount payable to Executive under the Incentive Plan, if earned, shall be 40% of Executive’s Base Salary earned during the applicable calendar year. 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No Incentive Compensation will be payable to Executive to the extent Executive is not employed on the Incentive Compensation payment date. The payment of any Incentive Compensation pursuant to this Section 4.3 is in the sole discretion of the Board, in accordance with the Incentive Plan, and shall be made in accordance with the normal payroll practices of the Company, less required deductions for state and federal withholding tax, social security and all other employment taxes and authorized payroll deductions.</w:t>
      </w:r>
    </w:p>
    <w:p>
      <w:pPr>
        <w:spacing w:after="0" w:line="195"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Performance Review.</w:t>
      </w:r>
      <w:r>
        <w:rPr>
          <w:rFonts w:ascii="Arial" w:cs="Arial" w:eastAsia="Arial" w:hAnsi="Arial"/>
          <w:sz w:val="18"/>
          <w:szCs w:val="18"/>
          <w:color w:val="auto"/>
        </w:rPr>
        <w:t xml:space="preserve"> The Company will periodically review Executive’s performance on no less than an annual basis and may increase (but not decrease) Executive’s salary or other compensation, as it deems appropriate in its sole and absolute discretion and with any necessary Board approval requirements.</w:t>
      </w:r>
    </w:p>
    <w:p>
      <w:pPr>
        <w:spacing w:after="0" w:line="181" w:lineRule="exact"/>
        <w:rPr>
          <w:sz w:val="20"/>
          <w:szCs w:val="20"/>
          <w:color w:val="auto"/>
        </w:rPr>
      </w:pPr>
    </w:p>
    <w:p>
      <w:pPr>
        <w:jc w:val="both"/>
        <w:ind w:right="60" w:firstLine="1297"/>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Customary Fringe Benefits</w:t>
      </w:r>
      <w:r>
        <w:rPr>
          <w:rFonts w:ascii="Arial" w:cs="Arial" w:eastAsia="Arial" w:hAnsi="Arial"/>
          <w:sz w:val="16"/>
          <w:szCs w:val="16"/>
          <w:color w:val="auto"/>
        </w:rPr>
        <w:t>.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Incentive Compensation and any applicable Severance Payment)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insurances and participation in a 401(k) plan. Executive will be eligible to receive paid time off benefits in the form of vacation, sick and holidays. The amount, eligibility and extent of these benefits shall be governed by the Company’s applicable policy in effect and as amended from time to time and in compliance with applicable law.</w:t>
      </w:r>
    </w:p>
    <w:p>
      <w:pPr>
        <w:spacing w:after="0" w:line="16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Business Expenses.</w:t>
      </w:r>
      <w:r>
        <w:rPr>
          <w:rFonts w:ascii="Arial" w:cs="Arial" w:eastAsia="Arial" w:hAnsi="Arial"/>
          <w:sz w:val="16"/>
          <w:szCs w:val="16"/>
          <w:color w:val="auto"/>
        </w:rPr>
        <w:t xml:space="preserve"> Executive will be reimbursed for all reasonable and necessary out- of-pocket business expenses incurred in the performance of Executive’s duties on behalf of the Company, including travel-related expenses. To obtain reimbursement, Executive shall provide the Company with reasonable documentation and receipts establishing the amount and nature of such expenses. Executive shall comply with such reasonable budget limitations and pre-approval, approval, and reporting requirements with respect to expenses as the Company may establish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656"/>
        <w:spacing w:after="0" w:line="277" w:lineRule="auto"/>
        <w:tabs>
          <w:tab w:leader="none" w:pos="117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Agreement.</w:t>
      </w:r>
      <w:r>
        <w:rPr>
          <w:rFonts w:ascii="Arial" w:cs="Arial" w:eastAsia="Arial" w:hAnsi="Arial"/>
          <w:sz w:val="18"/>
          <w:szCs w:val="18"/>
          <w:color w:val="auto"/>
        </w:rPr>
        <w:t xml:space="preserve"> Executive agrees to abide by the Company’s Employee Proprietary Information and Inventions Agreement (the “</w:t>
      </w:r>
      <w:r>
        <w:rPr>
          <w:rFonts w:ascii="Arial" w:cs="Arial" w:eastAsia="Arial" w:hAnsi="Arial"/>
          <w:sz w:val="18"/>
          <w:szCs w:val="18"/>
          <w:b w:val="1"/>
          <w:bCs w:val="1"/>
          <w:color w:val="auto"/>
        </w:rPr>
        <w:t>Non-Disclosure Agreement</w:t>
      </w:r>
      <w:r>
        <w:rPr>
          <w:rFonts w:ascii="Arial" w:cs="Arial" w:eastAsia="Arial" w:hAnsi="Arial"/>
          <w:sz w:val="18"/>
          <w:szCs w:val="18"/>
          <w:color w:val="auto"/>
        </w:rPr>
        <w:t>”), which Executive has signed and is incorporated herein by reference.</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Termination for Cause by the Company.</w:t>
      </w:r>
      <w:r>
        <w:rPr>
          <w:rFonts w:ascii="Arial" w:cs="Arial" w:eastAsia="Arial" w:hAnsi="Arial"/>
          <w:sz w:val="16"/>
          <w:szCs w:val="16"/>
          <w:color w:val="auto"/>
        </w:rPr>
        <w:t xml:space="preserve"> The Company may terminate Executive’s employment immediately at any time and without notice for “Cause.” For purposes of this Agreement, “Cause” shall mean (i) a material breach by Executive of this Agreement or the Non-Disclosure Agreement; (ii) the death of Executive or his disability resulting in his inability to perform his reasonable duties assigned hereunder for a period of 180 days;</w:t>
      </w:r>
    </w:p>
    <w:p>
      <w:pPr>
        <w:jc w:val="both"/>
        <w:ind w:firstLine="8"/>
        <w:spacing w:after="0" w:line="267" w:lineRule="auto"/>
        <w:tabs>
          <w:tab w:leader="none" w:pos="3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Executive’s theft, dishonesty, or falsification of any Company documents or records; (iv) Executive’s improper use or disclosure of the Company’s confidential or proprietary information; (v) Executive’s conviction (including any plea of guilty or nolo contendere) of any criminal act which impairs Executive’s ability to perform his duties hereunder or which in the Board’s judgment may materially damage the business or reputation of the Company; (vi) failure or refusal to comply with reasonable and lawful Company policies and procedures; or (vii) Executive’s failure and/or inability to comply with or meet the requirements of any performance improvement plan reasonably provided to Executive by the Chief Executive Officer and/or the Board;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prior to termination for cause arising under clause (i), Executive shall have a period of ten days after written notice from the Company to cure the event or grounds constituting such cause. Any notice of termination provided by Company to Executive under this Section 6.1 shall identify the events or conduct constituting the grounds for termination with sufficient specificity so as to enable Executive to take steps to cure, if curable, the same if such default is a material breach by Executive of this Agreement or the Non-Disclosure Agreement. In the event Executive’s employment is terminated in accordance with this subsection 6.1, Executive shall be entitled to receive only the Base Salary, prorated to the date of termination. All other obligations of the Company to Executive pursuant to this Agreement will be automatically terminated and completely extinguished.</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Without Cause by The Company/Separation Package.</w:t>
      </w:r>
      <w:r>
        <w:rPr>
          <w:rFonts w:ascii="Arial" w:cs="Arial" w:eastAsia="Arial" w:hAnsi="Arial"/>
          <w:sz w:val="17"/>
          <w:szCs w:val="17"/>
          <w:color w:val="auto"/>
        </w:rPr>
        <w:t xml:space="preserve"> The Company may terminate Executive’s employment under this Agreement without Cause (as defined in Section 6.1 above) at any time on thirty (30) days’ advance written notice to Executive. In the event of such termination, Executive will receive Executive’s Base Salary through the date of termination. Upon such termination of employment without Cause, Executive will be eligible to receive a “</w:t>
      </w:r>
      <w:r>
        <w:rPr>
          <w:rFonts w:ascii="Arial" w:cs="Arial" w:eastAsia="Arial" w:hAnsi="Arial"/>
          <w:sz w:val="17"/>
          <w:szCs w:val="17"/>
          <w:b w:val="1"/>
          <w:bCs w:val="1"/>
          <w:color w:val="auto"/>
        </w:rPr>
        <w:t>Severance Payment</w:t>
      </w:r>
      <w:r>
        <w:rPr>
          <w:rFonts w:ascii="Arial" w:cs="Arial" w:eastAsia="Arial" w:hAnsi="Arial"/>
          <w:sz w:val="17"/>
          <w:szCs w:val="17"/>
          <w:color w:val="auto"/>
        </w:rPr>
        <w:t>” equivalent to six months of Executive’s then Base Salary, payable in full within thirty (30) days after termination, provided that Executive first satisfies the Severance Conditions. For purposes of this Agreement, the “</w:t>
      </w:r>
      <w:r>
        <w:rPr>
          <w:rFonts w:ascii="Arial" w:cs="Arial" w:eastAsia="Arial" w:hAnsi="Arial"/>
          <w:sz w:val="17"/>
          <w:szCs w:val="17"/>
          <w:b w:val="1"/>
          <w:bCs w:val="1"/>
          <w:color w:val="auto"/>
        </w:rPr>
        <w:t>Severance Conditions</w:t>
      </w:r>
      <w:r>
        <w:rPr>
          <w:rFonts w:ascii="Arial" w:cs="Arial" w:eastAsia="Arial" w:hAnsi="Arial"/>
          <w:sz w:val="17"/>
          <w:szCs w:val="17"/>
          <w:color w:val="auto"/>
        </w:rPr>
        <w:t>” are defined as (1) Executive’s execution and non- revocation of a full general release, and such release has become effective in accordance with its terms prior to the 30th day following the termination date; and (2) Executive’s reaffirmation of Executive’s commitment to comply, and actual compliance, with all surviving provisions of this Agreement, as well as any other agreements concerning his employment with and separation from employment, including without limitation, and confidentiality and proprietary information agreements. Following payment of the Severance Payment, Base Salary,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297"/>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Termination Upon a Change of Control.</w:t>
      </w:r>
      <w:r>
        <w:rPr>
          <w:rFonts w:ascii="Arial" w:cs="Arial" w:eastAsia="Arial" w:hAnsi="Arial"/>
          <w:sz w:val="16"/>
          <w:szCs w:val="16"/>
          <w:color w:val="auto"/>
        </w:rPr>
        <w:t xml:space="preserve"> For purposes of this Agreement,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(1) a merger or consolidation or the sale or exchange by the stockholders of the Company of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w:t>
      </w:r>
    </w:p>
    <w:p>
      <w:pPr>
        <w:spacing w:after="0" w:line="3" w:lineRule="exact"/>
        <w:rPr>
          <w:sz w:val="20"/>
          <w:szCs w:val="20"/>
          <w:color w:val="auto"/>
        </w:rPr>
      </w:pPr>
    </w:p>
    <w:p>
      <w:pPr>
        <w:jc w:val="both"/>
        <w:ind w:firstLine="8"/>
        <w:spacing w:after="0" w:line="266" w:lineRule="auto"/>
        <w:tabs>
          <w:tab w:leader="none" w:pos="2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within six (6) months immediately preceding a Change of Control or within twelve (12) months immediately following a Change of Control, the Executive’s employment is terminated by the Company for any reason other than Cause, then the Executive shall be entitled to receive the following compensation, provided that Executive first satisfies the Severance Conditions: (i) the Severance Payment set forth in Section 6.2, (ii) a second severance payment equal to six months of Executive’s then Base Salary and the Executive’s prorated Incentive Compensation, payable in full within thirty (30) days after termination, and (iii) any then time-based unvested stock options granted to Executive by the Company will become fully vested on the last day of Executive’s employment with the Company, and Executive shall have three months from the date for termination within which to exercise his vested options. Following payment of the Severance Payment, Base Salary,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19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Resignation.</w:t>
      </w:r>
      <w:r>
        <w:rPr>
          <w:rFonts w:ascii="Arial" w:cs="Arial" w:eastAsia="Arial" w:hAnsi="Arial"/>
          <w:sz w:val="17"/>
          <w:szCs w:val="17"/>
          <w:color w:val="auto"/>
        </w:rPr>
        <w:t xml:space="preserve">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Executive shall not be entitled to any Severance Pay. Executive will only be entitled to receive Executive’s Base Salary earned up to the date of termination. Notwithstanding the foregoing, Executive has the right upon thirty (30) days written notice to the Company to terminate Executive’s employment for “Good Reason” due to occurrence of any of the following: (i) a material adverse change in Executive’s title, duties or responsibilities; (ii) any failure by the Company to pay, or any reduction by Company of, the base salary or any failure by Company to pay any Incentive Compensation to which Executive is entitled pursuant to Section 4; (iii) the Company creates a work environment designed to constructively terminate Executive or to unlawfully harass or retaliate against Executive; or (iv) a Change of Control occurs in which the Company is not the surviving entity and the surviving entity fails to offer Executive an executive position at a compensation level at least equal to Executive’s then compensation level under this Agreement. In the event that Executive terminates his employment for Good Reason, then Executive shall be entitled to receive the Base Salary, and Severance Payment as if Executive were terminated by the Company without Cause under Section 6.2, subject to Executive’s compliance with all of the Severance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1300"/>
        <w:spacing w:after="0"/>
        <w:tabs>
          <w:tab w:leader="none" w:pos="18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Application of Section 409A.</w:t>
      </w:r>
    </w:p>
    <w:p>
      <w:pPr>
        <w:spacing w:after="0" w:line="22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6.5(a)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6"/>
          <w:szCs w:val="16"/>
          <w:b w:val="1"/>
          <w:bCs w:val="1"/>
          <w:color w:val="auto"/>
        </w:rPr>
        <w:t>Section 409A</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shall be paid unless and until Executive has incurred a “separation from service” within the meaning of the Section 409A Regulations.</w:t>
      </w:r>
    </w:p>
    <w:p>
      <w:pPr>
        <w:spacing w:after="0" w:line="14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6.5(b)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6"/>
          <w:szCs w:val="16"/>
          <w:b w:val="1"/>
          <w:bCs w:val="1"/>
          <w:color w:val="auto"/>
        </w:rPr>
        <w:t>However, Company does not guarantee any particular tax effect for income provided to Executive pursuant to this Agreement.</w:t>
      </w:r>
      <w:r>
        <w:rPr>
          <w:rFonts w:ascii="Arial" w:cs="Arial" w:eastAsia="Arial" w:hAnsi="Arial"/>
          <w:sz w:val="16"/>
          <w:szCs w:val="16"/>
          <w:color w:val="auto"/>
        </w:rPr>
        <w:t xml:space="preserve"> In any 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15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6.5(c)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b w:val="1"/>
          <w:bCs w:val="1"/>
          <w:color w:val="auto"/>
        </w:rPr>
        <w:t>Delayed Payment 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7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6.5(d)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17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6.5(e) For purposes of Section 409A of the Code, the right to a series of installment payments under this Agreement shall be treated as a right to a series of separate payments.</w:t>
      </w:r>
    </w:p>
    <w:p>
      <w:pPr>
        <w:spacing w:after="0" w:line="170" w:lineRule="exact"/>
        <w:rPr>
          <w:sz w:val="20"/>
          <w:szCs w:val="20"/>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Employment and Post-Employment Covenants.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Non-Solicitation.</w:t>
      </w:r>
      <w:r>
        <w:rPr>
          <w:rFonts w:ascii="Arial" w:cs="Arial" w:eastAsia="Arial" w:hAnsi="Arial"/>
          <w:sz w:val="17"/>
          <w:szCs w:val="17"/>
          <w:color w:val="auto"/>
        </w:rPr>
        <w:t xml:space="preserve"> Executive agrees that during a period of 12 months following the termination of the Executive’s employment (the “</w:t>
      </w:r>
      <w:r>
        <w:rPr>
          <w:rFonts w:ascii="Arial" w:cs="Arial" w:eastAsia="Arial" w:hAnsi="Arial"/>
          <w:sz w:val="17"/>
          <w:szCs w:val="17"/>
          <w:b w:val="1"/>
          <w:bCs w:val="1"/>
          <w:color w:val="auto"/>
        </w:rPr>
        <w:t>Restrictive Period</w:t>
      </w:r>
      <w:r>
        <w:rPr>
          <w:rFonts w:ascii="Arial" w:cs="Arial" w:eastAsia="Arial" w:hAnsi="Arial"/>
          <w:sz w:val="17"/>
          <w:szCs w:val="17"/>
          <w:color w:val="auto"/>
        </w:rPr>
        <w:t>”), Executive shall not (a) solicit or in any manner encourage, either directly or indirectly, any existing employee of the Company to leave the Company for any reason; nor will he interfere in any other manner with the employment or business relationships at the time existing between the Company and its current or prospective employees or consultants; or (b) 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1297"/>
        <w:spacing w:after="0" w:line="25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Executive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 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Executive, would violate any provision of this Section 7.2; provided, however, that Executive shall not be prohibited by this Section 7.2 from making truthful statements (i) when required by order of a court or other body of competent jurisdiction or as required by law or (ii) solely within the context of seeking judicial enforcement of legal or contractual rights against a person or entity.</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Executive acknowledges that the duration of the Restrictive Period is fair is reasonably required for the protection of the Company's business interests, including its goodwill. The Executive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w:t>
      </w:r>
    </w:p>
    <w:p>
      <w:pPr>
        <w:spacing w:after="0" w:line="193" w:lineRule="exact"/>
        <w:rPr>
          <w:sz w:val="20"/>
          <w:szCs w:val="20"/>
          <w:color w:val="auto"/>
        </w:rPr>
      </w:pPr>
    </w:p>
    <w:p>
      <w:pPr>
        <w:ind w:left="1100" w:hanging="4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Attorney’s Fees.</w:t>
      </w:r>
      <w:r>
        <w:rPr>
          <w:rFonts w:ascii="Arial" w:cs="Arial" w:eastAsia="Arial" w:hAnsi="Arial"/>
          <w:sz w:val="18"/>
          <w:szCs w:val="18"/>
          <w:color w:val="auto"/>
        </w:rPr>
        <w:t xml:space="preserve">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xml:space="preserve">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1297"/>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will be governed by and construed in accordance with the laws of the United States and the internal laws of the State of California.</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THE PARTIES TO THIS AGREEMENT HAVE READ THE FOREGOING AGREEMENT AND FULLY UNDERSTAND EACH AND EVERY PROVISION CONTAINED HEREIN. WHEREFORE, THE PARTIES HAVE EXECUTED THIS AGREEMENT AS SHOWN BELOW.</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MORRIS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Danville, 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Iovance Biotherapeutics,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MARIA FARDIS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999 Skyway Road, Suite 150</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 Carlos, CA 94070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1340" w:right="80" w:hanging="670"/>
        <w:spacing w:after="0" w:line="264"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670"/>
        <w:spacing w:after="0" w:line="264"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670"/>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220" w:hanging="670"/>
        <w:spacing w:after="0" w:line="264"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40" w:right="600" w:hanging="670"/>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670"/>
        <w:spacing w:after="0" w:line="277"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Dated: November 2, 2017</w:t>
            </w:r>
          </w:p>
        </w:tc>
        <w:tc>
          <w:tcPr>
            <w:tcW w:w="7380" w:type="dxa"/>
            <w:vAlign w:val="bottom"/>
            <w:gridSpan w:val="2"/>
          </w:tcPr>
          <w:p>
            <w:pPr>
              <w:ind w:left="2100"/>
              <w:spacing w:after="0"/>
              <w:rPr>
                <w:sz w:val="20"/>
                <w:szCs w:val="20"/>
                <w:color w:val="auto"/>
              </w:rPr>
            </w:pPr>
            <w:r>
              <w:rPr>
                <w:rFonts w:ascii="Arial" w:cs="Arial" w:eastAsia="Arial" w:hAnsi="Arial"/>
                <w:sz w:val="18"/>
                <w:szCs w:val="18"/>
                <w:color w:val="auto"/>
              </w:rPr>
              <w:t>By: /s/ Maria Fardis</w:t>
            </w:r>
          </w:p>
        </w:tc>
      </w:tr>
      <w:tr>
        <w:trPr>
          <w:trHeight w:val="195"/>
        </w:trPr>
        <w:tc>
          <w:tcPr>
            <w:tcW w:w="4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4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4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1340" w:right="80" w:hanging="670"/>
        <w:spacing w:after="0" w:line="264"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670"/>
        <w:spacing w:after="0" w:line="264"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670"/>
        <w:spacing w:after="0" w:line="34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220" w:hanging="670"/>
        <w:spacing w:after="0" w:line="264"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40" w:right="600" w:hanging="670"/>
        <w:spacing w:after="0" w:line="34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670"/>
        <w:spacing w:after="0" w:line="277"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Dated: November 2, 2017</w:t>
            </w:r>
          </w:p>
        </w:tc>
        <w:tc>
          <w:tcPr>
            <w:tcW w:w="7420" w:type="dxa"/>
            <w:vAlign w:val="bottom"/>
            <w:gridSpan w:val="2"/>
          </w:tcPr>
          <w:p>
            <w:pPr>
              <w:ind w:left="2140"/>
              <w:spacing w:after="0"/>
              <w:rPr>
                <w:sz w:val="20"/>
                <w:szCs w:val="20"/>
                <w:color w:val="auto"/>
              </w:rPr>
            </w:pPr>
            <w:r>
              <w:rPr>
                <w:rFonts w:ascii="Arial" w:cs="Arial" w:eastAsia="Arial" w:hAnsi="Arial"/>
                <w:sz w:val="18"/>
                <w:szCs w:val="18"/>
                <w:color w:val="auto"/>
              </w:rPr>
              <w:t>By: /s/ Timothy E. Morris</w:t>
            </w:r>
          </w:p>
        </w:tc>
      </w:tr>
      <w:tr>
        <w:trPr>
          <w:trHeight w:val="195"/>
        </w:trPr>
        <w:tc>
          <w:tcPr>
            <w:tcW w:w="4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4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75"/>
        </w:trPr>
        <w:tc>
          <w:tcPr>
            <w:tcW w:w="4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2017,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Dated: November 2, 2017</w:t>
            </w:r>
          </w:p>
        </w:tc>
        <w:tc>
          <w:tcPr>
            <w:tcW w:w="7380" w:type="dxa"/>
            <w:vAlign w:val="bottom"/>
            <w:gridSpan w:val="2"/>
          </w:tcPr>
          <w:p>
            <w:pPr>
              <w:ind w:left="2100"/>
              <w:spacing w:after="0"/>
              <w:rPr>
                <w:sz w:val="20"/>
                <w:szCs w:val="20"/>
                <w:color w:val="auto"/>
              </w:rPr>
            </w:pPr>
            <w:r>
              <w:rPr>
                <w:rFonts w:ascii="Arial" w:cs="Arial" w:eastAsia="Arial" w:hAnsi="Arial"/>
                <w:sz w:val="18"/>
                <w:szCs w:val="18"/>
                <w:color w:val="auto"/>
              </w:rPr>
              <w:t>By: /s/ Maria Fardis</w:t>
            </w:r>
          </w:p>
        </w:tc>
      </w:tr>
      <w:tr>
        <w:trPr>
          <w:trHeight w:val="195"/>
        </w:trPr>
        <w:tc>
          <w:tcPr>
            <w:tcW w:w="4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4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connection with the Quarterly Report on Form 10-Q of Iovance Biotherapeutics, Inc. (the “Company”) for the quarter ended September 30, 2017,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6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Dated: November 2, 2017</w:t>
            </w:r>
          </w:p>
        </w:tc>
        <w:tc>
          <w:tcPr>
            <w:tcW w:w="7380" w:type="dxa"/>
            <w:vAlign w:val="bottom"/>
            <w:gridSpan w:val="2"/>
          </w:tcPr>
          <w:p>
            <w:pPr>
              <w:ind w:left="2100"/>
              <w:spacing w:after="0"/>
              <w:rPr>
                <w:sz w:val="20"/>
                <w:szCs w:val="20"/>
                <w:color w:val="auto"/>
              </w:rPr>
            </w:pPr>
            <w:r>
              <w:rPr>
                <w:rFonts w:ascii="Arial" w:cs="Arial" w:eastAsia="Arial" w:hAnsi="Arial"/>
                <w:sz w:val="18"/>
                <w:szCs w:val="18"/>
                <w:color w:val="auto"/>
              </w:rPr>
              <w:t>By: /s/ Timothy E. Morris</w:t>
            </w:r>
          </w:p>
        </w:tc>
      </w:tr>
      <w:tr>
        <w:trPr>
          <w:trHeight w:val="195"/>
        </w:trPr>
        <w:tc>
          <w:tcPr>
            <w:tcW w:w="4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4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þ"/>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lowerRoman"/>
      <w:start w:val="3"/>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7"/>
    </w:lvl>
  </w:abstractNum>
  <w:abstractNum w:abstractNumId="12">
    <w:nsid w:val="1BEFD79F"/>
    <w:multiLevelType w:val="hybridMultilevel"/>
    <w:lvl w:ilvl="0">
      <w:lvlJc w:val="left"/>
      <w:lvlText w:val="%1."/>
      <w:numFmt w:val="decimal"/>
      <w:start w:val="8"/>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49" Type="http://schemas.openxmlformats.org/officeDocument/2006/relationships/hyperlink" Target="http://www.sec.gov/Archives/edgar/data/1425205/000114420417030892/v468249_ex2-1.htm" TargetMode="External"/><Relationship Id="rId50" Type="http://schemas.openxmlformats.org/officeDocument/2006/relationships/hyperlink" Target="http://www.sec.gov/Archives/edgar/data/1425205/000114420417030892/v468249_ex3-1.htm" TargetMode="External"/><Relationship Id="rId51" Type="http://schemas.openxmlformats.org/officeDocument/2006/relationships/hyperlink" Target="http://www.sec.gov/Archives/edgar/data/1425205/000114420417030892/v468249_ex3-2.htm" TargetMode="External"/><Relationship Id="rId52" Type="http://schemas.openxmlformats.org/officeDocument/2006/relationships/hyperlink" Target="http://www.sec.gov/Archives/edgar/data/1425205/000114420417030892/v468249_ex3-3.htm" TargetMode="External"/><Relationship Id="rId53" Type="http://schemas.openxmlformats.org/officeDocument/2006/relationships/hyperlink" Target="http://www.sec.gov/Archives/edgar/data/1425205/000114420417039309/v471615_ex3-4.htm" TargetMode="External"/><Relationship Id="rId54" Type="http://schemas.openxmlformats.org/officeDocument/2006/relationships/hyperlink" Target="http://www.sec.gov/Archives/edgar/data/1425205/000114420417039309/v471615_ex3-5.htm" TargetMode="External"/><Relationship Id="rId55" Type="http://schemas.openxmlformats.org/officeDocument/2006/relationships/hyperlink" Target="http://www.sec.gov/Archives/edgar/data/1425205/000114420417034350/v469760_ex3-1.htm" TargetMode="External"/><Relationship Id="rId56" Type="http://schemas.openxmlformats.org/officeDocument/2006/relationships/hyperlink" Target="http://www.sec.gov/Archives/edgar/data/1425205/000114420417030892/v468249_ex3-4.htm" TargetMode="External"/><Relationship Id="rId57" Type="http://schemas.openxmlformats.org/officeDocument/2006/relationships/hyperlink" Target="http://www.sec.gov/Archives/edgar/data/1425205/000114420417034350/v469760_ex3-2.htm" TargetMode="External"/><Relationship Id="rId58" Type="http://schemas.openxmlformats.org/officeDocument/2006/relationships/hyperlink" Target="http://www.sec.gov/Archives/edgar/data/1425205/000114420417048108/v47522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2019-12-29T03:40:24Z</dcterms:created>
  <dcterms:modified xsi:type="dcterms:W3CDTF">2019-12-29T03:40:24Z</dcterms:modified>
</cp:coreProperties>
</file>