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111-1_4seq1.xml.htm"/>
      <w:bookmarkStart w:id="1" w:name="kstm2625111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Puri Raj K.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IOVANCE BIOTHERAPEUTICS,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825 INDUSTRIAL ROAD,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IOVANCE BIOTHERAPEUTICS,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Regulatory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4"/>
        <w:gridCol w:w="902"/>
        <w:gridCol w:w="771"/>
        <w:gridCol w:w="599"/>
        <w:gridCol w:w="352"/>
        <w:gridCol w:w="858"/>
        <w:gridCol w:w="465"/>
        <w:gridCol w:w="626"/>
        <w:gridCol w:w="1210"/>
        <w:gridCol w:w="1010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9,766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260,842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4,478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8.7</w:t>
            </w:r>
          </w:p>
        </w:tc>
        <w:tc>
          <w:tcPr>
            <w:tcW w:w="12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256,364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9,766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58,599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such shares underlying the restricted stock units ("RSUs") which vested on the transaction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the mandatory tax withholding requirements upon vesting of the RSUs. This is not an open market sale of securities.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common stock remaining after deducting the common stock withheld for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remaining RSUs will vest in equal quarterly installments.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Such aggregate number reflects the remainder of such RSUs granted on March 5, 2025, but does not include any other RSUs held by such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 K. Puri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6483" TargetMode="External"/><Relationship Id="rId5" Type="http://schemas.openxmlformats.org/officeDocument/2006/relationships/hyperlink" Target="http://www.sec.gov/cgi-bin/browse-edgar?action=getcompany&amp;CIK=00014252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704</Words>
  <Characters>3793</Characters>
  <CharactersWithSpaces>4404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