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80" w:right="2100" w:hanging="4072"/>
        <w:spacing w:after="0" w:line="277"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2018</w:t>
      </w:r>
    </w:p>
    <w:p>
      <w:pPr>
        <w:spacing w:after="0" w:line="170" w:lineRule="exact"/>
        <w:rPr>
          <w:sz w:val="24"/>
          <w:szCs w:val="24"/>
          <w:color w:val="auto"/>
        </w:rPr>
      </w:pPr>
    </w:p>
    <w:p>
      <w:pPr>
        <w:ind w:left="4480" w:right="2060" w:hanging="4472"/>
        <w:spacing w:after="0" w:line="277" w:lineRule="auto"/>
        <w:tabs>
          <w:tab w:leader="none" w:pos="6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to .</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89"/>
              </w:rPr>
              <w:t>Delaware</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ind w:left="382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0" w:right="239" w:bottom="1440" w:gutter="0" w:footer="0" w:header="0"/>
        </w:sectPr>
      </w:pPr>
    </w:p>
    <w:p>
      <w:pPr>
        <w:spacing w:after="0" w:line="181"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6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Do not check if a smaller reporting company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80" w:space="40"/>
            <w:col w:w="4540" w:space="720"/>
            <w:col w:w="4340"/>
          </w:cols>
          <w:pgMar w:left="240" w:top="540"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July 31, 2018, the issuer had 95,592,169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4"/>
          </w:tcPr>
          <w:p>
            <w:pPr>
              <w:ind w:left="1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2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5.</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Exhibits</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8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52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00" w:type="dxa"/>
            <w:vAlign w:val="bottom"/>
          </w:tcPr>
          <w:p>
            <w:pPr>
              <w:ind w:left="3360"/>
              <w:spacing w:after="0"/>
              <w:rPr>
                <w:sz w:val="20"/>
                <w:szCs w:val="20"/>
                <w:color w:val="auto"/>
              </w:rPr>
            </w:pPr>
            <w:r>
              <w:rPr>
                <w:rFonts w:ascii="Arial" w:cs="Arial" w:eastAsia="Arial" w:hAnsi="Arial"/>
                <w:sz w:val="18"/>
                <w:szCs w:val="18"/>
                <w:b w:val="1"/>
                <w:bCs w:val="1"/>
                <w:color w:val="auto"/>
              </w:rPr>
              <w:t>PART I. FINANCIAL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700" w:type="dxa"/>
            <w:vAlign w:val="bottom"/>
          </w:tcPr>
          <w:p>
            <w:pPr>
              <w:ind w:left="3360"/>
              <w:spacing w:after="0"/>
              <w:rPr>
                <w:sz w:val="20"/>
                <w:szCs w:val="20"/>
                <w:color w:val="auto"/>
              </w:rPr>
            </w:pPr>
            <w:r>
              <w:rPr>
                <w:rFonts w:ascii="Arial" w:cs="Arial" w:eastAsia="Arial" w:hAnsi="Arial"/>
                <w:sz w:val="18"/>
                <w:szCs w:val="18"/>
                <w:b w:val="1"/>
                <w:bCs w:val="1"/>
                <w:color w:val="auto"/>
              </w:rPr>
              <w:t>IOVANCE BIOTHERAPEUTICS,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00" w:type="dxa"/>
            <w:vAlign w:val="bottom"/>
          </w:tcPr>
          <w:p>
            <w:pPr>
              <w:ind w:left="3340"/>
              <w:spacing w:after="0"/>
              <w:rPr>
                <w:sz w:val="20"/>
                <w:szCs w:val="20"/>
                <w:color w:val="auto"/>
              </w:rPr>
            </w:pPr>
            <w:r>
              <w:rPr>
                <w:rFonts w:ascii="Arial" w:cs="Arial" w:eastAsia="Arial" w:hAnsi="Arial"/>
                <w:sz w:val="18"/>
                <w:szCs w:val="18"/>
                <w:b w:val="1"/>
                <w:bCs w:val="1"/>
                <w:color w:val="auto"/>
              </w:rPr>
              <w:t>Condensed Consolidated Balance Sheets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00" w:type="dxa"/>
            <w:vAlign w:val="bottom"/>
          </w:tcPr>
          <w:p>
            <w:pPr>
              <w:ind w:left="3340"/>
              <w:spacing w:after="0"/>
              <w:rPr>
                <w:sz w:val="20"/>
                <w:szCs w:val="20"/>
                <w:color w:val="auto"/>
              </w:rPr>
            </w:pPr>
            <w:r>
              <w:rPr>
                <w:rFonts w:ascii="Arial" w:cs="Arial" w:eastAsia="Arial" w:hAnsi="Arial"/>
                <w:sz w:val="18"/>
                <w:szCs w:val="18"/>
                <w:b w:val="1"/>
                <w:bCs w:val="1"/>
                <w:color w:val="auto"/>
              </w:rPr>
              <w:t>(in thousands, except share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246,017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Long-term assets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5,196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Series A Convertible Preferred Stock, $0.001 par value; 17,000 shares authorized, 194 shares issued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outstanding as of June 30, 2018; 1,694 shares issued and outstanding December 31, 2017 (aggregate liquidation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of $194)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9"/>
              </w:rPr>
              <w:t>Series B Convertible Preferred Stock, $0.001 par value; 11,500,000 shares authorized; 6,127,692 shares issued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w w:val="97"/>
              </w:rPr>
              <w:t>outstanding as of June 30, 2018; 7,378,241 shares issued and outstanding December 31, 2017 (aggregate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liquidation value of $29,107);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$0.000041666 par value; 150,000,000 shares authorized, 92,741,672 and 73,164,914 shares issued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outstanding as of June 30, 2018 and December 31, 2017,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(306,355)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(249,180)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270,569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284,751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and administrative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costs and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 net</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3560"/>
        <w:spacing w:after="0"/>
        <w:rPr>
          <w:sz w:val="20"/>
          <w:szCs w:val="20"/>
          <w:color w:val="auto"/>
        </w:rPr>
      </w:pPr>
      <w:r>
        <w:rPr>
          <w:rFonts w:ascii="Arial" w:cs="Arial" w:eastAsia="Arial" w:hAnsi="Arial"/>
          <w:sz w:val="16"/>
          <w:szCs w:val="16"/>
          <w:b w:val="1"/>
          <w:bCs w:val="1"/>
          <w:color w:val="auto"/>
        </w:rPr>
        <w:t>(unaudited; in thousands, except per share information)</w:t>
      </w:r>
    </w:p>
    <w:p>
      <w:pPr>
        <w:spacing w:after="0" w:line="230"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00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92"/>
              </w:rPr>
              <w:t>Three Months Ended</w:t>
            </w: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439"/>
        </w:trPr>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rPr>
              <w:t>-   $</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rPr>
              <w:t>-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1"/>
        </w:trPr>
        <w:tc>
          <w:tcPr>
            <w:tcW w:w="2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24,551</w:t>
            </w:r>
          </w:p>
        </w:tc>
        <w:tc>
          <w:tcPr>
            <w:tcW w:w="3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18,647</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44,463</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34,240</w:t>
            </w:r>
          </w:p>
        </w:tc>
        <w:tc>
          <w:tcPr>
            <w:tcW w:w="6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4,934</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13,792</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10,224</w:t>
            </w:r>
          </w:p>
        </w:tc>
        <w:tc>
          <w:tcPr>
            <w:tcW w:w="60" w:type="dxa"/>
            <w:vAlign w:val="bottom"/>
          </w:tcPr>
          <w:p>
            <w:pPr>
              <w:spacing w:after="0"/>
              <w:rPr>
                <w:sz w:val="20"/>
                <w:szCs w:val="20"/>
                <w:color w:val="auto"/>
              </w:rPr>
            </w:pP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31,378</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58,255</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44,464</w:t>
            </w:r>
          </w:p>
        </w:tc>
        <w:tc>
          <w:tcPr>
            <w:tcW w:w="60" w:type="dxa"/>
            <w:vAlign w:val="bottom"/>
          </w:tcPr>
          <w:p>
            <w:pPr>
              <w:spacing w:after="0"/>
              <w:rPr>
                <w:sz w:val="18"/>
                <w:szCs w:val="18"/>
                <w:color w:val="auto"/>
              </w:rPr>
            </w:pPr>
          </w:p>
        </w:tc>
      </w:tr>
      <w:tr>
        <w:trPr>
          <w:trHeight w:val="426"/>
        </w:trPr>
        <w:tc>
          <w:tcPr>
            <w:tcW w:w="26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(31,378)</w:t>
            </w:r>
          </w:p>
        </w:tc>
        <w:tc>
          <w:tcPr>
            <w:tcW w:w="3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(23,581)</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(58,255)</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(44,464)</w:t>
            </w:r>
          </w:p>
        </w:tc>
      </w:tr>
      <w:tr>
        <w:trPr>
          <w:trHeight w:val="444"/>
        </w:trPr>
        <w:tc>
          <w:tcPr>
            <w:tcW w:w="2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1,080</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-1421765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-1130300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-855980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-563880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-281305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40" w:space="720"/>
            <w:col w:w="786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6"/>
              </w:rPr>
              <w:t>Weighted Average Common Shares Outstanding, Basic and Diluted</w:t>
            </w:r>
          </w:p>
        </w:tc>
        <w:tc>
          <w:tcPr>
            <w:tcW w:w="4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90,236</w:t>
            </w:r>
          </w:p>
        </w:tc>
        <w:tc>
          <w:tcPr>
            <w:tcW w:w="4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62,457</w:t>
            </w:r>
          </w:p>
        </w:tc>
        <w:tc>
          <w:tcPr>
            <w:tcW w:w="3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87,310</w:t>
            </w:r>
          </w:p>
        </w:tc>
        <w:tc>
          <w:tcPr>
            <w:tcW w:w="4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62,371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(30,660)</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(57,175)</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(23,379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(57,178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(57,175)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Accretion and amortization of discounts and premiums on investments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3,686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short-term investments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(30,084)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net</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162,093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145,373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246,017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1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convertible preferred stock to common stock</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Iovance Biotherapeutics, Inc. (the “Company,” “we,” “us” or “our”) is a biopharmaceutical company focused on the development and commercialization of novel cancer immunotherapy products designed to harness the power of a patient’s own immune system to eradicate cancer cells. Our lead product candidate, lifileucel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 On June 1, 2017, the Company reincorporated to become a Company governed by Delaware corporation laws. On June 27, 2017, we changed our name to Iovance Biotherapeutics, Inc from Lion Biotechnologies,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and six months ended June 30, 2018 and 2017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2017, was derived from the audited financial statements included in the Company's financial statements as of and for the year ended December 31, 2017 included in the Company’s Annual Report on Form 10-K filed with the Securities and Exchange Commission (the “SEC”) on March 12, 2018.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$57.2 million for the six months ended June 30, 2018 and used $41.8 million of cash in our operating activities during the six months ended June 30, 2018. 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$172.5 million, with net proceeds to the Company of approximately $162.0 million. For the six months ended June 30, 2018, the Company received $11.0 million from the exercise of stock options and warrants to purchase common stock. As of June 30, 2018, we had $246.0 million of cash and cash equivalents and $30.1 million in short-term investments.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expects to further increase its research and development activities, which will increase the amount of cash used during the remainder of 2018 and beyond. Specifically, the Company expects continued spending on clinical trials, continued and expansion of manufacturing activities, higher payroll expenses as the Company increases its professional and scientific staff and research and development activities. Based on the funds the Company has available as of the date these financial statements are issued, the Company believes that it has sufficient capital to fund its anticipated operating expenses for at least seven quarters from the date that these financial statements are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subject to credit risk from our portfolio of cash equivalents and short-term investments. Under our investment policy, we limit amounts invested in such securities by credit rating, maturity, industry group, investment type and issuer, except for securities issued by the U.S. government. We are not exposed to any significant concentrations of credit risk from these financial instruments. The goals of our investment policy, in order of priority, are as follows: safety and preservation of principal and diversification of risk; liquidity of investments sufficient to meet cash flow requirements; and a competitive after-tax rate of return.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cash and cash equivalents include cash demand deposits and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interest expense and income. Gains and losses on securities sold are recorded based on the specific identification method and are included in interest income in the condensed consolidated statement of operations. We have not incurred any realized gains or losses from sales of securities to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net loss per share is computed by dividing the net loss by the weighted average number of common shares outstanding during the period.</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2018 and 2017,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6,837,817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Warrants</w:t>
            </w:r>
          </w:p>
        </w:tc>
        <w:tc>
          <w:tcPr>
            <w:tcW w:w="1200" w:type="dxa"/>
            <w:vAlign w:val="bottom"/>
          </w:tcPr>
          <w:p>
            <w:pPr>
              <w:jc w:val="right"/>
              <w:spacing w:after="0"/>
              <w:rPr>
                <w:sz w:val="20"/>
                <w:szCs w:val="20"/>
                <w:color w:val="auto"/>
              </w:rPr>
            </w:pPr>
            <w:r>
              <w:rPr>
                <w:rFonts w:ascii="Arial" w:cs="Arial" w:eastAsia="Arial" w:hAnsi="Arial"/>
                <w:sz w:val="18"/>
                <w:szCs w:val="18"/>
                <w:color w:val="auto"/>
              </w:rPr>
              <w:t>4,644,706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6,466,216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6,127,692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7,946,673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137,500</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17,798,880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22,245,886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valued assets we held and have held are generally assessed under Level 2 were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third-party pricing service providers. We review independent auditor’s reports from our third-party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3.</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June 30, 2018,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8"/>
              </w:rPr>
              <w:t>Assets at Fair Value as of June 30, 2018</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11,184</w:t>
            </w:r>
          </w:p>
        </w:tc>
      </w:tr>
      <w:tr>
        <w:trPr>
          <w:trHeight w:val="223"/>
        </w:trPr>
        <w:tc>
          <w:tcPr>
            <w:tcW w:w="5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 Company had no financial assets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the useful lives of property and equipment, accounting for potential liabilities, the valuation allowance associated with the Company’s deferred tax assets, and the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subsidiary, Iovance Biotherapeutics GmbH (formerly Lion Biotechnologies GmbH). All intercompany accounts and transactions have been eliminated. The U.S. dollar is the functional currency for all the Company's consolidated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jc w:val="both"/>
        <w:ind w:firstLine="8"/>
        <w:spacing w:after="0" w:line="25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stock-based compensation expenses related to all our stock-based awards were recorded on the statements of operations as follows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4,381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CCEEFF"/>
          </w:tcPr>
          <w:p>
            <w:pPr>
              <w:spacing w:after="0"/>
              <w:rPr>
                <w:sz w:val="18"/>
                <w:szCs w:val="18"/>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2,841</w:t>
            </w:r>
          </w:p>
        </w:tc>
        <w:tc>
          <w:tcPr>
            <w:tcW w:w="3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4,945</w:t>
            </w: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3,597</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9,326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expenses broken down based on each individual instrument were as follows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80" w:type="dxa"/>
            <w:vAlign w:val="bottom"/>
            <w:gridSpan w:val="6"/>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Restricted stock award expenses</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expenses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CEEFF"/>
          </w:tcPr>
          <w:p>
            <w:pPr>
              <w:spacing w:after="0"/>
              <w:rPr>
                <w:sz w:val="19"/>
                <w:szCs w:val="19"/>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Total stock-based compensation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 Not Yet Adopted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which establishes a new lease accounting model for lessees. The updated guidance requires an entity to recognize assets and liabilities arising from a lease for both financing and operating leases, along with additional qualitative and quantitative disclosures. The amended guidance is effective for fiscal years, and interim periods within those years, beginning after December 15, 2018, with early adoption permitted. The Company plans to adopt this ASU on January 1, 2019. The Company is currently evaluating the impact of the adoption of this standard on its financial statements. However, the Company expects the adoption of this accounting guidance to result in an increase in lease assets and a corresponding increase in lease liabilities on its balance sheets.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2018, the FASB issued ASU No. 2018-07, Compensation- Stock Compensation (Topic 718): Improvements to Nonemployee Share-Based Payment Accounting, which eliminates the separate accounting model for nonemployee share-based payment awards and generally requires companies to account for share-based payment transactions with nonemployees in the same way as share-based payment transactions with employees. The amended guidance is effective for fiscal years beginning after December 15, 2018, with early adoption permitted. The Company plans to adopt this ASU on January 1, 2019. The Company is currently evaluating the impact of the adoption of this standard on its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Management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amounts within the statements of operations for the prior periods have been reclassified to conform with the current period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impact on the Company's previously reported financial position or cash flows for any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NOTE 3. CASH EQUIVALENTS AND SHORT-TERM INVESTMENTS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340" w:type="dxa"/>
            <w:vAlign w:val="bottom"/>
          </w:tcPr>
          <w:p>
            <w:pPr>
              <w:spacing w:after="0"/>
              <w:rPr>
                <w:sz w:val="24"/>
                <w:szCs w:val="24"/>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Cash equivalents and short-term investments consist of the following (in thousands):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340" w:type="dxa"/>
            <w:vAlign w:val="bottom"/>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Cash equivalents – US government agency securities</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10,977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77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equivalents 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equivalents in the tables above exclude cash demand deposits of $166.1 million and $54.1 million as of June 30, 2018 and December 31,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82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18,898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3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Short-term investments total</w:t>
            </w:r>
          </w:p>
        </w:tc>
        <w:tc>
          <w:tcPr>
            <w:tcW w:w="38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642"/>
        </w:trPr>
        <w:tc>
          <w:tcPr>
            <w:tcW w:w="3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cost and fair value of cash equivalents and short-term investments at June 30, 2018 and December 31, 2017 were as follows (in thousands):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36"/>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56"/>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Accretion</w:t>
            </w:r>
          </w:p>
        </w:tc>
        <w:tc>
          <w:tcPr>
            <w:tcW w:w="1060" w:type="dxa"/>
            <w:vAlign w:val="bottom"/>
          </w:tcPr>
          <w:p>
            <w:pPr>
              <w:jc w:val="center"/>
              <w:ind w:left="36"/>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ind w:left="16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22,161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22,161</w:t>
            </w:r>
          </w:p>
        </w:tc>
        <w:tc>
          <w:tcPr>
            <w:tcW w:w="80" w:type="dxa"/>
            <w:vAlign w:val="bottom"/>
          </w:tcPr>
          <w:p>
            <w:pPr>
              <w:spacing w:after="0"/>
              <w:rPr>
                <w:sz w:val="18"/>
                <w:szCs w:val="18"/>
                <w:color w:val="auto"/>
              </w:rPr>
            </w:pPr>
          </w:p>
        </w:tc>
      </w:tr>
      <w:tr>
        <w:trPr>
          <w:trHeight w:val="230"/>
        </w:trPr>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18,898</w:t>
            </w:r>
          </w:p>
        </w:tc>
        <w:tc>
          <w:tcPr>
            <w:tcW w:w="80" w:type="dxa"/>
            <w:vAlign w:val="bottom"/>
            <w:shd w:val="clear" w:color="auto" w:fill="CCEEFF"/>
          </w:tcPr>
          <w:p>
            <w:pPr>
              <w:spacing w:after="0"/>
              <w:rPr>
                <w:sz w:val="19"/>
                <w:szCs w:val="19"/>
                <w:color w:val="auto"/>
              </w:rPr>
            </w:pPr>
          </w:p>
        </w:tc>
      </w:tr>
      <w:tr>
        <w:trPr>
          <w:trHeight w:val="210"/>
        </w:trPr>
        <w:tc>
          <w:tcPr>
            <w:tcW w:w="378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110,016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Unrealized gains and losses are included in accumulated other comprehensive loss. All short-term investments held by the Company as of June 30, 2018 have a maturity of less than one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120" w:type="dxa"/>
            <w:vAlign w:val="bottom"/>
            <w:gridSpan w:val="2"/>
          </w:tcPr>
          <w:p>
            <w:pPr>
              <w:ind w:left="320"/>
              <w:spacing w:after="0"/>
              <w:rPr>
                <w:sz w:val="20"/>
                <w:szCs w:val="20"/>
                <w:color w:val="auto"/>
              </w:rPr>
            </w:pPr>
            <w:r>
              <w:rPr>
                <w:rFonts w:ascii="Arial" w:cs="Arial" w:eastAsia="Arial" w:hAnsi="Arial"/>
                <w:sz w:val="18"/>
                <w:szCs w:val="18"/>
                <w:color w:val="auto"/>
              </w:rPr>
              <w:t>Accrued expenses consist of the following (in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34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16"/>
        </w:trPr>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34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30"/>
        </w:trPr>
        <w:tc>
          <w:tcPr>
            <w:tcW w:w="34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Accrued other</w:t>
            </w: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0"/>
        </w:trPr>
        <w:tc>
          <w:tcPr>
            <w:tcW w:w="34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are $172.5 million, with net proceeds to the Company of $162.0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June 30, 2018 and December 31, 2017, 17,000 shares have been designated as Series A Convertible Preferred Stock and 11,500,000 shares have been designated as Series B Preferred Stock, which are now convertible into common stock (“Series B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six months ended June 30, 2018, 1,500 shares of Series A Convertible Preferred Stock were converted into 750,000 shares of common stock. At June 30, 2018, 194 shares of Series A Convertible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the Series B Convertible Preferred Stock are entitled to dividends on an as-if-converted basis in the same form as any dividends actually paid on shares of the Company’s Series A Convertible Preferred Stock or the Company’s common stock. So long as any Series B Convertible Preferred Stock remains outstanding, the Company may not redeem, purchase or otherwise acquire any material amount of our Series A Convertible Preferred Stock or any securities junior to the Series B Convertible Preferred Stock.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2018, 1,250,549 shares of Series B Convertible Preferred Stock were converted into 1,250,549 shares of common stock. At June 30, 2018, 6,127,692 shares of Series B Convertible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warrant activity for the six months ended June 30, 2018:</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30"/>
        </w:trPr>
        <w:tc>
          <w:tcPr>
            <w:tcW w:w="50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Under</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0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Life</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Issued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(1,656,510)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Expired/Cancelled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4,644,706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4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 years $</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47,830,172</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reflects the total pretax intrinsic value (the difference between the Company’s closing stock price on the last day of the quarter ended June 30, 2018 and the exercise price of the warrants, multiplied by the number of in-the-money warrants) that would have been received by the warrant holders had all warrant holders exercised their warrants on June 30, 2018. The intrinsic value of the Company’s warrants changes based on the closing price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June 30, 2018, 542,490 shares were available for future grant under the 2011 Plan.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On September 19, 2014, the Company’s Board of Directors (the “Board”) adopted the Iovance Biotherapeutics, Inc. 2014 Equity Incentive Plan (the “2014 Plan”). The 2014 Plan was approved by the Company’s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16, 2016, the Company’s stockholders approved the increase of the total number of shares that can be issued under the 2014 Plan from 4,000,000 shares to 9,000,000 shares of the Company’s common stock. At June 30, 2018, 906,390 shares were available for grant under the Company’s 2014 Plan.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At June 30, 2018, 6,000,000 shares of common stock were available for grant under the Company’s 2018 Plan. The Company anticipates granting the remaining shares under the 2011 and 2014 Plans prior to granting shares from the 2018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1, 2016, the Company entered into a restricted stock unit agreement with the Company’s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vest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June 30, 2018, 91,665 restricted stock units remained unvested.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expenses for restricted stock units are measured based on the closing fair market value of the Company's common stock on the date of grant. The stock based compensation expenses relating to restricted stock units were $0.07 million and $0.3 million for the three months ended June 30, 2018 and 2017, respectively, and $0.1 million and $0.9 million for the six months ended June 30, 2018 and 2017, respectively, recorded as part of general and administrative expenses.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there was $0.5 million of total unrecognized compensation expense related to the non-vested restricted stock units to be recognized over a period of 1.92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options activity for the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 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6,072,368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2,014,020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15.67</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(895,153)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Expired/Forfeited</w:t>
            </w:r>
          </w:p>
        </w:tc>
        <w:tc>
          <w:tcPr>
            <w:tcW w:w="2600" w:type="dxa"/>
            <w:vAlign w:val="bottom"/>
            <w:gridSpan w:val="3"/>
          </w:tcPr>
          <w:p>
            <w:pPr>
              <w:jc w:val="right"/>
              <w:ind w:right="160"/>
              <w:spacing w:after="0"/>
              <w:rPr>
                <w:sz w:val="20"/>
                <w:szCs w:val="20"/>
                <w:color w:val="auto"/>
              </w:rPr>
            </w:pPr>
            <w:r>
              <w:rPr>
                <w:rFonts w:ascii="Arial" w:cs="Arial" w:eastAsia="Arial" w:hAnsi="Arial"/>
                <w:sz w:val="18"/>
                <w:szCs w:val="18"/>
                <w:color w:val="auto"/>
              </w:rPr>
              <w:t>(353,418)</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6,837,817</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28,425,872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2,791,279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14,671,393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jc w:val="both"/>
        <w:ind w:right="20" w:firstLine="648"/>
        <w:spacing w:after="0" w:line="312" w:lineRule="auto"/>
        <w:rPr>
          <w:sz w:val="20"/>
          <w:szCs w:val="20"/>
          <w:color w:val="auto"/>
        </w:rPr>
      </w:pPr>
      <w:r>
        <w:rPr>
          <w:rFonts w:ascii="Arial" w:cs="Arial" w:eastAsia="Arial" w:hAnsi="Arial"/>
          <w:sz w:val="16"/>
          <w:szCs w:val="16"/>
          <w:color w:val="auto"/>
        </w:rPr>
        <w:t>The Company recorded stock-based compensation costs related to options of $5.2 million and $3.0 million for the three months ended June 30, 2018 and 2017, respectively and $9.2 million and $5.6 million for the six months ended June 30, 2018 and 2017 respectively. As of June 30, 2018, there was $38.1 million of total unrecognized compensation expense related to the options to be recognized over a weighted average period of 2.19 years.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grant date fair values per share of options granted under the 2011 and 2014 Plan were $15.26 and $6.83 for the six months ended June 30, 2018 and 2017,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Options for 895,153 shares and 116,348 shared were exercised during the six months ended June 30, 2018 and 2017 with intrinsic value of $4.6 million and $0.2 million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reflects the total pretax intrinsic value (the difference between the Company’s closing stock price on the last trading day of the quarter ended June 30, 2018 and the exercise price of the options, multiplied by the number of in-the-money stock options) that would have been received by the option holders had all option holders exercised their options on June 30, 2018. The intrinsic value of the Company’s stock options changes based on the closing price of the Company’s common stock.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option issued during the six months ended June 30, 2018 and 2017 was estimated at the date of grant using the Black-Scholes valuation model. The weighted average assumptions used in the Black-Scholes calculation are presented below:</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60" w:type="dxa"/>
            <w:vAlign w:val="bottom"/>
            <w:gridSpan w:val="4"/>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Assumptions:</w:t>
            </w:r>
          </w:p>
        </w:tc>
        <w:tc>
          <w:tcPr>
            <w:tcW w:w="19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167.54%</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 200.28%</w:t>
            </w:r>
          </w:p>
        </w:tc>
        <w:tc>
          <w:tcPr>
            <w:tcW w:w="900" w:type="dxa"/>
            <w:vAlign w:val="bottom"/>
          </w:tcPr>
          <w:p>
            <w:pPr>
              <w:jc w:val="right"/>
              <w:spacing w:after="0"/>
              <w:rPr>
                <w:sz w:val="20"/>
                <w:szCs w:val="20"/>
                <w:color w:val="auto"/>
              </w:rPr>
            </w:pPr>
            <w:r>
              <w:rPr>
                <w:rFonts w:ascii="Arial" w:cs="Arial" w:eastAsia="Arial" w:hAnsi="Arial"/>
                <w:sz w:val="18"/>
                <w:szCs w:val="18"/>
                <w:color w:val="auto"/>
              </w:rPr>
              <w:t>190.46%</w:t>
            </w:r>
          </w:p>
        </w:tc>
        <w:tc>
          <w:tcPr>
            <w:tcW w:w="1040" w:type="dxa"/>
            <w:vAlign w:val="bottom"/>
          </w:tcPr>
          <w:p>
            <w:pPr>
              <w:ind w:left="20"/>
              <w:spacing w:after="0"/>
              <w:rPr>
                <w:sz w:val="20"/>
                <w:szCs w:val="20"/>
                <w:color w:val="auto"/>
              </w:rPr>
            </w:pPr>
            <w:r>
              <w:rPr>
                <w:rFonts w:ascii="Arial" w:cs="Arial" w:eastAsia="Arial" w:hAnsi="Arial"/>
                <w:sz w:val="18"/>
                <w:szCs w:val="18"/>
                <w:color w:val="auto"/>
              </w:rPr>
              <w:t>– 209.69%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2.34%</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right"/>
              <w:ind w:right="77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940" w:type="dxa"/>
            <w:vAlign w:val="bottom"/>
            <w:gridSpan w:val="2"/>
          </w:tcPr>
          <w:p>
            <w:pPr>
              <w:jc w:val="right"/>
              <w:ind w:right="770"/>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terms of the CRADA, we are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June 30, 2018 and 2017 and $1.0 million for the six months ended June 30, 2018 and 2017 as research and development expenses.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(the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of the clinical grant agreements with Moffit, the Company has non-exclusive rights to clinical data arising from the respective clinical trials. The Company recorded costs associated with Moffitt of $1.0 million and $1.7 million for the three months ended June 30, 2018 and 2017, respectively, and $1.6 million and $2.3 million for the six months ended June 30, 2018 and 2017, respectively, as research and development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312" w:lineRule="auto"/>
        <w:rPr>
          <w:sz w:val="20"/>
          <w:szCs w:val="20"/>
          <w:color w:val="auto"/>
        </w:rPr>
      </w:pPr>
      <w:r>
        <w:rPr>
          <w:rFonts w:ascii="Arial" w:cs="Arial" w:eastAsia="Arial" w:hAnsi="Arial"/>
          <w:sz w:val="16"/>
          <w:szCs w:val="16"/>
          <w:color w:val="auto"/>
        </w:rPr>
        <w:t>Pursuant to the Second Moffitt License, the Company paid an upfront licensing fee in the amount of $0.1 million for the three months ended June 30,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reimbursed PolyBioCept up to $0.2 million in expenses related to the transfer of know-how and paid PolyBioCept $0.1 million as a clinical trials management fee. The PolyBioCept Agreement has an initial term of 30 years and may be extended for additional five-year periods. During the three and six months ended June 30, 2018 and 2017 the Company recorded zero and $0.2 million associated with the PolyBioCept Agreement, respectively, as 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Karolinska University Hospital and Karolinska Institute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In the year ended December 31, 2016, the Company paid Karolinska University Hospital $1.6 million under the clinical trials agreement to conduct the clinical trials. As of April 9, 2018, the Company terminated the clinical trials agreement with the Karolinska University Hospital. In June 2018, the Company received a refund of $1.6 million from Karolinska, which resulted in a reversal of prior period expense and a credit of $0.4 million in the condensed consolidated statement of operations for the three and six months ended June 30,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the Company will acquire all rights to inventions resulting from the studies and has been granted a non-exclusive, sub-licensable, royalty-free, and perpetual license to specified background intellectual property of M.D. Anderson reasonably necessary to exploit, including the commercialization thereof. The Company has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 In May 2017, the Company paid $1.4 million under this agreement. The Company recorded $0.1 million associated with the M.D. Anderson SAA for the three and six months ended June 30, 2018. No costs were recorded for the same periods in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2015, the Company entered into a collaboration agreement (the “MedImmune Agreement”) with MedImmune, the global biologics research and development arm of AstraZeneca (“MedImmune”), to conduct clinical and preclinical research in immuno-oncology. Under the MedImmune Agreement, the Company will fund and conduct at least one clinical trial combining MedImmune's PD-L1 inhibitor, durvalumab, with TIL for the treatment of patients. MedImmune will supply durvalumab for the clinical trials. The purpose of the studies is to establish a dosing regimen for this combination therapy and assess its safety and efficacy.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WuXi Apptech, Inc. (“WuXi”)</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facility for a late stage/commercial manufacturing cGMP suite requires the Company to pay approximately $5.85 million during the first year of the agreement. The Company and WuXi have extended the term of the related statements of work until May 2020. The Company recorded costs associated with agreements with WuXi of $3.3 million for the three months ended June 30, 2018 and 2017, respectively, and $6.0 million and $7.5 million for the six months ended June 30, 2018 and 2017, respectively, as research and development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Class Action Lawsuit and Derivative Lawsuits</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against our company and three of our former officers and directors. On April 19, 2017, a second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SEC investigation. On February 5, 2018, the court entered an order dismissing two of plaintiff’s six claims.</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on behalf of the Company, against the Company, as nominal defendant, and certain of the Company’s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and our April 10, 2017 settlement thereof, and seeks unspecified damages on behalf of our company and injunctive relief.</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Lion Biotechnologies, Inc. </w:t>
      </w:r>
      <w:r>
        <w:rPr>
          <w:rFonts w:ascii="Arial" w:cs="Arial" w:eastAsia="Arial" w:hAnsi="Arial"/>
          <w:sz w:val="16"/>
          <w:szCs w:val="16"/>
          <w:color w:val="auto"/>
        </w:rPr>
        <w:t>was filed by Solomon Capital, LLC, Solomon Capital 401(k) Trust, Solomon Sharbat and Shelhav Raff against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the Company’s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certain counterclaims by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the Company and Dr. Fardis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July 27, 2018, the Company filed a motion seeking to add four additional counterclaims against Dr. Fischkoff, including counterclaims relating to conversion, theft, and computer fraud and abuse. The court has not yet rendered a decision on this motion.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2014, the Company commenced a five-year non-cancellable operating lease with the University of South Florida Research Foundation for a 5,115-square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November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April 28, 2017, the Company entered into a sublease agreement with Teradata US, Inc., pursuant to which the Company agreed to sublease certain office space located adjacent to the Company's headquarters in San Carlos, California. The space consists of approximately 11,449 rentable square feet in the building located in San Carlos, California and will expire on October 31, 2018. Monthly lease payments are approximately $26,000.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leased office space in New York for a monthly rental of approximately $18,000 a month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The Company recognizes rental expense on the facilities on a straight-line basis over the lease term. Differences between the straight-line rent expense and rent payments are classified as deferred rent liability on the balance sheet.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2018, the Company's future minimum lease payments under non-cancelable operating leases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r>
      <w:tr>
        <w:trPr>
          <w:trHeight w:val="216"/>
        </w:trPr>
        <w:tc>
          <w:tcPr>
            <w:tcW w:w="9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Commitments</w:t>
            </w: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six months)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0"/>
        </w:trPr>
        <w:tc>
          <w:tcPr>
            <w:tcW w:w="9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Rent expense was $0.2 million for the three months ended June 30, 2018 and 2017, respectively, and was $0.5 million for the six months ended June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Sanford J. Hillsberg was one of the Company’s directors until June 6, 2018. Mr. Hillsberg is an attorney at TroyGould PC. TroyGould PC rendered and continues to render legal services to the Company. The Company paid TroyGould PC $0.2 million for the three months ended June 30, 2018 and 2017, respectively, and $0.3 million and $0.4 million for the six months ended June 2018 and 2017, respectively. Mr. Hillsberg did not directly provide any legal services to the Company during the periods noted. As of June 30, 2018, no liability was owed to TroyGould PC related to legal services.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14, 2017, the Company entered into a three-year consulting agreement with Iain Dukes, D. Phil, the Chairman of the Company’s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$0.2 million and $0.6 million of stock based compensation expenses relating to this consulting agreement for the three and six months ended June 30, 2018,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Iovance Biotherapeutics,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June 30, 2018 and results of operations for the three and six months ended June 30, 2018 and 2017, should be read in conjunction with management’s discussion and analysis of financial condition and results of operations included in our Annual Report on Form 10-K for the year ended December 31, 2017 which was filed with the SEC on March 12,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on Form 10-Q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2017. The identification in this Quarterly Report on Form 10-Q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product candidate, lifileucel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Phase 2 clinical trial, C-144-01, of our lead product candidate, lifileucel, TIL for the treatment of metastatic melanoma. This multicenter study is enrolling patients with melanoma whose disease has progressed following treatment with at least one systemic therapy, including anti-PD-1 and if BRAF mutated, a BRAF inhibitor. In June 2018, we announced that the trial dosed the first patient with lifileucel in Europe at a clinical site in the United Kingdom. The purpose of the study is to evaluate the efficacy and safety of our autologous lifileucel. We have decided to use our Gen 2 manufacturing process for all ongoing Phase 2 trials and in all future TIL clinical development in trials sponsored by us, and as a result, cohort 1 of the C-144-01 melanoma study is closed to enrollment, and new patients are being enrolled in cohort 2. The planned enrollment in C-144-01 has been increased to 85.</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our ongoing trial in metastatic melanoma, we have initiated clinical trials of LN-145, TIL therapy in cervical, head and neck cancers. C-145-03 is a Phase 2, multicenter study that will enroll up to 47 patients and will assess the safety and efficacy of LN-145 for the treatment of patients with recurrent and/or metastatic squamous cell carcinoma of the head and neck. In January 2018, we reported preliminary data from C-145-03 which showed that eights patients that were currently evaluable and three patients treated with LN-145 had confirmed partial responses. The trial will therefore continue to enroll patients to the full sample size of 47 per protocol. The study is open for enrollment of patients in the United States. C-145-04 is a Phase 2, multicenter study that will enroll up to 47 patients if the pre-defined criteria for Simon’s two stage design is triggered, and will assess the safety and efficacy of LN-145 for the treatment of patients with recurrent, metastatic or persistent cervical carcinoma. In January 2018, we reported preliminary data from C-145-04 which showed that of the two patients that are currently evaluable, one treated with LN-145 had a confirmed PR and one patient had stable disease. We have amended the protocol so that newly-enrolled patients in both trials can be treated using TIL produced from our Gen 2 manufacturing process. The protocol was further amended to limit prior systemic therapies to no more than three and to exclude patients that have previously been treated with immunotherapy.</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part of our collaboration program with the MD Anderson Cancer Center (MDACC), we and MDACC initiated one new Phase 2 study. The first trial, 2017-0672 (NCT03449108), is studying LN-145 manufactured by us using our Gen 2 manufacturing process to treat patients with soft tissue sarcoma, osteosarcoma and platinum resistant ovarian cancer. A second study under the collaboration with MDACC is in the startup phase. We anticipate initiating the second study before the end of 2018 using TIL manufactured by MDACC in multiple indications.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We initiated our clinical development of TIL therapies for non-small cell lung cancer, or NSCLC, with two studies. One of the studies is an investigator-sponsored Phase 2 study currently underway in collaboration with the H. Lee Moffitt Cancer Center and Research Institute, or Moffitt, Stand Up To Cancer, and others. Patient enrollment began in the fourth quarter of 2017 in this study. Patients who are treatment naïve to prior anti-PD-1/ PD-L1 therapy with stage IV or recurrent NSCLC are being enrolled in this study, which combines TIL and nivolumab. The second study is sponsored by us and is a Phase 2 study in NSCLC patients who are PD-1 and PD-L1 treatment naïve. This study was initiated in the first half of 2018, in collaboration with MedImmune, the global biologics research and development arm of AstraZeneca. The study with MedImmune will allow for enrollment with LN-145 alone or in combination with durvalumab.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product candidate pipeline is summarized in the graphic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collaboration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917565" cy="167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756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studies listed in our collaboration pipeline table, the partner listed above is the sponsor of the clinical trial. Such partner may not use our Gen 2 manufacturing process, and/or the therapeutic dosing may differ from our clinical trials. As a result, such partner data may not be representative of our data. As of April 9, 2018, the Company terminated the clinical trials agreement with the Karolinska University Hospital.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yet generated any revenues from our biotechnology business or otherwise since our formation. We currently do not anticipate that we will generate any revenues during 2018 from the sale or licensing of our products. Our ability to generate revenues in the future will depend on our ability to complete the development of our product candidates and to obtain regulatory approval for them.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Research and Development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Increase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14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6"/>
              </w:rPr>
              <w:t>(Decrease)</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44,463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w w:val="95"/>
              </w:rPr>
              <w:t>expense included in research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and development expense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4,381</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2,992</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Research and development expense for the second quarter ended June 30, 2018 increased by $5.9 million, or 32%, compared to the same period in 2017. The increase was primarily attributable to a $4.5 million increase in clinical trial costs due to higher patient enrollment and an increase in the number of clinical sites in the clinical trial of lifileucel for the treatment of metastatic melanoma, and the initiation of clinical trials of LN-145 for the treatment of cervical cancer and head and neck cancers in 2017. Further, payroll and related expenses, including stock-based compensation expenses increased by $2.8 million due to a higher number of full time employees and dedicated consultants as we expanded our research efforts and clinical development programs. These increases were partially offset by a $1.0 million decrease in manufacturing costs due to higher costs in 2017 related to technical transfer activities and a $0.4 million decrease in research alliance costs due to the termination of a clinical agreement and a refund of prior payments.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for the six months ended June 30, 2018 increased by $10.2 million, or 30%, compared to the same period in 2017. The increase was primarily attributable to a $5.7 million increase in payroll and related expenses, including stock-based compensation expenses, primarily due to a higher number of full time employees and payments relating to contracts for additional outside services to perform research and development activities on our behalf, and a $7.0 million increase in costs related to our clinical trials as we expanded our research efforts and the number of clinical development programs. These increases were partially offset by a $2.0 million decrease in manufacturing costs due to higher costs in 2017 related to technical transfer activities and a $0.5 million decrease in research alliance costs due to the termination of a clinical agreement and a refund of prior payments.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the cost to manufacture product and other drugs used in the clinical trial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Increase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50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3,568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8"/>
              </w:rPr>
              <w:t>expense included in general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and administrative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c>
          <w:tcPr>
            <w:tcW w:w="5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1,290</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4,945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1,348</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for the second quarter ended June 30, 2018 increased by $1.9 million, or 38%, compared to the same period in 2017. The increase was primarily attributable to a $1.6 million increase in payroll and related expenses, including stock-based compensation expenses, due to an increase in the number of full time employees and higher stock prices during the quarter, and a $0.3 million increase in professional service and legal expenses.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 and administrative expense for the six months ended June 30, 2018 increased by $3.6 million, or 35%, compared to the same period in 2017. The increase was primarily attributable to a $2.7 million increase in payroll and related expenses, including stock-based compensation expenses, due to a higher number of full time employees and higher stock prices during 2018, $0.5 million increase in professional service and legal expenses.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include personnel costs for our employees engaged in general and administrative activities, legal fees, audit and tax fees, consultants and professional services including insurance premiums, and general corporate expenses. We expect that general and administrative expenses will increase in the future as we support our expansion of research and development activities. These increases will likely include, but not be limited to, investor and public relations expenses and legal and accounting related fees.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Arial" w:cs="Arial" w:eastAsia="Arial" w:hAnsi="Arial"/>
                <w:sz w:val="18"/>
                <w:szCs w:val="18"/>
                <w:i w:val="1"/>
                <w:iCs w:val="1"/>
                <w:color w:val="auto"/>
                <w:w w:val="98"/>
              </w:rPr>
              <w:t>Other Income (in thousands)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Increase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center"/>
              <w:ind w:right="77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gridSpan w:val="3"/>
          </w:tcPr>
          <w:p>
            <w:pPr>
              <w:ind w:left="140"/>
              <w:spacing w:after="0"/>
              <w:rPr>
                <w:sz w:val="20"/>
                <w:szCs w:val="20"/>
                <w:color w:val="auto"/>
              </w:rPr>
            </w:pPr>
            <w:r>
              <w:rPr>
                <w:rFonts w:ascii="Arial" w:cs="Arial" w:eastAsia="Arial" w:hAnsi="Arial"/>
                <w:sz w:val="18"/>
                <w:szCs w:val="18"/>
                <w:b w:val="1"/>
                <w:bCs w:val="1"/>
                <w:color w:val="auto"/>
              </w:rPr>
              <w:t>Increase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9"/>
              </w:rPr>
              <w:t>(Decrease)</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620" w:type="dxa"/>
            <w:vAlign w:val="bottom"/>
            <w:shd w:val="clear" w:color="auto" w:fill="CCEEFF"/>
          </w:tcPr>
          <w:p>
            <w:pPr>
              <w:jc w:val="right"/>
              <w:ind w:right="45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403</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income results from our interest-bearing cash and short-term investment accounts. Net interest income increased by $0.5 million and $0.7 million for the three and six months ended June 30, 2018 compared to the same periods in 2017, respectively, due primarily to higher cash balances from the net proceeds of our common stock public offering in January 2018 and higher interest rates earned on invested cash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$30.7 million and $57.2 million for the second quarter and six months ended June 30, 2018, respectively. The increases in our net losses in 2018 are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Corporate Capitalization</w:t>
      </w:r>
      <w:r>
        <w:rPr>
          <w:rFonts w:ascii="Arial" w:cs="Arial" w:eastAsia="Arial" w:hAnsi="Arial"/>
          <w:sz w:val="18"/>
          <w:szCs w:val="18"/>
          <w:color w:val="auto"/>
        </w:rPr>
        <w:t>. As of June 30, 2018, we had outstanding 92,741,672 shares of our $0.000041666 par value common stock, 194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$0.001 par value Series A Convertible Preferred Stock, and 6,127,692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6,127,692 shares of our common stock. The shares of Series A Convertible Preferred Stock and Series B Convertible Preferred Stock do not have voting rights or accrue dividends.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(both common stock and preferred stock), from option and warrant exercises, and from interest income.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Registration Statement was declared effective on January 19, 2018. We completed a public offering of common stock in January 2018 utilizing the 2017 Shelf Registration Statement (see below). In the future, we may periodically offer one or more of these securities in amounts, prices and terms to be announced when and if the securities are offered. If any of the securities covered by the 2017 Shelf Registration Statement are offered for sale, a prospectus supplement will be prepared and filed with the SEC containing specific information about the terms of such offering at that time.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2017, we sold 8,846,154 shares of our common stock in an underwritten public offering at a public offering price of $6.50 per share pursuant to an earlier shelf registration statement. We received gross proceeds of approximately $57.5 million and net proceeds of approximately $53.8 million, after deducting underwriting discounts and offering expenses.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2018 from the sale or licensing of any products. We have incurred a net loss of $57.2 million for the six months ended June 30, 2018 and used $41.8 million of cash in our operating activities during the six months ended June 30, 2018. As of June 30, 2018, we had $276.1 million of cash, cash equivalents and short-term investments and stockholders’ equity of $270.6 million and had working capital of $265.6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the remainder of 2018 and beyond. Specifically, we expect increased spending on clinical trials, manufacturing capacity, research and development activities, and higher payroll expenses as we increase our professional and scientific staff. However, based on the funds we have available; we believe that we have sufficient capital to fund our anticipated operating expenses for the next seven quarters from the date of filing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and a mutual fund consisting of short-term debt securities issued by the U.S. government. The primary objective of our investment activities is to preserve principal. At June 30, 2018, we had $30.1 million invested in short-term marketable securities with a maturity date of less than one year. We adhere to an investment policy that requires us to limit amounts invested in securities based on credit rating, maturity, industry group and investment type and issuer, except for securities issued by the U.S. government. As such we believe that we are not exposed to any material market risk. We do not have any derivative financial instruments or foreign currency instruments. If interest rates had varied by 10% in the six months ended June 30, 2018, it would not have had a material effect on our results of operations or cash flows for that period.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three and six months ended June 30, 2018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Class Action Lawsuit and Derivative Lawsuits</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against our company and three of our former officers and directors. On April 19, 2017, a second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SEC investigation. On February 5, 2018, the court entered an order dismissing two of plaintiff’s six claims.</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on behalf of the Company, against the Company,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and our April 10, 2017 settlement thereof, and seeks unspecified damages on behalf of our company and injunctive relief.</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 Solomon Sharbat and Shelhav Raff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Lion Biotechnologies, Inc. </w:t>
      </w:r>
      <w:r>
        <w:rPr>
          <w:rFonts w:ascii="Arial" w:cs="Arial" w:eastAsia="Arial" w:hAnsi="Arial"/>
          <w:sz w:val="17"/>
          <w:szCs w:val="17"/>
          <w:color w:val="auto"/>
        </w:rPr>
        <w:t>was filed by Solomon Capital, LLC, Solomon Capital 401(k) Trust, Solomon Sharbat and Shelhav Raff against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Supreme Court of the State of New York, County of New York (index no. 651881/2016). The plaintiffs allege that, between June and November 2012 they provided us with $0.1 million of funds and that they advanced and paid on our behalf an additional $0.2 million. The complaint further alleges that we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effected in May 2013. Based on the foregoing, the plaintiffs allege causes for breach of contract and unjust enrichment and demand judgment against us in an unspecified amount exceeding $1.5 million, plus interest and attorneys’ fees.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June 3, 2016, we filed an answer and counterclaims in the lawsuit. In our counterclaims, we allege that the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plaintiffs contend entitled them to obtain our stock.</w:t>
      </w:r>
    </w:p>
    <w:p>
      <w:pPr>
        <w:spacing w:after="0" w:line="14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certain of our counterclaims.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vigorously defend the complaint and pursue our counterclaims.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86"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 Maria Fardis</w:t>
      </w:r>
      <w:r>
        <w:rPr>
          <w:rFonts w:ascii="Arial" w:cs="Arial" w:eastAsia="Arial" w:hAnsi="Arial"/>
          <w:sz w:val="16"/>
          <w:szCs w:val="16"/>
          <w:color w:val="auto"/>
        </w:rPr>
        <w:t>, Dr. Steven Fischkoff, our former Vice President and Chief Medical Officer, filed a lawsuit against us and Dr. Fardis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materials, and granting expedited discovery. On June 25, 2018, pursuant to a stipulation between the parties, the court entered a permanent injunction prohibiting Dr. Fischkoff from disclosing, possessing, or using any of our proprietary materials or trade secrets. On July 5, 2018, the court entered an order dismissing two of Dr. Fischkoff’s claims against us and Dr. Fardis. On July 27, 2018, we filed a motion seeking to add four additional counterclaims against Dr. Fischkoff, including counterclaims relating to conversion, theft, and computer fraud and abuse. The court has not yet rendered a decision on this motion.</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our counterclaims. Based on the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involved, from time to time, in legal proceedings and claims arising in the ordinary course of its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Annual Report on Form 10-K for the year ended December 31, 2017 filed on March 12, 2018, including our financial statements and related notes, and our other filings from time to time with the SEC.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marked with an asterisk (*) those risk factors below that reflect a substantive change from the risk factors included in our Annual Report on Form 10-K filed with the SEC on March 12,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We have a history of operating losses; we expect to continue to incur losses and we may never be profitable.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June 30, 2018, we had an accumulated deficit of $306.4 million. In addition, during the six months ended June 30, 2018, we incurred a net loss of $57.2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sound business plan and research and development strategy, we have only a limited operating history against which we can test our plans and assumptions, and investors therefore cannot evaluate the likelihood of our success. We face the problems, expenses, difficulties, complications and delays normally associated with a small,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312"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 train, and deploy a sales force or contract with a third party for a sales force to commercialize product candidates in the United States;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 product candidates in sufficient quantities and at acceptable quality and manufacturing cost to meet commercial demand at launch and thereafter;</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and maintain agreements with wholesalers, distributors, and group purchasing organizations on commercially reasonable terms;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product candidates in foreign markets where we receive marketing approval;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We have limited experience as a company conducting clinical trials and face risks due to the need to rely on third parties.</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2015, all the preclinical and clinical trials relating to our product candidates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342" w:lineRule="auto"/>
        <w:rPr>
          <w:sz w:val="20"/>
          <w:szCs w:val="20"/>
          <w:color w:val="auto"/>
        </w:rPr>
      </w:pPr>
      <w:r>
        <w:rPr>
          <w:rFonts w:ascii="Arial" w:cs="Arial" w:eastAsia="Arial" w:hAnsi="Arial"/>
          <w:sz w:val="16"/>
          <w:szCs w:val="16"/>
          <w:color w:val="auto"/>
        </w:rPr>
        <w:t>Large-scale trials require significant financial and management resources, and reliance on third-party clinical investigators, CROs, CMOs, or consultants. Relying on third-party clinical investigators, CROs or CMOs may force us to encounter delays and challenges that are outside of our control.</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on third party CROs and clinical trial sites to conduct, supervise, and monitor our clinical trials for our product candidates. We expect to continue to rely on third parties, such as CROs, clinical data management organizations, medical institutions,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For example, as of April 9, 2018, we terminated our clinical trials agreement with the Karolinska University Hospital. If we need to enter into alternative arrangements, that could delay our product development activities and adversely affect our business.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also rely on other third parties to distribute our products for the clinical trials that we conduct. Any performance failure on the part of our distributors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and head and neck cancers. We plan to initiate trials in new indications. Even as these trials progress, issues may arise that could require us to suspend or terminate such clinical trials.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9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of failure to reach an agreement on acceptable terms with prospective CROs and clinical study sites, the terms of which can be subject to extensive negotiation and may vary significantly among different CROs and clinical study sites;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cGCPs, requirements, or applicable regulatory guidelines in other countries;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may be changes to the therapeutics or their regulatory status which we are administering in combination with our product candidates;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of our manufacturing processes to our contract manufacturers or other larger-scale facilities operated by a CMO and delays or failure by our CMOs or us to make any necessary changes to such manufacturing process; and</w:t>
      </w:r>
    </w:p>
    <w:p>
      <w:pPr>
        <w:ind w:left="66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may conduct clinical and preclinical research in collaboration with other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By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non-approval of a BLA.</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neither of our product candidates nor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It may take longer and cost more to complete our clinical trials than we project, or we may not be able to complete them at all. </w:t>
      </w:r>
      <w:r>
        <w:rPr>
          <w:rFonts w:ascii="Arial" w:cs="Arial" w:eastAsia="Arial" w:hAnsi="Arial"/>
          <w:sz w:val="28"/>
          <w:szCs w:val="28"/>
          <w:b w:val="1"/>
          <w:bCs w:val="1"/>
          <w:i w:val="1"/>
          <w:iCs w:val="1"/>
          <w:color w:val="auto"/>
          <w:vertAlign w:val="superscript"/>
        </w:rPr>
        <w: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68" w:lineRule="auto"/>
        <w:rPr>
          <w:sz w:val="20"/>
          <w:szCs w:val="20"/>
          <w:color w:val="auto"/>
        </w:rPr>
      </w:pPr>
      <w:r>
        <w:rPr>
          <w:rFonts w:ascii="Arial" w:cs="Arial" w:eastAsia="Arial" w:hAnsi="Arial"/>
          <w:sz w:val="17"/>
          <w:szCs w:val="17"/>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For example, we have seven active clinical sites for the company-sponsored NSCLC study, yet we have not yet been able to infuse any patients. As a further example, KEYTRUDA has recently been approved in cervical cancer patients that are PD-1 positive. We have recently amended the protocol for our cervical cancer study to exclude patients with prior immunotherapy treatment and to limit the number of prior treatments to no more than three. It is difficult to assess the impact, if any, on the recent approval of KEYTRUDA and the amendment of the protocol on the potential enrollment in the cervical cancer study. Our ability to enroll or treat patients in our other studies, or the duration or costs of those studies, could be affected by similar factors. 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 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7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Clinical trials are expensive, time-consuming and difficult to design and implement, and our clinical trial costs may be higher than for more conventional therapeutic technologies or drug products.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we ultimately screen, resect and enroll in our trials, and the number of trials we may need to conduct, our overall clinical trial costs may be higher than for more conventional treatments.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8"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If we encounter difficulties enrolling patients in our clinical trials, our clinical development activities could be delayed or otherwise adversely affected.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ind w:left="660" w:righ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clinical investigators enrolling patients who do not meet the enrollment criteria, requiring the inclusion of additional patients in the clinical trial;</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not complete a clinical trial, return for post-treatment follow-ups, or follow the required study procedures. For instance, patients, including patients in control groups, may withdraw from the clinical trial if they are not experiencing improvement in their underlying disease or condition. Withdrawal of patients from our clinical trials may compromise the quality of our data.</w:t>
      </w:r>
    </w:p>
    <w:p>
      <w:pPr>
        <w:spacing w:after="0" w:line="166" w:lineRule="exact"/>
        <w:rPr>
          <w:sz w:val="20"/>
          <w:szCs w:val="20"/>
          <w:color w:val="auto"/>
        </w:rPr>
      </w:pPr>
    </w:p>
    <w:p>
      <w:pPr>
        <w:jc w:val="both"/>
        <w:ind w:firstLine="712"/>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product candidates may cause undesirable side effects or have other properties that could halt their clinical development, prevent their regulatory approval, limit their commercial potential or result in significant negative consequences.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pyrexia, anaemia, neutrophil and platelet count decrease, febrile neutropenia, fatigue, chills, hyponatremia, and hypotension. In addition, these side effects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(formerly PharmaCell),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18"/>
          <w:szCs w:val="18"/>
          <w:color w:val="auto"/>
        </w:rPr>
        <w:t>In the future, we may seek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76"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5"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The deviations in our proposed new products from existing products may require us to perform additional testing, which will increase the cost, and extend the time for obtaining approval.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 Anderson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 xml:space="preserve">Our historical research and development efforts have been to a large extent dependent upon the CRADA.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opened our own research and development laboratory in 2014, we are continuing to fully develop our research and development capabilities. In addition, we conduct a portion of our research and development under the CRADA with the NCI. Under the CRADA, the NCI currently engage in research and development related to the development of improved methods of large scale unmodified TIL generation for the treatment of patients with metastatic melanoma, bladder, lung, breast, and HPV-associated cancers. We are obligated to make annual payments of $2.0 million under the CRADA. In addition, although the CRADA has a five-year term, either party to the CRADA has the right to terminate the CRADA upon 60 days’ notice to the other party. As a result, no assurance can be given that the NCI will not terminate, or that we will renew, the CRADA that expires in August 2021 and that the CRADA will, therefore, remain in effect until we complete our desired research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limited control over the nature or timing of the NCI’s clinical trials and limited visibility into their day-to-day activities. The research we are funding constitutes only a small portion of the NCI’s overall research. Other research being conducted by Dr. Rosenberg may at times receive higher priority than research on our programs. These factors could adversely affect the timing of our IND filings and our ability to conduct future planned clinical trials.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CRADA, we have an option to negotiate commercialization licenses from the NIH to intellectual property relating to TIL-based product candidates developed as part of the CRADA research plan. However, we would have to negotiate with the NIH for such a license. There can be no assurance that we would be able to successfully complete such negotiations and ultimately acquire the rights to the intellectual property surrounding the additional product candidates that we may seek to acquire. Further, to the extent we would like to negotiate a license to a patent filed before the CRADA was entered into, another party may object to the NIH granting us a license during a 30-day public notification period, and the NIH may decide not to grant us the license.</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 </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 Anderson and Ohio State University to evaluate several new solid tumor and hematologic indications for TIL therapy in clinical and preclinical studies as well as, in some cases, new TIL manufacturing approaches. In 2016, we entered into a license agreement with PolyBioCept to evaluate a new cytokine cocktail for TIL manufacturing.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the manufacturing methods used to manufacture TIL product, the results of such studies, which we may use as the basis for our conclusions, projections or decisions with respect to our current or future product candidates, may be incorrect or unreliable, Additionally, we may use third party data to analyze, reach conclusions or make predictions or decisions with respect to our product candidates that may be incomplete, inaccurate or otherwise unreliable.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 </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From our inception to June 30, 2018, we have an accumulated deficit of $306.4 million. In addition, our research and development and our operating costs have also been substantial and are expected to increase. We expect to continue to spend substantial amounts to continue the clinical development of our product candidates. As of June 30, 2018, we had $246.0 million in cash and cash equivalents and $30.1 million in short-term investments. In January 2018, we closed an underwritten public offering of our common stock. The net proceeds from the offering, after deducting the underwriting discounts and commissions and other estimated offering expenses payable by us, were $162.0 million. Accordingly, we believe that our existing cash, cash equivalents and short-term investments will be sufficient to fund our operations for at least the next seven quarters from the date this Quarterly Report on Form 10-Q is issued. However,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9" w:name="page40"/>
    <w:bookmarkEnd w:id="39"/>
    <w:p>
      <w:pPr>
        <w:ind w:firstLine="648"/>
        <w:spacing w:after="0" w:line="277"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Terms and timing of our current and any potential future collaborations, licensing or other arrangements that we have established or may establish;</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Subject to various spending levels approved by the Board of Directors, our management will have broad discretion in the use of the net proceeds from our capital raises, including our January 2018 and September 2017 public offerings, and may not use them effectively. </w:t>
      </w:r>
      <w:r>
        <w:rPr>
          <w:rFonts w:ascii="Arial" w:cs="Arial" w:eastAsia="Arial" w:hAnsi="Arial"/>
          <w:sz w:val="28"/>
          <w:szCs w:val="28"/>
          <w:b w:val="1"/>
          <w:bCs w:val="1"/>
          <w:i w:val="1"/>
          <w:iCs w:val="1"/>
          <w:color w:val="auto"/>
          <w:vertAlign w:val="superscript"/>
        </w:rPr>
        <w:t>*</w:t>
      </w:r>
    </w:p>
    <w:p>
      <w:pPr>
        <w:spacing w:after="0" w:line="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January 2018 and September 2017 public offerings, their ultimate use may vary substantially from their currently intended use. Our failure to apply the net proceeds of our capital raises, including our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January 2018 and September 2017 public offerings. Pending their use, we may invest the net proceeds from our capital raises, including our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b w:val="1"/>
          <w:bCs w:val="1"/>
          <w:i w:val="1"/>
          <w:iCs w:val="1"/>
          <w:color w:val="auto"/>
        </w:rPr>
        <w:t xml:space="preserve">The use of our net operating loss carryforwards and research tax credits may be limited.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June 30, 2018, we had U.S. federal net operating loss carryforwards of approximately $191.2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enacted tax reform legislation in the U.S. could adversely affect our business and financial condition.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often approves new therapies initially only for use in patients with relapsed or refractory metastatic disease. We expect to initially seek approval of our product candidates in this setting and are currently studying these patient populations. Subsequently, for those products that prove to be sufficiently beneficial, if any,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82"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We are required to pay substantial royalties and lump sum benchmark payments under our license agreements with the NIH, Moffitt, and PolyBioCept, and we must meet certain milestones to maintain our license rights.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licenses. In order to maintain our license rights under the NIH, Moffitt, and PolyBioCept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6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No assurance can be given that the Gen 2 manufacturing process we have selected will be, FDA-compliant, more efficient, and lower the cost to manufacture TIL products.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75"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If product liability lawsuits are brought against us, we may incur substantial liabilities and may be required to limit commercialization of our product candidates.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We face significant competition from other biotechnology and pharmaceutical companies and from non-profit institutions.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Potential competitors in the market for treating metastatic melanoma are companies such as Bristol-Myers Squibb, Roche/Genentech, Merck, Amgen, Pfizer, and Novartis, which already have products on the market or in development. Other companies, such as Celgene, Kite Pharma, Gilead Sciences and Adaptimmune Therapeutics, which are focused on genetically engineered T-cell technologies to treat cancer, may also be competitors. Emerging companies such as Immetacyte and WindMIL Therapeutics may also be developing product candidates similar to our candidates.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73" w:lineRule="auto"/>
        <w:rPr>
          <w:sz w:val="20"/>
          <w:szCs w:val="20"/>
          <w:color w:val="auto"/>
        </w:rPr>
      </w:pPr>
      <w:r>
        <w:rPr>
          <w:rFonts w:ascii="Arial" w:cs="Arial" w:eastAsia="Arial" w:hAnsi="Arial"/>
          <w:sz w:val="17"/>
          <w:szCs w:val="17"/>
          <w:color w:val="auto"/>
        </w:rPr>
        <w:t>Our lead product candidate, lifileucel, is a therapy for the treatment of metastatic melanoma. Currently, there are numerous companies that are developing various alternate treatments for melanoma. Accordingly, lifileucel faces significant competition in the melanoma treatment space from multiple companies. Even if we obtain regulatory approval of lifileucel,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We are dependent on third parties to support our research, development and manufacturing activities and, therefore, are subject to the efforts of these parties and our ability to successfully collaborate with these third parties.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MedImmune, RXi Pharmaceuticals, and Cellectis.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6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jc w:val="both"/>
        <w:ind w:left="66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60" w:hanging="328"/>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collaborator may be involved in a business combination, resulting in the decreased emphasis or termination of development or commercialization of any product candidate subject to the collaboration agreement;</w:t>
      </w: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Development of a product candidate intended for use in combination with an already approved product may present more or different challenges than development of a product candidate for use as a single agent.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currently developing lifileucel and LN-145 for use along with IL-2. We and our collaborators are also studying TIL therapy along with other products, such as durvalumab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studies could show that any positive study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granted Fast Track designation by the FDA for lifileucel in advanced melanoma.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93"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6"/>
          <w:szCs w:val="16"/>
          <w:b w:val="1"/>
          <w:bCs w:val="1"/>
          <w:i w:val="1"/>
          <w:iCs w:val="1"/>
          <w:color w:val="auto"/>
        </w:rPr>
        <w:t xml:space="preserve">While lifileucel has received orphan drug designation for melanoma stages IIB-IV and LN-145 has received orphan drug designation for cervical cancer patients with tumors greater than 2 cm, there is no guarantee that we will be able to maintain these designations, receive this designation for any of our other product candidates, or receive or maintain any corresponding benefits, including periods of exclusivity. </w:t>
      </w:r>
      <w:r>
        <w:rPr>
          <w:rFonts w:ascii="Arial" w:cs="Arial" w:eastAsia="Arial" w:hAnsi="Arial"/>
          <w:sz w:val="26"/>
          <w:szCs w:val="26"/>
          <w:b w:val="1"/>
          <w:bCs w:val="1"/>
          <w:i w:val="1"/>
          <w:iCs w:val="1"/>
          <w:color w:val="auto"/>
          <w:vertAlign w:val="superscript"/>
        </w:rPr>
        <w:t>*</w:t>
      </w:r>
    </w:p>
    <w:p>
      <w:pPr>
        <w:spacing w:after="0" w:line="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received orphan drug designation for lifileucel in the United States to treat malignant melanoma stages IIB-IV.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By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study,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currently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55"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include:</w:t>
      </w:r>
    </w:p>
    <w:p>
      <w:pPr>
        <w:spacing w:after="0" w:line="1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and marketing personnel;</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or engaging a contract sales organization.</w:t>
      </w:r>
    </w:p>
    <w:p>
      <w:pPr>
        <w:spacing w:after="0" w:line="23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If our product candidates do not achieve broad market acceptance, the revenues that we generate from their sales will be limited.</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enactment of the Biologics Price Competition and Innovation Act,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study data from completed or ongoing clinical studies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We are dependent on information technology, systems, infrastructure and data. </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failure to comply with data protection laws and regulations could lead to government enforcement actions and significant penalties against us, and adversely impact our operating results.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to grow the size and capabilities of our organization, and we may experience difficulties in managing this growth.</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7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7"/>
          <w:szCs w:val="17"/>
          <w:b w:val="1"/>
          <w:bCs w:val="1"/>
          <w:i w:val="1"/>
          <w:iCs w:val="1"/>
          <w:color w:val="auto"/>
        </w:rPr>
        <w:t xml:space="preserve">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 </w:t>
      </w:r>
      <w:r>
        <w:rPr>
          <w:rFonts w:ascii="Arial" w:cs="Arial" w:eastAsia="Arial" w:hAnsi="Arial"/>
          <w:sz w:val="28"/>
          <w:szCs w:val="28"/>
          <w:b w:val="1"/>
          <w:bCs w:val="1"/>
          <w:i w:val="1"/>
          <w:iCs w:val="1"/>
          <w:color w:val="auto"/>
          <w:vertAlign w:val="superscript"/>
        </w:rPr>
        <w:t>*</w:t>
      </w:r>
    </w:p>
    <w:p>
      <w:pPr>
        <w:spacing w:after="0" w:line="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right="20" w:firstLine="648"/>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u w:val="single" w:color="auto"/>
          <w:color w:val="auto"/>
        </w:rPr>
        <w:t>In the Matter of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Certain Stock Promotion</w:t>
      </w:r>
      <w:r>
        <w:rPr>
          <w:rFonts w:ascii="Arial" w:cs="Arial" w:eastAsia="Arial" w:hAnsi="Arial"/>
          <w:sz w:val="17"/>
          <w:szCs w:val="17"/>
          <w:color w:val="auto"/>
        </w:rPr>
        <w:t>. The SEC’s investigation, in part, involved the conduct of our former Chief Executive Officer and director, Manish Singh,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178"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We are, and in the future may be, subject to Federal or state securities or related legal actions that could adversely affect our results of operations and our business.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u w:val="single" w:color="auto"/>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Promotion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two securities class action complaints were filed in the U.S. District Court for the Northern District of California against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December 15, 2017, a purported stockholder derivative complaint was filed by plaintiff Kevin Fong on behalf of the Company, against the Company,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We intend to vigorously defend against these complaints. However, based on the very early stage of the aforementioned litigation, it is not possible to estimate the amount or range of possible loss that might result from an adverse judgment or a settlement of these matters. Furthermore, litigation is inherently uncertain, and there is no assurance as to the outcome of this,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manufacturing sufficient quantities of qualified materials under cGMPs and applying them on a subject by subject basis for use in clinical trials.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Data Monitoring Committees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 </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risk evaluation and mitigation strategy, or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1"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cyber letters, or holds on or termination of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7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Anti-Kickback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64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 Anderson if any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the NCI, Moffitt, M.D. Anderson,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reported that we conducted an extensive freedom-to-operate, or FTO, analysis of the then current patent landscape with respect to our lead product candidate, and based on that analysis, that we believe that we have FTO for our lead TIL product candidate. Because patent applications do not publish for 18 months, and because the claims of patent families can change over time, no FTO analysis can be considered exhaustive. We are undertaking additional FTO analyses of our manufacturing processes, our lead TIL products, and contemplated future processes and products. However, the area of patent and other intellectual property rights in biotechnology remains an evolving area with many risks and uncertainties. As such, we expect our FTO analyses will be ongoing.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existing directors and executive officers hold a substantial amount of our common stock and may be able to influence significant corporate decisions.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our officers and directors beneficially owned approximately 6.3%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is likely to be volatile and could fluctuate widely in response to many factors, including but not limited to:</w:t>
      </w:r>
    </w:p>
    <w:p>
      <w:pPr>
        <w:spacing w:after="0" w:line="23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or our competitors;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any of the risks described in our Annual Report on Form 10-K filed with the SEC on March 12, 2018.</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July 31, 2018, we had 95,592,169 shares of common stock outstanding. In addition, we had 14,961,428 shares of common stock equivalents that would increase the number of common stock outstanding if these instruments were exercised or converted, including stock options and restricted stock units to purchase common stock based on vesting requirements, warrants to purchase common stock and common stock issuable upon the conversion of preferred stock. The issuance and subsequent sale of the shares underlying these common stock equivalents could depress the trading price of our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we issued 15,000,000 shares of common stock in connection with an underwritten public offering. Such issuances could result in substantial dilution to our existing stockholders and could cause our stock price to decline.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board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certificate of incorporation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claims for rescission or damages in connection with certain sales of shares of our common stock in the open market.</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19"/>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30"/>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60" w:type="dxa"/>
            <w:vAlign w:val="bottom"/>
            <w:gridSpan w:val="10"/>
          </w:tcPr>
          <w:p>
            <w:pPr>
              <w:ind w:left="92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90"/>
        </w:trPr>
        <w:tc>
          <w:tcPr>
            <w:tcW w:w="240" w:type="dxa"/>
            <w:vAlign w:val="bottom"/>
          </w:tcPr>
          <w:p>
            <w:pPr>
              <w:spacing w:after="0" w:line="190" w:lineRule="exact"/>
              <w:rPr>
                <w:rFonts w:ascii="Arial" w:cs="Arial" w:eastAsia="Arial" w:hAnsi="Arial"/>
                <w:sz w:val="18"/>
                <w:szCs w:val="18"/>
                <w:color w:val="0000EE"/>
                <w:w w:val="87"/>
              </w:rPr>
            </w:pPr>
            <w:hyperlink r:id="rId8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160" w:type="dxa"/>
            <w:vAlign w:val="bottom"/>
            <w:gridSpan w:val="18"/>
          </w:tcPr>
          <w:p>
            <w:pPr>
              <w:spacing w:after="0" w:line="190"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Plan of Conversion (incorporated herein by reference to Exhibit 2.1 to Registrant’s Current Report on Form 8-K filed with the Commission</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on June 2,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8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Articles of Conversion (incorporated herein by reference to Exhibit 3.1 to Registrant’s Current Report on Form 8-K filed with the</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Commission on June 2, 2017).</w:t>
              </w:r>
            </w:hyperlink>
          </w:p>
        </w:tc>
        <w:tc>
          <w:tcPr>
            <w:tcW w:w="79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Certificate of Conversion (incorporated herein by reference to Exhibit 3.2 of Registrant’s Current Report on Form 8-K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Commission on June 2, 2017.)</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Certificate of Incorporation of Registrant (incorporated herein by reference to Exhibit 3.3 of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with the Commission on June 2, 2017.)</w:t>
              </w:r>
            </w:hyperlink>
          </w:p>
        </w:tc>
        <w:tc>
          <w:tcPr>
            <w:tcW w:w="7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8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Certificate of Designations of Rights, Preferences and Privileges of Series A Convertible Preferred Stock (incorporated herein by reference</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to Exhibit 3.4 of Registrant’s Registration Statement on Form S-3 filed with the Commission on July 31,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8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Certificate of Designations of Rights, Preferences and Privileges of Series B Preferred Stock (incorporated herein by reference to Exhibit 3.5</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of Registrant’s Registration Statement on Form S-3 filed with the Commission on July 31, 2017.)</w:t>
              </w:r>
            </w:hyperlink>
          </w:p>
        </w:tc>
        <w:tc>
          <w:tcPr>
            <w:tcW w:w="31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8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6"/>
              </w:rPr>
            </w:pPr>
            <w:hyperlink r:id="rId86">
              <w:r>
                <w:rPr>
                  <w:rFonts w:ascii="Arial" w:cs="Arial" w:eastAsia="Arial" w:hAnsi="Arial"/>
                  <w:sz w:val="18"/>
                  <w:szCs w:val="18"/>
                  <w:color w:val="0000EE"/>
                  <w:w w:val="96"/>
                </w:rPr>
                <w:t>Certificate of Amendment of Certificate of Incorporation of Registrant (incorporated herein by reference to Exhibit 3.1 of Registrant’s</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Current Report on Form 8-K filed with the Commission on June 27, 2017.)</w:t>
              </w:r>
            </w:hyperlink>
          </w:p>
        </w:tc>
        <w:tc>
          <w:tcPr>
            <w:tcW w:w="47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Bylaws of Registrant (incorporated herein by reference to the Exhibit 3.4 to Registrant’s Current Report on Form 8-K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Commission on June 2, 2017).</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Amendment to the Bylaws of Registrant (incorporated herein by reference to the Exhibit 3.2 to Registrant’s Current Report on Form 8-K</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filed with the Commission on June 27, 2017).</w:t>
              </w:r>
            </w:hyperlink>
          </w:p>
        </w:tc>
        <w:tc>
          <w:tcPr>
            <w:tcW w:w="68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8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Iovance Biotherapeutics, Inc. 2018 Equity Incentive Plan (incorporated herein by reference to Appendix A of the Registrant’s Definitive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Proxy Statement filed on Form DEF 14A on April 25, 2018).+</w:t>
              </w:r>
            </w:hyperlink>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0000EE"/>
                <w:w w:val="72"/>
              </w:rPr>
              <w:t>+</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gridSpan w:val="2"/>
            <w:vMerge w:val="restart"/>
          </w:tcPr>
          <w:p>
            <w:pPr>
              <w:spacing w:after="0"/>
              <w:rPr>
                <w:rFonts w:ascii="Arial" w:cs="Arial" w:eastAsia="Arial" w:hAnsi="Arial"/>
                <w:sz w:val="18"/>
                <w:szCs w:val="18"/>
                <w:color w:val="0000EE"/>
                <w:w w:val="85"/>
              </w:rPr>
            </w:pPr>
            <w:hyperlink w:anchor="page6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Borders>
              <w:bottom w:val="single" w:sz="8" w:color="0000EE"/>
            </w:tcBorders>
            <w:gridSpan w:val="2"/>
          </w:tcPr>
          <w:p>
            <w:pPr>
              <w:jc w:val="right"/>
              <w:spacing w:after="0" w:line="156" w:lineRule="exact"/>
              <w:rPr>
                <w:rFonts w:ascii="Arial" w:cs="Arial" w:eastAsia="Arial" w:hAnsi="Arial"/>
                <w:sz w:val="15"/>
                <w:szCs w:val="15"/>
                <w:color w:val="0000EE"/>
              </w:rPr>
            </w:pPr>
            <w:hyperlink w:anchor="page68">
              <w:r>
                <w:rPr>
                  <w:rFonts w:ascii="Arial" w:cs="Arial" w:eastAsia="Arial" w:hAnsi="Arial"/>
                  <w:sz w:val="15"/>
                  <w:szCs w:val="15"/>
                  <w:color w:val="0000EE"/>
                </w:rPr>
                <w:t>*</w:t>
              </w:r>
            </w:hyperlink>
          </w:p>
        </w:tc>
        <w:tc>
          <w:tcPr>
            <w:tcW w:w="4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5540" w:type="dxa"/>
            <w:vAlign w:val="bottom"/>
            <w:gridSpan w:val="11"/>
            <w:vMerge w:val="restart"/>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Form of ISO Stock Option Agreement under the 2018 Equity Incentive Plan.</w:t>
              </w:r>
            </w:hyperlink>
          </w:p>
        </w:tc>
        <w:tc>
          <w:tcPr>
            <w:tcW w:w="80" w:type="dxa"/>
            <w:vAlign w:val="bottom"/>
            <w:tcBorders>
              <w:bottom w:val="single" w:sz="8" w:color="0000EE"/>
            </w:tcBorders>
            <w:vMerge w:val="continue"/>
          </w:tcPr>
          <w:p>
            <w:pPr>
              <w:spacing w:after="0"/>
              <w:rPr>
                <w:sz w:val="14"/>
                <w:szCs w:val="14"/>
                <w:color w:val="auto"/>
              </w:rPr>
            </w:pPr>
          </w:p>
        </w:tc>
        <w:tc>
          <w:tcPr>
            <w:tcW w:w="1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432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540" w:type="dxa"/>
            <w:vAlign w:val="bottom"/>
            <w:tcBorders>
              <w:bottom w:val="single" w:sz="8" w:color="0000EE"/>
            </w:tcBorders>
            <w:gridSpan w:val="11"/>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32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20" w:type="dxa"/>
            <w:vAlign w:val="bottom"/>
            <w:gridSpan w:val="2"/>
            <w:vMerge w:val="restart"/>
          </w:tcPr>
          <w:p>
            <w:pPr>
              <w:spacing w:after="0"/>
              <w:rPr>
                <w:rFonts w:ascii="Arial" w:cs="Arial" w:eastAsia="Arial" w:hAnsi="Arial"/>
                <w:sz w:val="18"/>
                <w:szCs w:val="18"/>
                <w:color w:val="0000EE"/>
                <w:w w:val="85"/>
              </w:rPr>
            </w:pPr>
            <w:hyperlink w:anchor="page7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0" w:type="dxa"/>
            <w:vAlign w:val="bottom"/>
            <w:tcBorders>
              <w:bottom w:val="single" w:sz="8" w:color="0000EE"/>
            </w:tcBorders>
            <w:gridSpan w:val="2"/>
          </w:tcPr>
          <w:p>
            <w:pPr>
              <w:jc w:val="right"/>
              <w:spacing w:after="0" w:line="156" w:lineRule="exact"/>
              <w:rPr>
                <w:rFonts w:ascii="Arial" w:cs="Arial" w:eastAsia="Arial" w:hAnsi="Arial"/>
                <w:sz w:val="15"/>
                <w:szCs w:val="15"/>
                <w:color w:val="0000EE"/>
              </w:rPr>
            </w:pPr>
            <w:hyperlink w:anchor="page76">
              <w:r>
                <w:rPr>
                  <w:rFonts w:ascii="Arial" w:cs="Arial" w:eastAsia="Arial" w:hAnsi="Arial"/>
                  <w:sz w:val="15"/>
                  <w:szCs w:val="15"/>
                  <w:color w:val="0000EE"/>
                </w:rPr>
                <w:t>*</w:t>
              </w:r>
            </w:hyperlink>
          </w:p>
        </w:tc>
        <w:tc>
          <w:tcPr>
            <w:tcW w:w="4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5740" w:type="dxa"/>
            <w:vAlign w:val="bottom"/>
            <w:gridSpan w:val="13"/>
            <w:vMerge w:val="restart"/>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Form of NQSO Stock Option Agreement under the 2018 Equity Incentive Plan.</w:t>
              </w:r>
            </w:hyperlink>
          </w:p>
        </w:tc>
        <w:tc>
          <w:tcPr>
            <w:tcW w:w="80" w:type="dxa"/>
            <w:vAlign w:val="bottom"/>
            <w:tcBorders>
              <w:bottom w:val="single" w:sz="8" w:color="0000EE"/>
            </w:tcBorders>
          </w:tcPr>
          <w:p>
            <w:pPr>
              <w:jc w:val="right"/>
              <w:spacing w:after="0" w:line="155" w:lineRule="exact"/>
              <w:rPr>
                <w:rFonts w:ascii="Arial" w:cs="Arial" w:eastAsia="Arial" w:hAnsi="Arial"/>
                <w:sz w:val="14"/>
                <w:szCs w:val="14"/>
                <w:color w:val="0000EE"/>
                <w:w w:val="72"/>
              </w:rPr>
            </w:pPr>
            <w:hyperlink w:anchor="page76">
              <w:r>
                <w:rPr>
                  <w:rFonts w:ascii="Arial" w:cs="Arial" w:eastAsia="Arial" w:hAnsi="Arial"/>
                  <w:sz w:val="14"/>
                  <w:szCs w:val="14"/>
                  <w:color w:val="0000EE"/>
                  <w:w w:val="72"/>
                </w:rPr>
                <w:t>+</w:t>
              </w:r>
            </w:hyperlink>
          </w:p>
        </w:tc>
        <w:tc>
          <w:tcPr>
            <w:tcW w:w="432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740" w:type="dxa"/>
            <w:vAlign w:val="bottom"/>
            <w:tcBorders>
              <w:bottom w:val="single" w:sz="8" w:color="0000EE"/>
            </w:tcBorders>
            <w:gridSpan w:val="13"/>
            <w:vMerge w:val="continue"/>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0" w:type="dxa"/>
            <w:vAlign w:val="bottom"/>
            <w:gridSpan w:val="3"/>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Executive Officer pursuant to Rule 13a-14 and Rule 15d-14(a), promulgated under the Securities and Exchange</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Act of 1934, as amended.</w:t>
              </w:r>
            </w:hyperlink>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Principal Financial Officer pursuant to Rule 13a-14 and Rule 15d 14(a), promulgated under the Securities and Exchange Act</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of 1934, as amended.</w:t>
              </w:r>
            </w:hyperlink>
          </w:p>
        </w:tc>
        <w:tc>
          <w:tcPr>
            <w:tcW w:w="8620" w:type="dxa"/>
            <w:vAlign w:val="bottom"/>
            <w:tcBorders>
              <w:top w:val="single" w:sz="8" w:color="0000EE"/>
            </w:tcBorders>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gridSpan w:val="3"/>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pursuant to 18 U.S.C. Section 1350, as adopted pursuant to Section 906 of the Sarbanes-Oxley Act of 2002 (Chief Executive</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Officer).</w:t>
              </w:r>
            </w:hyperlink>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pursuant to 18 U.S.C. Section 1350, as adopted pursuant to Section 906 of the Sarbanes-Oxley Act of 2002 (Chief Financial</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Officer).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8"/>
                <w:szCs w:val="18"/>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18"/>
                <w:szCs w:val="18"/>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8"/>
                <w:szCs w:val="18"/>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18"/>
                <w:szCs w:val="18"/>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8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3380" w:type="dxa"/>
            <w:vAlign w:val="bottom"/>
          </w:tcPr>
          <w:p>
            <w:pPr>
              <w:spacing w:after="0"/>
              <w:rPr>
                <w:sz w:val="20"/>
                <w:szCs w:val="20"/>
                <w:color w:val="auto"/>
              </w:rPr>
            </w:pPr>
            <w:r>
              <w:rPr>
                <w:rFonts w:ascii="Arial" w:cs="Arial" w:eastAsia="Arial" w:hAnsi="Arial"/>
                <w:sz w:val="18"/>
                <w:szCs w:val="18"/>
                <w:color w:val="auto"/>
              </w:rPr>
              <w:t>August 7, 2018</w:t>
            </w:r>
          </w:p>
        </w:tc>
        <w:tc>
          <w:tcPr>
            <w:tcW w:w="2440" w:type="dxa"/>
            <w:vAlign w:val="bottom"/>
          </w:tcPr>
          <w:p>
            <w:pPr>
              <w:spacing w:after="0"/>
              <w:rPr>
                <w:sz w:val="24"/>
                <w:szCs w:val="2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3360" w:type="dxa"/>
            <w:vAlign w:val="bottom"/>
            <w:tcBorders>
              <w:bottom w:val="single" w:sz="8" w:color="auto"/>
            </w:tcBorders>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August 7, 2018</w:t>
            </w:r>
          </w:p>
        </w:tc>
        <w:tc>
          <w:tcPr>
            <w:tcW w:w="2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AWARD AGREEMENT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INCENTIVE STOCK OPTION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 20[ ]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Iovance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 (the “</w:t>
      </w:r>
      <w:r>
        <w:rPr>
          <w:rFonts w:ascii="Arial" w:cs="Arial" w:eastAsia="Arial" w:hAnsi="Arial"/>
          <w:sz w:val="18"/>
          <w:szCs w:val="18"/>
          <w:u w:val="single" w:color="auto"/>
          <w:color w:val="auto"/>
        </w:rPr>
        <w:t>Participant</w:t>
      </w:r>
      <w:r>
        <w:rPr>
          <w:rFonts w:ascii="Arial" w:cs="Arial" w:eastAsia="Arial" w:hAnsi="Arial"/>
          <w:sz w:val="18"/>
          <w:szCs w:val="18"/>
          <w:color w:val="auto"/>
        </w:rPr>
        <w:t>”). Capitalized terms used in this Agreement and not otherwise defined herein have the meanings ascribed to such terms in the Iovance Biotherapeutics, Inc. 2018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WHEREAS, the Compensation Committee of the board of directors (the “</w:t>
      </w:r>
      <w:r>
        <w:rPr>
          <w:rFonts w:ascii="Arial" w:cs="Arial" w:eastAsia="Arial" w:hAnsi="Arial"/>
          <w:sz w:val="17"/>
          <w:szCs w:val="17"/>
          <w:u w:val="single" w:color="auto"/>
          <w:color w:val="auto"/>
        </w:rPr>
        <w:t>Committee</w:t>
      </w:r>
      <w:r>
        <w:rPr>
          <w:rFonts w:ascii="Arial" w:cs="Arial" w:eastAsia="Arial" w:hAnsi="Arial"/>
          <w:sz w:val="17"/>
          <w:szCs w:val="17"/>
          <w:color w:val="auto"/>
        </w:rPr>
        <w:t>”) has determined that it is in the best interests of the Company and its stockholders to grant the award provided for herein to the Participant on the terms and subject to the conditions set forth herein.</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20" w:lineRule="exact"/>
        <w:rPr>
          <w:sz w:val="20"/>
          <w:szCs w:val="20"/>
          <w:color w:val="auto"/>
        </w:rPr>
      </w:pPr>
    </w:p>
    <w:p>
      <w:pPr>
        <w:ind w:left="1100" w:hanging="444"/>
        <w:spacing w:after="0"/>
        <w:tabs>
          <w:tab w:leader="none" w:pos="11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20" w:firstLine="1305"/>
        <w:spacing w:after="0" w:line="272" w:lineRule="auto"/>
        <w:tabs>
          <w:tab w:leader="none" w:pos="1811"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an Option to purchase [ ] shares of Common Stock (the “</w:t>
      </w:r>
      <w:r>
        <w:rPr>
          <w:rFonts w:ascii="Arial" w:cs="Arial" w:eastAsia="Arial" w:hAnsi="Arial"/>
          <w:sz w:val="17"/>
          <w:szCs w:val="17"/>
          <w:u w:val="single" w:color="auto"/>
          <w:color w:val="auto"/>
        </w:rPr>
        <w:t>Option Shares</w:t>
      </w:r>
      <w:r>
        <w:rPr>
          <w:rFonts w:ascii="Arial" w:cs="Arial" w:eastAsia="Arial" w:hAnsi="Arial"/>
          <w:sz w:val="17"/>
          <w:szCs w:val="17"/>
          <w:color w:val="auto"/>
        </w:rPr>
        <w:t>”) on the terms and subject to the conditions set forth in this Agreement and as otherwise provided in the Plan. The Option is intended to qualify as an Incentive Stock Option; provided, that to the extent that the aggregate Fair Market Value (determined at the time of grant) of the Option Shares with respect to which the Option plus all other Incentive Stock Options the Participant holds are exercisable for the first time by the Participant during any calendar year (under all plans of the Company and its Affiliates) exceeds one hundred thousand dollars ($100,000), the Option and all other such Incentive Stock Options or portions thereof that exceed such limit (according to the order in which they were granted) shall be treated as Nonqualified Stock Options. The Option shall vest in accordance with Section 2. The Exercise Price shall be $[ ] per Option Share.</w:t>
      </w:r>
    </w:p>
    <w:p>
      <w:pPr>
        <w:spacing w:after="0" w:line="177" w:lineRule="exact"/>
        <w:rPr>
          <w:rFonts w:ascii="Arial" w:cs="Arial" w:eastAsia="Arial" w:hAnsi="Arial"/>
          <w:sz w:val="17"/>
          <w:szCs w:val="17"/>
          <w:color w:val="auto"/>
        </w:rPr>
      </w:pPr>
    </w:p>
    <w:p>
      <w:pPr>
        <w:ind w:right="80" w:firstLine="1305"/>
        <w:spacing w:after="0" w:line="293" w:lineRule="auto"/>
        <w:tabs>
          <w:tab w:leader="none" w:pos="1821"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w:t>
      </w:r>
      <w:r>
        <w:rPr>
          <w:rFonts w:ascii="Arial" w:cs="Arial" w:eastAsia="Arial" w:hAnsi="Arial"/>
          <w:sz w:val="16"/>
          <w:szCs w:val="16"/>
          <w:color w:val="auto"/>
        </w:rPr>
        <w:t>. The provisions of the Plan are incorporated herein by reference. Except as otherwise expressly set forth herein, this Agreement shall be construed in accordance with the provisions of the Plan and any interpretations, rules and regulations and additional terms adopted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60" w:lineRule="exact"/>
        <w:rPr>
          <w:rFonts w:ascii="Arial" w:cs="Arial" w:eastAsia="Arial" w:hAnsi="Arial"/>
          <w:sz w:val="16"/>
          <w:szCs w:val="16"/>
          <w:color w:val="auto"/>
        </w:rPr>
      </w:pPr>
    </w:p>
    <w:p>
      <w:pPr>
        <w:ind w:right="20" w:firstLine="656"/>
        <w:spacing w:after="0" w:line="256" w:lineRule="auto"/>
        <w:tabs>
          <w:tab w:leader="none" w:pos="109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Except as may otherwise be provided herein, the Option shall vest and become exercisable as to [_______] of the Option Shares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anniversary of Date of Grant, and the remaining Option Shares shall vest as to [_______] of Option Shares at the end of each quarter over the next [____] years, commencing with the first quarter following the first anniversary of the Date of Grant]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subject to the Participant’s continued employment with, appointment as a director of, or engagement to provide services to, the Company or any of its Affiliates through the applicable Vesting Date. Any fractional Option Share resulting from the application of the vesting schedule shall be aggregated and the Option Share resulting from such aggregation shall vest on the final Vesting Date.</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8" w:name="page69"/>
    <w:bookmarkEnd w:id="68"/>
    <w:p>
      <w:pPr>
        <w:ind w:left="1100" w:hanging="444"/>
        <w:spacing w:after="0"/>
        <w:tabs>
          <w:tab w:leader="none" w:pos="11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 w:firstLine="1305"/>
        <w:spacing w:after="0" w:line="264" w:lineRule="auto"/>
        <w:tabs>
          <w:tab w:leader="none" w:pos="1811"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as otherwise provided herein, if the Participant’s employment with, or engagement to provide services to the Company or any of its Affiliates terminates for any reason, the unvested portion of the Option shall be canceled immediately and the Participant shall have no rights with respect to the Option Shares subject to such unvested portion.</w:t>
      </w:r>
    </w:p>
    <w:p>
      <w:pPr>
        <w:spacing w:after="0" w:line="181" w:lineRule="exact"/>
        <w:rPr>
          <w:rFonts w:ascii="Arial" w:cs="Arial" w:eastAsia="Arial" w:hAnsi="Arial"/>
          <w:sz w:val="18"/>
          <w:szCs w:val="18"/>
          <w:color w:val="auto"/>
        </w:rPr>
      </w:pPr>
    </w:p>
    <w:p>
      <w:pPr>
        <w:ind w:right="160" w:firstLine="1305"/>
        <w:spacing w:after="0" w:line="264" w:lineRule="auto"/>
        <w:tabs>
          <w:tab w:leader="none" w:pos="1821"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Notwithstanding anything to the contrary in Section 3, if the Participant’s employment with, or engagement to provide services to the Company or any of its Affiliates terminates due to the Participant’s death or Disability, any unvested portion of the Option shall become fully vested as of the date of such termination, which shall be the final Vesting Date.</w:t>
      </w:r>
    </w:p>
    <w:p>
      <w:pPr>
        <w:spacing w:after="0" w:line="181" w:lineRule="exact"/>
        <w:rPr>
          <w:rFonts w:ascii="Arial" w:cs="Arial" w:eastAsia="Arial" w:hAnsi="Arial"/>
          <w:sz w:val="18"/>
          <w:szCs w:val="18"/>
          <w:color w:val="auto"/>
        </w:rPr>
      </w:pPr>
    </w:p>
    <w:p>
      <w:pPr>
        <w:ind w:right="60" w:firstLine="1305"/>
        <w:spacing w:after="0" w:line="312" w:lineRule="auto"/>
        <w:tabs>
          <w:tab w:leader="none" w:pos="1811"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Notwithstanding anything to the contrary in Section 3, if the Participant’s employment with, or engagement to provide services to the Company or any of its Affiliates is terminated by the Company without Cause, either on or within 12 months after, the date of a Change in Control, any unvested portion of the Option shall become fully vested as of the date of termination, which shall be the final Vesting Date</w:t>
      </w:r>
      <w:r>
        <w:rPr>
          <w:rFonts w:ascii="Arial" w:cs="Arial" w:eastAsia="Arial" w:hAnsi="Arial"/>
          <w:sz w:val="16"/>
          <w:szCs w:val="16"/>
          <w:b w:val="1"/>
          <w:bCs w:val="1"/>
          <w:color w:val="auto"/>
        </w:rPr>
        <w:t>.</w:t>
      </w:r>
    </w:p>
    <w:p>
      <w:pPr>
        <w:spacing w:after="0" w:line="142" w:lineRule="exact"/>
        <w:rPr>
          <w:rFonts w:ascii="Arial" w:cs="Arial" w:eastAsia="Arial" w:hAnsi="Arial"/>
          <w:sz w:val="16"/>
          <w:szCs w:val="16"/>
          <w:color w:val="auto"/>
        </w:rPr>
      </w:pPr>
    </w:p>
    <w:p>
      <w:pPr>
        <w:ind w:left="1100" w:hanging="444"/>
        <w:spacing w:after="0"/>
        <w:tabs>
          <w:tab w:leader="none" w:pos="11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5"/>
        <w:spacing w:after="0" w:line="302" w:lineRule="auto"/>
        <w:tabs>
          <w:tab w:leader="none" w:pos="1811"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no event shall all or any portion of the Option be exercisable after the tenth annual anniversary of the Date of Grant (such ten-year period, the “</w:t>
      </w:r>
      <w:r>
        <w:rPr>
          <w:rFonts w:ascii="Arial" w:cs="Arial" w:eastAsia="Arial" w:hAnsi="Arial"/>
          <w:sz w:val="16"/>
          <w:szCs w:val="16"/>
          <w:u w:val="single" w:color="auto"/>
          <w:color w:val="auto"/>
        </w:rPr>
        <w:t>Option Period</w:t>
      </w:r>
      <w:r>
        <w:rPr>
          <w:rFonts w:ascii="Arial" w:cs="Arial" w:eastAsia="Arial" w:hAnsi="Arial"/>
          <w:sz w:val="16"/>
          <w:szCs w:val="16"/>
          <w:color w:val="auto"/>
        </w:rPr>
        <w:t>”); provided, that if the Option Period would expire at a time when trading in the shares of Common Stock is prohibited by the Company’s securities trading policy (or Company-imposed “blackout period”), the Option Period shall be automatically extended until the 30th day following the expiration of such prohibition (but not to the extent that any such extension would otherwise violate Section 409A of the Code).</w:t>
      </w:r>
    </w:p>
    <w:p>
      <w:pPr>
        <w:spacing w:after="0" w:line="154" w:lineRule="exact"/>
        <w:rPr>
          <w:rFonts w:ascii="Arial" w:cs="Arial" w:eastAsia="Arial" w:hAnsi="Arial"/>
          <w:sz w:val="16"/>
          <w:szCs w:val="16"/>
          <w:color w:val="auto"/>
        </w:rPr>
      </w:pPr>
    </w:p>
    <w:p>
      <w:pPr>
        <w:ind w:right="60" w:firstLine="1305"/>
        <w:spacing w:after="0" w:line="272" w:lineRule="auto"/>
        <w:tabs>
          <w:tab w:leader="none" w:pos="1821"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prior to the end of the Option Period, the Participant’s employment with, or engagement to provide services to, the Company and all Affiliates is terminated without Cause or by the Participant for any reason, then the Option shall expire on the earlier of the last day of the Option Period and the date that is 90 days after the date of such termination; provided, however, that if the Participant’s employment or engagement to provide services to the Company and its Affiliates is terminated and the Participant is subsequently rehired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9" w:name="page70"/>
    <w:bookmarkEnd w:id="69"/>
    <w:p>
      <w:pPr>
        <w:ind w:right="140" w:firstLine="1305"/>
        <w:spacing w:after="0" w:line="291" w:lineRule="auto"/>
        <w:tabs>
          <w:tab w:leader="none" w:pos="1811"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(i) the Participant’s employment with or engagement to provide services to, the Company is terminated prior to the end of the Option Period on account of the Participant’s Disability, (ii) the Participant dies while still in the employ or engagement of the Company or an Affiliate, (iii) the Participant dies following a termination described in subsection (b) above but prior to the expiration of an Option, or (iv) the Participant’s employment with, or engagement to provide services to, the Company is terminated prior to the end of the Option Period on account of his Retirement, the Option shall expire on the earlier of the last day of the Option Period and the date that is one (1) year after the date of death or termination on account of Disability of or Retirement by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67" w:lineRule="exact"/>
        <w:rPr>
          <w:rFonts w:ascii="Arial" w:cs="Arial" w:eastAsia="Arial" w:hAnsi="Arial"/>
          <w:sz w:val="16"/>
          <w:szCs w:val="16"/>
          <w:color w:val="auto"/>
        </w:rPr>
      </w:pPr>
    </w:p>
    <w:p>
      <w:pPr>
        <w:jc w:val="both"/>
        <w:ind w:right="120" w:firstLine="1305"/>
        <w:spacing w:after="0" w:line="342" w:lineRule="auto"/>
        <w:tabs>
          <w:tab w:leader="none" w:pos="18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Participant ceases employment with or engagement to provide services to the Company or any Affiliates due to a termination for Cause, the Option (whether vested or unvested) shall be cancelled immediately and the Participant shall have no rights with respect to the Option Shares.</w:t>
      </w:r>
    </w:p>
    <w:p>
      <w:pPr>
        <w:spacing w:after="0" w:line="119" w:lineRule="exact"/>
        <w:rPr>
          <w:rFonts w:ascii="Arial" w:cs="Arial" w:eastAsia="Arial" w:hAnsi="Arial"/>
          <w:sz w:val="16"/>
          <w:szCs w:val="16"/>
          <w:color w:val="auto"/>
        </w:rPr>
      </w:pPr>
    </w:p>
    <w:p>
      <w:pPr>
        <w:ind w:left="1100" w:hanging="444"/>
        <w:spacing w:after="0"/>
        <w:tabs>
          <w:tab w:leader="none" w:pos="11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Exercise and Form of Payment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5"/>
        <w:spacing w:after="0" w:line="269" w:lineRule="auto"/>
        <w:tabs>
          <w:tab w:leader="none" w:pos="1811" w:val="left"/>
        </w:tabs>
        <w:numPr>
          <w:ilvl w:val="1"/>
          <w:numId w:val="33"/>
        </w:numPr>
        <w:rPr>
          <w:rFonts w:ascii="Arial" w:cs="Arial" w:eastAsia="Arial" w:hAnsi="Arial"/>
          <w:sz w:val="17"/>
          <w:szCs w:val="17"/>
          <w:color w:val="auto"/>
        </w:rPr>
      </w:pPr>
      <w:r>
        <w:rPr>
          <w:rFonts w:ascii="Arial" w:cs="Arial" w:eastAsia="Arial" w:hAnsi="Arial"/>
          <w:sz w:val="17"/>
          <w:szCs w:val="17"/>
          <w:color w:val="auto"/>
        </w:rPr>
        <w:t>No Option Shares shall be delivered pursuant to any exercise of the Option until the Participant has paid in full to the Company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 (i) in cash, check or cash equivalent; or (ii) by such other method as the Committee may permit,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provided that such shares of Common Stock are not subject to any pledge or other security interest; (B) in other property having a Fair Market Value equal to the Exercise Price and all applicable required withholding taxes; or (C)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Any fractional shares of Common Stock resulting from the application of this Section 5 shall be settled in cash.</w:t>
      </w:r>
    </w:p>
    <w:p>
      <w:pPr>
        <w:spacing w:after="0" w:line="179" w:lineRule="exact"/>
        <w:rPr>
          <w:rFonts w:ascii="Arial" w:cs="Arial" w:eastAsia="Arial" w:hAnsi="Arial"/>
          <w:sz w:val="17"/>
          <w:szCs w:val="17"/>
          <w:color w:val="auto"/>
        </w:rPr>
      </w:pPr>
    </w:p>
    <w:p>
      <w:pPr>
        <w:ind w:right="20" w:firstLine="1305"/>
        <w:spacing w:after="0" w:line="264" w:lineRule="auto"/>
        <w:tabs>
          <w:tab w:leader="none" w:pos="1821" w:val="left"/>
        </w:tabs>
        <w:numPr>
          <w:ilvl w:val="1"/>
          <w:numId w:val="33"/>
        </w:numPr>
        <w:rPr>
          <w:rFonts w:ascii="Arial" w:cs="Arial" w:eastAsia="Arial" w:hAnsi="Arial"/>
          <w:sz w:val="18"/>
          <w:szCs w:val="18"/>
          <w:color w:val="auto"/>
        </w:rPr>
      </w:pPr>
      <w:r>
        <w:rPr>
          <w:rFonts w:ascii="Arial" w:cs="Arial" w:eastAsia="Arial" w:hAnsi="Arial"/>
          <w:sz w:val="18"/>
          <w:szCs w:val="18"/>
          <w:color w:val="auto"/>
        </w:rPr>
        <w:t>By exercising the Option the Participant agrees that the Participant will notify the Company in writing within fifteen (15) days after the date of any disposition of any of the Option Shares acquired upon exercise of the Option that occurs within two (2) years after the date of the Option grant or within one (1) year after such Option Shares are acquired.</w:t>
      </w:r>
    </w:p>
    <w:p>
      <w:pPr>
        <w:spacing w:after="0" w:line="177" w:lineRule="exact"/>
        <w:rPr>
          <w:rFonts w:ascii="Arial" w:cs="Arial" w:eastAsia="Arial" w:hAnsi="Arial"/>
          <w:sz w:val="18"/>
          <w:szCs w:val="18"/>
          <w:color w:val="auto"/>
        </w:rPr>
      </w:pPr>
    </w:p>
    <w:p>
      <w:pPr>
        <w:ind w:right="60" w:firstLine="656"/>
        <w:spacing w:after="0" w:line="277" w:lineRule="auto"/>
        <w:tabs>
          <w:tab w:leader="none" w:pos="109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The Participant shall not be deemed for any purpose to be the owner of any shares of Common Stock subject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left="1100" w:hanging="444"/>
        <w:spacing w:after="0"/>
        <w:tabs>
          <w:tab w:leader="none" w:pos="11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60" w:firstLine="1305"/>
        <w:spacing w:after="0" w:line="257" w:lineRule="auto"/>
        <w:tabs>
          <w:tab w:leader="none" w:pos="181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88" w:lineRule="exact"/>
        <w:rPr>
          <w:rFonts w:ascii="Arial" w:cs="Arial" w:eastAsia="Arial" w:hAnsi="Arial"/>
          <w:sz w:val="18"/>
          <w:szCs w:val="18"/>
          <w:color w:val="auto"/>
        </w:rPr>
      </w:pPr>
    </w:p>
    <w:p>
      <w:pPr>
        <w:ind w:right="80" w:firstLine="1305"/>
        <w:spacing w:after="0" w:line="269" w:lineRule="auto"/>
        <w:tabs>
          <w:tab w:leader="none" w:pos="1821"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Any exercise of the Option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including the right to use a broker-assisted “cashless exercise” as described in Section 5(i)(C) hereof.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 Company’s transfer agent on the facilities of any exchange on which the Common Stock is listed at the time of such sale.</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820" w:hanging="515"/>
        <w:spacing w:after="0"/>
        <w:tabs>
          <w:tab w:leader="none" w:pos="182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Option may not be assigned, alienated, pledged, attached, sold or otherwise transferred or encumbered (a</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190" w:lineRule="exact"/>
        <w:rPr>
          <w:sz w:val="20"/>
          <w:szCs w:val="20"/>
          <w:color w:val="auto"/>
        </w:rPr>
      </w:pPr>
    </w:p>
    <w:p>
      <w:pPr>
        <w:ind w:firstLine="1305"/>
        <w:spacing w:after="0" w:line="259" w:lineRule="auto"/>
        <w:tabs>
          <w:tab w:leader="none" w:pos="182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firstLine="1305"/>
        <w:spacing w:after="0" w:line="254" w:lineRule="auto"/>
        <w:tabs>
          <w:tab w:leader="none" w:pos="181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Option or the Option Shares will not be subject to interest and penalties under Section 409A.</w:t>
      </w:r>
    </w:p>
    <w:p>
      <w:pPr>
        <w:spacing w:after="0" w:line="192" w:lineRule="exact"/>
        <w:rPr>
          <w:rFonts w:ascii="Arial" w:cs="Arial" w:eastAsia="Arial" w:hAnsi="Arial"/>
          <w:sz w:val="18"/>
          <w:szCs w:val="18"/>
          <w:color w:val="auto"/>
        </w:rPr>
      </w:pPr>
    </w:p>
    <w:p>
      <w:pPr>
        <w:ind w:right="200" w:firstLine="1305"/>
        <w:spacing w:after="0" w:line="302" w:lineRule="auto"/>
        <w:tabs>
          <w:tab w:leader="none" w:pos="182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54" w:lineRule="exact"/>
        <w:rPr>
          <w:rFonts w:ascii="Arial" w:cs="Arial" w:eastAsia="Arial" w:hAnsi="Arial"/>
          <w:sz w:val="16"/>
          <w:szCs w:val="16"/>
          <w:color w:val="auto"/>
        </w:rPr>
      </w:pPr>
    </w:p>
    <w:p>
      <w:pPr>
        <w:ind w:right="220" w:firstLine="1305"/>
        <w:spacing w:after="0" w:line="342" w:lineRule="auto"/>
        <w:tabs>
          <w:tab w:leader="none" w:pos="181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jc w:val="both"/>
        <w:ind w:right="40" w:firstLine="1305"/>
        <w:spacing w:after="0" w:line="259" w:lineRule="auto"/>
        <w:tabs>
          <w:tab w:leader="none" w:pos="17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Rights to Employment, Directorship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ind w:right="200" w:firstLine="1305"/>
        <w:spacing w:after="0" w:line="264" w:lineRule="auto"/>
        <w:tabs>
          <w:tab w:leader="none" w:pos="182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issuing a fraction of a share of Common Stock resulting from any exercise of the Option or an adjustment of the Option pursuant to Section 11 of the Plan or otherwise, the Company shall be entitled to pay to the Participant an amount in cash equal to the Fair Market Value of such fractional share.</w:t>
      </w:r>
    </w:p>
    <w:p>
      <w:pPr>
        <w:spacing w:after="0" w:line="181" w:lineRule="exact"/>
        <w:rPr>
          <w:rFonts w:ascii="Arial" w:cs="Arial" w:eastAsia="Arial" w:hAnsi="Arial"/>
          <w:sz w:val="18"/>
          <w:szCs w:val="18"/>
          <w:color w:val="auto"/>
        </w:rPr>
      </w:pPr>
    </w:p>
    <w:p>
      <w:pPr>
        <w:ind w:right="140" w:firstLine="1305"/>
        <w:spacing w:after="0" w:line="277" w:lineRule="auto"/>
        <w:tabs>
          <w:tab w:leader="none" w:pos="182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37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ind w:right="500" w:firstLine="1305"/>
        <w:spacing w:after="0" w:line="277" w:lineRule="auto"/>
        <w:tabs>
          <w:tab w:leader="none" w:pos="178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right="80" w:firstLine="1305"/>
        <w:spacing w:after="0" w:line="259" w:lineRule="auto"/>
        <w:tabs>
          <w:tab w:leader="none" w:pos="178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11 or 13 of the Plan.</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1" w:lineRule="exact"/>
        <w:rPr>
          <w:rFonts w:ascii="Arial" w:cs="Arial" w:eastAsia="Arial" w:hAnsi="Arial"/>
          <w:sz w:val="18"/>
          <w:szCs w:val="18"/>
          <w:color w:val="auto"/>
        </w:rPr>
      </w:pPr>
    </w:p>
    <w:p>
      <w:pPr>
        <w:ind w:right="40" w:firstLine="1305"/>
        <w:spacing w:after="0" w:line="271" w:lineRule="auto"/>
        <w:tabs>
          <w:tab w:leader="none" w:pos="178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8" w:lineRule="exact"/>
        <w:rPr>
          <w:rFonts w:ascii="Arial" w:cs="Arial" w:eastAsia="Arial" w:hAnsi="Arial"/>
          <w:sz w:val="17"/>
          <w:szCs w:val="17"/>
          <w:color w:val="auto"/>
        </w:rPr>
      </w:pPr>
    </w:p>
    <w:p>
      <w:pPr>
        <w:ind w:right="160" w:firstLine="1305"/>
        <w:spacing w:after="0" w:line="297" w:lineRule="auto"/>
        <w:tabs>
          <w:tab w:leader="none" w:pos="187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8" w:lineRule="exact"/>
        <w:rPr>
          <w:rFonts w:ascii="Arial" w:cs="Arial" w:eastAsia="Arial" w:hAnsi="Arial"/>
          <w:sz w:val="16"/>
          <w:szCs w:val="16"/>
          <w:color w:val="auto"/>
        </w:rPr>
      </w:pPr>
    </w:p>
    <w:p>
      <w:pPr>
        <w:ind w:right="40" w:firstLine="1305"/>
        <w:spacing w:after="0" w:line="277" w:lineRule="auto"/>
        <w:tabs>
          <w:tab w:leader="none" w:pos="18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right="260" w:firstLine="1305"/>
        <w:spacing w:after="0" w:line="264" w:lineRule="auto"/>
        <w:tabs>
          <w:tab w:leader="none" w:pos="18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(including via facsimile and electronic image scan (pdf)), each of which shall be deemed to be an original, but both of which together shall constitute one and the same instrument and shall become effective when one or more counterparts have been signed by each of the parties and delivered to the other parties.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3" w:name="page74"/>
    <w:bookmarkEnd w:id="73"/>
    <w:p>
      <w:pPr>
        <w:ind w:firstLine="1305"/>
        <w:spacing w:after="0" w:line="259" w:lineRule="auto"/>
        <w:tabs>
          <w:tab w:leader="none" w:pos="182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6" w:lineRule="exact"/>
        <w:rPr>
          <w:rFonts w:ascii="Arial" w:cs="Arial" w:eastAsia="Arial" w:hAnsi="Arial"/>
          <w:sz w:val="18"/>
          <w:szCs w:val="18"/>
          <w:color w:val="auto"/>
        </w:rPr>
      </w:pPr>
    </w:p>
    <w:p>
      <w:pPr>
        <w:ind w:right="380" w:firstLine="1305"/>
        <w:spacing w:after="0" w:line="312" w:lineRule="auto"/>
        <w:tabs>
          <w:tab w:leader="none" w:pos="182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74" w:name="page75"/>
    <w:bookmarkEnd w:id="74"/>
    <w:p>
      <w:pPr>
        <w:ind w:firstLine="648"/>
        <w:spacing w:after="0" w:line="277" w:lineRule="auto"/>
        <w:rPr>
          <w:sz w:val="20"/>
          <w:szCs w:val="20"/>
          <w:color w:val="auto"/>
        </w:rPr>
      </w:pPr>
      <w:r>
        <w:rPr>
          <w:rFonts w:ascii="Arial" w:cs="Arial" w:eastAsia="Arial" w:hAnsi="Arial"/>
          <w:sz w:val="18"/>
          <w:szCs w:val="18"/>
          <w:color w:val="auto"/>
        </w:rPr>
        <w:t>IN WITNESS WHEREOF, this Incentive Stock Option Award Agreement has been executed by the Company and the Participant as of the day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IOVANCE BIOTHERAPEUTICS,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-121920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9" w:right="37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AWARD AGREEMENT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NONQUALIFIED STOCK OPTION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 20[ ] (the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Iovance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 (the “</w:t>
      </w:r>
      <w:r>
        <w:rPr>
          <w:rFonts w:ascii="Arial" w:cs="Arial" w:eastAsia="Arial" w:hAnsi="Arial"/>
          <w:sz w:val="18"/>
          <w:szCs w:val="18"/>
          <w:u w:val="single" w:color="auto"/>
          <w:color w:val="auto"/>
        </w:rPr>
        <w:t>Participant</w:t>
      </w:r>
      <w:r>
        <w:rPr>
          <w:rFonts w:ascii="Arial" w:cs="Arial" w:eastAsia="Arial" w:hAnsi="Arial"/>
          <w:sz w:val="18"/>
          <w:szCs w:val="18"/>
          <w:color w:val="auto"/>
        </w:rPr>
        <w:t>”). Capitalized terms used in this Agreement and not otherwise defined herein have the meanings ascribed to such terms in the Iovance Biotherapeutics, Inc. 2018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WHEREAS, the Compensation Committee of the board of directors (the “</w:t>
      </w:r>
      <w:r>
        <w:rPr>
          <w:rFonts w:ascii="Arial" w:cs="Arial" w:eastAsia="Arial" w:hAnsi="Arial"/>
          <w:sz w:val="17"/>
          <w:szCs w:val="17"/>
          <w:u w:val="single" w:color="auto"/>
          <w:color w:val="auto"/>
        </w:rPr>
        <w:t>Committee</w:t>
      </w:r>
      <w:r>
        <w:rPr>
          <w:rFonts w:ascii="Arial" w:cs="Arial" w:eastAsia="Arial" w:hAnsi="Arial"/>
          <w:sz w:val="17"/>
          <w:szCs w:val="17"/>
          <w:color w:val="auto"/>
        </w:rPr>
        <w:t>”) has determined that it is in the best interests of the Company and its stockholders to grant the award provided for herein to the Participant on the terms and subject to the conditions set forth herein.</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20" w:lineRule="exact"/>
        <w:rPr>
          <w:sz w:val="20"/>
          <w:szCs w:val="20"/>
          <w:color w:val="auto"/>
        </w:rPr>
      </w:pPr>
    </w:p>
    <w:p>
      <w:pPr>
        <w:ind w:left="1100" w:hanging="444"/>
        <w:spacing w:after="0"/>
        <w:tabs>
          <w:tab w:leader="none" w:pos="11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40" w:firstLine="1305"/>
        <w:spacing w:after="0" w:line="264" w:lineRule="auto"/>
        <w:tabs>
          <w:tab w:leader="none" w:pos="181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an Option to purchase [ ] shares of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on the terms and subject to the conditions set forth in this Agreement and as otherwise provided in the Plan. The Option is a Nonqualifed Stock Option. The Option shall vest in accordance with Section 2. The Exercise Price shall be $[ ] per Option Share.</w:t>
      </w:r>
    </w:p>
    <w:p>
      <w:pPr>
        <w:spacing w:after="0" w:line="181" w:lineRule="exact"/>
        <w:rPr>
          <w:rFonts w:ascii="Arial" w:cs="Arial" w:eastAsia="Arial" w:hAnsi="Arial"/>
          <w:sz w:val="18"/>
          <w:szCs w:val="18"/>
          <w:color w:val="auto"/>
        </w:rPr>
      </w:pPr>
    </w:p>
    <w:p>
      <w:pPr>
        <w:ind w:right="80" w:firstLine="1305"/>
        <w:spacing w:after="0" w:line="293" w:lineRule="auto"/>
        <w:tabs>
          <w:tab w:leader="none" w:pos="182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w:t>
      </w:r>
      <w:r>
        <w:rPr>
          <w:rFonts w:ascii="Arial" w:cs="Arial" w:eastAsia="Arial" w:hAnsi="Arial"/>
          <w:sz w:val="16"/>
          <w:szCs w:val="16"/>
          <w:color w:val="auto"/>
        </w:rPr>
        <w:t>. The provisions of the Plan are incorporated herein by reference. Except as otherwise expressly set forth herein, this Agreement shall be construed in accordance with the provisions of the Plan and any interpretations, rules and regulations and additional terms adopted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60" w:lineRule="exact"/>
        <w:rPr>
          <w:rFonts w:ascii="Arial" w:cs="Arial" w:eastAsia="Arial" w:hAnsi="Arial"/>
          <w:sz w:val="16"/>
          <w:szCs w:val="16"/>
          <w:color w:val="auto"/>
        </w:rPr>
      </w:pPr>
    </w:p>
    <w:p>
      <w:pPr>
        <w:ind w:right="20" w:firstLine="656"/>
        <w:spacing w:after="0" w:line="256" w:lineRule="auto"/>
        <w:tabs>
          <w:tab w:leader="none" w:pos="109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Except as may otherwise be provided herein, the Option shall vest and become exercisable as to [_______] of the Option Shares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anniversary of Date of Grant, and the remaining Option Shares shall vest as to [_______] of Option Shares at the end of each quarter over the next [____] years, commencing with the first quarter following the first anniversary of the Date of Grant]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subject to the Participant’s continued employment with, appointment as a director of, or engagement to provide services to, the Company or any of its Affiliates through the applicable Vesting Date. Any fractional Option Share resulting from the application of the vesting schedule shall be aggregated and the Option Share resulting from such aggregation shall vest on the final Vesting Date.</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6" w:name="page77"/>
    <w:bookmarkEnd w:id="76"/>
    <w:p>
      <w:pPr>
        <w:ind w:left="1100" w:hanging="444"/>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400" w:firstLine="1305"/>
        <w:spacing w:after="0" w:line="286" w:lineRule="auto"/>
        <w:tabs>
          <w:tab w:leader="none" w:pos="1811"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Except as otherwise provided herein, if the Participant’s employment with, membership on the board of directors, or engagement to provide services to the Company or any of its Affiliates terminates for any reason, the unvested portion of the Option shall be canceled immediately and the Participant shall have no rights with respect to the Option Shares subject to such unvested portion.</w:t>
      </w:r>
    </w:p>
    <w:p>
      <w:pPr>
        <w:spacing w:after="0" w:line="165" w:lineRule="exact"/>
        <w:rPr>
          <w:rFonts w:ascii="Arial" w:cs="Arial" w:eastAsia="Arial" w:hAnsi="Arial"/>
          <w:sz w:val="17"/>
          <w:szCs w:val="17"/>
          <w:color w:val="auto"/>
        </w:rPr>
      </w:pPr>
    </w:p>
    <w:p>
      <w:pPr>
        <w:ind w:right="40" w:firstLine="1305"/>
        <w:spacing w:after="0" w:line="286" w:lineRule="auto"/>
        <w:tabs>
          <w:tab w:leader="none" w:pos="1821"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Notwithstanding anything to the contrary in Section 3, if the Participant’s employment with, membership on the board of directors, or engagement to provide services to the Company or any of its Affiliates terminates due to the Participant’s death or Disability, any unvested portion of the Option shall become fully vested as of the date of such termination, which shall be the final Vesting Date.</w:t>
      </w:r>
    </w:p>
    <w:p>
      <w:pPr>
        <w:spacing w:after="0" w:line="165" w:lineRule="exact"/>
        <w:rPr>
          <w:rFonts w:ascii="Arial" w:cs="Arial" w:eastAsia="Arial" w:hAnsi="Arial"/>
          <w:sz w:val="17"/>
          <w:szCs w:val="17"/>
          <w:color w:val="auto"/>
        </w:rPr>
      </w:pPr>
    </w:p>
    <w:p>
      <w:pPr>
        <w:ind w:firstLine="1305"/>
        <w:spacing w:after="0" w:line="259" w:lineRule="auto"/>
        <w:tabs>
          <w:tab w:leader="none" w:pos="181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Notwithstanding anything to the contrary in Section 3, if the Participant’s employment with, membership on the board of directors, or engagement to provide services to the Company or any of its Affiliates is terminated by the Company without Cause on or within 12 months after, the date of a Change in Control, any unvested portion of the Option shall become fully vested as of the date of termination, which shall be the final Vesting Date</w:t>
      </w:r>
      <w:r>
        <w:rPr>
          <w:rFonts w:ascii="Arial" w:cs="Arial" w:eastAsia="Arial" w:hAnsi="Arial"/>
          <w:sz w:val="18"/>
          <w:szCs w:val="18"/>
          <w:b w:val="1"/>
          <w:bCs w:val="1"/>
          <w:color w:val="auto"/>
        </w:rPr>
        <w:t>.</w:t>
      </w:r>
    </w:p>
    <w:p>
      <w:pPr>
        <w:spacing w:after="0" w:line="182" w:lineRule="exact"/>
        <w:rPr>
          <w:rFonts w:ascii="Arial" w:cs="Arial" w:eastAsia="Arial" w:hAnsi="Arial"/>
          <w:sz w:val="18"/>
          <w:szCs w:val="18"/>
          <w:color w:val="auto"/>
        </w:rPr>
      </w:pPr>
    </w:p>
    <w:p>
      <w:pPr>
        <w:ind w:left="1100" w:hanging="444"/>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5"/>
        <w:spacing w:after="0" w:line="302" w:lineRule="auto"/>
        <w:tabs>
          <w:tab w:leader="none" w:pos="18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no event shall all or any portion of the Option be exercisable after the tenth annual anniversary of the Date of Grant (such ten-year period, the “</w:t>
      </w:r>
      <w:r>
        <w:rPr>
          <w:rFonts w:ascii="Arial" w:cs="Arial" w:eastAsia="Arial" w:hAnsi="Arial"/>
          <w:sz w:val="16"/>
          <w:szCs w:val="16"/>
          <w:u w:val="single" w:color="auto"/>
          <w:color w:val="auto"/>
        </w:rPr>
        <w:t>Option Period</w:t>
      </w:r>
      <w:r>
        <w:rPr>
          <w:rFonts w:ascii="Arial" w:cs="Arial" w:eastAsia="Arial" w:hAnsi="Arial"/>
          <w:sz w:val="16"/>
          <w:szCs w:val="16"/>
          <w:color w:val="auto"/>
        </w:rPr>
        <w:t>”); provided, that if the Option Period would expire at a time when trading in the shares of Common Stock is prohibited by the Company’s securities trading policy (or Company-imposed “blackout period”), the Option Period shall be automatically extended until the 30th day following the expiration of such prohibition (but not to the extent that any such extension would otherwise violate Section 409A of the Code).</w:t>
      </w:r>
    </w:p>
    <w:p>
      <w:pPr>
        <w:spacing w:after="0" w:line="154" w:lineRule="exact"/>
        <w:rPr>
          <w:rFonts w:ascii="Arial" w:cs="Arial" w:eastAsia="Arial" w:hAnsi="Arial"/>
          <w:sz w:val="16"/>
          <w:szCs w:val="16"/>
          <w:color w:val="auto"/>
        </w:rPr>
      </w:pPr>
    </w:p>
    <w:p>
      <w:pPr>
        <w:ind w:right="60" w:firstLine="1305"/>
        <w:spacing w:after="0" w:line="272" w:lineRule="auto"/>
        <w:tabs>
          <w:tab w:leader="none" w:pos="1821"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prior to the end of the Option Period, the Participant’s employment with, or engagement to provide services to, the Company and all Affiliates is terminated without Cause or by the Participant for any reason, then the Option shall expire on the earlier of the last day of the Option Period and the date that is 90 days after the date of such termination; provided, however, that if the Participant’s employment or engagement to provide services to the Company and its Affiliates is terminated and the Participant is subsequently rehired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7" w:name="page78"/>
    <w:bookmarkEnd w:id="77"/>
    <w:p>
      <w:pPr>
        <w:ind w:right="140" w:firstLine="1305"/>
        <w:spacing w:after="0" w:line="291" w:lineRule="auto"/>
        <w:tabs>
          <w:tab w:leader="none" w:pos="1811"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(i) the Participant’s employment with or engagement to provide services to, the Company is terminated prior to the end of the Option Period on account of the Participant’s Disability, (ii) the Participant dies while still in the employ or engagement of the Company or an Affiliate, (iii) the Participant dies following a termination described in subsection (b) above but prior to the expiration of an Option, or (iv) the Participant’s employment with, or engagement to provide services to, the Company is terminated prior to the end of the Option Period on account of his Retirement, the Option shall expire on the earlier of the last day of the Option Period and the date that is one (1) year after the date of death or termination on account of Disability of or Retirement by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67" w:lineRule="exact"/>
        <w:rPr>
          <w:rFonts w:ascii="Arial" w:cs="Arial" w:eastAsia="Arial" w:hAnsi="Arial"/>
          <w:sz w:val="16"/>
          <w:szCs w:val="16"/>
          <w:color w:val="auto"/>
        </w:rPr>
      </w:pPr>
    </w:p>
    <w:p>
      <w:pPr>
        <w:ind w:right="180" w:firstLine="1305"/>
        <w:spacing w:after="0" w:line="264" w:lineRule="auto"/>
        <w:tabs>
          <w:tab w:leader="none" w:pos="18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prior to the end of the Option Period, the Participant’s directorship with the Company is terminated without Cause or by the Participant for any reason, then the Option shall expire on the earlier of the last day of the Option Period and the date that is two years after the date of such termination.]</w:t>
      </w:r>
    </w:p>
    <w:p>
      <w:pPr>
        <w:spacing w:after="0" w:line="181" w:lineRule="exact"/>
        <w:rPr>
          <w:rFonts w:ascii="Arial" w:cs="Arial" w:eastAsia="Arial" w:hAnsi="Arial"/>
          <w:sz w:val="18"/>
          <w:szCs w:val="18"/>
          <w:color w:val="auto"/>
        </w:rPr>
      </w:pPr>
    </w:p>
    <w:p>
      <w:pPr>
        <w:ind w:right="140" w:firstLine="1305"/>
        <w:spacing w:after="0" w:line="264" w:lineRule="auto"/>
        <w:tabs>
          <w:tab w:leader="none" w:pos="18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the Participant ceases employment with or engagement to provide services to the Company or any Affiliates or is removed as a director due to a termination for Cause, the Option (whether vested or unvested) shall be cancelled immediately and the Participant shall have no rights with respect to the Option Shares.</w:t>
      </w:r>
    </w:p>
    <w:p>
      <w:pPr>
        <w:spacing w:after="0" w:line="177" w:lineRule="exact"/>
        <w:rPr>
          <w:rFonts w:ascii="Arial" w:cs="Arial" w:eastAsia="Arial" w:hAnsi="Arial"/>
          <w:sz w:val="18"/>
          <w:szCs w:val="18"/>
          <w:color w:val="auto"/>
        </w:rPr>
      </w:pPr>
    </w:p>
    <w:p>
      <w:pPr>
        <w:ind w:left="1100" w:hanging="444"/>
        <w:spacing w:after="0"/>
        <w:tabs>
          <w:tab w:leader="none" w:pos="11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Exercise and Form of Payment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5"/>
        <w:spacing w:after="0" w:line="269" w:lineRule="auto"/>
        <w:tabs>
          <w:tab w:leader="none" w:pos="1811"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 Option Shares shall be delivered pursuant to any exercise of the Option until the Participant has paid in full to the Company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 (i) in cash, check or cash equivalent; or (ii) by such other method as the Committee may permit,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provided that such shares of Common Stock are not subject to any pledge or other security interest; (B) in other property having a Fair Market Value equal to the Exercise Price and all applicable required withholding taxes; or (C)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Any fractional shares of Common Stock resulting from the application of this Section 5 shall be settled in cash.</w:t>
      </w:r>
    </w:p>
    <w:p>
      <w:pPr>
        <w:spacing w:after="0" w:line="175" w:lineRule="exact"/>
        <w:rPr>
          <w:rFonts w:ascii="Arial" w:cs="Arial" w:eastAsia="Arial" w:hAnsi="Arial"/>
          <w:sz w:val="17"/>
          <w:szCs w:val="17"/>
          <w:color w:val="auto"/>
        </w:rPr>
      </w:pPr>
    </w:p>
    <w:p>
      <w:pPr>
        <w:ind w:right="60" w:firstLine="656"/>
        <w:spacing w:after="0" w:line="277" w:lineRule="auto"/>
        <w:tabs>
          <w:tab w:leader="none" w:pos="1098"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The Participant shall not be deemed for any purpose to be the owner of any shares of Common Stock subject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left="1100" w:hanging="444"/>
        <w:spacing w:after="0"/>
        <w:tabs>
          <w:tab w:leader="none" w:pos="11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60" w:firstLine="1305"/>
        <w:spacing w:after="0" w:line="257" w:lineRule="auto"/>
        <w:tabs>
          <w:tab w:leader="none" w:pos="181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88" w:lineRule="exact"/>
        <w:rPr>
          <w:rFonts w:ascii="Arial" w:cs="Arial" w:eastAsia="Arial" w:hAnsi="Arial"/>
          <w:sz w:val="18"/>
          <w:szCs w:val="18"/>
          <w:color w:val="auto"/>
        </w:rPr>
      </w:pPr>
    </w:p>
    <w:p>
      <w:pPr>
        <w:ind w:right="80" w:firstLine="1305"/>
        <w:spacing w:after="0" w:line="269" w:lineRule="auto"/>
        <w:tabs>
          <w:tab w:leader="none" w:pos="1821"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Any exercise of the Option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including the right to use a broker-assisted “cashless exercise” as described in Section 5(i)(C) hereof.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 Company’s transfer agent on the facilities of any exchange on which the Common Stock is listed at the time of such sale.</w:t>
      </w:r>
    </w:p>
    <w:p>
      <w:pPr>
        <w:spacing w:after="0" w:line="178" w:lineRule="exact"/>
        <w:rPr>
          <w:rFonts w:ascii="Arial" w:cs="Arial" w:eastAsia="Arial" w:hAnsi="Arial"/>
          <w:sz w:val="17"/>
          <w:szCs w:val="17"/>
          <w:color w:val="auto"/>
        </w:rPr>
      </w:pPr>
    </w:p>
    <w:p>
      <w:pPr>
        <w:ind w:left="1100" w:hanging="444"/>
        <w:spacing w:after="0"/>
        <w:tabs>
          <w:tab w:leader="none" w:pos="11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820" w:hanging="515"/>
        <w:spacing w:after="0"/>
        <w:tabs>
          <w:tab w:leader="none" w:pos="182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Option may not be assigned, alienated, pledged, attached, sold or otherwise transferred or encumbered (a</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190" w:lineRule="exact"/>
        <w:rPr>
          <w:sz w:val="20"/>
          <w:szCs w:val="20"/>
          <w:color w:val="auto"/>
        </w:rPr>
      </w:pPr>
    </w:p>
    <w:p>
      <w:pPr>
        <w:ind w:firstLine="1305"/>
        <w:spacing w:after="0" w:line="259" w:lineRule="auto"/>
        <w:tabs>
          <w:tab w:leader="none" w:pos="182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firstLine="1305"/>
        <w:spacing w:after="0" w:line="254" w:lineRule="auto"/>
        <w:tabs>
          <w:tab w:leader="none" w:pos="181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Option or the Option Shares will not be subject to interest and penalties under Section 409A.</w:t>
      </w:r>
    </w:p>
    <w:p>
      <w:pPr>
        <w:spacing w:after="0" w:line="192" w:lineRule="exact"/>
        <w:rPr>
          <w:rFonts w:ascii="Arial" w:cs="Arial" w:eastAsia="Arial" w:hAnsi="Arial"/>
          <w:sz w:val="18"/>
          <w:szCs w:val="18"/>
          <w:color w:val="auto"/>
        </w:rPr>
      </w:pPr>
    </w:p>
    <w:p>
      <w:pPr>
        <w:ind w:right="200" w:firstLine="1305"/>
        <w:spacing w:after="0" w:line="302" w:lineRule="auto"/>
        <w:tabs>
          <w:tab w:leader="none" w:pos="182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54" w:lineRule="exact"/>
        <w:rPr>
          <w:rFonts w:ascii="Arial" w:cs="Arial" w:eastAsia="Arial" w:hAnsi="Arial"/>
          <w:sz w:val="16"/>
          <w:szCs w:val="16"/>
          <w:color w:val="auto"/>
        </w:rPr>
      </w:pPr>
    </w:p>
    <w:p>
      <w:pPr>
        <w:ind w:right="220" w:firstLine="1305"/>
        <w:spacing w:after="0" w:line="342" w:lineRule="auto"/>
        <w:tabs>
          <w:tab w:leader="none" w:pos="181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23" w:lineRule="exact"/>
        <w:rPr>
          <w:rFonts w:ascii="Arial" w:cs="Arial" w:eastAsia="Arial" w:hAnsi="Arial"/>
          <w:sz w:val="16"/>
          <w:szCs w:val="16"/>
          <w:color w:val="auto"/>
        </w:rPr>
      </w:pPr>
    </w:p>
    <w:p>
      <w:pPr>
        <w:jc w:val="both"/>
        <w:ind w:right="40" w:firstLine="1305"/>
        <w:spacing w:after="0" w:line="259" w:lineRule="auto"/>
        <w:tabs>
          <w:tab w:leader="none" w:pos="179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Rights to Employment, Directorship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ind w:right="200" w:firstLine="1305"/>
        <w:spacing w:after="0" w:line="264" w:lineRule="auto"/>
        <w:tabs>
          <w:tab w:leader="none" w:pos="18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issuing a fraction of a share of Common Stock resulting from any exercise of the Option or an adjustment of the Option pursuant to Section 11 of the Plan or otherwise, the Company shall be entitled to pay to the Participant an amount in cash equal to the Fair Market Value of such fractional share.</w:t>
      </w:r>
    </w:p>
    <w:p>
      <w:pPr>
        <w:spacing w:after="0" w:line="181" w:lineRule="exact"/>
        <w:rPr>
          <w:rFonts w:ascii="Arial" w:cs="Arial" w:eastAsia="Arial" w:hAnsi="Arial"/>
          <w:sz w:val="18"/>
          <w:szCs w:val="18"/>
          <w:color w:val="auto"/>
        </w:rPr>
      </w:pPr>
    </w:p>
    <w:p>
      <w:pPr>
        <w:ind w:right="140" w:firstLine="1305"/>
        <w:spacing w:after="0" w:line="277" w:lineRule="auto"/>
        <w:tabs>
          <w:tab w:leader="none" w:pos="18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37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0" w:name="page81"/>
    <w:bookmarkEnd w:id="80"/>
    <w:p>
      <w:pPr>
        <w:ind w:right="500" w:firstLine="1305"/>
        <w:spacing w:after="0" w:line="277" w:lineRule="auto"/>
        <w:tabs>
          <w:tab w:leader="none" w:pos="178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0" w:lineRule="exact"/>
        <w:rPr>
          <w:rFonts w:ascii="Arial" w:cs="Arial" w:eastAsia="Arial" w:hAnsi="Arial"/>
          <w:sz w:val="18"/>
          <w:szCs w:val="18"/>
          <w:color w:val="auto"/>
        </w:rPr>
      </w:pPr>
    </w:p>
    <w:p>
      <w:pPr>
        <w:ind w:right="80" w:firstLine="1305"/>
        <w:spacing w:after="0" w:line="259" w:lineRule="auto"/>
        <w:tabs>
          <w:tab w:leader="none" w:pos="178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11 or 13 of the Plan.</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1" w:lineRule="exact"/>
        <w:rPr>
          <w:rFonts w:ascii="Arial" w:cs="Arial" w:eastAsia="Arial" w:hAnsi="Arial"/>
          <w:sz w:val="18"/>
          <w:szCs w:val="18"/>
          <w:color w:val="auto"/>
        </w:rPr>
      </w:pPr>
    </w:p>
    <w:p>
      <w:pPr>
        <w:ind w:right="40" w:firstLine="1305"/>
        <w:spacing w:after="0" w:line="271" w:lineRule="auto"/>
        <w:tabs>
          <w:tab w:leader="none" w:pos="178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8" w:lineRule="exact"/>
        <w:rPr>
          <w:rFonts w:ascii="Arial" w:cs="Arial" w:eastAsia="Arial" w:hAnsi="Arial"/>
          <w:sz w:val="17"/>
          <w:szCs w:val="17"/>
          <w:color w:val="auto"/>
        </w:rPr>
      </w:pPr>
    </w:p>
    <w:p>
      <w:pPr>
        <w:ind w:right="160" w:firstLine="1305"/>
        <w:spacing w:after="0" w:line="297" w:lineRule="auto"/>
        <w:tabs>
          <w:tab w:leader="none" w:pos="187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8" w:lineRule="exact"/>
        <w:rPr>
          <w:rFonts w:ascii="Arial" w:cs="Arial" w:eastAsia="Arial" w:hAnsi="Arial"/>
          <w:sz w:val="16"/>
          <w:szCs w:val="16"/>
          <w:color w:val="auto"/>
        </w:rPr>
      </w:pPr>
    </w:p>
    <w:p>
      <w:pPr>
        <w:ind w:right="40" w:firstLine="1305"/>
        <w:spacing w:after="0" w:line="277" w:lineRule="auto"/>
        <w:tabs>
          <w:tab w:leader="none" w:pos="18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ind w:right="260" w:firstLine="1305"/>
        <w:spacing w:after="0" w:line="264" w:lineRule="auto"/>
        <w:tabs>
          <w:tab w:leader="none" w:pos="18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(including via facsimile and electronic image scan (pdf)), each of which shall be deemed to be an original, but both of which together shall constitute one and the same instrument and shall become effective when one or more counterparts have been signed by each of the parties and delivered to the other parties.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1" w:name="page82"/>
    <w:bookmarkEnd w:id="81"/>
    <w:p>
      <w:pPr>
        <w:ind w:firstLine="1305"/>
        <w:spacing w:after="0" w:line="259" w:lineRule="auto"/>
        <w:tabs>
          <w:tab w:leader="none" w:pos="18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6" w:lineRule="exact"/>
        <w:rPr>
          <w:rFonts w:ascii="Arial" w:cs="Arial" w:eastAsia="Arial" w:hAnsi="Arial"/>
          <w:sz w:val="18"/>
          <w:szCs w:val="18"/>
          <w:color w:val="auto"/>
        </w:rPr>
      </w:pPr>
    </w:p>
    <w:p>
      <w:pPr>
        <w:ind w:right="380" w:firstLine="1305"/>
        <w:spacing w:after="0" w:line="312" w:lineRule="auto"/>
        <w:tabs>
          <w:tab w:leader="none" w:pos="182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82" w:name="page83"/>
    <w:bookmarkEnd w:id="82"/>
    <w:p>
      <w:pPr>
        <w:ind w:firstLine="648"/>
        <w:spacing w:after="0" w:line="277" w:lineRule="auto"/>
        <w:rPr>
          <w:sz w:val="20"/>
          <w:szCs w:val="20"/>
          <w:color w:val="auto"/>
        </w:rPr>
      </w:pPr>
      <w:r>
        <w:rPr>
          <w:rFonts w:ascii="Arial" w:cs="Arial" w:eastAsia="Arial" w:hAnsi="Arial"/>
          <w:sz w:val="18"/>
          <w:szCs w:val="18"/>
          <w:color w:val="auto"/>
        </w:rPr>
        <w:t>IN WITNESS WHEREOF, this Nonqualified Stock Option Award Agreement has been executed by the Company and the Participant as of the day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IOVANCE BIOTHERAPEUTICS,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-121920</wp:posOffset>
            </wp:positionV>
            <wp:extent cx="3258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Dated: August 7, 2018</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Dated: August 7, 2018</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2018,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Dated: August 7, 2018</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2018,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Dated: August 7, 2018</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þ"/>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lvl w:ilvl="1">
      <w:lvlJc w:val="left"/>
      <w:lvlText w:val="(%2)"/>
      <w:numFmt w:val="lowerLetter"/>
      <w:start w:val="1"/>
    </w:lvl>
  </w:abstractNum>
  <w:abstractNum w:abstractNumId="30">
    <w:nsid w:val="153EA438"/>
    <w:multiLevelType w:val="hybridMultilevel"/>
    <w:lvl w:ilvl="0">
      <w:lvlJc w:val="left"/>
      <w:lvlText w:val="%1."/>
      <w:numFmt w:val="decimal"/>
      <w:start w:val="3"/>
    </w:lvl>
    <w:lvl w:ilvl="1">
      <w:lvlJc w:val="left"/>
      <w:lvlText w:val="(%2)"/>
      <w:numFmt w:val="lowerLetter"/>
      <w:start w:val="1"/>
    </w:lvl>
  </w:abstractNum>
  <w:abstractNum w:abstractNumId="31">
    <w:nsid w:val="3855585C"/>
    <w:multiLevelType w:val="hybridMultilevel"/>
    <w:lvl w:ilvl="0">
      <w:lvlJc w:val="left"/>
      <w:lvlText w:val="%1"/>
      <w:numFmt w:val="decimal"/>
      <w:start w:val="1"/>
    </w:lvl>
    <w:lvl w:ilvl="1">
      <w:lvlJc w:val="left"/>
      <w:lvlText w:val="(%2)"/>
      <w:numFmt w:val="lowerLetter"/>
      <w:start w:val="3"/>
    </w:lvl>
  </w:abstractNum>
  <w:abstractNum w:abstractNumId="32">
    <w:nsid w:val="70A64E2A"/>
    <w:multiLevelType w:val="hybridMultilevel"/>
    <w:lvl w:ilvl="0">
      <w:lvlJc w:val="left"/>
      <w:lvlText w:val="%1."/>
      <w:numFmt w:val="decimal"/>
      <w:start w:val="5"/>
    </w:lvl>
    <w:lvl w:ilvl="1">
      <w:lvlJc w:val="left"/>
      <w:lvlText w:val="(%2)"/>
      <w:numFmt w:val="lowerLetter"/>
      <w:start w:val="1"/>
    </w:lvl>
  </w:abstractNum>
  <w:abstractNum w:abstractNumId="33">
    <w:nsid w:val="6A2342EC"/>
    <w:multiLevelType w:val="hybridMultilevel"/>
    <w:lvl w:ilvl="0">
      <w:lvlJc w:val="left"/>
      <w:lvlText w:val="%1."/>
      <w:numFmt w:val="decimal"/>
      <w:start w:val="7"/>
    </w:lvl>
    <w:lvl w:ilvl="1">
      <w:lvlJc w:val="left"/>
      <w:lvlText w:val="(%2)"/>
      <w:numFmt w:val="lowerLetter"/>
      <w:start w:val="1"/>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9"/>
    </w:lvl>
  </w:abstractNum>
  <w:abstractNum w:abstractNumId="37">
    <w:nsid w:val="2CD89A32"/>
    <w:multiLevelType w:val="hybridMultilevel"/>
    <w:lvl w:ilvl="0">
      <w:lvlJc w:val="left"/>
      <w:lvlText w:val="(%1)"/>
      <w:numFmt w:val="lowerLetter"/>
      <w:start w:val="16"/>
    </w:lvl>
  </w:abstractNum>
  <w:abstractNum w:abstractNumId="38">
    <w:nsid w:val="57E4CCAF"/>
    <w:multiLevelType w:val="hybridMultilevel"/>
    <w:lvl w:ilvl="0">
      <w:lvlJc w:val="left"/>
      <w:lvlText w:val="%1."/>
      <w:numFmt w:val="decimal"/>
      <w:start w:val="1"/>
    </w:lvl>
    <w:lvl w:ilvl="1">
      <w:lvlJc w:val="left"/>
      <w:lvlText w:val="(%2)"/>
      <w:numFmt w:val="lowerLetter"/>
      <w:start w:val="1"/>
    </w:lvl>
  </w:abstractNum>
  <w:abstractNum w:abstractNumId="39">
    <w:nsid w:val="7A6D8D3C"/>
    <w:multiLevelType w:val="hybridMultilevel"/>
    <w:lvl w:ilvl="0">
      <w:lvlJc w:val="left"/>
      <w:lvlText w:val="%1."/>
      <w:numFmt w:val="decimal"/>
      <w:start w:val="3"/>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lowerLetter"/>
      <w:start w:val="3"/>
    </w:lvl>
  </w:abstractNum>
  <w:abstractNum w:abstractNumId="41">
    <w:nsid w:val="542289EC"/>
    <w:multiLevelType w:val="hybridMultilevel"/>
    <w:lvl w:ilvl="0">
      <w:lvlJc w:val="left"/>
      <w:lvlText w:val="%1."/>
      <w:numFmt w:val="decimal"/>
      <w:start w:val="5"/>
    </w:lvl>
    <w:lvl w:ilvl="1">
      <w:lvlJc w:val="left"/>
      <w:lvlText w:val="(%2)"/>
      <w:numFmt w:val="lowerLetter"/>
      <w:start w:val="1"/>
    </w:lvl>
  </w:abstractNum>
  <w:abstractNum w:abstractNumId="42">
    <w:nsid w:val="6DE91B18"/>
    <w:multiLevelType w:val="hybridMultilevel"/>
    <w:lvl w:ilvl="0">
      <w:lvlJc w:val="left"/>
      <w:lvlText w:val="%1."/>
      <w:numFmt w:val="decimal"/>
      <w:start w:val="7"/>
    </w:lvl>
    <w:lvl w:ilvl="1">
      <w:lvlJc w:val="left"/>
      <w:lvlText w:val="(%2)"/>
      <w:numFmt w:val="lowerLetter"/>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lowerLetter"/>
      <w:start w:val="3"/>
    </w:lvl>
  </w:abstractNum>
  <w:abstractNum w:abstractNumId="45">
    <w:nsid w:val="32FFF902"/>
    <w:multiLevelType w:val="hybridMultilevel"/>
    <w:lvl w:ilvl="0">
      <w:lvlJc w:val="left"/>
      <w:lvlText w:val="(%1)"/>
      <w:numFmt w:val="lowerLetter"/>
      <w:start w:val="9"/>
    </w:lvl>
  </w:abstractNum>
  <w:abstractNum w:abstractNumId="46">
    <w:nsid w:val="684A481A"/>
    <w:multiLevelType w:val="hybridMultilevel"/>
    <w:lvl w:ilvl="0">
      <w:lvlJc w:val="left"/>
      <w:lvlText w:val="(%1)"/>
      <w:numFmt w:val="lowerLetter"/>
      <w:start w:val="16"/>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80" Type="http://schemas.openxmlformats.org/officeDocument/2006/relationships/hyperlink" Target="http://www.sec.gov/Archives/edgar/data/1425205/000114420417030892/v468249_ex2-1.htm" TargetMode="External"/><Relationship Id="rId81" Type="http://schemas.openxmlformats.org/officeDocument/2006/relationships/hyperlink" Target="http://www.sec.gov/Archives/edgar/data/1425205/000114420417030892/v468249_ex3-1.htm" TargetMode="External"/><Relationship Id="rId82" Type="http://schemas.openxmlformats.org/officeDocument/2006/relationships/hyperlink" Target="http://www.sec.gov/Archives/edgar/data/1425205/000114420417030892/v468249_ex3-2.htm" TargetMode="External"/><Relationship Id="rId83" Type="http://schemas.openxmlformats.org/officeDocument/2006/relationships/hyperlink" Target="http://www.sec.gov/Archives/edgar/data/1425205/000114420417030892/v468249_ex3-3.htm" TargetMode="External"/><Relationship Id="rId84" Type="http://schemas.openxmlformats.org/officeDocument/2006/relationships/hyperlink" Target="http://www.sec.gov/Archives/edgar/data/1425205/000114420417039309/v471615_ex3-4.htm" TargetMode="External"/><Relationship Id="rId85" Type="http://schemas.openxmlformats.org/officeDocument/2006/relationships/hyperlink" Target="http://www.sec.gov/Archives/edgar/data/1425205/000114420417039309/v471615_ex3-5.htm" TargetMode="External"/><Relationship Id="rId86" Type="http://schemas.openxmlformats.org/officeDocument/2006/relationships/hyperlink" Target="http://www.sec.gov/Archives/edgar/data/1425205/000114420417034350/v469760_ex3-1.htm" TargetMode="External"/><Relationship Id="rId87" Type="http://schemas.openxmlformats.org/officeDocument/2006/relationships/hyperlink" Target="http://www.sec.gov/Archives/edgar/data/1425205/000114420417030892/v468249_ex3-4.htm" TargetMode="External"/><Relationship Id="rId88" Type="http://schemas.openxmlformats.org/officeDocument/2006/relationships/hyperlink" Target="http://www.sec.gov/Archives/edgar/data/1425205/000114420417034350/v469760_ex3-2.htm" TargetMode="External"/><Relationship Id="rId89" Type="http://schemas.openxmlformats.org/officeDocument/2006/relationships/hyperlink" Target="http://www.sec.gov/Archives/edgar/data/1425205/000114420418022424/tv491717_def14a.htm#a_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2019-12-28T20:26:36Z</dcterms:created>
  <dcterms:modified xsi:type="dcterms:W3CDTF">2019-12-28T20:26:36Z</dcterms:modified>
</cp:coreProperties>
</file>