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648-3_4seq1.xml.htm"/>
      <w:bookmarkStart w:id="1" w:name="kstm2624648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Vogt Frederick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IOVANCE BIOTHERAPEUTICS,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IOVANCE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933"/>
        <w:gridCol w:w="456"/>
        <w:gridCol w:w="671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41,669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604,161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17,702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8.28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586,459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41,669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41,669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83,338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such shares underlying the restricted stock units ("RSUs") which vested on the transaction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mandatory tax withholding requirements upon vesting of the RSUs. This is not an open market sale of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common stock remaining after deducting the common stock withheld for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remaining RSUs will vest in equal quarterly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Such aggregate number reflects the remainder of such RSUs granted on March 1, 2024, but does not include any other RSUs held by such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Frederick G. Vogt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9678" TargetMode="External"/><Relationship Id="rId5" Type="http://schemas.openxmlformats.org/officeDocument/2006/relationships/hyperlink" Target="http://www.sec.gov/cgi-bin/browse-edgar?action=getcompany&amp;CIK=0001425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3809</Characters>
  <CharactersWithSpaces>4421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