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December 31, 2015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11" w:lineRule="exact"/>
        <w:rPr>
          <w:sz w:val="24"/>
          <w:szCs w:val="24"/>
          <w:color w:val="auto"/>
        </w:rPr>
      </w:pPr>
    </w:p>
    <w:p>
      <w:pPr>
        <w:ind w:left="700" w:hanging="69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 the transaction period from __________ to 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001-36860</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1380" w:type="dxa"/>
            <w:vAlign w:val="bottom"/>
          </w:tcPr>
          <w:p>
            <w:pPr>
              <w:spacing w:after="0"/>
              <w:rPr>
                <w:sz w:val="19"/>
                <w:szCs w:val="19"/>
                <w:color w:val="auto"/>
              </w:rPr>
            </w:pPr>
          </w:p>
        </w:tc>
        <w:tc>
          <w:tcPr>
            <w:tcW w:w="2860" w:type="dxa"/>
            <w:vAlign w:val="bottom"/>
            <w:gridSpan w:val="2"/>
          </w:tcPr>
          <w:p>
            <w:pPr>
              <w:jc w:val="center"/>
              <w:ind w:right="1430"/>
              <w:spacing w:after="0"/>
              <w:rPr>
                <w:sz w:val="20"/>
                <w:szCs w:val="20"/>
                <w:color w:val="auto"/>
              </w:rPr>
            </w:pPr>
            <w:r>
              <w:rPr>
                <w:rFonts w:ascii="Arial" w:cs="Arial" w:eastAsia="Arial" w:hAnsi="Arial"/>
                <w:sz w:val="18"/>
                <w:szCs w:val="18"/>
                <w:b w:val="1"/>
                <w:bCs w:val="1"/>
                <w:color w:val="auto"/>
                <w:w w:val="90"/>
              </w:rPr>
              <w:t>Nevada</w:t>
            </w:r>
          </w:p>
        </w:tc>
        <w:tc>
          <w:tcPr>
            <w:tcW w:w="44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75-3254381</w:t>
            </w:r>
          </w:p>
        </w:tc>
        <w:tc>
          <w:tcPr>
            <w:tcW w:w="220" w:type="dxa"/>
            <w:vAlign w:val="bottom"/>
          </w:tcPr>
          <w:p>
            <w:pPr>
              <w:spacing w:after="0"/>
              <w:rPr>
                <w:sz w:val="19"/>
                <w:szCs w:val="19"/>
                <w:color w:val="auto"/>
              </w:rPr>
            </w:pPr>
          </w:p>
        </w:tc>
      </w:tr>
      <w:tr>
        <w:trPr>
          <w:trHeight w:val="216"/>
        </w:trPr>
        <w:tc>
          <w:tcPr>
            <w:tcW w:w="424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(State or Other Jurisdiction of</w:t>
            </w:r>
          </w:p>
        </w:tc>
        <w:tc>
          <w:tcPr>
            <w:tcW w:w="274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(I.R.S. Employer</w:t>
            </w:r>
          </w:p>
        </w:tc>
      </w:tr>
      <w:tr>
        <w:trPr>
          <w:trHeight w:val="230"/>
        </w:trPr>
        <w:tc>
          <w:tcPr>
            <w:tcW w:w="4240" w:type="dxa"/>
            <w:vAlign w:val="bottom"/>
            <w:gridSpan w:val="3"/>
          </w:tcPr>
          <w:p>
            <w:pPr>
              <w:jc w:val="center"/>
              <w:ind w:right="50"/>
              <w:spacing w:after="0"/>
              <w:rPr>
                <w:sz w:val="20"/>
                <w:szCs w:val="20"/>
                <w:color w:val="auto"/>
              </w:rPr>
            </w:pPr>
            <w:r>
              <w:rPr>
                <w:rFonts w:ascii="Arial" w:cs="Arial" w:eastAsia="Arial" w:hAnsi="Arial"/>
                <w:sz w:val="18"/>
                <w:szCs w:val="18"/>
                <w:color w:val="auto"/>
                <w:w w:val="92"/>
              </w:rPr>
              <w:t>Incorporation or Organization)</w:t>
            </w:r>
          </w:p>
        </w:tc>
        <w:tc>
          <w:tcPr>
            <w:tcW w:w="2740" w:type="dxa"/>
            <w:vAlign w:val="bottom"/>
          </w:tcPr>
          <w:p>
            <w:pPr>
              <w:spacing w:after="0"/>
              <w:rPr>
                <w:sz w:val="20"/>
                <w:szCs w:val="20"/>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Identification No.)</w:t>
            </w:r>
          </w:p>
        </w:tc>
      </w:tr>
      <w:tr>
        <w:trPr>
          <w:trHeight w:val="458"/>
        </w:trPr>
        <w:tc>
          <w:tcPr>
            <w:tcW w:w="42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112 West 34</w:t>
            </w:r>
            <w:r>
              <w:rPr>
                <w:rFonts w:ascii="Arial" w:cs="Arial" w:eastAsia="Arial" w:hAnsi="Arial"/>
                <w:sz w:val="30"/>
                <w:szCs w:val="30"/>
                <w:b w:val="1"/>
                <w:bCs w:val="1"/>
                <w:color w:val="auto"/>
                <w:w w:val="88"/>
                <w:vertAlign w:val="superscript"/>
              </w:rPr>
              <w:t>th</w:t>
            </w:r>
            <w:r>
              <w:rPr>
                <w:rFonts w:ascii="Arial" w:cs="Arial" w:eastAsia="Arial" w:hAnsi="Arial"/>
                <w:sz w:val="18"/>
                <w:szCs w:val="18"/>
                <w:b w:val="1"/>
                <w:bCs w:val="1"/>
                <w:color w:val="auto"/>
                <w:w w:val="88"/>
              </w:rPr>
              <w:t xml:space="preserve"> Street, 17</w:t>
            </w:r>
            <w:r>
              <w:rPr>
                <w:rFonts w:ascii="Arial" w:cs="Arial" w:eastAsia="Arial" w:hAnsi="Arial"/>
                <w:sz w:val="30"/>
                <w:szCs w:val="30"/>
                <w:b w:val="1"/>
                <w:bCs w:val="1"/>
                <w:color w:val="auto"/>
                <w:w w:val="88"/>
                <w:vertAlign w:val="superscript"/>
              </w:rPr>
              <w:t>th</w:t>
            </w:r>
            <w:r>
              <w:rPr>
                <w:rFonts w:ascii="Arial" w:cs="Arial" w:eastAsia="Arial" w:hAnsi="Arial"/>
                <w:sz w:val="18"/>
                <w:szCs w:val="18"/>
                <w:b w:val="1"/>
                <w:bCs w:val="1"/>
                <w:color w:val="auto"/>
                <w:w w:val="88"/>
              </w:rPr>
              <w:t xml:space="preserve"> Floor, New York, New York</w:t>
            </w:r>
          </w:p>
        </w:tc>
        <w:tc>
          <w:tcPr>
            <w:tcW w:w="440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10120</w:t>
            </w:r>
          </w:p>
        </w:tc>
        <w:tc>
          <w:tcPr>
            <w:tcW w:w="220" w:type="dxa"/>
            <w:vAlign w:val="bottom"/>
          </w:tcPr>
          <w:p>
            <w:pPr>
              <w:spacing w:after="0"/>
              <w:rPr>
                <w:sz w:val="24"/>
                <w:szCs w:val="24"/>
                <w:color w:val="auto"/>
              </w:rPr>
            </w:pPr>
          </w:p>
        </w:tc>
      </w:tr>
      <w:tr>
        <w:trPr>
          <w:trHeight w:val="230"/>
        </w:trPr>
        <w:tc>
          <w:tcPr>
            <w:tcW w:w="4240" w:type="dxa"/>
            <w:vAlign w:val="bottom"/>
            <w:gridSpan w:val="3"/>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2740" w:type="dxa"/>
            <w:vAlign w:val="bottom"/>
          </w:tcPr>
          <w:p>
            <w:pPr>
              <w:spacing w:after="0"/>
              <w:rPr>
                <w:sz w:val="20"/>
                <w:szCs w:val="20"/>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(Zip Code)</w:t>
            </w:r>
          </w:p>
        </w:tc>
      </w:tr>
      <w:tr>
        <w:trPr>
          <w:trHeight w:val="418"/>
        </w:trPr>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0"/>
              </w:rPr>
              <w:t>(212) 946-4856</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40" w:type="dxa"/>
            <w:vAlign w:val="bottom"/>
            <w:gridSpan w:val="4"/>
          </w:tcPr>
          <w:p>
            <w:pPr>
              <w:jc w:val="center"/>
              <w:ind w:right="178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32"/>
        </w:trPr>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40" w:type="dxa"/>
            <w:vAlign w:val="bottom"/>
            <w:gridSpan w:val="4"/>
          </w:tcPr>
          <w:p>
            <w:pPr>
              <w:jc w:val="center"/>
              <w:ind w:right="178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414"/>
        </w:trPr>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20" w:type="dxa"/>
            <w:vAlign w:val="bottom"/>
            <w:gridSpan w:val="3"/>
          </w:tcPr>
          <w:p>
            <w:pPr>
              <w:jc w:val="center"/>
              <w:ind w:left="2430"/>
              <w:spacing w:after="0"/>
              <w:rPr>
                <w:sz w:val="20"/>
                <w:szCs w:val="20"/>
                <w:color w:val="auto"/>
              </w:rPr>
            </w:pPr>
            <w:r>
              <w:rPr>
                <w:rFonts w:ascii="Arial" w:cs="Arial" w:eastAsia="Arial" w:hAnsi="Arial"/>
                <w:sz w:val="18"/>
                <w:szCs w:val="18"/>
                <w:b w:val="1"/>
                <w:bCs w:val="1"/>
                <w:color w:val="auto"/>
                <w:w w:val="91"/>
              </w:rPr>
              <w:t>Name Of Each Exchange</w:t>
            </w:r>
          </w:p>
        </w:tc>
      </w:tr>
      <w:tr>
        <w:trPr>
          <w:trHeight w:val="194"/>
        </w:trPr>
        <w:tc>
          <w:tcPr>
            <w:tcW w:w="1380" w:type="dxa"/>
            <w:vAlign w:val="bottom"/>
          </w:tcPr>
          <w:p>
            <w:pPr>
              <w:spacing w:after="0"/>
              <w:rPr>
                <w:sz w:val="16"/>
                <w:szCs w:val="16"/>
                <w:color w:val="auto"/>
              </w:rPr>
            </w:pPr>
          </w:p>
        </w:tc>
        <w:tc>
          <w:tcPr>
            <w:tcW w:w="2860" w:type="dxa"/>
            <w:vAlign w:val="bottom"/>
            <w:gridSpan w:val="2"/>
          </w:tcPr>
          <w:p>
            <w:pPr>
              <w:jc w:val="center"/>
              <w:ind w:right="1330"/>
              <w:spacing w:after="0" w:line="194" w:lineRule="exact"/>
              <w:rPr>
                <w:sz w:val="20"/>
                <w:szCs w:val="20"/>
                <w:color w:val="auto"/>
              </w:rPr>
            </w:pPr>
            <w:r>
              <w:rPr>
                <w:rFonts w:ascii="Arial" w:cs="Arial" w:eastAsia="Arial" w:hAnsi="Arial"/>
                <w:sz w:val="18"/>
                <w:szCs w:val="18"/>
                <w:b w:val="1"/>
                <w:bCs w:val="1"/>
                <w:color w:val="auto"/>
                <w:w w:val="89"/>
              </w:rPr>
              <w:t>Title of Each Class</w:t>
            </w:r>
          </w:p>
        </w:tc>
        <w:tc>
          <w:tcPr>
            <w:tcW w:w="2740" w:type="dxa"/>
            <w:vAlign w:val="bottom"/>
          </w:tcPr>
          <w:p>
            <w:pPr>
              <w:spacing w:after="0"/>
              <w:rPr>
                <w:sz w:val="16"/>
                <w:szCs w:val="16"/>
                <w:color w:val="auto"/>
              </w:rPr>
            </w:pPr>
          </w:p>
        </w:tc>
        <w:tc>
          <w:tcPr>
            <w:tcW w:w="166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1"/>
              </w:rPr>
              <w:t>On Which Registered</w:t>
            </w:r>
          </w:p>
        </w:tc>
        <w:tc>
          <w:tcPr>
            <w:tcW w:w="220" w:type="dxa"/>
            <w:vAlign w:val="bottom"/>
          </w:tcPr>
          <w:p>
            <w:pPr>
              <w:spacing w:after="0"/>
              <w:rPr>
                <w:sz w:val="16"/>
                <w:szCs w:val="16"/>
                <w:color w:val="auto"/>
              </w:rPr>
            </w:pPr>
          </w:p>
        </w:tc>
      </w:tr>
      <w:tr>
        <w:trPr>
          <w:trHeight w:val="237"/>
        </w:trPr>
        <w:tc>
          <w:tcPr>
            <w:tcW w:w="4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Common Stock, $</w:t>
            </w:r>
            <w:r>
              <w:rPr>
                <w:rFonts w:ascii="Arial" w:cs="Arial" w:eastAsia="Arial" w:hAnsi="Arial"/>
                <w:sz w:val="18"/>
                <w:szCs w:val="18"/>
                <w:color w:val="auto"/>
                <w:w w:val="90"/>
              </w:rPr>
              <w:t>0.000041666</w:t>
            </w:r>
            <w:r>
              <w:rPr>
                <w:rFonts w:ascii="Arial" w:cs="Arial" w:eastAsia="Arial" w:hAnsi="Arial"/>
                <w:sz w:val="18"/>
                <w:szCs w:val="18"/>
                <w:b w:val="1"/>
                <w:bCs w:val="1"/>
                <w:color w:val="auto"/>
                <w:w w:val="90"/>
              </w:rPr>
              <w:t xml:space="preserve"> Par Value per Share</w:t>
            </w:r>
          </w:p>
        </w:tc>
        <w:tc>
          <w:tcPr>
            <w:tcW w:w="4620" w:type="dxa"/>
            <w:vAlign w:val="bottom"/>
            <w:gridSpan w:val="3"/>
          </w:tcPr>
          <w:p>
            <w:pPr>
              <w:jc w:val="center"/>
              <w:ind w:left="2430"/>
              <w:spacing w:after="0"/>
              <w:rPr>
                <w:sz w:val="20"/>
                <w:szCs w:val="20"/>
                <w:color w:val="auto"/>
              </w:rPr>
            </w:pPr>
            <w:r>
              <w:rPr>
                <w:rFonts w:ascii="Arial" w:cs="Arial" w:eastAsia="Arial" w:hAnsi="Arial"/>
                <w:sz w:val="18"/>
                <w:szCs w:val="18"/>
                <w:b w:val="1"/>
                <w:bCs w:val="1"/>
                <w:color w:val="auto"/>
                <w:w w:val="92"/>
              </w:rPr>
              <w:t>The Nasdaq Global Market</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accelerated filer or non-accelerated filer (See the definitions of “large accelerated filer,” “accelerated filer” and “smaller reporting company” in Rule 12b-2 of the Exchange Act) (Check one).</w:t>
      </w:r>
    </w:p>
    <w:p>
      <w:pPr>
        <w:sectPr>
          <w:pgSz w:w="11900" w:h="16838" w:orient="portrait"/>
          <w:cols w:equalWidth="0" w:num="1">
            <w:col w:w="11420"/>
          </w:cols>
          <w:pgMar w:left="240" w:top="472" w:right="239" w:bottom="212" w:gutter="0" w:footer="0" w:header="0"/>
        </w:sectPr>
      </w:pP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140" w:space="720"/>
            <w:col w:w="4560"/>
          </w:cols>
          <w:pgMar w:left="240" w:top="472" w:right="239" w:bottom="212"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60"/>
        <w:spacing w:after="0" w:line="257" w:lineRule="auto"/>
        <w:rPr>
          <w:sz w:val="20"/>
          <w:szCs w:val="20"/>
          <w:color w:val="auto"/>
        </w:rPr>
      </w:pPr>
      <w:r>
        <w:rPr>
          <w:rFonts w:ascii="Arial" w:cs="Arial" w:eastAsia="Arial" w:hAnsi="Arial"/>
          <w:sz w:val="18"/>
          <w:szCs w:val="18"/>
          <w:color w:val="auto"/>
        </w:rPr>
        <w:t>The aggregate market value of the registrant’s common stock held by non-affiliates on June 30, 2015, the last business day of the registrant’s most recently completed second fiscal quarter, was approximately $314,385,000. Shares of common stock held by directors and executive officers and any ten percent or greater stockholders and their respective affiliates have been excluded from this calculation, because such stockholders may be deemed to be "affiliates" of the Registrant. This is not necessarily determinative of affiliate status of other purposes. As of February 29, 2016, there were 48,567,720 shares of the registrant’s common stock outstanding.</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472" w:right="239" w:bottom="212"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Portions of registrant’s proxy statement relating to registrant’s 2016 annual meeting of stockholders to be filed with the Securities and Exchange Commission pursuant to Regulation 14A, not later than 120 days after the close of the registrant’s fiscal year,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20" w:type="dxa"/>
            <w:vAlign w:val="bottom"/>
            <w:gridSpan w:val="8"/>
          </w:tcPr>
          <w:p>
            <w:pPr>
              <w:ind w:left="28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auto"/>
                <w:w w:val="90"/>
              </w:rPr>
              <w:t>Item 1.</w:t>
            </w:r>
          </w:p>
        </w:tc>
        <w:tc>
          <w:tcPr>
            <w:tcW w:w="620" w:type="dxa"/>
            <w:vAlign w:val="bottom"/>
            <w:tcBorders>
              <w:top w:val="single" w:sz="8" w:color="CCEEFF"/>
            </w:tcBorders>
            <w:gridSpan w:val="4"/>
          </w:tcPr>
          <w:p>
            <w:pPr>
              <w:spacing w:after="0"/>
              <w:rPr>
                <w:sz w:val="15"/>
                <w:szCs w:val="15"/>
                <w:color w:val="auto"/>
              </w:rPr>
            </w:pPr>
          </w:p>
        </w:tc>
        <w:tc>
          <w:tcPr>
            <w:tcW w:w="9140" w:type="dxa"/>
            <w:vAlign w:val="bottom"/>
            <w:tcBorders>
              <w:top w:val="single" w:sz="8" w:color="CCEEFF"/>
            </w:tcBorders>
            <w:gridSpan w:val="21"/>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120" w:type="dxa"/>
            <w:vAlign w:val="bottom"/>
            <w:tcBorders>
              <w:top w:val="single" w:sz="8" w:color="CCEEFF"/>
            </w:tcBorders>
          </w:tcPr>
          <w:p>
            <w:pPr>
              <w:jc w:val="right"/>
              <w:ind w:right="130"/>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color w:val="auto"/>
              </w:rPr>
              <w:t>Item 1B.</w:t>
            </w:r>
          </w:p>
        </w:tc>
        <w:tc>
          <w:tcPr>
            <w:tcW w:w="9140" w:type="dxa"/>
            <w:vAlign w:val="bottom"/>
            <w:gridSpan w:val="21"/>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Unresolved Staff Comments</w:t>
              </w:r>
            </w:hyperlink>
          </w:p>
        </w:tc>
        <w:tc>
          <w:tcPr>
            <w:tcW w:w="11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color w:val="auto"/>
              </w:rPr>
              <w:t>Item 3.</w:t>
            </w:r>
          </w:p>
        </w:tc>
        <w:tc>
          <w:tcPr>
            <w:tcW w:w="9140" w:type="dxa"/>
            <w:vAlign w:val="bottom"/>
            <w:gridSpan w:val="21"/>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11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PART 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auto"/>
              </w:rPr>
              <w:t>Item 5.</w:t>
            </w:r>
          </w:p>
        </w:tc>
        <w:tc>
          <w:tcPr>
            <w:tcW w:w="560" w:type="dxa"/>
            <w:vAlign w:val="bottom"/>
            <w:tcBorders>
              <w:top w:val="single" w:sz="8" w:color="CCEEFF"/>
            </w:tcBorders>
            <w:gridSpan w:val="3"/>
          </w:tcPr>
          <w:p>
            <w:pPr>
              <w:spacing w:after="0"/>
              <w:rPr>
                <w:sz w:val="15"/>
                <w:szCs w:val="15"/>
                <w:color w:val="auto"/>
              </w:rPr>
            </w:pPr>
          </w:p>
        </w:tc>
        <w:tc>
          <w:tcPr>
            <w:tcW w:w="9140" w:type="dxa"/>
            <w:vAlign w:val="bottom"/>
            <w:tcBorders>
              <w:top w:val="single" w:sz="8" w:color="CCEEFF"/>
            </w:tcBorders>
            <w:gridSpan w:val="21"/>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Market for Common Equity, Related Stockholder Matters and Issuer Purchases of Equity Securities.</w:t>
              </w:r>
            </w:hyperlink>
          </w:p>
        </w:tc>
        <w:tc>
          <w:tcPr>
            <w:tcW w:w="1120" w:type="dxa"/>
            <w:vAlign w:val="bottom"/>
            <w:tcBorders>
              <w:top w:val="single" w:sz="8" w:color="CCEEFF"/>
            </w:tcBorders>
          </w:tcPr>
          <w:p>
            <w:pPr>
              <w:jc w:val="right"/>
              <w:ind w:right="130"/>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Selected Financial Data</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color w:val="auto"/>
              </w:rPr>
              <w:t>Item 7.</w:t>
            </w:r>
          </w:p>
        </w:tc>
        <w:tc>
          <w:tcPr>
            <w:tcW w:w="9140" w:type="dxa"/>
            <w:vAlign w:val="bottom"/>
            <w:gridSpan w:val="21"/>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11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Quantitative and Qualitative Disclosures About Market Risk</w:t>
              </w:r>
            </w:hyperlink>
          </w:p>
        </w:tc>
        <w:tc>
          <w:tcPr>
            <w:tcW w:w="4780" w:type="dxa"/>
            <w:vAlign w:val="bottom"/>
            <w:tcBorders>
              <w:bottom w:val="single" w:sz="8" w:color="CCEEFF"/>
            </w:tcBorders>
            <w:gridSpan w:val="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color w:val="auto"/>
              </w:rPr>
              <w:t>Item 8.</w:t>
            </w:r>
          </w:p>
        </w:tc>
        <w:tc>
          <w:tcPr>
            <w:tcW w:w="9140" w:type="dxa"/>
            <w:vAlign w:val="bottom"/>
            <w:gridSpan w:val="21"/>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11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Changes in and Disagreements With Accountants on Accounting and Financial Disclosure</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2640" w:type="dxa"/>
            <w:vAlign w:val="bottom"/>
            <w:tcBorders>
              <w:top w:val="single" w:sz="8" w:color="CCEEFF"/>
            </w:tcBorders>
            <w:gridSpan w:val="3"/>
          </w:tcPr>
          <w:p>
            <w:pPr>
              <w:spacing w:after="0"/>
              <w:rPr>
                <w:sz w:val="15"/>
                <w:szCs w:val="15"/>
                <w:color w:val="auto"/>
              </w:rPr>
            </w:pPr>
          </w:p>
        </w:tc>
        <w:tc>
          <w:tcPr>
            <w:tcW w:w="1120" w:type="dxa"/>
            <w:vAlign w:val="bottom"/>
            <w:tcBorders>
              <w:top w:val="single" w:sz="8" w:color="CCEEFF"/>
            </w:tcBorders>
          </w:tcPr>
          <w:p>
            <w:pPr>
              <w:jc w:val="right"/>
              <w:ind w:right="130"/>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PART III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auto"/>
                <w:w w:val="95"/>
              </w:rPr>
              <w:t>Item 10.</w:t>
            </w:r>
          </w:p>
        </w:tc>
        <w:tc>
          <w:tcPr>
            <w:tcW w:w="500" w:type="dxa"/>
            <w:vAlign w:val="bottom"/>
            <w:tcBorders>
              <w:top w:val="single" w:sz="8" w:color="CCEEFF"/>
            </w:tcBorders>
            <w:gridSpan w:val="2"/>
          </w:tcPr>
          <w:p>
            <w:pPr>
              <w:spacing w:after="0"/>
              <w:rPr>
                <w:sz w:val="15"/>
                <w:szCs w:val="15"/>
                <w:color w:val="auto"/>
              </w:rPr>
            </w:pPr>
          </w:p>
        </w:tc>
        <w:tc>
          <w:tcPr>
            <w:tcW w:w="9140" w:type="dxa"/>
            <w:vAlign w:val="bottom"/>
            <w:tcBorders>
              <w:top w:val="single" w:sz="8" w:color="CCEEFF"/>
            </w:tcBorders>
            <w:gridSpan w:val="21"/>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1120" w:type="dxa"/>
            <w:vAlign w:val="bottom"/>
            <w:tcBorders>
              <w:top w:val="single" w:sz="8" w:color="CCEEFF"/>
            </w:tcBorders>
          </w:tcPr>
          <w:p>
            <w:pPr>
              <w:jc w:val="right"/>
              <w:ind w:right="130"/>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color w:val="auto"/>
              </w:rPr>
              <w:t>Item 12.</w:t>
            </w:r>
          </w:p>
        </w:tc>
        <w:tc>
          <w:tcPr>
            <w:tcW w:w="9140" w:type="dxa"/>
            <w:vAlign w:val="bottom"/>
            <w:gridSpan w:val="21"/>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 and Management and Related Stockholder Matters</w:t>
              </w:r>
            </w:hyperlink>
          </w:p>
        </w:tc>
        <w:tc>
          <w:tcPr>
            <w:tcW w:w="11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55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Certain Relationships and Related Transactions, and Director Independence.</w:t>
              </w:r>
            </w:hyperlink>
          </w:p>
        </w:tc>
        <w:tc>
          <w:tcPr>
            <w:tcW w:w="364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color w:val="auto"/>
              </w:rPr>
              <w:t>Item 14.</w:t>
            </w:r>
          </w:p>
        </w:tc>
        <w:tc>
          <w:tcPr>
            <w:tcW w:w="9140" w:type="dxa"/>
            <w:vAlign w:val="bottom"/>
            <w:gridSpan w:val="21"/>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Principal Accounting Fees and Services.</w:t>
              </w:r>
            </w:hyperlink>
          </w:p>
        </w:tc>
        <w:tc>
          <w:tcPr>
            <w:tcW w:w="11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PART IV</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Exhibits, Financial Statements Schedules.</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8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Some of the information contained in this Annual Report may include forward-looking statements that reflect our current views with respect to our research and development activities, business strategy, expectations about the trials, regulatory approvals, manufacturing arrangements, business plan, financial performance and other future events. These statements include forward-looking statements both with respect to us, specifically, and the biotechnology sector, in general. Statements that include the words “expect,” “intend,” “plan,” “believe,” “project,” “estimate,” “may,” “should,” “anticipate,” “will” and similar statements of a future or forward-looking nature identify forward-looking statements for purposes of the federal securities laws or otherwise.</w:t>
      </w:r>
    </w:p>
    <w:p>
      <w:pPr>
        <w:spacing w:after="0" w:line="193"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All forward-looking statements involve inherent risks and uncertainties, and there are or will be important factors that could cause actual results to differ materially from those indicated in these statements. We believe that these factors include, but are not limited to, those factors set forth in the sections entitled “Business,” “Risk Factors,” “Legal Proceedings,” “Management’s Discussion and Analysis of Financial Condition and Results of Operations,” and “Controls and Procedures” in this Annual Report, all of which you should review carefully. Please consider our forward-looking statements in light of those risks as you read this Annual Report. We undertake no obligation to publicly update or review any forward-looking statement, whether as a result of new information, future developments or otherwise, except as required by law.</w:t>
      </w:r>
    </w:p>
    <w:p>
      <w:pPr>
        <w:spacing w:after="0" w:line="17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If one or more of these or other risks or uncertainties materializes, or if our underlying assumptions prove to be incorrect, actual results may vary materially from what we anticipate. All subsequent written and oral forward-looking statements attributable to us or individuals acting on our behalf are expressly qualified in their entirety by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a clinical-stage biotechnology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 We are also pursuing the development of TIL for other solid tumor cancer indications. In February 2016, we announced that the US Food and Drug Administration (FDA) allowed our Investigational New Drug (IND) application to conduct clinical studies using our TIL therapy in cervical and head and neck cancers, we plan to initiate clinical trials in at least one of these indications during 2016.</w:t>
      </w:r>
    </w:p>
    <w:p>
      <w:pPr>
        <w:spacing w:after="0" w:line="193"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A patient's immune system, particularly their TIL, plays an important role in identifying and killing cancer cells. TIL consist of a heterogeneous population of T cells that can recognize a wide variety of cancer-specific mutations and can overcome tumor escape mechanisms. TIL therapy involves growing a patient's TIL in special culture conditions outside the patient's body, or ex vivo, and then infusing the T cells back into the patient in combination with interleukin-2 (IL-2). By taking TIL away from the immune-suppressive tumor microenvironment in the patient, the T cells can rapidly proliferate. Billions of TIL, when infused back into the patient, are better able to search out and potentially eradicate the tumor.</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second half of 2015, we opened enrollment in a Phase 2 clinical trial of our lead product candidate, LN-144, for the treatment of refractory metastatic melanoma. This single-arm study is for patients with metastatic melanoma whose disease has progressed following treatment with at least one systemic therapy. The trial opened for enrollment during the second half of 2015 and will be conducted at up to ten sites. The purpose of the study is to evaluate the safety, efficacy and feasibility of our autologous TIL infusion (LN-144). The trial’s primary endpoints include safety and feasibility of LN-144 production using our central manufacturing process. Secondary outcome measures include an additional feasibility measure of number of patients successfully infused with LN-144 and the best overall response rate.</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September 2015, Dr. Steven Rosenberg, M.D., Ph.D., Chief of the Surgery Branch of the National Cancer Institute (NCI) and a recognized pioneer in immuno-oncology and adoptive cell therapy using TIL, presented updated data from a Phase 2 clinical trial of TIL therapy in metastatic melanoma at the American Association for Cancer Research Inaugural International Cancer Immunotherapy Conference. Data was presented from a 101 patient, Phase 2 clinical trial conducted at the NCI. In the trial, patients with advanced metastatic melanoma were equally divided in two groups. Both groups were treated according to standard TIL protocol using chemo-ablation, with the second group also receiving total body irradiation. 54% of the patients treated with TIL therapy achieved an objective response. An objective response occurs when there is a complete remission or a partial remission of the tumor. A complete remission requires a complete disappearance of all detectable evidence of disease, and a partial remission typically requires at least approximately 50% regression of measurable disease without new sites of disease. Out of the 101 patients, 24 (24%) had experienced a complete remission and 23 of the 24 (96%) showed durability of this response at 30 to 47 months following treatment. Median follow-up time was approximately 35 months. Overall survival (OS) was approximately 80% at 12 months, and median OS had not yet been achieved. Median progression-free survival was approximately 10 months, and 35% of patients were without disease progression at 4 years.</w:t>
      </w:r>
    </w:p>
    <w:p>
      <w:pPr>
        <w:spacing w:after="0" w:line="18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further support of our internal research and clinical development activities, we have a Cooperative Research and Development Agreement (CRADA) with the U.S. Department of Health and Human Services, as represented by the NCI, through which we are funding the research and development of TIL-based product candidates for the treatment of advanced solid tumors. Pursuant to the CRADA, we fund TIL research and clinical trials that are being conducted by Dr. Steven Rosenberg. This five-year CRADA expires in August 2016 unless the parties agree to extend it. We anticipate that we will begin discussions to renew the agreement with the NCI during the first half of 2016.</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have a worldwide, exclusive patent license from the National Institutes of Health (NIH) for intellectual property to develop, manufacture and commercialize TIL therapy for the treatment of melanoma, which was amended in 2015 to include the exclusive license of this intellectual property for the treatment of lung cancer, HPV-associated cancers, breast cancer, and bladder cancer. We also have an exclusive license from the NIH for intellectual property relating to a TIL-based therapy for use in melanoma in which TIL that express various inhibitory receptors such as 4-1BB (also known as CD137), PD-1, TIM-3 and LAG-3 are selected and expanded for infusion into the patient. TIL that express these proteins are associated with higher tumor reactivity than other TIL populations, so fewer cells may be needed to be therapeutically effective.</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 w:name="page6"/>
    <w:bookmarkEnd w:id="5"/>
    <w:p>
      <w:pPr>
        <w:jc w:val="both"/>
        <w:ind w:right="160" w:firstLine="648"/>
        <w:spacing w:after="0" w:line="264" w:lineRule="auto"/>
        <w:rPr>
          <w:sz w:val="20"/>
          <w:szCs w:val="20"/>
          <w:color w:val="auto"/>
        </w:rPr>
      </w:pPr>
      <w:r>
        <w:rPr>
          <w:rFonts w:ascii="Arial" w:cs="Arial" w:eastAsia="Arial" w:hAnsi="Arial"/>
          <w:sz w:val="18"/>
          <w:szCs w:val="18"/>
          <w:color w:val="auto"/>
        </w:rPr>
        <w:t>During 2015, we received orphan drug designation for LN-144 in the United States to treat metastatic melanoma. This designation provides seven years of market exclusivity in the United States, subject to certain limited exceptions. However, the orphan drug designation does not convey any advantage in or shorten the duration of the regulatory review or approval process.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pursuing refractory metastatic melanoma as our first target indication because of the promising initial NCI results and the commercial opportunity inherent in the significant unmet need of this patient population. Melanoma is a common type of skin cancer, accounting for approximately 74,000 patients diagnosed and 9,900 deaths each year in the United States according to the American Cancer Society’s Cancer Estimated 2015 Facts and Figures. According to the NCI’s Surveillance, Epidemiology and End Results (SEER) program, about 4-7% of patients with melanoma have metastatic disease. Patients with relapsed/refractory metastatic melanoma following treatment under the current standards of care have a particularly dire prognosis with very few curative treatment options.</w:t>
      </w:r>
    </w:p>
    <w:p>
      <w:pPr>
        <w:spacing w:after="0" w:line="19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addition to the research and development being conducted under the CRADA, in 2014 we established our own internal research and development capabilities in Tampa, Florida, near the H. Lee Moffitt Cancer &amp; Research Institute (Moffitt) on the campus of the University of South Florida, to explore the next-generation of TIL technology and new product candidates, as well as generate new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filed our original Articles of Incorporation with the Secretary of State of Nevada on September 17, 2007. Until March 2010, we were an inactive company known as Freight Management Corp. On March 15, 2010, we changed our name to Genesis Biopharma, Inc., and in 2011 we commenced our current business. In May 2013 we completed a restructuring of our outstanding debt and equity securities (the “Restructuring”) and raised $1.25 million through the sale of our common stock. As part of the Restructuring, we converted $7.2 million of senior secured promissory notes, $1.7 million of bridge promissory notes, and $0.3 million in other outstanding debt into shares of common stock at a conversion price of $1.00 per share. In connection with, and shortly after the Restructuring, we replaced our Chief Executive Officer and most of our directors. On July 24, 2013, we acquired Lion Biotechnologies, Inc., a Delaware corporation. On September 26, 2013, we amended and restated our Articles of Incorporation to, among other things, change our name to Lion Biotechnologies, Inc., effect a 1-for-100 reverse stock split (pro-rata reduction of outstanding shares) of our common stock, increase (after the reverse stock split) the number of our authorized number of shares of common stock to 150,000,000 shares, and authorize the issuance of 50,000,000 shares of “blank check” preferred stock, $0.001 par value per share.</w:t>
      </w:r>
    </w:p>
    <w:p>
      <w:pPr>
        <w:spacing w:after="0" w:line="182"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Our principal executive offices are located at 112 West 34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18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10120, and our telephone number at that address is (212) 946-4856. Our website is located at www.lionbio.com. Information on our website is not, and should not be considered, part of this Annual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 December 21, 2015 we announced a collaboration to conduct clinical and preclinical research in immuno-oncology with MedImmune. Lion will fund and conduct two Phase 2 clinical trials combining MedImmune’s investigational PD-L1 inhibitor durvalumab with TIL for the treatment of patients with metastatic melanoma and head and neck cancer.</w:t>
      </w:r>
    </w:p>
    <w:p>
      <w:pPr>
        <w:spacing w:after="0" w:line="181"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On December 31, 2015, we filed an IND application with the FDA seeking authorization to initiate a company-sponsored, multicenter Phase 2 study of LN-145 for the treatment of cervical cancer and head and neck squamous cell carcinoma (HNSCC).</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February 1, 2016 we announced the allowance of our IND by the FDA to begin clinical trials in cervical cancer, and head and neck squamous cell carcinoma (HNSCC).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4, 2016 we announced the hiring of Dr. Steven Fischkoff as our Chief Medical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Our goal is to be a leader in the development and commercialization of cell-based immunotherapies to treat solid tumors. We are developing a portfolio of TIL-based product candidates with the potential to meaningfully improve survival and quality of life for cancer patients. Key elements of our strategy include: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b w:val="1"/>
          <w:bCs w:val="1"/>
          <w:i w:val="1"/>
          <w:iCs w:val="1"/>
          <w:color w:val="auto"/>
        </w:rPr>
        <w:t>Expedite clinical development, regulatory approval, and commercialization of our lead product candidate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on results from NCI-sponsored clinical trials, we plan to advance our lead product candidate, LN-144, for the treatment of patients with refractory metastatic melanoma. We filed an IND with the FDA in December 2014 to initiate a company-sponsored Phase 2 single-arm, multicenter clinical trial of LN-144 in patients with refractory metastatic melanoma. We began enrollment of this study in the second half of 2015.</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data from this company-sponsored Phase 2 trial are consistent with previous results from the NCI, we will initiate a multicenter, registration trial. Assuming the results from the registration trial are positive, we will discuss with the FDA the filing of a Biologic License Application (BLA) for approval of LN-144 as a treatment for patients with refractory metastatic melanoma. The FDA may grant accelerated approval for product candidates for serious conditions that fill an unmet medical need based on a surrogate or intermediate clinical endpoint, including an objective response rate, because such response rate is considered reasonably likely to predict a real clinical benefit of longer life. We believe our accelerated approval strategy may be warranted given the limited options for patients with refractory metastatic melanoma. However, even if the FDA grants accelerated approval, confirmatory trials may still be required by the FDA.</w:t>
      </w:r>
    </w:p>
    <w:p>
      <w:pPr>
        <w:spacing w:after="0" w:line="18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Continue collaboration with our partners, and increase our internal research and development activities, to improve and develop adoptive cell therapy technologies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Since September 2014, we have hired 12 positions within our research and development group in addition to opening our R&amp;D facility in Tampa, Florida. We anticipate further hiring in 2016 in support of expanding our research activities. In addition, our Cooperative Research and Development Agreement (“CRADA”) with the NCI offers us the opportunity to identify technologies for development based on human proof-of-concept data, which significantly reduces the risk in our product portfolio. In collaboration with the NCI, we are exploring the treatment of additional solid tumor indications, including cervical, head and neck, lung, bladder, and breast cancers. In early 2016, we received the allowance of our IND in head and neck cancer and cervical cancer. The INDs are based on human proof-of-concept results generated by the NCI under the CRADA. Our CRADA with the NCI expires in 2016 but may be extended for an additional five years. We intend to work with the NCI to further identify future product candidates, including products based on additional novel immunotherapy technology. Our goal is to exclusively license and develop, and obtain regulatory marketing approval for TIL-based technologies to treat a variety of solid cancers based on data from NCI-sponsored clinical trials that we are funding under the CRADA.</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Establish commercialization capabilities of current and future pipeline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continue to invest in improving the process and efficiency of manufacturing our product candidates. We plan to use contract manufacturing organizations (CMOs) to supply our TIL-based products for our clinical trials in the near term. CMOs limit the amount of upfront capital investment; however, we may establish our own manufacturing facilities in the future for better margins and rapid implementation of innovative changes. We intend to carefully manage our cost structure, and reduce the long-term cost of manufacturing our products, although there can be no assurance that we will be able to reduce our manufacturing costs to commercially attractive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system</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immune system recognizes danger signals and responds to threats at a cellular level. The most significant components of the cellular aspect of the adaptive immune response are T cells (or T lymphocytes), so called because they generally mature in the thymus. T cells can be distinguished from other white blood cells by T cell receptors present on their cell surface. These receptors contribute to tumor surveillance by helping T cells recognize infected cells as well as cancerous cells. T cells are involved in both sensing and killing infected or cancerous cells, as well as coordinating the activation of other cells in an immune response.</w:t>
      </w:r>
    </w:p>
    <w:p>
      <w:pPr>
        <w:spacing w:after="0" w:line="188"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Although the immune system is designed to identify foreign or abnormal proteins expressed on tumor cells, this process is often defective, or not operating optimally, in cancer patients. The defective process sometimes occurs when the cancer cells closely resemble healthy cells and go unnoticed or if tumors lose their protein expression. Additionally, cancer cells employ a number of mechanisms to escape immune detection to suppress the effect of the immune response. Some tumors also encourage the production of regulatory T cells that prevent cytotoxic T cells from attacking the cancer.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Cancer immunotherapy</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Despite the progress that has been made over the past several decades, effective treatment of cancer, especially solid tumors, continues to be challenging. Some reasons solid tumors are so difficult to treat are: (i) in many solid tumors, multiple genes (as many as hundreds of genes) are mutated, and solid tumors are heterogeneous, (ii) it is not always clear which particular mutations are critical, and (iii) tumors can adapt and find a way to evade treatments that target a single mutation. In addition, the tumor can suppress the patient’s natural immune response. When T cells with cancer-specific receptors are absent, present in low numbers, of poor quality or rendered inactive by suppressive mechanisms employed by tumor tissue, the cancer can grow and spread to various organs. In addition, standard of care treatments for cancer can be deleterious to T cells' ability to kill cancer.</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believe that adoptive cell therapy, with the use of human cells as therapeutic entities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 We believe TIL therapy in particular has the potential to treat solid tumors by increasing the effectiveness and number of a patient's cancer-specific T cells.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Tumor-infiltrating lymphocytes</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Adoptive cell therapy with TIL involves (1) harvesting T cells from a patient's tumor, (2) culturing and expanding the number of TIL, and (3) infusing the functional TIL back into the patient followed by treatment with IL-2. TIL are a heterogeneous population of T cells that can recognize and kill cancer cells. Currently, the TIL manufacturing process that we are developing takes approximately five to six weeks from receipt of the patient's tumor to infusion of the TIL back into the patient. We intend to treat patients with a single infusion of TIL after they receive a short chemotherapy lymphodepletion regimen, which is intended to improve the survival and proliferative capacity of the newly infused T cells. After infusion, the TIL can proliferate inside a patient and potentially infiltrate the tumor microenvironment to eliminate large numbers of cancer cells. TIL can overcome several mechanisms of tumor escape to which endogenous T cells may be susceptible.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129540</wp:posOffset>
            </wp:positionV>
            <wp:extent cx="3413125" cy="2409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1312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 with TIL in metastatic melanoma</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To date, hundreds of metastatic melanoma patients have already been treated with TIL therapy at different hospitals in the US, Europe, Canada, and Israel. Clinical responses have been relatively consistent: approximately half of the melanoma patients treated with TIL have an objective response (i.e. tumor regression of 50% or more), and approximately 10-24 percent of patients have a complete response with no evidence of disease remaining after only one administration). Many patients respond to TIL therapy despite experiencing tumor progression after previously being treated with other therapies.</w:t>
      </w:r>
    </w:p>
    <w:p>
      <w:pPr>
        <w:spacing w:after="0" w:line="15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September 2015, Dr. Steven Rosenberg, presented updated data from a Phase 2 clinical trial of Til therapy in metastatic melanoma at the American Association for Cancer Research Inaugural International Cancer Immunotherapy Conference. Data was presented from a 101-patient, Phase 2 clinical trial conducted at the NCI. In this trial, patients with advanced metastatic melanoma were equally divided in two groups. Both groups were treated according to standard TIL protocol using chemo-ablation, with the second group also receiving total body irradiation. 54% of the patients treated with TIL therapy achieved an objective response. An objective response occurs when there is a complete remission or a partial remission of the tumor. A complete remission requires a complete disappearance of all detectable evidence of disease, and a partial remission typically requires at least approximately 50% regression of measurable disease without new sites of disease. Out of the 101 patients, 24 (24%) had experienced a complete remission and 23 of the 24 patients (96%) showed durability of this response at 30 to 47 months following treatment. Median follow-up time was approximately 35 months. Overall survival (OS) was approximately 80% at 12 months, and median OS had not yet been achieved. Median progression-free survival was approximately 10 months, and 35% of patients were without disease progression at 4 years. The chart below shows the overall response rate at 54 months as of October 1, 2015 including the results of those patients receiving total body irradiation (TBI) and those that didn’t.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jc w:val="center"/>
        <w:ind w:left="320"/>
        <w:spacing w:after="0"/>
        <w:rPr>
          <w:sz w:val="20"/>
          <w:szCs w:val="20"/>
          <w:color w:val="auto"/>
        </w:rPr>
      </w:pPr>
      <w:r>
        <w:rPr>
          <w:rFonts w:ascii="Arial" w:cs="Arial" w:eastAsia="Arial" w:hAnsi="Arial"/>
          <w:sz w:val="18"/>
          <w:szCs w:val="18"/>
          <w:b w:val="1"/>
          <w:bCs w:val="1"/>
          <w:color w:val="auto"/>
        </w:rPr>
        <w:t>Survival of Patients with Metastatic Melanoma Treated with Autologous</w:t>
      </w:r>
    </w:p>
    <w:p>
      <w:pPr>
        <w:spacing w:after="0" w:line="2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Tumor Infiltrating Lymphocytes and IL-2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142875</wp:posOffset>
            </wp:positionV>
            <wp:extent cx="4416425" cy="2984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16425"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Source: Steven A. Rosenberg, Society of Immunotherapy of Cancer, 2015</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a publication in Clinical Cancer Research in July 2011, data was presented from 93 patients with metastatic melanoma who were treated at the NCI with TIL therapy (after a lymphodepletion regimen of either chemotherapy alone or with two different doses of radiation) followed by IL-2. Of these patients, 20 out of 93 (22%) achieved a complete tumor regression, and 32 (34%) patients achieved a partial remission for a total overall response rate of 56%, 19 of the 20 complete response patients were reported to have ongoing complete responses beyond three years. The 5-year survival rate of 29% for all 93 patients was similar regardless of prior treatment, with the possible exception of the 5-year survival rate of 44% for the 11 patients who progressed after receiving prior anti-CTLA4 treatment.</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pipeline</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are developing a portfolio of TIL-based products for the treatment of solid tumors. Our lead pipeline candidate, LN-144, is an adoptive cell therapy using TIL to treat patients with refractory metastatic melanoma. In addition to LN-144, we intend to develop additional TIL-based pipeline products to treat a variety solid tumors, as well as next-generation TIL therapies that are more potent and less costly to manufacture. Under our CRADA, we are providing research and development funding to the NCI for the development of TIL therapies for a variety of solid tumor indications, including cervical, head and neck, bladder, breast, and lung cancers. Depending on the data developed from these efforts, we expect to expand our product development efforts to develop TIL products for one or more of these other indications. In addition, at our research and development facility in Tampa, Florida, we are developing and evaluating a variety of technologies that can potentially improve the growth and potency of TIL.</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LN-144</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developing LN-144 to treat metastatic melanoma. Melanoma is a common type of skin cancer, accounting for approximately 76,800 patients diagnosed and 10,130 deaths each year in the United States according to the American Cancer Society, Cancer Facts and Figures estimates for 2015. Patients with relapsed/refractory metastatic melanoma following treatment under the current standards of care have a particularly dire prognosis with very few curative treatment options.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National Comprehensive Cancer Network (NCCN) has recently updated its recommendations for the treatment of patients with unresectable or metastatic melanoma. Initial therapy can include checkpoint inhibitors either alone or in combination (ipilimumab, nivolumab, pembrolimumab), targeted therapies for patients with BRAF mutations (dabrafenib/trametinib, vemurafenib/cobimetinib combinations or single agents) or a clinical trial. For patients not responding or progressing and having an adequate clinical status, agents selected from the previous list but of a different therapeutic class can be used as well as high dose IL-2 or a clinical trial. Patients who do not respond to the current second-line therapies have very few treatment options and typically have a very poor prognosis.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b w:val="1"/>
          <w:bCs w:val="1"/>
          <w:u w:val="single" w:color="auto"/>
          <w:color w:val="auto"/>
        </w:rPr>
        <w:t>LN-145</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are developing LN-145 to treat cervical and head and neck cancers. In December 2015, we filed an IND application with the FDA to conduct clinical trials of LN-145 in these cancers, and in February, 2016 we announced that the IND was allowed thereby permitting us to begin clinical trials in these indications with our product. According to the American Cancer Society’s Cancer Facts and Figures estimates for 2015, it is estimated that approximately 12,900 women are diagnosed in the United States every year with cervical cancer. If cervical cancer has spread to surrounding tissues or organs and/or the regional lymph nodes, the five-year survival rate is 57%. If the cancer has spread to a distant part of the body, the five-year survival rate is 16%. Head and neck cancer accounts for about 3% of all cancers in the United States. This year, an estimated 59,300 people (43,400 men and 15,900 women) will develop head and neck cancer. It is estimated that 12,300 deaths (8,900 men and 3,400 women) will occur in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Overall, toxicities or adverse events during TIL therapy have almost entirely been associated with the either the lymphodepletion regimen or the high-dose IL-2 therapy given after TIL infusion. Few adverse events have been documented following the TIL infusion itself, with Grade 3 or higher events rarely found. Severe and life threatening toxicities due to TIL therapy occur mostly in the first week after cell infusion but generally resolve within a few weeks. To date, some patients have experienced vitiligo and uveitis, but there has been no other evidence of off-target effects associated with TIL therapy.</w:t>
      </w:r>
    </w:p>
    <w:p>
      <w:pPr>
        <w:spacing w:after="0" w:line="15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Early toxicities related specifically to the infusion of TIL (those which are seen immediately following the cell infusion and prior to IL-2 administration) are generally mild and include fevers, chills, headache, and malaise. Toxicities which occur following administration of IL-2 but are thought to be related to the cells include immune mediated events such as vitiligo, transient uveitis, hearing loss, and vestibular dysfunction. The use of the non-myeloablative lymphodepletion regimen prior to cell administration increases the toxicity of this treatment as profound myelosuppression occurs in all patients.</w:t>
      </w:r>
    </w:p>
    <w:p>
      <w:pPr>
        <w:spacing w:after="0" w:line="18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standard approach to the administration of high-dose IL-2 in all studies is to continue dosing until patients can no longer tolerate treatment. The most commonly seen grade 4 events are pulmonary and renal impairment, and mental status changes. These toxicities may sometimes require intubation for protection of the patient’s airway. Although these patients require significant supportive measures during this period, all toxicities are reversible and the overwhelming majority of patients have suffered no long term sequelae following this treatment regimen. However, fatal complications are possible and it is therefore only appropriate to carry out this experimental treatment in the context of life threatening metastatic cancer.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strategy</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February 2015, the FDA allowed an IND to initiate our company-sponsored Phase 2, open-label, single-arm multicenter clinical trial to treat 20 patients with LN-144 for refractory metastatic melanoma. Patients with refractory disease are those who have not responded to other, non-TIL treatments. The trial’s primary endpoints include safety, and feasibility of LN-144 production using our central manufacturing process. Secondary outcome measures include an additional feasibility measure of number of patients successfully infused with LN-144 and the best overall response rate. If results are consistent with prior results at the NCI, we intend to initiate a larger trial for regulatory approval. The design of this larger trial has yet to be confirmed and will depend on discussions with the FDA and additional clinical data. At the end of 2015, we announced a collaboration to conduct clinical and preclinical research in immuno-oncology with MedImmune. Lion will fund and conduct two Phase 2a clinical trials combining MedImmune’s investigational PD-L1 inhibitor durvalumab with LN-144 for the treatment of patients with metastatic melanoma, and LN-145 for head and neck cancer. These trials are expected to begin in 2016.</w:t>
      </w:r>
    </w:p>
    <w:p>
      <w:pPr>
        <w:spacing w:after="0" w:line="19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Additionally, at the end of 2015, we filed an Investigational New Drug (IND) application with the FDA to conduct clinical trials of LN-145 in the treatment of cervical cancer, and head and neck squamous cell carcinoma (HNSCC). In early 2016, the FDA allowed our IND application and we anticipate that we will begin enrolling a trial for at least one of these indications during 2016.</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to our company-sponsored and NCI-sponsored clinical trials, Moffitt is conducting a trial to evaluate TIL therapy in combination with ipilimumab or nivolumab in patients with metastatic melanoma.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TIL-based Product Candidates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Under our CRADA with the NCI, we are providing research and development and clinical funding for the development of TIL therapy for a variety of solid tumor indications, including cervical, head and neck, bladder, breast, and lung cancers. Some of the work being conducted by the NCI includes a clinical trial involving TIL therapy to treat advanced human papilloma virus (HPV)-positive cervical cancer. Data from this trial was published in the Journal of Clinical Oncology in April 2015. Out of 9 cervical cancer patients treated with HPV-TIL, two experienced complete remissions reported as ongoing at 22 and 15 months, respectively. Another patient experienced a three-month partial remission. Additionally, the NCI has an ongoing trial to treat patients using TIL within lung cancer; only a couple patients have been treated so far. Depending on results from the research and development and clinical trials conducted at the NCI, we will pursue the development and regulatory approval of TIL therapy for additional indications.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Selected TIL</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NCI also has a clinical trial ongoing to evaluate TIL selected for CD137 (also known as 4-1BB) expression to treat patients with metastatic melanoma. The NCI is working on a process to select TIL that express PD-1. This next-generation TIL technology supports more potent and efficient TIL production by selecting for TIL that express various inhibitory receptors, including 4-1BB, PD-1, TIM-3 and/or LAG-3. TIL that express these proteins are associated with higher tumor reactivity, so potentially fewer of the enriched cells are needed to be therapeutically effective. The technology has the potential to reduce the time and cost of manufacturing.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development/manufacturing</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Our manufacturing and processing of TIL-based product candidates is based on the NCI’s original manufacturing and processing of TIL, which we have modified so that it can be reproduced in a Good Manufacturing Process (cGMP) environment. We believe we have streamlined and improved the NCI’s original process to be able to produce TIL in a cGMP facility.</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Because it is critical to rapidly treat patients with highly aggressive cancers, we are implementing in our company-sponsored Phase 2 clinical trial, a manufacturing process for LN-144 that takes approximately five to six weeks from receipt of the patient’s tumor to infusion of the TIL back to the patient. The processing of LN-144 begins with the collection of the patient’s tumor, which is then sent to a central processing facility, where the T cells are isolated. These cells are stimulated to proliferate, then propagated in cell culture flasks until sufficient cells are available for infusion back into the patient. The TIL is then washed at the cell processing site and shipped back to the clinical center where they can be administered to the patient. In preparation for administration of the TIL, the patient undergoes a short chemotherapy lymphodepletion regimen, which is intended to improve the survival and proliferative capacity of the newly infused T cells. The following diagram illustrates our proposed TIL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121920</wp:posOffset>
            </wp:positionV>
            <wp:extent cx="3430270" cy="1929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3027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entered into Manufacturing Services Agreements with Lonza Walkersville, Inc. (Lonza) and WuXi Apptech (WuXi) pursuant to which they have agreed to manufacture, package, ship and handle quality assurance and quality control of certain clinical trials for our TIL products. The production line for LN-144 is established at Lonza and is providing product for our Phase 2 trial in metastatic melanoma. We expect that the TIL production line at WuXi to be available to produce TIL product by the end of 2016. Cell processing activities will be conducted at both companies under current good manufacturing processes, or cGMP, using qualified equipment and materials. We believe all materials and components utilized in the production of the final TIL product are readily available from qualified suppliers. We expect to rely on Lonza and Wuxi to meet anticipated clinical trial demands. In the future, we may rely on them or other third parties, or develop our own manufacturing capabilities for the manufacturing and processing of TIL-based product candidates for our clinical trials. To meet projected needs for commercial sale quantities, we may develop our own commercial manufacturing facility to supply and process products. Developing our own manufacturing capabilities may require more costs than we anticipate or result in significant delays. If we are unable to develop our own manufacturing capabilities, we will rely on contract manufacturers, including both current and alternate suppliers, to ensure sufficient capacity is available for commercial purposes.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currently have no sales, marketing or commercial product distribution capabilities and have limited experience as a company in marketing products. As we progress our clinical trials for our leading product candidates, we intend to further assess the costs and benefits associated with building our own sales and commercialization capabilities.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the U.S., there are approximately 76,800 patients diagnosed with melanoma each year. About 4-7% of patients with melanoma have metastatic disease. If LN-144 is approved, we expect to commercialize the product in the U.S. with a focused specialty sales force targeting the top 50 hospitals and clinics that have experience in treating patients with IL-2. We believe we can address physicians who treat metastatic melanoma with a direct specialty sales force.</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Additionally, we are developing LN-145 to treat cervical and head and neck cancers. It is estimated that approximately 13,000 women are diagnosed in the U.S. every year with cervical cancer. If cervical cancer has spread to surrounding tissues or organs and/or the regional lymph nodes, the five-year survival rate is 57%. If the cancer has spread to a distant part of the body, the five-year survival rate is 16%. Head and neck cancer accounts for about 3% of all cancers in the U.S. This year, an estimated 59,000 people (43,000 men and 16,000 women) will develop head and neck cancer in this country. It is estimated that 12,000 deaths (9,000 men and 3,000 women) will occur in 2016 from this disease.</w:t>
      </w:r>
    </w:p>
    <w:p>
      <w:pPr>
        <w:spacing w:after="0" w:line="17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Outside the US, we have not yet defined our regulatory and commercial strategy for our TIL products. Our commercial strategy for markets outside the US may include the use of strategic partners, distributors, a contract sales force or the establishment of our own commercial infrastructure. We plan to further evaluate these alternatives as we approach approval for one of our product candidates.</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As additional product candidates advance through our pipeline, our commercial plans may change. Clinical data, size of the development programs, size of the target market, size of a commercial infrastructure, intellectual property protection and manufacturing needs may all influence our U.S., Europe and rest-of-world strategies.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Intellectual property is of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or licensed from third parties. We plan also to rely on regulatory protection afforded through orphan drug designations, data exclusivity, market exclusivity and patent term extensions where available. To achieve this objective, a strategic focus for us has been to identify and license key patents that provide protection and serve as an optimal platform to enhance our intellectual property and technology base.</w:t>
      </w:r>
    </w:p>
    <w:p>
      <w:pPr>
        <w:spacing w:after="0" w:line="15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conducted an extensive freedom-to-operate (FTO) analysis of the current patent landscape with respect to our lead product candidate, and based on the analysis, we believe that we have the FTO for TIL therapy. However, the area of patent and other intellectual property rights in biotechnology is an evolving one with many risks and uncertainties.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license agreements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Currently, our research and development is conducted with the NIH under the CRADA and at our own internal research and development laboratory in Tampa, Florida, near the H. Lee Moffitt Cancer &amp; Research Institute (Moffitt) on the campus of the University of South Florida. See Part II—Item 7 —“Management’s Discussion and Analysis of Financial Condition and Results of Operations” of this report for additional detail regarding our research and development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 and the National Cancer Institute Cooperative Research and Development Agreement</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Effective August 5, 2011, we signed a Cooperative Research and Development Agreement (CRADA) with the National Institutes of Health and the National Cancer Institute (NCI). Under the terms of the five-year cooperative research and development agreement, we have been working with Dr. Steven A. Rosenberg, to develop adoptive cell immunotherapies that are designed to destroy metastatic melanoma cells using a patient’s tumor infiltrating lymphocytes.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January 22, 2015, we entered into an amendment to the CRADA to include four new indications. As amended, in addition to metastatic melanoma, the CRADA now also includes the development of TIL therapy for the treatment of patients with bladder, lung, triple-negative breast, and HPV-associated cancers. Under the amendment, the NCI also has agreed to provide us with samples of all tumors covered by the amendment for performing studies related to improving TIL selection and/or TIL scale-up production and process development.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ind w:firstLine="648"/>
        <w:spacing w:after="0" w:line="286" w:lineRule="auto"/>
        <w:rPr>
          <w:sz w:val="20"/>
          <w:szCs w:val="20"/>
          <w:color w:val="auto"/>
        </w:rPr>
      </w:pPr>
      <w:r>
        <w:rPr>
          <w:rFonts w:ascii="Arial" w:cs="Arial" w:eastAsia="Arial" w:hAnsi="Arial"/>
          <w:sz w:val="16"/>
          <w:szCs w:val="16"/>
          <w:color w:val="auto"/>
        </w:rPr>
        <w:t>Each party to the CRADA individually owns all inventions, data and materials produced solely by its employees in the course of performing the activities under the CRADA. The parties jointly own any inventions and materials that are produced by employees of both parties in the course of performing activities under the CRADA. Subject to certain conditions, this collaboration provides us with the first option to negotiate commercialization licenses from the NIH to intellectual property relating to TIL-based product candidates conceived or first reduced to practice in performance of the CRADA research plan. This includes the right to negotiate a license to intellectual property related to TIL-based product candidates that are being tested in multiple clinical trials that we are funding under the CRADA. We may exercise this right by providing written notice after either (1) we receive notice that a patent application covering an invention has been filed, or (2) the date on which we file a patent application for an invention. We then have ten months to negotiate the license with the NIH. These time periods may be extended by the U.S. Public Health Service upon good cause. Pursuant to the terms of the CRADA, we are currently required to make quarterly payments of $500,000 to the NCI for support of research activities. To the extent we license patent rights relating to a TIL-based product candidate, we will be responsible for all patent-related expenses and fees, past and future, relating to the TIL-based product candidate. In addition, we will be required to supply certain test articles, including TIL, grown and processed under cGMP conditions, suitable for use in clinical trials, where we hold the IND for such clinical trial. The CRADA has a five-year term expiring on August 5, 2016. Although there can be no assurance, we anticipate that we will renew the agreement on similar terms. The CRADA may be terminated at any time by mutual written consent. We or NCI may unilaterally terminate the CRADA for any reason or for no reason at any time by providing written notice at least 60 days before the desired termination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Manufacture TIL</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October 5, 2011, we entered into a Patent License Agreement with the National Institutes of Health, an agency of the United States Public Health Service within the Department of Health and Human Services (“NIH”), which License Agreement was subsequently amended on February 9, 2015 and October 2, 2015. Pursuant to the License Agreement as amended, NIH granted to us an exclusive worldwide right and license to develop and manufacture certain proprietary autologous tumor infiltrating lymphocyte adoptive cell therapy products for the treatment of metastatic melanoma, bladder, lung, breast and HPV-associated cancers, including cervical and head and neck. The License Agreement requires us to pay royalties based on a percentage of net sales (which percentage is in the mid-single digits and subject to certain annual minimum royalty payments), a percentage of revenues from sublicensing arrangements, and lump sum benchmark royalty payments on the achievement of certain clinical and regulatory milestones for each of the various indications and other direct costs incurred by NIH pursuant to the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Patent License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10, 2015, we entered into an exclusive Patent License Agreement with the NIH under which we received an exclusive, world-wide license to the NIH’s rights in and to two patent-pending technologies related to methods for improving tumor-infiltrating lymphocytes for adoptive cell therapy. The licensed technologies relate to the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consideration for the exclusive rights granted under the exclusive Patent License Agreement, we agreed to pay the NIH a non-refundable upfront licensing fee which was recognized as research and development expense during the year ended December 31, 2015. We also agreed to pay customary royalties based on a percentage of net sales (which percentage is in the mid-single digits), a percentage of revenues from sublicensing arrangements, and lump sum benchmark payments upon the successful completion of our first Phase 2 clinical study, the successful completion of our first Phase 3 clinical study,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list of process and method patents and patent applications that we have licensed from the NIH under the NIH License Agreement: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License:</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0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Pat./Pub. No.</w:t>
            </w:r>
          </w:p>
        </w:tc>
        <w:tc>
          <w:tcPr>
            <w:tcW w:w="61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Title</w:t>
            </w:r>
          </w:p>
        </w:tc>
        <w:tc>
          <w:tcPr>
            <w:tcW w:w="16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Country</w:t>
            </w:r>
          </w:p>
        </w:tc>
        <w:tc>
          <w:tcPr>
            <w:tcW w:w="15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Status</w:t>
            </w:r>
          </w:p>
        </w:tc>
      </w:tr>
      <w:tr>
        <w:trPr>
          <w:trHeight w:val="210"/>
        </w:trPr>
        <w:tc>
          <w:tcPr>
            <w:tcW w:w="20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20120244133</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Methods of growing TILs in gas-permeable containers</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w:t>
            </w: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Pending</w:t>
            </w:r>
          </w:p>
        </w:tc>
      </w:tr>
      <w:tr>
        <w:trPr>
          <w:trHeight w:val="210"/>
        </w:trPr>
        <w:tc>
          <w:tcPr>
            <w:tcW w:w="20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9074185</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Adoptive cell therapy with young T cells</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w:t>
            </w: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Issued</w:t>
            </w:r>
          </w:p>
        </w:tc>
      </w:tr>
      <w:tr>
        <w:trPr>
          <w:trHeight w:val="210"/>
        </w:trPr>
        <w:tc>
          <w:tcPr>
            <w:tcW w:w="20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14/771615</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5"/>
              </w:rPr>
              <w:t>Methods of producing enriched populations of tumor-reactive t cells from tumor</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w:t>
            </w: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Pending</w:t>
            </w:r>
          </w:p>
        </w:tc>
      </w:tr>
      <w:tr>
        <w:trPr>
          <w:trHeight w:val="210"/>
        </w:trPr>
        <w:tc>
          <w:tcPr>
            <w:tcW w:w="20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8383099</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Adoptive cell therapy with young T cells</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w:t>
            </w: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Issued</w:t>
            </w:r>
          </w:p>
        </w:tc>
      </w:tr>
      <w:tr>
        <w:trPr>
          <w:trHeight w:val="210"/>
        </w:trPr>
        <w:tc>
          <w:tcPr>
            <w:tcW w:w="20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20140030806</w:t>
            </w:r>
          </w:p>
        </w:tc>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Adoptive cell therapy with young T cells</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w:t>
            </w: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Pending</w:t>
            </w:r>
          </w:p>
        </w:tc>
      </w:tr>
      <w:tr>
        <w:trPr>
          <w:trHeight w:val="642"/>
        </w:trPr>
        <w:tc>
          <w:tcPr>
            <w:tcW w:w="20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ind w:left="3600"/>
              <w:spacing w:after="0"/>
              <w:rPr>
                <w:sz w:val="20"/>
                <w:szCs w:val="20"/>
                <w:color w:val="auto"/>
              </w:rPr>
            </w:pPr>
            <w:r>
              <w:rPr>
                <w:rFonts w:ascii="Arial" w:cs="Arial" w:eastAsia="Arial" w:hAnsi="Arial"/>
                <w:sz w:val="18"/>
                <w:szCs w:val="18"/>
                <w:color w:val="auto"/>
              </w:rPr>
              <w:t>9</w:t>
            </w:r>
          </w:p>
        </w:tc>
        <w:tc>
          <w:tcPr>
            <w:tcW w:w="1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Nonexclusive License:</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0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Pat./Pub. No.</w:t>
            </w:r>
          </w:p>
        </w:tc>
        <w:tc>
          <w:tcPr>
            <w:tcW w:w="69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Title</w:t>
            </w:r>
          </w:p>
        </w:tc>
        <w:tc>
          <w:tcPr>
            <w:tcW w:w="10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Country</w:t>
            </w:r>
          </w:p>
        </w:tc>
        <w:tc>
          <w:tcPr>
            <w:tcW w:w="13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Status</w:t>
            </w:r>
          </w:p>
        </w:tc>
      </w:tr>
      <w:tr>
        <w:trPr>
          <w:trHeight w:val="195"/>
        </w:trPr>
        <w:tc>
          <w:tcPr>
            <w:tcW w:w="2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8034334</w:t>
            </w:r>
          </w:p>
        </w:tc>
        <w:tc>
          <w:tcPr>
            <w:tcW w:w="6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Immunotherapy with in vitro-selected antigen-specific lymphocytes after nonmyeloablative</w:t>
            </w:r>
          </w:p>
        </w:tc>
        <w:tc>
          <w:tcPr>
            <w:tcW w:w="1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US</w:t>
            </w:r>
          </w:p>
        </w:tc>
        <w:tc>
          <w:tcPr>
            <w:tcW w:w="13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Issued</w:t>
            </w:r>
          </w:p>
        </w:tc>
      </w:tr>
      <w:tr>
        <w:trPr>
          <w:trHeight w:val="230"/>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6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lymphodepleting chemotherapy</w:t>
            </w:r>
          </w:p>
        </w:tc>
        <w:tc>
          <w:tcPr>
            <w:tcW w:w="10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195"/>
        </w:trPr>
        <w:tc>
          <w:tcPr>
            <w:tcW w:w="2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1545204</w:t>
            </w:r>
          </w:p>
        </w:tc>
        <w:tc>
          <w:tcPr>
            <w:tcW w:w="6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Immunotherapy with in vitro-selected antigen-specific lymphocytes after nonmyeloablative</w:t>
            </w:r>
          </w:p>
        </w:tc>
        <w:tc>
          <w:tcPr>
            <w:tcW w:w="1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EP</w:t>
            </w:r>
          </w:p>
        </w:tc>
        <w:tc>
          <w:tcPr>
            <w:tcW w:w="13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Pending</w:t>
            </w:r>
          </w:p>
        </w:tc>
      </w:tr>
      <w:tr>
        <w:trPr>
          <w:trHeight w:val="230"/>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6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lymphodepleting chemotherapy</w:t>
            </w:r>
          </w:p>
        </w:tc>
        <w:tc>
          <w:tcPr>
            <w:tcW w:w="10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195"/>
        </w:trPr>
        <w:tc>
          <w:tcPr>
            <w:tcW w:w="2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2497552</w:t>
            </w:r>
          </w:p>
        </w:tc>
        <w:tc>
          <w:tcPr>
            <w:tcW w:w="6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Immunotherapy with in vitro-selected antigen-specific lymphocytes after nonmyeloablative</w:t>
            </w:r>
          </w:p>
        </w:tc>
        <w:tc>
          <w:tcPr>
            <w:tcW w:w="1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CA</w:t>
            </w:r>
          </w:p>
        </w:tc>
        <w:tc>
          <w:tcPr>
            <w:tcW w:w="13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Issued</w:t>
            </w:r>
          </w:p>
        </w:tc>
      </w:tr>
      <w:tr>
        <w:trPr>
          <w:trHeight w:val="230"/>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6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lymphodepleting chemotherapy</w:t>
            </w:r>
          </w:p>
        </w:tc>
        <w:tc>
          <w:tcPr>
            <w:tcW w:w="10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195"/>
        </w:trPr>
        <w:tc>
          <w:tcPr>
            <w:tcW w:w="2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2003265948</w:t>
            </w:r>
          </w:p>
        </w:tc>
        <w:tc>
          <w:tcPr>
            <w:tcW w:w="6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Immunotherapy with in vitro-selected antigen-specific lymphocytes after nonmyeloablative</w:t>
            </w:r>
          </w:p>
        </w:tc>
        <w:tc>
          <w:tcPr>
            <w:tcW w:w="1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AU</w:t>
            </w:r>
          </w:p>
        </w:tc>
        <w:tc>
          <w:tcPr>
            <w:tcW w:w="13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Granted</w:t>
            </w:r>
          </w:p>
        </w:tc>
      </w:tr>
      <w:tr>
        <w:trPr>
          <w:trHeight w:val="230"/>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6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lymphodepleting chemotherapy</w:t>
            </w:r>
          </w:p>
        </w:tc>
        <w:tc>
          <w:tcPr>
            <w:tcW w:w="10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r>
        <w:trPr>
          <w:trHeight w:val="195"/>
        </w:trPr>
        <w:tc>
          <w:tcPr>
            <w:tcW w:w="20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8287857</w:t>
            </w:r>
          </w:p>
        </w:tc>
        <w:tc>
          <w:tcPr>
            <w:tcW w:w="6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Immunotherapy with in vitro-selected antigen-specific lymphocytes after nonmyeloablative</w:t>
            </w:r>
          </w:p>
        </w:tc>
        <w:tc>
          <w:tcPr>
            <w:tcW w:w="1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US</w:t>
            </w:r>
          </w:p>
        </w:tc>
        <w:tc>
          <w:tcPr>
            <w:tcW w:w="13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Issued</w:t>
            </w:r>
          </w:p>
        </w:tc>
      </w:tr>
      <w:tr>
        <w:trPr>
          <w:trHeight w:val="230"/>
        </w:trPr>
        <w:tc>
          <w:tcPr>
            <w:tcW w:w="2080" w:type="dxa"/>
            <w:vAlign w:val="bottom"/>
            <w:tcBorders>
              <w:left w:val="single" w:sz="8" w:color="auto"/>
              <w:bottom w:val="single" w:sz="8" w:color="auto"/>
              <w:right w:val="single" w:sz="8" w:color="auto"/>
            </w:tcBorders>
          </w:tcPr>
          <w:p>
            <w:pPr>
              <w:spacing w:after="0"/>
              <w:rPr>
                <w:sz w:val="20"/>
                <w:szCs w:val="20"/>
                <w:color w:val="auto"/>
              </w:rPr>
            </w:pPr>
          </w:p>
        </w:tc>
        <w:tc>
          <w:tcPr>
            <w:tcW w:w="6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lymphodepleting chemotherapy</w:t>
            </w:r>
          </w:p>
        </w:tc>
        <w:tc>
          <w:tcPr>
            <w:tcW w:w="10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NCI patents first begin to expire in 2023, with the last of these patents, which broadly claims culturing and administering TIL, expiring in 2029.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Lee Moffitt Cancer Center Research Collaboration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2014, we entered into a two year research collaboration agreement with the H. Lee Moffitt Cancer Center and Research Institute, Inc (“Moffitt”). to jointly engage in transitional research and development of adoptive tumor-infiltrating lymphocyte cell therapy with improved anti-tumor properties and process. Total payments by us under the agreement approximate $1.5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License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21, 2014, the Company entered into an Exclusive License Agreement (the “Moffitt License Agreement”), effective as of June 28, 2014, with the Moffitt under which we received an exclusive, world-wide license to Moffitt’s rights in and to two patent-pending technologies related to methods for improving tumor-infiltrating lymphocytes for adoptive cell therapy. Unless earlier terminated, the term of the license extends until the earlier of the expiration of the last patent related to the licensed technology or 20 years after the effective date of the license agreement.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Moffitt License Agreement, we paid an upfront licensing fee which was recognized as research and development expense during 2014. A patent issuance fee will also be payable under the Moffitt License Agreement, upon the issuance of the first U.S. patent covering the subject technology. In addition, we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We will also be responsible for all costs associated with the preparation, filing, maintenance and prosecution of the patent applications and patents covered by the Moffitt License Agreement related to the treatment of any cancers in the United States, Europe and Japan and in other countries selected that Moffitt and we agree to.</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We may rely, in some circumstances, on trade secrets to protect our technology. However, trade secrets can be difficult to protect.</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biotechnology and pharmaceutical industries put significant resources in developing novel and proprietary therapies for the treatment of cancer. We compete with many different sources in the space of immunotherapy, including large and specialty pharmaceutical and biotechnology companies, academic research institutions and governmental agencies and public and private research institutions, as well as companies developing novel targeted therapies for cancer. Universities and public and private research institutions in the U.S. and Europe are also potential competitors. For example, a Phase 3 study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 We anticipate that we will face intense and increasing competition as new drugs and therapies enter the market and advanced technologies become available.</w:t>
      </w:r>
    </w:p>
    <w:p>
      <w:pPr>
        <w:spacing w:after="0" w:line="182"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Due to their promising clinical therapeutic effect in clinical exploratory trials, we anticipate substantial direct competition from other organizations developing advanced T-cell therapies. In particular, we expect to compete with therapies with genetically engineered T cells rendered reactive against tumor-associated antigens prior to their administration to patients. Genetically engineered T cells are being pursued by several companies, including Adaptimmune, Celgene (in collaboration with bluebird bio), Kite Pharma, Juno Therapeutics, Novartis and others.</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While other types of cancer immunotherapies may potentially be used in combination with TIL, such as checkpoint blockers, to enhance efficacy, we also expect substantial direct competition from other types of immunotherapies. We face competition from immunotherapy treatments offered by companies such as Amgen, AstraZeneca, Bristol-Myers, Merck, and Roche. Immunotherapy is also being pursued by several biotechnology companies as well as by large-cap pharmaceutical companies. We cannot predict whether other types of immunotherapies may be enhanced and show greater efficacy and may have direct and substantial competition from such immunotherapies in the future.</w:t>
      </w:r>
    </w:p>
    <w:p>
      <w:pPr>
        <w:spacing w:after="0" w:line="17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Many potential competitors, either alone or with their strategic partners, have substantially greater financial, technical and human resources than we do. Accordingly, our competitors may be more successful than us in obtaining approval for treatments and achieving widespread market acceptance and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225" w:lineRule="exact"/>
        <w:rPr>
          <w:sz w:val="20"/>
          <w:szCs w:val="20"/>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or GLP, regulation;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5" w:name="page16"/>
    <w:bookmarkEnd w:id="15"/>
    <w:p>
      <w:pPr>
        <w:ind w:left="660" w:right="5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after completion of all pivotal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 adequate to preserve the biological product’s continued safety, purity and potency, and of selected clinical investigations to assess compliance with Good Clinical Practices; and</w:t>
      </w:r>
    </w:p>
    <w:p>
      <w:pPr>
        <w:spacing w:after="0" w:line="18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 which must be updated annually when significant changes are made.</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testing and approval process requires substantial time, effort and financial resources, and we cannot be certain that any approvals for our product candidates will be granted on a timely basis, if at all. Prior to beginning the first clinical trial with a new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current LN-144 and LN-145 product candidates do not involve genetically-engineered cell, but our future product may. When a trial using genetically engineered cells is conducted at, or sponsored by, institutions receiving NIH funding for recombinant DNA research, prior to the submission of an IND to the FDA, a protocol and related documentation is submitted to and the study is registered with the NIH Office of Biotechnology Activities, or OBA, pursuant to the NIH Guidelines for Research Involving Recombinant DNA Molecules, or NIH Guidelines. Compliance with the NIH Guidelines is mandatory for investigators at institutions receiving NIH funds for research involving recombinant DNA, and many companies and other institutions not otherwise subject to the NIH Guidelines voluntarily follow them. The NIH is responsible for convening the Recombinant DNA Advisory Committee, or RAC, a federal advisory committee, that discusses protocols that raise novel or particularly important scientific, safety, or ethical considerations at one of its quarterly public meetings. The OBA will notify the FDA of the RAC’s decision regarding the necessity for full public review of a protocol. RAC proceedings and reports are posted to the OBA web site and may be accessed by the public. If the FDA allows the IND to proceed, but the RAC decides that full public review of the protocol is warranted, the FDA will request at the completion of its IND review that sponsors delay initiation of the protocol until after completion of the RAC review process.</w:t>
      </w:r>
    </w:p>
    <w:p>
      <w:pPr>
        <w:spacing w:after="0" w:line="18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Human immunotherapy products are a new category of therapeutics. Because this is a relatively new and expanding area of novel therapeutic interventions,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w:t>
      </w:r>
    </w:p>
    <w:p>
      <w:pPr>
        <w:spacing w:after="0" w:line="18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current Good Clinical Practices, or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Institutional Review Board, or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25" w:lineRule="exact"/>
        <w:rPr>
          <w:sz w:val="20"/>
          <w:szCs w:val="20"/>
          <w:color w:val="auto"/>
        </w:rPr>
      </w:pPr>
    </w:p>
    <w:p>
      <w:pPr>
        <w:ind w:left="660" w:right="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I-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II- The investigational product is administered to a limited patient population with a specified disease or condition to evaluate the preliminary efficacy, optimal dosages and dosing schedule and to identify possible adverse side effects and safety risks. Multiple Phase II clinical trials may be conducted to obtain information prior to beginning larger and more expensive Phase III clinical trials.</w:t>
      </w:r>
    </w:p>
    <w:p>
      <w:pPr>
        <w:spacing w:after="0" w:line="181"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Phase III-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46" w:lineRule="exact"/>
        <w:rPr>
          <w:rFonts w:ascii="Arial" w:cs="Arial" w:eastAsia="Arial" w:hAnsi="Arial"/>
          <w:sz w:val="16"/>
          <w:szCs w:val="16"/>
          <w:color w:val="auto"/>
        </w:rPr>
      </w:pPr>
    </w:p>
    <w:p>
      <w:pPr>
        <w:ind w:left="660" w:right="3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Phase IV- In some cases, the FDA may require, or companies may voluntarily pursue, additional clinical trials after a product is approved to gain more information about the product. These so-called Phase IV studies may be made a condition to approval of the BLA.</w:t>
      </w:r>
    </w:p>
    <w:p>
      <w:pPr>
        <w:spacing w:after="0" w:line="14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Phase I, Phase II and Phase III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and the sponsor of an approved BLA is also subject to annual product and establishment user fees. These fees are typically increased annually. A waiver of user fees may be obtained under certain limited circumstances.</w:t>
      </w:r>
    </w:p>
    <w:p>
      <w:pPr>
        <w:spacing w:after="0" w:line="17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Once a BLA has been submitted, the FDA’s goal is to review the application within ten months after it accepts the application for filing, or, if the application relates to an unmet medical need in a serious or life-threatening indication, six months after the FDA accepts the application for filing. The review process is often significantly extended if the FDA requests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firstLine="648"/>
        <w:spacing w:after="0" w:line="270" w:lineRule="auto"/>
        <w:rPr>
          <w:sz w:val="20"/>
          <w:szCs w:val="20"/>
          <w:color w:val="auto"/>
        </w:rPr>
      </w:pPr>
      <w:r>
        <w:rPr>
          <w:rFonts w:ascii="Arial" w:cs="Arial" w:eastAsia="Arial" w:hAnsi="Arial"/>
          <w:sz w:val="17"/>
          <w:szCs w:val="17"/>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For a fast track product, the FDA may consider sections of the BLA for review on a rolling basis before the complete application is submitted if relevant criteria are met. A fast track 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p>
    <w:p>
      <w:pPr>
        <w:spacing w:after="0" w:line="18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endpoint or ultimate outcome in relationship to the clinical benefit.</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the Food and Drug Administration Safety and Innovation Act, or FDASIA, which was enacted and signed into law in 2012, established the new breakthrough therapy designation.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Sponsors may request the FDA to designate a breakthrough therapy at the time of or any time after the submission of an IND, but ideally before an end-of-phase II meeting with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designation also allows the sponsor to file sections of the BLA for review on a rolling basis.</w:t>
      </w:r>
    </w:p>
    <w:p>
      <w:pPr>
        <w:spacing w:after="0" w:line="17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Fast Track designation, priority review and breakthrough therapy designation do not change the standards for approval but may expedite the development or approval process.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 BLA. After the FDA grants orphan drug designation, the generic identify of the therapeutic agent and its potential orphan use are disclosed publicly by the FDA.</w:t>
      </w:r>
    </w:p>
    <w:p>
      <w:pPr>
        <w:spacing w:after="0" w:line="15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 However, the orphan drug designation does not convey any advantage in or shorten the duration of the regulatory review or approval process.</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In 2015, we received orphan drug status for LN-144 in the treatment of patients with metastatic melanoma. We plan to seek orphan drug designation for some or all of our other product candidates in specific orphan indications in which there is a medically plausible basis for the use of these products.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rely, and expect to continue to rely, on third parties for the production of clinical quantities of our product candidates, and may rely in the future on third parties for the production of commercial quantities.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right="60" w:firstLine="648"/>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8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Our sales, promotion, medical education and other activities following product approval will be subject to regulation by numerous regulatory and law enforcement authorities in the United States in addition to FDA, including potentially the Federal Trade Commission, the Department of Justice, the Centers for Medicare and Medicaid Services, other divisions of the Department of Health and Human Services and state and local governments. Our promotional and scientific/educational programs must comply with the federal Anti-Kickback Statute, the Foreign Corrupt Practices Act, the False Claims Act, the Veterans Health Care Act, physician payment transparency laws, privacy laws, security laws, and additional state laws similar to the foregoing.</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federal Anti-Kickback Statute prohibits, among other things, the offer, receipt, or payment of remuneration in exchange for or to induce the referral of patients or the use of products or services that would be paid for in whole or part by Medicare, Medicaid or other federal health care programs. Remuneration has been broadly defined to include anything of value, including cash, improper discounts, and free or reduced price items and services. Many states have similar laws that apply to their state health care programs as well as private payors.</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False Claims Act, or FCA, imposes liability on persons who, among other things, present or cause to be presented false or fraudulent claims for payment by a federal health care program. The FCA has been used to prosecute persons submitting claims for payment that are inaccurate or fraudulent, that are for services not provided as claimed, or for services that are not medically necessary. Actions under the FCA may be brought by the Attorney General or as a qui tam action by a private individual in the name of the government. Violations of the FCA can result in significant monetary penalties and treble damages. The federal government is using the FCA, and the accompanying threat of significant liability, in its investigation and prosecution of pharmaceutical and biotechnology companies throughout the country, for example, in connection with the promotion of products for unapproved uses and other sales and marketing practices. The federal Health Insurance Portability and Accountability Act of 1996, or HIPAA, also created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7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other healthcare providers. The Patient Protection and Affordable Care Act, as amended by the Health Care and Education Reconciliation Act, or collectively, the Affordable Care Act, among other things, imposed new reporting requirements on drug manufacturers for payments or other transfers of value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Certain states also mandate implementation of commercial compliance programs, impose restrictions on drug manufacturer marketing practices and/or require the tracking and reporting of gifts, compensation and other remuneration to physicians and other healthcare professionals.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0" w:name="page21"/>
    <w:bookmarkEnd w:id="20"/>
    <w:p>
      <w:pPr>
        <w:ind w:right="20" w:firstLine="648"/>
        <w:spacing w:after="0" w:line="289"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w:t>
      </w:r>
    </w:p>
    <w:p>
      <w:pPr>
        <w:spacing w:after="0" w:line="167"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If our operations are found to be in violation of any of such laws or any other governmental regulations that apply to us, we may be subject to penalties, including, without limitation, civil and criminal penalties, damages, fines, the curtailment or restructuring of our operations, exclusion from participation in federal and state healthcare programs and imprisonment, any of which could adversely affect our ability to operate our business and our financial results.</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Also, the U.S. Foreign Corrupt Practices Act and similar worldwide anti-bribery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Although we currently believe that third-party payors will provide coverage and reimbursement for our product candidates, if approved, these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These changes include aggregate reductions to Medicare payments to providers of up to 2% per fiscal year, starting in 2013, which will remain in effect through 2024 unless additional Congressional action is taken. In January 2013, the American Taxpayer Relief Act of 2012, which, among other things, further reduced Medicare payments to several providers, including hospitals and cancer treatment centers,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 candidates, if approved, and, accordingly, our financial operations.</w:t>
      </w:r>
    </w:p>
    <w:p>
      <w:pPr>
        <w:spacing w:after="0" w:line="16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87"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In the EU, member states require both regulatory clearances by the national competent authority and a favorable ethics committee opinion prior to the commencement of a clinical trial. Under the EU regulatory systems, marketing authorization applications may be submitted under either a centralized or decentralized procedure. The centralized procedure provides for the grant of a single marketing authorization that is valid for all EU member states. It is compulsory for medicines produced by certain biotechnological processes. Because our products are produced in that way, we would be subject to the centralized process. Under the centralized procedure, pharmaceutical companies submit a single marketing authorization application to the EMA. Once granted by the European Commission, a centralized marketing authorization is valid in all EU member states, as well as the EEA countries Iceland, Liechtenstein and Norway. By law, a company can only start to market a medicine once it has received a marketing authorization.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December 31, 2015, we had 20 employees, all of whom are full-time, six of whom hold Ph.D. or M.D. degrees, 14 of whom were engaged in research and development activities and 6 of whom were engaged in business development, finance, or administrative support. None of our employees is subject to a collective bargaining agreement. We consider our relationship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maintain a website at www.lbio.com and make available there, free of charge, our periodic reports filed with the Securities and Exchange Commission (“SEC”), as soon as is reasonably practicable after filing. The public may read and copy any materials we file with the SEC at the SEC’s Public Reference Room at 100 F Street, NE, Washington, DC 20549. The public may obtain information on the operation of the Public Reference Room by calling the SEC at 1-800-SEC-0330. The SEC maintains a website at http:/www.sec.gov that contains reports, proxy and information statements, and other information regarding issuers such as us that file electronically with the SEC.</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Annual Report on Form 10-K, including our financial statements and related notes, and our other filings from time to time with the Securities and Exchange Commission.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are a clinical-stage biotechnology company focused on the development and commercialization of novel cancer immunotherapy products designed to harness the power of a patient's own immune system to eradicate cancer cells. We do not have products approved for commercial sale and have not generated revenue. As of December 31, 2015, we had an accumulated deficit of $104.2 million. In addition, during the fiscal year ended December 31, 2015, we incurred a net loss of $27.7 million. Since our inception we have not generated any revenues. We do not expect to generate any meaningful product sales or royalty revenues for the foreseeable future. We expect to incur significant additional operating losses in the future as we expand our development and clinical trial activities in support of demonstrating the effectiveness of our products.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6"/>
          <w:szCs w:val="16"/>
          <w:b w:val="1"/>
          <w:bCs w:val="1"/>
          <w:i w:val="1"/>
          <w:iCs w:val="1"/>
          <w:color w:val="auto"/>
        </w:rPr>
        <w:t>We have limited experience in operating our current business, which makes it difficult to evaluate our business plan and our prospects.</w:t>
      </w:r>
    </w:p>
    <w:p>
      <w:pPr>
        <w:spacing w:after="0" w:line="248" w:lineRule="exact"/>
        <w:rPr>
          <w:sz w:val="20"/>
          <w:szCs w:val="20"/>
          <w:color w:val="auto"/>
        </w:rPr>
      </w:pPr>
    </w:p>
    <w:p>
      <w:pPr>
        <w:ind w:firstLine="683"/>
        <w:spacing w:after="0" w:line="293" w:lineRule="auto"/>
        <w:rPr>
          <w:sz w:val="20"/>
          <w:szCs w:val="20"/>
          <w:color w:val="auto"/>
        </w:rPr>
      </w:pPr>
      <w:r>
        <w:rPr>
          <w:rFonts w:ascii="Arial" w:cs="Arial" w:eastAsia="Arial" w:hAnsi="Arial"/>
          <w:sz w:val="16"/>
          <w:szCs w:val="16"/>
          <w:color w:val="auto"/>
        </w:rPr>
        <w:t>Although we entered into the License Agreement, the CRADA and the manufacturing services agreement with Lonza Walkersville, Inc. in 2011, our progress on developing our business and our product candidates was slow until 2014 because of a lack of financial resources and changes in our management. As a result, we have only a limited operating history in our current line of business on which a decision to invest in our company can be based. The future of our company currently is dependent upon our ability to implement our new business plan, as that business plan may be modified from time to time by our new management. While we believe that we have a sound business plan and research and development strategy, we have only a limited operating history against which we can test our plans and assumptions, and investors therefore cannot evaluate the likelihood of our success.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face the problems, expenses, difficulties, complications and delays normally associated with a small, new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early stage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new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limited experience as a company conducting clinical trials.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Prior to 2015, all of the preclinical and clinical trials relating to our product candidates had been conducted by the NCI. Although we have recruited a team that has significant experience with clinical trials prior to our commencing on current clinical level for LN-144, we have no experience as a company in conducting clinical trials. In part because of this lack of experience, we cannot be certain that planned clinical trials will begin or be completed on time, if at all. Large-scale trials would require significant additional financial and management resources, and reliance on third-party clinical investigators, contract research organizations, or CROs, or consultants. Relying on third-party clinical investigators or CROs may force us to encounter delays that are outside of our control.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encounter substantial delays in our clinical trials, or may not be able to conduct our trials on the timelines we expect.</w:t>
      </w:r>
    </w:p>
    <w:p>
      <w:pPr>
        <w:spacing w:after="0" w:line="23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studies will be conducted as planned or completed on schedule, if at all. We initiated our first company sponsored clinical trial in 2015 and have secured with the FDA an IND for the use of LN-145 in cervical and head and neck cancers. Even after these trials begin, issues may arise that could suspend or terminate such clinical trials. A failure of one or more clinical studies can occur at any stage of testing, and our future clinical studies may not be successful. Events that may prevent successful or timely completion of clinical development include:</w:t>
      </w:r>
    </w:p>
    <w:p>
      <w:pPr>
        <w:spacing w:after="0" w:line="188"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generate sufficient preclinical data to support the initiation of clinical studies;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9" w:lineRule="exact"/>
        <w:rPr>
          <w:rFonts w:ascii="Arial" w:cs="Arial" w:eastAsia="Arial" w:hAnsi="Arial"/>
          <w:sz w:val="18"/>
          <w:szCs w:val="18"/>
          <w:color w:val="auto"/>
        </w:rPr>
      </w:pPr>
    </w:p>
    <w:p>
      <w:pPr>
        <w:jc w:val="both"/>
        <w:ind w:left="1300" w:right="780" w:hanging="644"/>
        <w:spacing w:after="0" w:line="323"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p>
      <w:pPr>
        <w:ind w:left="1300" w:right="260" w:hanging="644"/>
        <w:spacing w:after="0" w:line="291"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study sites, the terms of which can be subject to extensive negotiation and may vary significantly among different CROs and clinical study sites;</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9" w:lineRule="exact"/>
        <w:rPr>
          <w:rFonts w:ascii="Arial" w:cs="Arial" w:eastAsia="Arial" w:hAnsi="Arial"/>
          <w:sz w:val="18"/>
          <w:szCs w:val="18"/>
          <w:color w:val="auto"/>
        </w:rPr>
      </w:pPr>
    </w:p>
    <w:p>
      <w:pPr>
        <w:ind w:left="1300" w:right="40" w:hanging="644"/>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good clinical practices, or cGCPs, requirements, or applicable regulatory guidelines in other countries;</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w:t>
      </w:r>
    </w:p>
    <w:p>
      <w:pPr>
        <w:spacing w:after="0" w:line="9" w:lineRule="exact"/>
        <w:rPr>
          <w:rFonts w:ascii="Arial" w:cs="Arial" w:eastAsia="Arial" w:hAnsi="Arial"/>
          <w:sz w:val="18"/>
          <w:szCs w:val="18"/>
          <w:color w:val="auto"/>
        </w:rPr>
      </w:pPr>
    </w:p>
    <w:p>
      <w:pPr>
        <w:ind w:left="1300" w:right="600" w:hanging="644"/>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which may result in our deciding, or regulators requiring us, to conduct additional clinical studies or abandon product development programs;</w:t>
      </w:r>
    </w:p>
    <w:p>
      <w:pPr>
        <w:ind w:left="1300" w:right="480" w:hanging="644"/>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 of manufacturing processes from the NCI to our contract manufacturers or other larger-scale facilities operated by a contract manufacturing organization, or CMO, and delays or failure by our CMOs or us to make any necessary changes to such manufacturing process; and</w:t>
      </w:r>
    </w:p>
    <w:p>
      <w:pPr>
        <w:spacing w:after="0" w:line="1" w:lineRule="exact"/>
        <w:rPr>
          <w:rFonts w:ascii="Arial" w:cs="Arial" w:eastAsia="Arial" w:hAnsi="Arial"/>
          <w:sz w:val="18"/>
          <w:szCs w:val="18"/>
          <w:color w:val="auto"/>
        </w:rPr>
      </w:pPr>
    </w:p>
    <w:p>
      <w:pPr>
        <w:ind w:left="1300" w:right="180" w:hanging="644"/>
        <w:spacing w:after="0" w:line="323"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delays in manufacturing, testing, releasing, validating, or importing/exporting sufficient stable quantities of our product candidates for use in clinical studies or the inability to do any of the foregoing, including any quality issues associated with the contract manufacturer.</w:t>
      </w:r>
    </w:p>
    <w:p>
      <w:pPr>
        <w:spacing w:after="0" w:line="139"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We also may conduct clinical and preclinical research in collaboration with other biotechnology and biologics entities in which we combine our technologies with those of our collaborators. Such collaborations may be subject to additional delays as a result of the management of the trials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71" w:lineRule="exact"/>
        <w:rPr>
          <w:sz w:val="20"/>
          <w:szCs w:val="20"/>
          <w:color w:val="auto"/>
        </w:rPr>
      </w:pPr>
    </w:p>
    <w:p>
      <w:pPr>
        <w:ind w:right="360" w:firstLine="648"/>
        <w:spacing w:after="0" w:line="276"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study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It may take longer and cost more to complete our clinical trials than we project, or we may not be able to complete them at all.</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budgeting and planning purposes, we have projected the date for the commencement, continuation and completion of our various clinical trials. However, a number of factors, including scheduling conflicts 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the second half of 2015, we began enrollment of our company-sponsored, Phase 2 clinical trial to establish the feasibility of our lead product, LN-144, and to assess its overall safety in patients with metastatic melanoma. However, 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8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expect to rely on medical institutions, academic institutions or clinical research organizations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currently anticipate that we will have to rely on our manufacturing partners to manufacture our adoptive cell therapy products for clinical trials. If they fail to commence or complete, or experiences delays in, manufacturing our adoptive cell therapy products, our planned clinical trials will be delayed, which will adversely affect our stock price and our ability to conduct our business as currently planned.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right="360" w:firstLine="648"/>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are based on new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Depending on the number of patients we ultimately enroll in our trials, and the number of trials we may need to conduct, our overall clinical trial costs may be higher than for more conventional treatments.</w:t>
      </w:r>
    </w:p>
    <w:p>
      <w:pPr>
        <w:spacing w:after="0" w:line="18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The results of studies in one set of patients or line of treatment may not be predictive of those obtained in another. 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91"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encounter difficulties enrolling patients in our clinical trials, our clinical development activities could be delayed or otherwise adversely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affected.</w:t>
      </w:r>
    </w:p>
    <w:p>
      <w:pPr>
        <w:spacing w:after="0" w:line="21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8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 based immunotherapy;</w:t>
      </w:r>
    </w:p>
    <w:p>
      <w:pPr>
        <w:spacing w:after="0" w:line="9" w:lineRule="exact"/>
        <w:rPr>
          <w:rFonts w:ascii="Arial" w:cs="Arial" w:eastAsia="Arial" w:hAnsi="Arial"/>
          <w:sz w:val="18"/>
          <w:szCs w:val="18"/>
          <w:color w:val="auto"/>
        </w:rPr>
      </w:pPr>
    </w:p>
    <w:p>
      <w:pPr>
        <w:ind w:left="980" w:right="320" w:hanging="324"/>
        <w:spacing w:after="0" w:line="290"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1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alternate clinical trials because of the length of time between the time that their tumor is excised and the TIL is infused back into the patient.</w:t>
      </w:r>
    </w:p>
    <w:p>
      <w:pPr>
        <w:spacing w:after="0" w:line="17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trials could reveal a high and unacceptable severity and prevalence of side effects or unexpected characteristics.</w:t>
      </w:r>
    </w:p>
    <w:p>
      <w:pPr>
        <w:spacing w:after="0" w:line="166"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If unacceptable toxicities arise in the development of our product candidates, we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5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b w:val="1"/>
          <w:bCs w:val="1"/>
          <w:i w:val="1"/>
          <w:iCs w:val="1"/>
          <w:color w:val="auto"/>
        </w:rPr>
        <w:t>The manufacture of our product candidates is complex and we may encounter difficulties in production, particularly with respect to process development or scaling-out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8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genetically modifying the cells ex vivo, multiplying the cells to obtain the desired dose, and ultimately infusing the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cells, or starting material, from the patient, shipping such material to the manufacturing site, shipping the final product back to the patient, and infusing the patient with the product, manufacturing issues associated with the differences in patient starting tumors,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tumor, or later-developed product at any point in the process, the manufacturing process for that patient will need to be restarted and the resulting delay may adversely affect that patient’s outcome.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Because our product candidates are manufactured for each particular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6" w:name="page27"/>
    <w:bookmarkEnd w:id="26"/>
    <w:p>
      <w:pPr>
        <w:ind w:right="60" w:firstLine="648"/>
        <w:spacing w:after="0" w:line="255" w:lineRule="auto"/>
        <w:rPr>
          <w:sz w:val="20"/>
          <w:szCs w:val="20"/>
          <w:color w:val="auto"/>
        </w:rPr>
      </w:pPr>
      <w:r>
        <w:rPr>
          <w:rFonts w:ascii="Arial" w:cs="Arial" w:eastAsia="Arial" w:hAnsi="Arial"/>
          <w:sz w:val="18"/>
          <w:szCs w:val="18"/>
          <w:color w:val="auto"/>
        </w:rPr>
        <w:t>Currently, our product candidates are manufactured using processes by our third-party research institution collaborators that we may not intend to use for more advanced clinical trials or commercialization. Although we are working to develop commercially viable processes, doing so is a difficult and an uncertain task, and there are risks associated with scaling to the level required for advanced clinical trials or commercialization, including, among others, cost overruns, potential problems with process scale-out,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8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expect our manufacturing strategy will involve the use of one or more CMOs, or establishing our own capabilities and infrastructure, including a manufacturing facility. We would expect that development of our own manufacturing facility would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the manufacturing process for any products that we may develop is subject to FDA and foreign regulatory authority approval process, and we will need to contract with manufacturers who can meet all applicable FDA and foreign regulatory authority requirements on an ongoing basis. If we or our CMOs are unable to reliably produce products to specifications acceptable to the FDA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The deviations in our proposed new products from existing products may require us to perform additional testing, which will increase the cost, and extend the time for obtaining approval.</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Our TIL based therapy is based on the adoptive cell therapy (ACT) technology that we licensed from the NIH and that is presently available as a physician-sponsored investigational therapy for the treatment of Stage IV metastatic melanoma in the U.S. at the National Cancer Institute, MD Anderson Cancer Center, and the H. Lee Moffitt Cancer &amp; Research Institute. The current method of treatment is very labor intensive and expensive, which has limited its widespread application. We are developing new processes that we anticipate will enable more efficient manufacturing of our products. We may have difficulty demonstrating that the products produced from our new processes are identical to the existing products. The FDA may require additional clinical testing before permitting a larger clinical trial with the new processes, and also the product may not be as efficacious in the new clinical trials. Cellular products are not considered as well characterized products because there are hundreds of markers present on these cells, and even small changes in manufacturing processes could alter the cell types. It is unclear at this time which of those markers are critical for success of these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w:t>
      </w:r>
    </w:p>
    <w:p>
      <w:pPr>
        <w:spacing w:after="0" w:line="16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to developing a TIL based therapy on existing ACT technology, we are currently evaluating the desirability of conducting clinical trials of our products in combination with other existing drugs. These combination therapies will require additional testing and clinical trials will require additional FDA regulatory approval and will increase our future cost of development.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660" w:right="22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 and</w:t>
      </w:r>
    </w:p>
    <w:p>
      <w:pPr>
        <w:ind w:left="660" w:right="30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spacing w:after="0" w:line="1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Clinical testing is very expensive, can take many years, and the outcome is uncertain. It can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research and development efforts are to a large extent dependent upon the CRADA.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Although we opened our own research and development laboratory in 2014, it may take time to fully develop our research and development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infrastructure. As a result, we conduct a portion of our research and development under the CRADA we entered into with the NCI. Under the CRADA,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NCI currently engaged in research and development related to the development of improved methods of large scale TIL generation for the ACT treatment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patients with metastatic melanoma, bladder, lung, triple-negative breast, and HPV-associated cancers. We are obligated to make annual payments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$2,000,000 under the CRADA. In addition, although the CRADA has a five year term, either party to the CRADA has the right to terminate the CRADA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upon 60 days’ notice to the other party. As a result, no assurance can be given that the NCI will not terminate, or that we will renew, the CRADA that expires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August 2016 and that the CRADA will, therefore, remain in effect until we complete our desired research thereunder.</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expect to use the results of the NCI’s research to support the filing with the FDA of investigational new drug applications, or INDs, to conduct more advanced clinical trials of our products. However, we have limited control over the nature or timing of the NCI’s clinical trials and limited visibility into their day-to-day activities. The research we are funding constitutes only a small portion of the NCI’s overall research. Other research being conducted by Dr. Rosenberg may at times receive higher priority than research on our programs. These factors could adversely affect the timing of our IND filings and our ability to conduct future planned clinical trials.</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the CRADA, we have an option to negotiate commercialization licenses from the NIH to intellectual property relating to TIL-based product candidates developed in the course of the CRADA research plan. However, we would have to negotiate with the NIH for such a license. There can be no assurance that we would be able to successfully complete such negotiations and ultimately acquire the rights to the intellectual property surrounding the additional product candidates that we may seek to acquire. Further, to the extent we would like to negotiate a license to a patent filed before the CRADA was entered into, another party may object to the NIH granting us a license during a 30-day public notification period, and the NIH may decide not to grant us the license.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will need additional financing in order to complete the development and commercialization of our various product candidates.</w:t>
      </w:r>
    </w:p>
    <w:p>
      <w:pPr>
        <w:spacing w:after="0" w:line="23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research and development and our operating costs have been substantial and are expected to increase. We expect to continue to spend substantial amounts to continue the clinical development of LN-144 and LN-145 and our other product candidates. As of December 31, 2015, we had $103.7 million in cash, cash equivalents and short-term investments. We believe that this cash available to us will be sufficient to fund our operations for at least the next</w:t>
      </w:r>
    </w:p>
    <w:p>
      <w:pPr>
        <w:ind w:right="80"/>
        <w:spacing w:after="0" w:line="255" w:lineRule="auto"/>
        <w:rPr>
          <w:sz w:val="20"/>
          <w:szCs w:val="20"/>
          <w:color w:val="auto"/>
        </w:rPr>
      </w:pPr>
      <w:r>
        <w:rPr>
          <w:rFonts w:ascii="Arial" w:cs="Arial" w:eastAsia="Arial" w:hAnsi="Arial"/>
          <w:sz w:val="18"/>
          <w:szCs w:val="18"/>
          <w:color w:val="auto"/>
        </w:rPr>
        <w:t>12 months. However,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w:t>
      </w:r>
    </w:p>
    <w:p>
      <w:pPr>
        <w:spacing w:after="0" w:line="19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 and collaboration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product candidates in markets where we may otherwise would seek to pursue our own development or commercialization.</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896" w:gutter="0" w:footer="0" w:header="0"/>
        </w:sectPr>
      </w:pPr>
    </w:p>
    <w:bookmarkStart w:id="28" w:name="page29"/>
    <w:bookmarkEnd w:id="28"/>
    <w:p>
      <w:pPr>
        <w:ind w:right="600" w:firstLine="648"/>
        <w:spacing w:after="0" w:line="277" w:lineRule="auto"/>
        <w:rPr>
          <w:sz w:val="20"/>
          <w:szCs w:val="20"/>
          <w:color w:val="auto"/>
        </w:rPr>
      </w:pPr>
      <w:r>
        <w:rPr>
          <w:rFonts w:ascii="Arial" w:cs="Arial" w:eastAsia="Arial" w:hAnsi="Arial"/>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All of 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8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No adoptive cell therapy using tumor infiltrating lymphocytes has been approved for marketing in the U.S. by the U.S. Food and Drug Administration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be fined, forced to remove a product from the market and experience other adverse consequences including delay, which could materially harm our financial results.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license new TIL technology from the NIH and others.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An important element of our intellectual property portfolio is to license additional rights and technologies from the NIH.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7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FDA often approves new therapies initially only for use in patients with relapsed or refractory metastatic disease. We expect to initially seek approval of our product candidates in this setting. Subsequently, for those products that prove to be sufficiently beneficial, if any, we would expect to seek approval in earlier lines of treatment and potentially as a first line therapy, but there is no guarantee that our product candidates, even if approved, would be approved for earlier lines of therapy, and, prior to any such approvals, we may have to conduct additional clinical trials.</w:t>
      </w:r>
    </w:p>
    <w:p>
      <w:pPr>
        <w:spacing w:after="0" w:line="17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 third party payors. For instance, we expect our lead product candidate, LN-144,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63"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We are required to pay substantial royalties and lump sum benchmark payments under our license agreements with the NIH, and we must meet certain milestones to maintain our license rights.</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Under our license agreements with the NIH for our adoptive cell therapy technologies, we are currently required to pay both substantial benchmark payments and royalties to that institution based on our revenues from sales of our products utilizing the licensed technologies, and these payments could adversely affect the overall profitability for us of any products that we may seek to commercialize. In order to maintain our license rights under the NIH license agreements, we will need to meet certain specified milestones, subject to certain cure provisions, in the development of our product candidates. There is no assurance that we will be successful in meeting all of the milestones in the future on a timely basis or at all.</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9" w:name="page30"/>
    <w:bookmarkEnd w:id="29"/>
    <w:p>
      <w:pPr>
        <w:ind w:right="40" w:firstLine="648"/>
        <w:spacing w:after="0" w:line="264"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Since our current product candidates and any future product candidates will represent new approaches to treating various conditions, it may be difficult, in any event, to accurately estimate the potential revenues from these product candidates. Accordingly, we may spend large amounts of money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are able to reduce those costs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88"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Our TIL therapy may be provided to patients in combination with other agents provided by third parties. The cost of such combination therapy may increase the overall cost of TIL therapy and may result in issues regarding the allocation of reimbursements between our therapy and the other agents, all of which may affect our ability to obtain reimbursement coverage for the combination therapy from third party medical insurers.</w:t>
      </w:r>
    </w:p>
    <w:p>
      <w:pPr>
        <w:spacing w:after="0" w:line="166"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b w:val="1"/>
          <w:bCs w:val="1"/>
          <w:i w:val="1"/>
          <w:iCs w:val="1"/>
          <w:color w:val="auto"/>
        </w:rPr>
        <w:t>No assurance can be given that we will be able to develop a new, FDA-compliant, more efficient, lower cost manufacturing process upon which our business plan to commercialize TIL-based products is dependent.</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Pursuant to the CRADA, and in cooperation with our contract manufacturers and potentially other manufacturers, we are developing improved methods for the generating and selecting autologous TILs, and to develop methods for large-scale production of autologous TILs that are in accord with current Good Manufacturing Practices (“cGMP”) procedures. Developing a new, scaled-up, pharmaceutical manufacturing process that can more efficiently and cost effectively, and in a more automated manner measure, produce and control the physical and/or chemical attributes of our products in a cGMP facility is subject to many uncertainties and difficulties. We have never manufactured our adoptive cell therapy product candidate on any scale, commercial or otherwise, nor our partners. As a result, we cannot give any assurance that we will be able to establish a manufacturing process that can produce our products at a cost or in quantities necessary to make them commercially viable. Moreover, our third-party manufacturers will have to continually adhere to current cGMP regulations enforced by the FDA through its facilities inspection program. If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9" w:lineRule="exact"/>
        <w:rPr>
          <w:sz w:val="20"/>
          <w:szCs w:val="20"/>
          <w:color w:val="auto"/>
        </w:rPr>
      </w:pPr>
    </w:p>
    <w:p>
      <w:pPr>
        <w:ind w:left="1960" w:hanging="980"/>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ind w:left="1960" w:hanging="980"/>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252" w:lineRule="exact"/>
        <w:rPr>
          <w:rFonts w:ascii="Arial" w:cs="Arial" w:eastAsia="Arial" w:hAnsi="Arial"/>
          <w:sz w:val="18"/>
          <w:szCs w:val="18"/>
          <w:color w:val="auto"/>
        </w:rPr>
      </w:pPr>
    </w:p>
    <w:p>
      <w:pPr>
        <w:ind w:left="1960" w:hanging="980"/>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 of LN-144,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from non-profit institutions.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currently under development by others that could compete with the products that we are developing. Many of our potential competitors have substantially greater research and development capabilities and manufacturing, marketing, financial and managerial resources than we do. Our competitors may:</w:t>
      </w:r>
    </w:p>
    <w:p>
      <w:pPr>
        <w:spacing w:after="0" w:line="15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safer or more effective immunotherapies and other therapeutic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1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Potential competitors in the market for treating metastatic melanoma are companies such as Bristol-Myers Squibb, Roche/Genentech, Merck, Amgen, Pfizer, and GlaxoSmithKline, which already have products on the market or in development. Other companies, such as Novartis, Celgene, Kite Pharmaceuticals, Juno Therapeutics, and Adaptimmune, which are focused on genetically engineered T cell technologies to treat cancer, may also be competitors. All of these companies, and most of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study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lead product candidate, LN-144, is a therapy for the treatment of refractory metastatic melanoma. Currently, there are numerous companies that are developing various alternate treatments for melanoma. Accordingly, LN-144 faces significant competition in the melanoma treatment space from multiple companies. Even if we obtain regulatory approval of LN-144, the availability and price of our competitors’ products could limit the demand and the price we are able to charge for our melanoma therapy.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will be dependent on third party vendors to design, build, maintain and support our manufacturing and cell processing facilities.</w:t>
      </w:r>
    </w:p>
    <w:p>
      <w:pPr>
        <w:spacing w:after="0" w:line="23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result of our current strategy to outsource most of our manufacturing, we rely very heavily on third parties to perform for us the manufacturing of our products for our clinical trials. We also license a significant portion of our technology from others and, at this time, do not own any intellectual properties or technologies. We intend to rely upon our contract manufacturers to produce large quantities of materials needed for clinical trials and potentially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any third party collaborator breaches or terminates its agreement with us, or fails to conduct its activities in a timely manner, the commercialization of our products under development could be slowed down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ind w:right="560" w:firstLine="648"/>
        <w:spacing w:after="0" w:line="342" w:lineRule="auto"/>
        <w:rPr>
          <w:sz w:val="20"/>
          <w:szCs w:val="20"/>
          <w:color w:val="auto"/>
        </w:rPr>
      </w:pPr>
      <w:r>
        <w:rPr>
          <w:rFonts w:ascii="Arial" w:cs="Arial" w:eastAsia="Arial" w:hAnsi="Arial"/>
          <w:sz w:val="16"/>
          <w:szCs w:val="16"/>
          <w:color w:val="auto"/>
        </w:rPr>
        <w:t>We intend to continue to enter into additional third party collaborative agreements in the future. However, we may not be able to successfully negotiate any additional collaborative arrangements. If established, these relationships may not be scientifically or commercially successful.</w:t>
      </w:r>
    </w:p>
    <w:p>
      <w:pPr>
        <w:spacing w:after="0" w:line="12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 research organizations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disruption of our drug development programs. For example, the loss of clinical study data from completed or ongoing clinical studies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will need to grow the size and capabilities of our organization, and we may experience difficulties in managing this growth.</w:t>
      </w:r>
    </w:p>
    <w:p>
      <w:pPr>
        <w:spacing w:after="0" w:line="23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 of December 31, 2015, we had 20 employees, 14 of whom are engaged in research and development. The loss of the services of any of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and regulatory affairs. We have sufficient funds to hire what we believe are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As our development and commercialization plans and strategies develop, and as we transition into operating as a public company, we must add a significant number of additional research and development, managerial, operational, and other personnel. Future growth will impose significant added responsibilities on members of management, including:</w:t>
      </w:r>
    </w:p>
    <w:p>
      <w:pPr>
        <w:spacing w:after="0" w:line="19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Our efforts to manage our growth are complicated by the fact that nearly all of our executive officers have joined us since January 2014. This lack of long-term experience working together may adversely impact our senior management team’s ability to effectively manage our business and growth.</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8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3" w:name="page34"/>
    <w:bookmarkEnd w:id="33"/>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7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4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product programs and initiatives in pursuing such a strategic merger or acquisition;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660" w:right="2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4"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We have received a subpoena in the SEC investigation now known as “In the Matter of Certain Stock Promotions,” the consequences of which are unknown</w:t>
      </w:r>
      <w:r>
        <w:rPr>
          <w:rFonts w:ascii="Arial" w:cs="Arial" w:eastAsia="Arial" w:hAnsi="Arial"/>
          <w:sz w:val="18"/>
          <w:szCs w:val="18"/>
          <w:i w:val="1"/>
          <w:iCs w:val="1"/>
          <w:color w:val="auto"/>
        </w:rPr>
        <w:t>.</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As disclosed in Item 3. Litigation, below, on April 23, 2014 we received a subpoena from the SEC that stated that the staff of the SEC is conducting an investigation now known as “In the Matter of Certain Stock Promotions,” and that the subpoena was issued as part of the foregoing investigation. The SEC’s subpoena and accompanying letter did not indicate whether we are, or are not, under investigation. We have cooperated with the SEC and have completed our production of documents in response to the subpoena. To date, the SEC has not requested any further information from us. Nevertheless, the SEC may in the future require us to produce additional documents or other materials.</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general, the subpoena required us to give the SEC certain documents regarding, and communications between, anyone at this company and certain listed persons and entities (which include investor-relations firms and persons associated with the investor-relations firms), and articles regarding this company posted on certain equity research or other financial websites. We believe that the SEC is investigating improper conduct relative to the payment of bloggers and other authors for promotional articles written about public companies. A number of articles have been written about us that may be available on the internet and elsewhere. Investors considering an investment in our securities should review this Annual Report and the other documents that we filed with the SEC rather than relying on internet blogs or other similar articles and publications.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4" w:name="page35"/>
    <w:bookmarkEnd w:id="34"/>
    <w:p>
      <w:pPr>
        <w:ind w:firstLine="648"/>
        <w:spacing w:after="0" w:line="255" w:lineRule="auto"/>
        <w:rPr>
          <w:sz w:val="20"/>
          <w:szCs w:val="20"/>
          <w:color w:val="auto"/>
        </w:rPr>
      </w:pPr>
      <w:r>
        <w:rPr>
          <w:rFonts w:ascii="Arial" w:cs="Arial" w:eastAsia="Arial" w:hAnsi="Arial"/>
          <w:sz w:val="18"/>
          <w:szCs w:val="18"/>
          <w:color w:val="auto"/>
        </w:rPr>
        <w:t>Although we are unaware of the exact scope or timing of the SEC’s investigation, it is our understanding that the investigation is ongoing. We do not know when the investigation will be concluded or to what extent we will be further involved. If we receive additional subpoenas or other requests for documents from the SEC it is our intention to fully cooperate with the SEC. Complying with any such future requests could distract the time and attention of our officers and directors or divert our resources away from research and development programs. Furthermore, we and our former officers and directors may be the subject of the SEC’s investigation. Any such investigation could result in significant legal expenses, the diversion of management’s attention from our business, damage to our business and reputation, and could subject us to a wide range of remedies, including an SEC enforcement action and potential financial penalties required by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also experience delays in completing planned clinical trials for a variety of reasons, including delays related to:</w:t>
      </w:r>
    </w:p>
    <w:p>
      <w:pPr>
        <w:spacing w:after="0" w:line="225"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25" w:lineRule="exact"/>
        <w:rPr>
          <w:rFonts w:ascii="Arial" w:cs="Arial" w:eastAsia="Arial" w:hAnsi="Arial"/>
          <w:sz w:val="18"/>
          <w:szCs w:val="18"/>
          <w:color w:val="auto"/>
        </w:rPr>
      </w:pPr>
    </w:p>
    <w:p>
      <w:pPr>
        <w:ind w:left="1300" w:right="48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institutional review board, or IRB;</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25" w:lineRule="exact"/>
        <w:rPr>
          <w:rFonts w:ascii="Arial" w:cs="Arial" w:eastAsia="Arial" w:hAnsi="Arial"/>
          <w:sz w:val="18"/>
          <w:szCs w:val="18"/>
          <w:color w:val="auto"/>
        </w:rPr>
      </w:pPr>
    </w:p>
    <w:p>
      <w:pPr>
        <w:ind w:left="1300" w:right="16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the Data Monitoring Committee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5" w:name="page36"/>
    <w:bookmarkEnd w:id="35"/>
    <w:p>
      <w:pPr>
        <w:ind w:right="100" w:firstLine="648"/>
        <w:spacing w:after="0" w:line="297"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67" w:lineRule="exact"/>
        <w:rPr>
          <w:sz w:val="20"/>
          <w:szCs w:val="20"/>
          <w:color w:val="auto"/>
        </w:rPr>
      </w:pPr>
    </w:p>
    <w:p>
      <w:pPr>
        <w:ind w:left="1300" w:right="56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25" w:lineRule="exact"/>
        <w:rPr>
          <w:rFonts w:ascii="Arial" w:cs="Arial" w:eastAsia="Arial" w:hAnsi="Arial"/>
          <w:sz w:val="18"/>
          <w:szCs w:val="18"/>
          <w:color w:val="auto"/>
        </w:rPr>
      </w:pPr>
    </w:p>
    <w:p>
      <w:pPr>
        <w:ind w:left="1300" w:right="40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Successful sales of our product candidates, if approved, depend on the availability of coverage and adequate reimbursement from third-party payors. In addition, because our product candidates represent new approaches to the treatment of cancer, we cannot accurately estimate the potential revenue from our product candidates.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181"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right="60" w:firstLine="648"/>
        <w:spacing w:after="0" w:line="257"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Healthcare Reform Act was enacted. The Healthcare Reform Act and its implementing regulations, among other things, revised the methodology by which rebates owed by manufacturers to the state and federal government for covered outpatient drugs and certain biologics, including our product candidates, under the Medicaid Drug Rebate Program are calculated,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16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Healthcare Reform Act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will remain in effect until 2024, unless additional congressional action is taken. In January 2013, President Obama signed into law the American Taxpayer Relief Act of 2012, or the ATRA, which, among other things,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87"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6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w:t>
      </w:r>
    </w:p>
    <w:p>
      <w:pPr>
        <w:sectPr>
          <w:pgSz w:w="11900" w:h="16838" w:orient="portrait"/>
          <w:cols w:equalWidth="0" w:num="1">
            <w:col w:w="11420"/>
          </w:cols>
          <w:pgMar w:left="240" w:top="908" w:right="239" w:bottom="0" w:gutter="0" w:footer="0" w:header="0"/>
        </w:sectPr>
      </w:pPr>
    </w:p>
    <w:bookmarkStart w:id="37" w:name="page38"/>
    <w:bookmarkEnd w:id="37"/>
    <w:p>
      <w:pPr>
        <w:ind w:right="120"/>
        <w:spacing w:after="0" w:line="277" w:lineRule="auto"/>
        <w:rPr>
          <w:sz w:val="20"/>
          <w:szCs w:val="20"/>
          <w:color w:val="auto"/>
        </w:rPr>
      </w:pPr>
      <w:r>
        <w:rPr>
          <w:rFonts w:ascii="Arial" w:cs="Arial" w:eastAsia="Arial" w:hAnsi="Arial"/>
          <w:sz w:val="18"/>
          <w:szCs w:val="18"/>
          <w:color w:val="auto"/>
        </w:rPr>
        <w:t>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line="9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 and other intellectual property rights.</w:t>
      </w:r>
    </w:p>
    <w:p>
      <w:pPr>
        <w:spacing w:after="0" w:line="23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us, we may be required to participate in interference proceedings in the United States Patent and Trademark Office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the USPTO.</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is dependent in part on maintaining and enforcing the patents and other proprietary rights that we have licensed and may develop, and on our ability to avoid infringing the proprietary rights of others. All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or from Moffitt if either the NIH, Moffitt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 that its activities are not covered by, that is, do not infringe, our patents.</w:t>
      </w:r>
    </w:p>
    <w:p>
      <w:pPr>
        <w:spacing w:after="0" w:line="18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Should third parties file patent applications, or be issued patents claiming technology also used or claimed by our licensor(s) or by us in any future patent application, we may be required to participate in interference proceedings in the United States Patent and Trademark Office to determine priority of invention for those patents or patent applications that are subject to the first-to-invent law in the United States, or may be required to participate in derivation proceedings in the United States Patent and Trademark Office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6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License Agreement has not previously licensed, or that the co-owner thereafter will not license, to other biotechnology companies some or all of the technologies available to us. Co-</w:t>
      </w:r>
    </w:p>
    <w:p>
      <w:pPr>
        <w:sectPr>
          <w:pgSz w:w="11900" w:h="16934" w:orient="portrait"/>
          <w:cols w:equalWidth="0" w:num="1">
            <w:col w:w="11400"/>
          </w:cols>
          <w:pgMar w:left="240" w:top="908" w:right="259" w:bottom="0" w:gutter="0" w:footer="0" w:header="0"/>
        </w:sectPr>
      </w:pPr>
    </w:p>
    <w:bookmarkStart w:id="39" w:name="page40"/>
    <w:bookmarkEnd w:id="39"/>
    <w:p>
      <w:pPr>
        <w:ind w:right="440"/>
        <w:spacing w:after="0" w:line="277" w:lineRule="auto"/>
        <w:rPr>
          <w:sz w:val="20"/>
          <w:szCs w:val="20"/>
          <w:color w:val="auto"/>
        </w:rPr>
      </w:pPr>
      <w:r>
        <w:rPr>
          <w:rFonts w:ascii="Arial" w:cs="Arial" w:eastAsia="Arial" w:hAnsi="Arial"/>
          <w:sz w:val="18"/>
          <w:szCs w:val="18"/>
          <w:color w:val="auto"/>
        </w:rPr>
        <w:t>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Since the NCI, MD Anderson Cancer Center, and the H. Lee Moffitt Cancer &amp; Research Institute and others already use the ACT technology in therapy for the treatment of Stage IV metastatic melanoma, their methods and data are also available to third parties, who may want to enter into our line of business and compete against us.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and marketing of the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be available on acceptable terms or at all.</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ind w:left="660"/>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237"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237"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6"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Our existing directors and executive officers hold a substantial amount of our common stock and may be able to influence significant corporate decisions.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December 31, 2015, our officers and directors beneficially owned approximately 10% of our outstanding common stock. These stockholders, if they act together, may be able to materially affect the outcome of matters presented to our stockholders, including the election of our directors and other corporate actions such as:</w:t>
      </w:r>
    </w:p>
    <w:p>
      <w:pPr>
        <w:spacing w:after="0" w:line="18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merger with or into another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sale of substantially all of our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Amendments to our articles of incorporation.</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the decisions of these stockholders may conflict with our interests or those of our other stockholders and the market price of our stock may be adversely affected by market volatility.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market price of our common stock is likely to be volatile and could fluctuate widely in response to many factors, including but not limited to:</w:t>
      </w:r>
    </w:p>
    <w:p>
      <w:pPr>
        <w:spacing w:after="0" w:line="237"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or our competitors;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due to the level of development expenses and other factors;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 whether our earnings meet or exceed such estimates;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United States;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Annual Report.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will have to raise additional capital in the future. To raise additional capital, we may in the future offer additional shares of our common stock or other securities convertible into or exchangeable for our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sales of our common stock may depress our stock price.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January 31, 2016, we had over 48 million shares of our common stock outstanding. However, we have registered 8,049,216 additional shares of our common stock that could be issued under outstanding common stock to purchase warrants and under outstanding shares of convertible preferred stock. If a significant number of the registered shares underlying the warrants or shares of convertible preferred stock are issued and sold on the market, the prevailing trading price could be adversely affected.</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Although we have research coverage by securities and industry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81"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Until September 2015, we were a small company with few employees and we did not have sufficient personnel within our finance department to properly conduct all of internal control procedures and activities that require segregation of powers and responsibilities. As a result, as of December 31, 2014, we did not maintain effective internal control over our financial reporting systems. In June 2015 we hired a seasoned Chief Financial Officer to establish effective internal controls over our reporting. As of December 31, 2015, we believe we have remedied any material weaknesses and have sufficient controls in place to comply with the Sarbanes-Oxley Act of 2002. Nevertheless, in future years, our testing, or the subsequent testing by our independent registered public accounting firm, may reveal deficiencies in our internal controls that we would be required to remediate in a timely manner so as to be able to comply with the requirements of Section 404 of the Sarbanes-Oxley Act each year. If we are not able to comply with the requirements of Section 404 of the Sarbanes-Oxley Act in a timely manner each year, we could be subject to sanctions or investigations by the SEC, NASDAQ or other regulatory authorities which would require additional financial and management resources and could adversely affect the market price of our common stock. Material weaknesses in our internal controls could result in a loss of investor confidence in our financial reports.</w:t>
      </w:r>
    </w:p>
    <w:p>
      <w:pPr>
        <w:sectPr>
          <w:pgSz w:w="11900" w:h="16838" w:orient="portrait"/>
          <w:cols w:equalWidth="0" w:num="1">
            <w:col w:w="11420"/>
          </w:cols>
          <w:pgMar w:left="240" w:top="904" w:right="239" w:bottom="0" w:gutter="0" w:footer="0" w:header="0"/>
        </w:sectPr>
      </w:pPr>
    </w:p>
    <w:bookmarkStart w:id="42" w:name="page43"/>
    <w:bookmarkEnd w:id="42"/>
    <w:p>
      <w:pPr>
        <w:jc w:val="center"/>
        <w:ind w:right="-4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Our board could issue one or more additional series preferred stock without stockholder approval with the effect of diluting existing stockholders and impairing their voting and other rights.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articles of incorporation authorize the issuance of up to 50,000,000 shares of “blank check” preferred stock (of which only 17,000 have been designated as the Series A Convertible Preferred Stock) with designations, rights and preferences as may be determined from time to time by our board of directors. Our board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6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7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3" w:lineRule="exact"/>
        <w:rPr>
          <w:sz w:val="20"/>
          <w:szCs w:val="20"/>
          <w:color w:val="auto"/>
        </w:rPr>
      </w:pPr>
    </w:p>
    <w:p>
      <w:pPr>
        <w:ind w:right="180" w:firstLine="648"/>
        <w:spacing w:after="0" w:line="210" w:lineRule="auto"/>
        <w:rPr>
          <w:sz w:val="20"/>
          <w:szCs w:val="20"/>
          <w:color w:val="auto"/>
        </w:rPr>
      </w:pPr>
      <w:r>
        <w:rPr>
          <w:rFonts w:ascii="Arial" w:cs="Arial" w:eastAsia="Arial" w:hAnsi="Arial"/>
          <w:sz w:val="18"/>
          <w:szCs w:val="18"/>
          <w:color w:val="auto"/>
        </w:rPr>
        <w:t>As of July 1, 2015, our new corporate offices are located at 112 West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10120. We currently lease these offices under one year lease for a monthly rental of approximately $12,000.</w:t>
      </w:r>
    </w:p>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July 2014, we entered into a five -year lease with the University of South Florida Research Foundation for an approximately 5,100 square foot facility located at 3802 Spectrum Boulevard Tampa, Florida 33612. The facility is part of the University of South Florida research park and is used as our research and development facilities. Our monthly base rent for this facility was $10,443 for the first year, and increases by 3% annually. We have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believe that our existing facilities are adequate to meet our current needs, and that suitable additional alternative spaces will be available in the future on commercially reasonable terms.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Subpoena</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On April 23, 2014 we received a subpoena from the SEC that stated that the staff of the SEC is conducting an investigation now known as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In the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Matter of Certain Stock Promotions,</w:t>
      </w:r>
      <w:r>
        <w:rPr>
          <w:rFonts w:ascii="Arial" w:cs="Arial" w:eastAsia="Arial" w:hAnsi="Arial"/>
          <w:sz w:val="18"/>
          <w:szCs w:val="18"/>
          <w:color w:val="auto"/>
        </w:rPr>
        <w:t>” and that the subpoena was issued as part of the foregoing investigation. The SEC’s subpoena and accompanying letter</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indicate whether we are, or are not, under investigation. We have cooperated with the SEC and have completed our production of documents in response to the subpoena. To date, the SEC has not requested any further information from us. Nevertheless, the SEC may in the future require us to produce additional documents or other materials.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subpoena required us to give the SEC certain documents regarding, and communications between, anyone at this company and certain listed persons and entities (which include investor-relations firms and persons associated with the investor-relations firms), and articles regarding this company posted on certain equity research or other financial websites. We believe that the SEC is investigating improper conduct relative to the payment of bloggers and other authors for promotional articles written about public companies. A number of articles have been written about us that may be available on the internet and elsewhere. Investors considering an investment in our securities should review this Annual Report and the other documents that we filed with the SEC rather than relying on internet blogs or other similar articles and publications.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right="60" w:firstLine="648"/>
        <w:spacing w:after="0" w:line="255" w:lineRule="auto"/>
        <w:rPr>
          <w:sz w:val="20"/>
          <w:szCs w:val="20"/>
          <w:color w:val="auto"/>
        </w:rPr>
      </w:pPr>
      <w:r>
        <w:rPr>
          <w:rFonts w:ascii="Arial" w:cs="Arial" w:eastAsia="Arial" w:hAnsi="Arial"/>
          <w:sz w:val="18"/>
          <w:szCs w:val="18"/>
          <w:color w:val="auto"/>
        </w:rPr>
        <w:t>Although we are unaware of the exact scope or timing of the SEC’s investigation it is our understanding that the investigation is ongoing. We do not know when the investigation will be concluded or to what extent we will be further involved. If we receive additional subpoenas or other requests for documents from the SEC it is our intention to fully cooperate with the SEC. Complying with any such future requests could distract the time and attention of our officers and directors or divert our resources away from research and development programs. Furthermore, we and our former officers and directors, may be the subject of the SEC’s investigation. Any such investigation could result in significant legal expenses, the diversion of management’s attention from our business, damage to our business and reputation, and could subject us to a wide range of remedies, including an SEC enforcement action and potential financial penalties required by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Other than the foregoing SEC subpoena, there are no other pending legal proceedings to which we are a party or of which our property is the subject. However, from time to time, we may be involved in various claims and legal proceedings relating to claims arising out of our operations. Regardless of outcome, litigation can have an adverse impact on us because of defense and settlement costs, diversion of management resources and other factors.</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Common Equity, Related Stockholder Matters and Issuer Purchases of Equity Securities.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February 26, 2015, our common stock was listed for trading on the Nasdaq Global Market under the symbol “LBIO”. From October 23, 2013 until February 26, 2015, our common stock was quoted on the OTC QB market of the OTC Markets.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Fiscal Year Ended December 31, 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Low</w:t>
            </w:r>
          </w:p>
        </w:tc>
      </w:tr>
      <w:tr>
        <w:trPr>
          <w:trHeight w:val="210"/>
        </w:trPr>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Second Quarter</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11.25</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Fourth Quarter</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8.40</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Fiscal Year Ended December 31, 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Low</w:t>
            </w:r>
          </w:p>
        </w:tc>
      </w:tr>
      <w:tr>
        <w:trPr>
          <w:trHeight w:val="210"/>
        </w:trPr>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Second Quarter</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8"/>
                <w:szCs w:val="18"/>
                <w:color w:val="auto"/>
              </w:rPr>
            </w:pP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Fourth Quarter</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8.45</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As of December 31, 2015, there were approximately 78 holders of record of our common stock. Many of our shares are held by brokers and other institutions on behalf of an estimated 1,500 stockholders who are represented by these holders of record. In addition, we had three holders of record who</w:t>
      </w:r>
    </w:p>
    <w:p>
      <w:pPr>
        <w:ind w:right="400"/>
        <w:spacing w:after="0" w:line="205" w:lineRule="auto"/>
        <w:rPr>
          <w:sz w:val="20"/>
          <w:szCs w:val="20"/>
          <w:color w:val="auto"/>
        </w:rPr>
      </w:pPr>
      <w:r>
        <w:rPr>
          <w:rFonts w:ascii="Arial" w:cs="Arial" w:eastAsia="Arial" w:hAnsi="Arial"/>
          <w:sz w:val="18"/>
          <w:szCs w:val="18"/>
          <w:color w:val="auto"/>
        </w:rPr>
        <w:t>owned shares of our Series A Convertible Preferred Stock. The transfer agent for our Common Stock is Continental Stock Transfer, 17 Battery Place,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10004.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have not paid any dividends on our Common Stock to date and do not anticipate that we will pay dividends in the foreseeable future. Any payment of cash dividends on our Common Stock in the future will be dependent upon the amount of funds legally available, our earnings, if any, our financial condition, our anticipated capital requirements and other factors that the Board of Directors may think are relevant. However, we currently intend for the foreseeable future to follow a policy of retaining all of our earnings, if any, to finance the development and expansion of our business and, therefore, do not expect to pay any dividends on our Common Stock in the foreseeable future.</w:t>
      </w:r>
    </w:p>
    <w:p>
      <w:pPr>
        <w:spacing w:after="0" w:line="173"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Under the terms of the Series A Convertible Preferred Stock, we may not declare, pay or set aside any dividends on shares of any class or series of capital stock (other than dividends on shares of common stock payable in shares of common stock) unless the holders of the Series A Convertible Preferred Stock first receive, or simultaneously receive, an equal dividend on each outstanding share of Series A Convertible Preferred Stock.</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See Part III, Item 12, “Security Ownership of Certain Beneficial Owners and Management and Related Stockholder Matters,” of this Annual Report for information regarding securities authorized for issuance under our equity compensation plans, which information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fiscal quarter ended December 31, 2015, one accredited investor who held warrants that we sold to him in the November 2013 private placement, exercised warrants to purchase 4,000 shares of common stock at an exercise price of $2.50 per share ($10,000 in the aggregate). These shares were issued pursuant to an exemption available under Section 4(a)(2) of the Securities Act of 1933, as amended. No commissions were paid with respect to these warrants exercises.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shares during the fourth quarter of the fiscal year covered by this report.</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(in thousands, except per share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The statements of operations data for the years ended December 31, 2015, 2014 and 2013 and the balance sheet data as of December 31, 2015 and 2014 have been derived from our audited financial statements included elsewhere in this annual report on Form 10-K. The statements of operations data for the years ended December 31, 2012 and 2011 and the balance sheet data as of December 31, 2013, 2012 and 2011 have been derived from our audited financial statements not included in this annual report on Form 10-K. The following selected financial data should be read in conjunction with our “Management’s Discussion and Analysis of Financial Condition and Results of Operations” and financial statements and related notes to those statements included elsewhere in this annual report on Form 10-K.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19"/>
                <w:szCs w:val="19"/>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w:t>
            </w:r>
          </w:p>
        </w:tc>
      </w:tr>
      <w:tr>
        <w:trPr>
          <w:trHeight w:val="257"/>
        </w:trPr>
        <w:tc>
          <w:tcPr>
            <w:tcW w:w="38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12,390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8,192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3,831</w:t>
            </w:r>
          </w:p>
        </w:tc>
        <w:tc>
          <w:tcPr>
            <w:tcW w:w="30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6,476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19,303</w:t>
            </w:r>
          </w:p>
        </w:tc>
      </w:tr>
      <w:tr>
        <w:trPr>
          <w:trHeight w:val="216"/>
        </w:trPr>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Lion transaction - related party</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16,656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Other income (loss)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(2,741)</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4,825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(4,476)</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(27,660)</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(12,035)</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(25,382)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(25,694)</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Net loss per share</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(0.34)</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As of 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19"/>
                <w:szCs w:val="19"/>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1,630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1,662</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11,349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13,349</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7,938</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104,023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44,845</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17,604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(11,319)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(12,781)</w:t>
            </w: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See "Management's Discussion and Analysis of Financial Condition and Results of Operations" below, and the financial statements and accompanying notes and previously filed Annual Reports on Form 10-K for further information regarding our results and financial position for periods reported herein and for known factors that will impact comparability of future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results of operations and financial condition should be read in conjunction with our financial statements and the notes to those financial statements that are included elsewhere in this report.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“anticipate,” “estimate,” “plan,” “project,” “continuing,” “ongoing,” “expect,” “believe,” “intend,” “may,” “will,” “should,” “could,” and similar expressions to identify forward-looking statements. All forward-looking statements included in this report are based on information available to us on the date hereof and, except as required by law, we assume no obligation to update any such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a clinical-stage biotechnology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 along with other solid tumor cancer indications.</w:t>
      </w:r>
    </w:p>
    <w:p>
      <w:pPr>
        <w:spacing w:after="0" w:line="18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Although we were formed in 2007, we did not commence our current biotechnology business until 2011. In May 2013 we completed a restructuring of all of our outstanding debt and equity securities (the “Restructuring”) and raised $1.25 million through the sale of our common stock. As part of the Restructuring, we converted $7.2 million of senior secured promissory notes, $1.7 million of bridge promissory notes, and $0.3 million in other outstanding debt into shares of common stock at a conversion price of $1.00 per share. In connection with, and shortly after the Restructuring, we replaced our Chief Executive Officer and most of our directors. On September 26, 2013, we amended and restated our Articles of Incorporation to, among other things, effect a 1-for-100 reverse stock split (pro-rata reduction of outstanding shares) of our common stock, increase (after the reverse stock split) the number of our authorized number of shares of common stock to 150,000,000 shares, and authorize the issuance of 50,000,000 shares of “blank check” preferred stock, $0.001 par value per share.</w:t>
      </w:r>
    </w:p>
    <w:p>
      <w:pPr>
        <w:spacing w:after="0" w:line="192"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November 2013, in order to fund our anticipated growth and expected research and development expenses, we raised a total of $23,290,600 in a private placement of shares of our common stock, shares of a new series of preferred stock designated as “Series A Convertible Preferred Stock,” and warrants to purchase shares of common stock. Because of the capital raised in November 2013, in 2014 we were able to increase our operations, hire additional employees and consultants and, by the end of 2014, we were able to open our own research and development facilities in Tampa, Florida, near the H. Lee Moffitt Cancer &amp; Research Institute (Moffitt) on the campus of the University of South Florida. On December 22, 2014 we closed an underwritten offering of 6,000,000 shares of our common stock, including shares sold pursuant to the exercise in full of the underwriters' option to purchase additional shares, at a price of $5.75 per share. The net proceeds to us from the offering were approximately $32.2 million. In 2015 we continued to increase our operations and hire additional employees and officer. On March 3, 2015 we closed a second underwritten public offering of 9,200,000 shares of our common stock, including shares sold pursuant to the exercise in full of the underwriters' option to purchase additional shares, at a price of $8.00 per share. The net proceeds to us from the second public offering were approximately $68.2 million. As a result of the financings effected in November 2013, December 2014 and March 2015, as of December 31, 2015 we had $103.2 million in cash, cash equivalents and short-term investments.</w:t>
      </w:r>
    </w:p>
    <w:p>
      <w:pPr>
        <w:spacing w:after="0" w:line="173"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During the second half of 2015, we opened enrollment in a Phase 2 clinical trial of our lead product candidate, LN-144, for the treatment of refractory metastatic melanoma. The single-arm study is expected to enroll approximately 20 evaluable patients and will be conducted at up to ten sites. Additionally, at the end of 2015, we filed an Investigational New Drug (IND) application with the FDA to conduct clinical trials of LN-145 in the treatment of cervical cancer, and head and neck squamous cell carcinoma (HNSCC). In February, 2016 we announced that the FDA has allowed our IND application. We anticipate that we will begin enrolling for at least one of these trials during 2016.</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Results of Operations for the Years Ended December 31, 2015,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development stage company that is currently engaged in the development of novel cancer immunotherapy products, we have not yet generated any revenues from our biotechnology business or otherwise since our formation. We currently do not anticipate that we will generate any revenues during 2016 from the sale or licensing of our products. Our ability to generate revenues in the future will depend on our ability to complete the development of our product candidates and to obtain regulatory approval for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2"/>
              </w:rPr>
              <w:t>Aggregate Change</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2015 from 2014</w:t>
            </w: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89"/>
              </w:rPr>
              <w:t>2014 from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expense included in</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1,104</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Research and development expense consists of costs incurred in performing research and development activities, clinical trials, personnel costs for research and development employees and consultants, rent at our research and development facility in Tampa, Florida, cost of laboratory supplies, manufacturing expenses, and fees paid to third parties, including the NCI and our third party contract manufacturer that will process and manufacture our products for our clinical trial. Research and development expenses also included amounts paid to the National Institutes of Health under terms of our license agreements, and to the NCI under the CRADA. During the year ended December 31, 2015, our research and development costs increased by $11.6 million when compared to the same period in 2014. The increase is mainly attributable to the expansion of our CRADA in 2015, the general expansion of our research and development efforts, the establishment of our Tampa, Florida, research facility in the fourth quarter of 2014 and the initiation of our Phase II clinical trial in September 2015. Research and development costs were $2.7 million in 2014 compared to $1.3 million for the year ended December 31, 2013. Research and development expenses in 2014 increased over 2013 as we expanded our research and development activities including: engaging Lonza to commence establishing a centralized TIL manufacturing center, entering into a clinical trial grant agreement with Moffitt Cancer Center, and opening our own research and development laboratory in Tampa.</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continue to conduct our clinical trial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ended December 31, 2015, 2014 and 2013, we incurred $2.2 million, $1.1 million and $0.8 million, respectively, of non-cash stock-based compensation costs. The increases during the last three years are attributable to the increase in our hiring in support of our increased clinical development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2"/>
              </w:rPr>
              <w:t>Aggregate Change</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2013</w:t>
            </w:r>
          </w:p>
        </w:tc>
        <w:tc>
          <w:tcPr>
            <w:tcW w:w="200" w:type="dxa"/>
            <w:vAlign w:val="bottom"/>
          </w:tcPr>
          <w:p>
            <w:pPr>
              <w:spacing w:after="0"/>
              <w:rPr>
                <w:sz w:val="19"/>
                <w:szCs w:val="19"/>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2015 from 2014</w:t>
            </w: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89"/>
              </w:rPr>
              <w:t>2014 from 2013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expense included in</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3,605</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9" w:name="page50"/>
    <w:bookmarkEnd w:id="49"/>
    <w:p>
      <w:pPr>
        <w:ind w:right="40" w:firstLine="648"/>
        <w:spacing w:after="0" w:line="270" w:lineRule="auto"/>
        <w:rPr>
          <w:sz w:val="20"/>
          <w:szCs w:val="20"/>
          <w:color w:val="auto"/>
        </w:rPr>
      </w:pPr>
      <w:r>
        <w:rPr>
          <w:rFonts w:ascii="Arial" w:cs="Arial" w:eastAsia="Arial" w:hAnsi="Arial"/>
          <w:sz w:val="17"/>
          <w:szCs w:val="17"/>
          <w:color w:val="auto"/>
        </w:rPr>
        <w:t>General and administrative expenses include personnel costs for our employees engaged in general and administrative activities, legal fees, audit and tax fees, consultants and professional services, and general corporate expenses. For the year ended December 31, 2015 our general and administrative expenses increased by $4.2 million, or 51%, and for the year ended December 31, 2014 compared to the prior year comparable period, our general and administrative expenses increased by $4.4 million, or 114%. The increase in our general and administrative expenses during the years ended December 31, 2015 and 2014 is due to the increase in our overall corporate activities, including business development and increases in employment related expenses, insurance costs and legal fees. For the years ended December 31, 2015, 2014 and 2013, we incurred $6.3 million, $2.7 million, and $1.9 million, respectively, of non-cash stock-based compensation costs. Share based compensation includes stock and options granted to our executive officers, our employees, our directors, and our consultants and advisors. As a result of our increased operations and the additional employees, our general and administrative expenses in the future are expected to continue to increase.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Interest Income/(Expense) (in thousands)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gridSpan w:val="6"/>
          </w:tcPr>
          <w:p>
            <w:pPr>
              <w:ind w:left="40"/>
              <w:spacing w:after="0"/>
              <w:rPr>
                <w:sz w:val="20"/>
                <w:szCs w:val="20"/>
                <w:color w:val="auto"/>
              </w:rPr>
            </w:pPr>
            <w:r>
              <w:rPr>
                <w:rFonts w:ascii="Arial" w:cs="Arial" w:eastAsia="Arial" w:hAnsi="Arial"/>
                <w:sz w:val="18"/>
                <w:szCs w:val="18"/>
                <w:b w:val="1"/>
                <w:bCs w:val="1"/>
                <w:color w:val="auto"/>
                <w:w w:val="91"/>
              </w:rPr>
              <w:t>Year Ended December 31,</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5"/>
          </w:tcPr>
          <w:p>
            <w:pPr>
              <w:ind w:left="300"/>
              <w:spacing w:after="0"/>
              <w:rPr>
                <w:sz w:val="20"/>
                <w:szCs w:val="20"/>
                <w:color w:val="auto"/>
              </w:rPr>
            </w:pPr>
            <w:r>
              <w:rPr>
                <w:rFonts w:ascii="Arial" w:cs="Arial" w:eastAsia="Arial" w:hAnsi="Arial"/>
                <w:sz w:val="18"/>
                <w:szCs w:val="18"/>
                <w:b w:val="1"/>
                <w:bCs w:val="1"/>
                <w:color w:val="auto"/>
              </w:rPr>
              <w:t>Aggregate Change</w:t>
            </w:r>
          </w:p>
        </w:tc>
      </w:tr>
      <w:tr>
        <w:trPr>
          <w:trHeight w:val="191"/>
        </w:trPr>
        <w:tc>
          <w:tcPr>
            <w:tcW w:w="42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1"/>
              </w:rPr>
              <w:t>2015 from</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2014 from</w:t>
            </w:r>
          </w:p>
        </w:tc>
        <w:tc>
          <w:tcPr>
            <w:tcW w:w="100" w:type="dxa"/>
            <w:vAlign w:val="bottom"/>
          </w:tcPr>
          <w:p>
            <w:pPr>
              <w:spacing w:after="0"/>
              <w:rPr>
                <w:sz w:val="16"/>
                <w:szCs w:val="16"/>
                <w:color w:val="auto"/>
              </w:rPr>
            </w:pPr>
          </w:p>
        </w:tc>
      </w:tr>
      <w:tr>
        <w:trPr>
          <w:trHeight w:val="234"/>
        </w:trPr>
        <w:tc>
          <w:tcPr>
            <w:tcW w:w="42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2013</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200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Interest income results from our interest-bearing cash and investment balances. Interest income for the year ended December 31, 2015 increased over 2014 and 2013 due to the higher cash balances in 2015 as a result of the proceeds received from our equity financings in late 2014 and early 2015. In 2013, the Company incurred interest expense on its promissory notes which were restructured in late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had a net loss of $27.7 million, $12.0 million, and $25.4 million for the years ended December 31, 2015, 2014 and 2013, respectively. The increase in our net loss during 2015 is due to an increase in general and administrative expenses, as described above, along with the expansion of our research and development activities. We anticipate that we will continue to incur net losses in the future as we further invest in our research and development activities, including our clinical development, and we do not expect to generate any revenues in the near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December 31, 2015 we had cash, cash equivalents and short-term investments of $103.7 million. As of December 31, 2015, we had $102.3 million of working capital.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w w:val="99"/>
              </w:rPr>
              <w:t>Cash Flows from Operating, Investing and Financing Activities (in thousands):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Borders>
              <w:bottom w:val="single" w:sz="8" w:color="CCEEFF"/>
            </w:tcBorders>
          </w:tcPr>
          <w:p>
            <w:pPr>
              <w:spacing w:after="0"/>
              <w:rPr>
                <w:sz w:val="19"/>
                <w:szCs w:val="19"/>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(18,381)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(8,633)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(3,661)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(91,153)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78,267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35,462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23,346</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(31,267)</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25,237</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Net cash used in operating activities was approximately $18.4 million in 2015 compared to approximately $8.6 million and $3.7 million in 2014 and 2013, respectively. Net cash used in operating activities primarily consisted of cash payments related to the increased spending within our research and development group in support of our clinical development programs as well as the increase in our administrative functions as we scale up our business to support of the clinical activities. The timing of cash requirements may vary from period to period depending on our research and development activities, including our planned clinical trials.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right="120" w:firstLine="648"/>
        <w:spacing w:after="0" w:line="297" w:lineRule="auto"/>
        <w:rPr>
          <w:sz w:val="20"/>
          <w:szCs w:val="20"/>
          <w:color w:val="auto"/>
        </w:rPr>
      </w:pPr>
      <w:r>
        <w:rPr>
          <w:rFonts w:ascii="Arial" w:cs="Arial" w:eastAsia="Arial" w:hAnsi="Arial"/>
          <w:sz w:val="16"/>
          <w:szCs w:val="16"/>
          <w:color w:val="auto"/>
        </w:rPr>
        <w:t>Net cash used in investing activities was approximately $91.2 million in 2015 compared to net cash used in investing activities of approximately $1.6 million and $13,000 in 2014 and 2013, respectively. The increase in investing activities in 2015 related to the investment of the approximately $100 million in proceeds we received from the 2014 and 2015 equity raises. Net cash used in investing activities in 2015 related to net purchases of short-term investments and capital expenditures. Capital expenditures were approximately $1.1 million, $1.6 million and $13,000 in 2015, 2014 and 2013, respectively. The objective of the company’s investment policy is to ensure the safety and preservation of its capital while maximizing total return.</w:t>
      </w:r>
    </w:p>
    <w:p>
      <w:pPr>
        <w:spacing w:after="0" w:line="15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Net cash provided by financing activities was approximately $78.3 million in 2015 compared to approximately $35.5 million and $23.3 million in 2014 and 2013, respectively. Net cash provided by financing activities during the years reported related to the proceeds from the sale of our securities. Most recently, in the first quarter of 2015, we completed an underwritten public offering in which we received net proceeds of approximately $68.3 million. Net cash provided by financing activities in 2015 and 2014 also included proceeds from the exercise of outstanding warrants of approximately $9.7 million and $3.2 million, respectively.</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2016, we expect to further ramp up our research and development activities, which will increase the amount of cash we will use in our operations. Our budget for 2016 includes significantly increased spending for clinical trials with LN-144 our lead product candidate and LN-145, and on research and development for other indications and TIL enhancements. In addition, we anticipate that we will have higher payroll expenses as we increase our professional staff. Based on the funds we had available on December 31, 2015 and the additional net proceeds we received in the March 3, 2015 public offering, we believe that we have sufficient capital to fund our anticipated operating expenses for at least 12 months.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of the financial statements for a discussion of recent accounting pronouncements.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and accompanying notes, which have been prepared in accordance with accounting principles generally accepted in the United States. The preparation of these financial statements requires management to make estimates and assumptions that affect the reported amounts of assets, liabilities, revenue and expenses, and related disclosure of contingent assets and liabilities. When making these estimates and assumptions, we consider our historical experience, our knowledge of economic and market factors and various other factors that we believe to be reasonable under the circumstances. Actual results may differ under different estimates and assumptions.</w:t>
      </w:r>
    </w:p>
    <w:p>
      <w:pPr>
        <w:spacing w:after="0" w:line="1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accounting estimates and assumptions discussed in this section are those that we consider to be the most critical to an understanding of our financial statements because they inherently involve significant judgments and uncertainties.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periods. Actual results could differ from these estimates.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periodically issue stock options and warrants to employees and non-employees in non-capital raising transactions for services and for financing costs. We adopted FASB guidance effective January 1, 2006, and are using the modified prospective method in which compensation cost is recognized beginning with the effective date (a) for all share-based payments granted after the effective date and (b) for all awards granted to employees prior to the effective date that remain unvested on the effective date. We account for stock option and warrant grants issued and vesting to non-employees in accordance with accounting guidance whereby the fair value of the stock compensation is based on the measurement date as determined at either (a) the date at which a performance commitment is reached, or (b) the date at which the necessary performance to earn the equity instrument is complete.</w:t>
      </w:r>
    </w:p>
    <w:p>
      <w:pPr>
        <w:spacing w:after="0" w:line="16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estimate the fair value of stock options using the Black-Scholes option-pricing model, which was developed for use in estimating the fair value of options that have no vesting restrictions and are fully transferable. This model requires the input of subjective assumptions, including the expected price volatility of the underlying stock and the expected life of stock options. Projected data related to the expected volatility of stock options is based on the historical volatility of the trading prices of our common stock and the expected life of stock options is based upon the average term and vesting schedules of the options. Changes in these subjective assumptions can materially affect the fair value of the estimate, and therefore the existing valuation models do not provide a precise measure of the fair value of our employee stock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acquire assets still in development and enter into research and development arrangements with third parties that often require milestone and royalty payments to the third party contingent upon the occurrence of certain future events linked to the success of the asset in development. Milestone payments may be required, contingent upon the successful achievement of an important point in the development life-cycle of the pharmaceutical product (e.g., approval of the product for marketing by a regulatory agency). If required by the arrangement, we may have to make royalty payments based upon a percentage of the sales of the pharmaceutical product in the event that regulatory approval for marketing is obtained. Because of the contingent nature of these milestone payments, they are not included in the table of contractual obligations.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ind w:right="20" w:firstLine="648"/>
        <w:spacing w:after="0" w:line="312" w:lineRule="auto"/>
        <w:rPr>
          <w:sz w:val="20"/>
          <w:szCs w:val="20"/>
          <w:color w:val="auto"/>
        </w:rPr>
      </w:pPr>
      <w:r>
        <w:rPr>
          <w:rFonts w:ascii="Arial" w:cs="Arial" w:eastAsia="Arial" w:hAnsi="Arial"/>
          <w:sz w:val="16"/>
          <w:szCs w:val="16"/>
          <w:color w:val="auto"/>
        </w:rPr>
        <w:t>These arrangements may be material individually, and in the event that milestones for multiple products covered by these arrangements were reached in the same period, the aggregate charge to expense could be material to the results of operations in any one period. In addition, these arrangements often give us the discretion to unilaterally terminate development of the product, which would allow us to avoid making the contingent payments.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contractual obligations as of December 31, 2015 that will require future cash payments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85"/>
              <w:spacing w:after="0"/>
              <w:rPr>
                <w:sz w:val="20"/>
                <w:szCs w:val="20"/>
                <w:color w:val="auto"/>
              </w:rPr>
            </w:pPr>
            <w:r>
              <w:rPr>
                <w:rFonts w:ascii="Arial" w:cs="Arial" w:eastAsia="Arial" w:hAnsi="Arial"/>
                <w:sz w:val="18"/>
                <w:szCs w:val="18"/>
                <w:b w:val="1"/>
                <w:bCs w:val="1"/>
                <w:color w:val="auto"/>
              </w:rPr>
              <w:t>Payments due by period</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0"/>
              </w:rPr>
              <w:t>Less than 1</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5"/>
              </w:rPr>
              <w:t>More than</w:t>
            </w:r>
          </w:p>
        </w:tc>
        <w:tc>
          <w:tcPr>
            <w:tcW w:w="0" w:type="dxa"/>
            <w:vAlign w:val="bottom"/>
          </w:tcPr>
          <w:p>
            <w:pPr>
              <w:spacing w:after="0"/>
              <w:rPr>
                <w:sz w:val="1"/>
                <w:szCs w:val="1"/>
                <w:color w:val="auto"/>
              </w:rPr>
            </w:pPr>
          </w:p>
        </w:tc>
      </w:tr>
      <w:tr>
        <w:trPr>
          <w:trHeight w:val="179"/>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ind w:left="1100"/>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Year</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1-3 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3-5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5 years</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Rent Obligations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NIH minimum obligations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Moffitt obligations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CRADA minimum obligations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Other Long-Term Liabilities Reflected on the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20" w:type="dxa"/>
            <w:vAlign w:val="bottom"/>
            <w:gridSpan w:val="2"/>
          </w:tcPr>
          <w:p>
            <w:pPr>
              <w:spacing w:after="0"/>
              <w:rPr>
                <w:sz w:val="20"/>
                <w:szCs w:val="20"/>
                <w:color w:val="auto"/>
              </w:rPr>
            </w:pPr>
            <w:r>
              <w:rPr>
                <w:rFonts w:ascii="Arial" w:cs="Arial" w:eastAsia="Arial" w:hAnsi="Arial"/>
                <w:sz w:val="18"/>
                <w:szCs w:val="18"/>
                <w:color w:val="auto"/>
              </w:rPr>
              <w:t>Registrant's Balance Sheet under GAAP</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Each of the CRADA and certain of our license agreements under which we may be required to pay quarterly or annual fees is generally cancelable by us, given appropriate prior written notice and, as such, is excluded from the table above, unless the fees were already incurred at December 31, 2015. The annual amount payable by us to maintain the CRADA and certain of our license agreements is approximately $2 million. Our CRADA expires in August 2016, for the purposes of this table we assumed that the agreement will be renewed on equal terms and continued for another three years. Other than as disclosed in the table above, the payment obligations under the license agreements, as well as under the Moffitt Agreement, are contingent upon future events such as our achievement of specified development, regulatory and commercial milestones and we are required to make development milestone payments and royalty payments in connection with the sale of products developed under these agreements. As of December 31, 2015, we were unable to estimate the timing or likelihood of achieving the milestones or making future product sales and, therefore, any related payments are not included in the table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2015, we had no obligations that would require disclosure as off-balance sheet arrangements.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investments in marketable securities, which are composed primarily of corporate debt securities, are subject to default, changes in credit rating and changes in market value. The primary objective of our investment activities is to preserve principal. These investments are also subject to interest rate risk and will decrease in value if market rate interest rates increase. As of December 31, 2015, marketable securities we owned were $70.1 million. Due to the nature of these investments, if market interest rates were to increase immediately and uniformly by 10% from levels as of December 31, 2015, the decline in fair value would not be material. If interest rates had declined by 10% in the year ended December 31, 2015, the decrease in earned interest would not have had a material effect on our results of operations or cash flows for that period.</w:t>
      </w:r>
    </w:p>
    <w:p>
      <w:pPr>
        <w:spacing w:after="0" w:line="1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5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Financial Statements are referred to in Item 15, listed in the Index to Financial Statements and filed and included elsewhere herein as a part of this Annual Report on Form 10-K, and are incorporated herein by this reference.</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Based on this evaluation, our principal executive officer and our principal financial officer concluded that our disclosure controls and procedures were effective as of the end of the period covered by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Integrated Framework issued by the Committee of Sponsoring Organizations of the Treadway Commission (2013 framework). Based on our evaluation under the framework in Internal Control—Integrated Framework, our management concluded that our internal control over financial reporting was effective as of December 31, 2015.</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change over time.</w:t>
      </w:r>
    </w:p>
    <w:p>
      <w:pPr>
        <w:spacing w:after="0" w:line="181"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December 31, 2015 has been audited by Weinberg &amp; Company. P.A., an independent registered public accounting firm, as stated in its attestation report which is set forth below in this Annual Report on Form 10-K.</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Certain information required by Part III is omitted from this Annual Report because we will file a definitive Proxy Statement for the Annual Meeting of Stockholders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4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Information required by this Item 10 will be presented in the Proxy Statement and is incorporated herein by reference. Certain Information regarding our executive officers is included above in Part I of this Form 10-K under the caption “Executive Officers” pursuant to Instruction 3 to Item 401(b) of Regulation S-K and General Instruction G(3) of Form 10-K.</w:t>
      </w:r>
    </w:p>
    <w:p>
      <w:pPr>
        <w:spacing w:after="0" w:line="17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and “Directors’ Compensation” in the Proxy Statement.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Transactions” in the Proxy Statement.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Accountant’s Fees and Services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Information required by this Item is incorporated herein by reference to the section of the Proxy Statement entitled “Principal Accountant Fees and Services.”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Statements Schedules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Company’s financial statements and related notes thereto are listed and included in this Annual Report beginning on page F-1. The following exhibits are filed with, or are incorporated by reference into, this Annual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0160" w:type="dxa"/>
            <w:vAlign w:val="bottom"/>
          </w:tcPr>
          <w:p>
            <w:pPr>
              <w:spacing w:after="0"/>
              <w:rPr>
                <w:sz w:val="20"/>
                <w:szCs w:val="20"/>
                <w:color w:val="auto"/>
              </w:rPr>
            </w:pPr>
            <w:r>
              <w:rPr>
                <w:rFonts w:ascii="Arial" w:cs="Arial" w:eastAsia="Arial" w:hAnsi="Arial"/>
                <w:sz w:val="18"/>
                <w:szCs w:val="18"/>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Agreement and Plan of Merger between Freight Management Corp. (renamed Genesis Biopharma, Inc.) and Genesis Biopharma, Inc. dated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March 15, 2010 (incorporated herein by reference to the Registrant’s Form 8-K filed with the Commission on March 19, 2010).</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Asset Purchase Agreement among Freight Management Corp. (renamed Genesis Biopharma, Inc.), Genesis Biopharma, Inc., Hamilton</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Atlantic and the other signatories thereto dated March 15, 2010 (incorporated herein by reference to the Registrant’s Form 8-K filed with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Commission on March 19, 2010).</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0"/>
              </w:rPr>
              <w:t>Articles of Incorporation filed with the Nevada Secretary of State on September 7, 2007 (incorporated herein by reference to the Registrant’s</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Registration Statement on Form SB-2 filed with the Commission on January 29, 2008).</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Articles of Merger filed with the Nevada Secretary of State on March 15, 2010 (incorporated herein by reference to the Registrant’s Form 8-</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K filed with the Commission on March 19, 2010).</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6"/>
              </w:rPr>
              <w:t>Certificate of Change to Articles of Incorporation filed with the Nevada Secretary of State on March 15, 2010 (incorporated herein by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reference to the Registrant’s Form 8-K filed with the Commission on March 19, 2010).</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8"/>
              </w:rPr>
              <w:t>Agreement and Plan of Merger, dated July 24, 2013, by and among Genesis Biopharma, Inc., Lion Biotechnologies, Inc., Genesis</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Biopharma Sub, Inc., Manish Singh and Sanford J. Hillsberg (incorporated herein by reference to the Registrant’s Form 8-K filed with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Commission on July 25, 2013).</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Bylaws (incorporated herein by reference to the Registrant’s Registration Statement on Form SB-2 filed with the Commission on January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29, 2008).</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7"/>
              </w:rPr>
              <w:t>Amendment to Bylaws (incorporated herein by reference to the Registrant’s Form 8-K filed with the Commission on May 29, 2013).</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Form of Warrant (incorporated herein by reference to Registrant’s Form 8-K filed with the Commission on October 31, 2013)</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0"/>
              </w:rPr>
              <w:t>Genesis Biopharma, Inc. 2010 Equity Compensation Plan (incorporated herein by reference to the Registrant’s Annual Report on Form 10-K</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filed with the Commission on March 31, 2010).</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Form of Stock Option Agreement for grants under the Genesis Biopharma Inc. 2010 Equity Incentive Plan (incorporated herein by reference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to the Registrant’s Annual Report on Form 10-K filed with the Commission on March 31, 2010).</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7"/>
              </w:rPr>
              <w:t>Genesis Biopharma, Inc. 2011 Equity Compensation Plan (incorporated herein by reference to Registrant’s Form 8-K filed with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Commission on October 20, 2011)</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5"/>
              </w:rPr>
              <w:t>Form of ISO Stock Option Agreement for grants under the Genesis Biopharma Inc. 2011 Equity Incentive Plan (incorporated herein by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reference to Exhibit 10.4 of the Registrant’s Form 8-K filed with the Commission on October 20, 2011).</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Form of NQSO Stock Option Agreement for grants under the Genesis Biopharma Inc. 2011 Equity Incentive Plan (incorporated herein by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reference to the Registrant’s Form 8-K filed with the Commission on October 20, 2011).</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3"/>
              </w:rPr>
              <w:t>Patent License Agreement between the Company and the National Institutes of Health effective October 5, 2011 (incorporated herein by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reference to the Registrant’s Form 8-K/A filed with the Commission on December 13, 2011).*</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6"/>
              </w:rPr>
              <w:t>Cooperative Research and Development Agreement for Intramural-PHS Clinical Research, dated August 5, 2011, between the U.S.</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Department of Health and Human Services, as represented by the National Cancer Institute and the Company. (incorporated herein by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reference to the Registrant’s Form 8-K/A (No.2) filed with the Commission on November 29, 2011).</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Employment Agreement dated as of May 1, 2011 between the Company and Michael Handelman (incorporated herein by reference to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Registrant’s Form 8-K filed with the Commission on October 20, 2011).#</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8"/>
              </w:rPr>
              <w:t>Lonza Walkersville Inc. Letter of Intent with Genesis Biopharma Inc. effective November 4, 2011 (incorporated by reference to the</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Registrant’s Quarterly Report on Form 10-Q filed with the Commission on November 21, 2011).</w:t>
            </w:r>
          </w:p>
        </w:tc>
      </w:tr>
      <w:tr>
        <w:trPr>
          <w:trHeight w:val="648"/>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ind w:left="438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20"/>
          </w:cols>
          <w:pgMar w:left="240" w:top="904"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60" w:type="dxa"/>
            <w:vAlign w:val="bottom"/>
          </w:tcPr>
          <w:p>
            <w:pPr>
              <w:ind w:left="420"/>
              <w:spacing w:after="0"/>
              <w:rPr>
                <w:sz w:val="20"/>
                <w:szCs w:val="20"/>
                <w:color w:val="auto"/>
              </w:rPr>
            </w:pPr>
            <w:r>
              <w:rPr>
                <w:rFonts w:ascii="Arial" w:cs="Arial" w:eastAsia="Arial" w:hAnsi="Arial"/>
                <w:sz w:val="18"/>
                <w:szCs w:val="18"/>
                <w:color w:val="auto"/>
                <w:w w:val="99"/>
              </w:rPr>
              <w:t>Manufacturing Service Agreement, dated December __, 2011, by and between Lonza Walkersville and Genesis Biopharma, Inc.</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(incorporated herein by reference to the Registrant’s Form 10-K filed with the Commission on March 30, 2012).</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Form of Director Stock Award Agreement (incorporated herein by reference to the Registrant’s Form 8-K filed with the Commission on July</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25, 2013).</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Executive Employment Agreement, dated July 24, 2013, between the Company and Manish Singh (incorporated herein by reference to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Registrant's Form 10-K filed with the Commission on March 28, 2014).#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Form of Registration Rights Agreement to be entered into by and among Lion Biotechnologies, Inc. and the Investors under the Securities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Purchase Agreement (incorporated herein by reference to the Registrant’s Form 8-K filed with the Commission on October 31, 2013).</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60" w:type="dxa"/>
            <w:vAlign w:val="bottom"/>
          </w:tcPr>
          <w:p>
            <w:pPr>
              <w:ind w:left="420"/>
              <w:spacing w:after="0"/>
              <w:rPr>
                <w:sz w:val="20"/>
                <w:szCs w:val="20"/>
                <w:color w:val="auto"/>
              </w:rPr>
            </w:pPr>
            <w:r>
              <w:rPr>
                <w:rFonts w:ascii="Arial" w:cs="Arial" w:eastAsia="Arial" w:hAnsi="Arial"/>
                <w:sz w:val="18"/>
                <w:szCs w:val="18"/>
                <w:color w:val="auto"/>
                <w:w w:val="99"/>
              </w:rPr>
              <w:t>Securities Purchase Agreement, dated October 30, 2013, by and among Lion Biotechnologies, Inc. and the Investors thereunder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(incorporated herein by reference to the Registrant’s Form 8-K filed with the Commission on October 31, 2013).</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Executive Employment Agreement, dated January 6, 2014, between the Company and James Bender (incorporated herein by reference to</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Amendment No. 2 to the Registrant’s Registration Statement on Form S-1 filed with the Commission on January 21, 2014).#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1.016</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Executive Employment Agreement, dated August 21, 2014, by and among Lion Biotechnologies, Inc. and Dr. Elma Hawkins (incorporated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herein by reference to the Registrant’s Form 8-K filed with the Commission on August 25, 2014).#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10.17</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Cooperative Research and Development Agreement for the Development and Evaluation of the NCI Proprietary Adoptive Cell Transfer</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Immunotherapy Using Tumor Infiltrating Lymphocytes in Patients with Metastatic Melanoma, Bladder, Lung, Triple-negative Breast, and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HPV-associated Cancers, Utilizing Lion Biotechnologies, Inc.’s Business Development Expertise in Adoptive Cell Transfer Immunotherapy,</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executed by Lion Biotechnologies, Inc. on January 22, 2015 (incorporated herein by reference to the Registrant’s Form 8-K filed with the</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Commission on January 26, 2015).*</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10.18</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Patent License Agreement, dated February 9, 2015, by and between the Company and the National Institutes of Health. (incorporated herein</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by reference to the Registrant’s Form 10-K filed with the Commission on March 16, 2015)*</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10.19</w:t>
            </w: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Patent License Agreement, dated February 10, 2015, by and between the Company and the National Institutes of Health. (incorporated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herein by reference to the Registrant’s Form 10-K filed with the Commission on March 16, 2015)*</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10.20</w:t>
            </w:r>
          </w:p>
        </w:tc>
        <w:tc>
          <w:tcPr>
            <w:tcW w:w="10560" w:type="dxa"/>
            <w:vAlign w:val="bottom"/>
          </w:tcPr>
          <w:p>
            <w:pPr>
              <w:ind w:left="420"/>
              <w:spacing w:after="0"/>
              <w:rPr>
                <w:sz w:val="20"/>
                <w:szCs w:val="20"/>
                <w:color w:val="auto"/>
              </w:rPr>
            </w:pPr>
            <w:r>
              <w:rPr>
                <w:rFonts w:ascii="Arial" w:cs="Arial" w:eastAsia="Arial" w:hAnsi="Arial"/>
                <w:sz w:val="18"/>
                <w:szCs w:val="18"/>
                <w:color w:val="auto"/>
              </w:rPr>
              <w:t>Underwriting agreement, dated as of February 26, 2015, between Lion Biotechnologies, Inc. and Jefferies LLC, Cowen and</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4"/>
              </w:rPr>
              <w:t>Company, LLC and Piper Jaffray &amp; Co., as the representatives of the underwriters (incorporated herein by reference to the Registrant’s</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Form 8-K filed with the Commission on March 3, 2015)</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10.21</w:t>
            </w: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Amendment No. 1, dated April 14, 2015, to Executive Employment Agreement by and among Lion Biotechnologies, Inc. and Dr. Elma</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Hawkins (incorporated herein by reference to the Registrant’s Form 8-K filed with the Commission on April 14, 2015)#.</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10.22</w:t>
            </w: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Employment Agreement, dated June 8, 2015, between Lion Biotechnologies, Inc. and Molly Henderson (incorporated herein by reference to</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the Registrant’s Form 10-Q filed with the Commission on August 10, 2015)#</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10.23</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First Amendment to Patent License Agreement-Exclusive, effective October 2, 2015, between the Company and the National Institutes of</w:t>
            </w:r>
          </w:p>
        </w:tc>
      </w:tr>
      <w:tr>
        <w:trPr>
          <w:trHeight w:val="216"/>
        </w:trPr>
        <w:tc>
          <w:tcPr>
            <w:tcW w:w="84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Health (incorporated herein by reference to the Registrant’s Form 10-Q filed with the Commission on November 6, 2015)*</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4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4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420"/>
              <w:spacing w:after="0"/>
              <w:rPr>
                <w:sz w:val="20"/>
                <w:szCs w:val="20"/>
                <w:color w:val="auto"/>
              </w:rPr>
            </w:pPr>
            <w:r>
              <w:rPr>
                <w:rFonts w:ascii="Arial" w:cs="Arial" w:eastAsia="Arial" w:hAnsi="Arial"/>
                <w:sz w:val="18"/>
                <w:szCs w:val="18"/>
                <w:color w:val="auto"/>
              </w:rPr>
              <w:t>Section 1350 Certification of Chief Executive Officer</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560" w:type="dxa"/>
            <w:vAlign w:val="bottom"/>
          </w:tcPr>
          <w:p>
            <w:pPr>
              <w:ind w:left="420"/>
              <w:spacing w:after="0"/>
              <w:rPr>
                <w:sz w:val="20"/>
                <w:szCs w:val="20"/>
                <w:color w:val="auto"/>
              </w:rPr>
            </w:pPr>
            <w:r>
              <w:rPr>
                <w:rFonts w:ascii="Arial" w:cs="Arial" w:eastAsia="Arial" w:hAnsi="Arial"/>
                <w:sz w:val="18"/>
                <w:szCs w:val="18"/>
                <w:color w:val="auto"/>
              </w:rPr>
              <w:t>Section 1350 Certification of Chief Financial Officer</w:t>
            </w:r>
          </w:p>
        </w:tc>
      </w:tr>
    </w:tbl>
    <w:p>
      <w:pPr>
        <w:ind w:left="1260" w:hanging="1252"/>
        <w:spacing w:after="0" w:line="253"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financial information from the Annual Report on Form 10-K of Lion Biotechnologies, Inc. for the year ended December 31, 2015, formatted in XBRL (eXtensible Business Reporting Language): (1) Balance Sheets as of December 31, 2015 and 2014; (2) Statements of Income for the years ended December 31, 2015, and 2014; (3) Statements of Shareholders’ Equity for the years ended December 31, 2015, and 2014; (4) Consolidated Statements of Cash Flows for the years ended December 31, 2015, and 2014; and (5)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80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6" w:lineRule="exact"/>
        <w:rPr>
          <w:sz w:val="20"/>
          <w:szCs w:val="20"/>
          <w:color w:val="auto"/>
        </w:rPr>
      </w:pPr>
    </w:p>
    <w:p>
      <w:pPr>
        <w:ind w:right="80" w:firstLine="8"/>
        <w:spacing w:after="0" w:line="258" w:lineRule="auto"/>
        <w:tabs>
          <w:tab w:leader="none" w:pos="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based upon a request for confidential treatment filed by us with the Commission. The omitted portions of the Exhibit have been separately filed by us with the Commission.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a management contract or compensatory plan or arrangement.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LION BIOTECHNOLOGIES,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11, 2016</w:t>
            </w: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By:    /s/ Elma Hawkins</w:t>
            </w:r>
          </w:p>
        </w:tc>
      </w:tr>
      <w:tr>
        <w:trPr>
          <w:trHeight w:val="195"/>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Elma Hawkins</w:t>
            </w: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12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26"/>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Elma Hawkins</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Chief Executive Officer (Principal</w:t>
            </w:r>
          </w:p>
        </w:tc>
        <w:tc>
          <w:tcPr>
            <w:tcW w:w="3420" w:type="dxa"/>
            <w:vAlign w:val="bottom"/>
          </w:tcPr>
          <w:p>
            <w:pPr>
              <w:spacing w:after="0"/>
              <w:rPr>
                <w:sz w:val="20"/>
                <w:szCs w:val="20"/>
                <w:color w:val="auto"/>
              </w:rPr>
            </w:pPr>
            <w:r>
              <w:rPr>
                <w:rFonts w:ascii="Arial" w:cs="Arial" w:eastAsia="Arial" w:hAnsi="Arial"/>
                <w:sz w:val="18"/>
                <w:szCs w:val="18"/>
                <w:color w:val="auto"/>
              </w:rPr>
              <w:t>March 11, 2016</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Elma Hawkins</w:t>
            </w:r>
          </w:p>
        </w:tc>
        <w:tc>
          <w:tcPr>
            <w:tcW w:w="1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Executive Officer) and Director</w:t>
            </w:r>
          </w:p>
        </w:tc>
        <w:tc>
          <w:tcPr>
            <w:tcW w:w="34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Molly Henderson</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420" w:type="dxa"/>
            <w:vAlign w:val="bottom"/>
          </w:tcPr>
          <w:p>
            <w:pPr>
              <w:spacing w:after="0"/>
              <w:rPr>
                <w:sz w:val="20"/>
                <w:szCs w:val="20"/>
                <w:color w:val="auto"/>
              </w:rPr>
            </w:pPr>
            <w:r>
              <w:rPr>
                <w:rFonts w:ascii="Arial" w:cs="Arial" w:eastAsia="Arial" w:hAnsi="Arial"/>
                <w:sz w:val="18"/>
                <w:szCs w:val="18"/>
                <w:color w:val="auto"/>
              </w:rPr>
              <w:t>March 11, 2016</w:t>
            </w:r>
          </w:p>
        </w:tc>
      </w:tr>
      <w:tr>
        <w:trPr>
          <w:trHeight w:val="182"/>
        </w:trPr>
        <w:tc>
          <w:tcPr>
            <w:tcW w:w="3440" w:type="dxa"/>
            <w:vAlign w:val="bottom"/>
          </w:tcPr>
          <w:p>
            <w:pPr>
              <w:spacing w:after="0" w:line="182" w:lineRule="exact"/>
              <w:rPr>
                <w:sz w:val="20"/>
                <w:szCs w:val="20"/>
                <w:color w:val="auto"/>
              </w:rPr>
            </w:pPr>
            <w:r>
              <w:rPr>
                <w:rFonts w:ascii="Arial" w:cs="Arial" w:eastAsia="Arial" w:hAnsi="Arial"/>
                <w:sz w:val="18"/>
                <w:szCs w:val="18"/>
                <w:color w:val="auto"/>
              </w:rPr>
              <w:t>Molly Henderson</w:t>
            </w:r>
          </w:p>
        </w:tc>
        <w:tc>
          <w:tcPr>
            <w:tcW w:w="120" w:type="dxa"/>
            <w:vAlign w:val="bottom"/>
          </w:tcPr>
          <w:p>
            <w:pPr>
              <w:spacing w:after="0"/>
              <w:rPr>
                <w:sz w:val="15"/>
                <w:szCs w:val="15"/>
                <w:color w:val="auto"/>
              </w:rPr>
            </w:pPr>
          </w:p>
        </w:tc>
        <w:tc>
          <w:tcPr>
            <w:tcW w:w="4440" w:type="dxa"/>
            <w:vAlign w:val="bottom"/>
            <w:gridSpan w:val="2"/>
          </w:tcPr>
          <w:p>
            <w:pPr>
              <w:spacing w:after="0" w:line="182" w:lineRule="exact"/>
              <w:rPr>
                <w:sz w:val="20"/>
                <w:szCs w:val="20"/>
                <w:color w:val="auto"/>
              </w:rPr>
            </w:pPr>
            <w:r>
              <w:rPr>
                <w:rFonts w:ascii="Arial" w:cs="Arial" w:eastAsia="Arial" w:hAnsi="Arial"/>
                <w:sz w:val="18"/>
                <w:szCs w:val="18"/>
                <w:color w:val="auto"/>
              </w:rPr>
              <w:t>(Principal Financial Officer and Principal Accounting</w:t>
            </w:r>
          </w:p>
        </w:tc>
        <w:tc>
          <w:tcPr>
            <w:tcW w:w="3420" w:type="dxa"/>
            <w:vAlign w:val="bottom"/>
          </w:tcPr>
          <w:p>
            <w:pPr>
              <w:spacing w:after="0"/>
              <w:rPr>
                <w:sz w:val="15"/>
                <w:szCs w:val="15"/>
                <w:color w:val="auto"/>
              </w:rPr>
            </w:pPr>
          </w:p>
        </w:tc>
      </w:tr>
      <w:tr>
        <w:trPr>
          <w:trHeight w:val="23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3420" w:type="dxa"/>
            <w:vAlign w:val="bottom"/>
          </w:tcPr>
          <w:p>
            <w:pPr>
              <w:spacing w:after="0"/>
              <w:rPr>
                <w:sz w:val="20"/>
                <w:szCs w:val="20"/>
                <w:color w:val="auto"/>
              </w:rPr>
            </w:pPr>
          </w:p>
        </w:tc>
      </w:tr>
      <w:tr>
        <w:trPr>
          <w:trHeight w:val="43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Merrill A. McPeak</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March 11, 2016</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Merrill A. McPeak</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Venkatesan</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March 11, 2016</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Jay Venkatesan</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Sanford J. Hillsberg</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March 11, 2016</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Sanford J. Hillsberg</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D. Maynard</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March 11, 2016</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Ryan D. Maynard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634"/>
        </w:trPr>
        <w:tc>
          <w:tcPr>
            <w:tcW w:w="34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760" w:type="dxa"/>
            <w:vAlign w:val="bottom"/>
            <w:gridSpan w:val="2"/>
          </w:tcPr>
          <w:p>
            <w:pPr>
              <w:ind w:left="840"/>
              <w:spacing w:after="0"/>
              <w:rPr>
                <w:sz w:val="20"/>
                <w:szCs w:val="20"/>
                <w:color w:val="auto"/>
              </w:rPr>
            </w:pPr>
            <w:r>
              <w:rPr>
                <w:rFonts w:ascii="Arial" w:cs="Arial" w:eastAsia="Arial" w:hAnsi="Arial"/>
                <w:sz w:val="18"/>
                <w:szCs w:val="18"/>
                <w:b w:val="1"/>
                <w:bCs w:val="1"/>
                <w:color w:val="auto"/>
              </w:rPr>
              <w:t>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Report of Independent Registered Public Accounting Firm</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Report of Independent Registered Public Accounting Firm on Internal Control over Financial Reporting</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520" w:type="dxa"/>
            <w:vAlign w:val="bottom"/>
            <w:tcBorders>
              <w:top w:val="single" w:sz="8" w:color="0000EE"/>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Balance Sheets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Statements of Operations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Statements of Comprehensive Loss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Statements of Stockholders’ Equity</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Statements of Cash Flows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8"/>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Notes to Financial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800" w:type="dxa"/>
            <w:vAlign w:val="bottom"/>
            <w:tcBorders>
              <w:top w:val="single" w:sz="8" w:color="CCEEFF"/>
              <w:bottom w:val="single" w:sz="8" w:color="auto"/>
            </w:tcBorders>
          </w:tcPr>
          <w:p>
            <w:pPr>
              <w:spacing w:after="0"/>
              <w:rPr>
                <w:sz w:val="24"/>
                <w:szCs w:val="24"/>
                <w:color w:val="auto"/>
              </w:rPr>
            </w:pPr>
          </w:p>
        </w:tc>
        <w:tc>
          <w:tcPr>
            <w:tcW w:w="3520" w:type="dxa"/>
            <w:vAlign w:val="bottom"/>
            <w:tcBorders>
              <w:top w:val="single" w:sz="8" w:color="CCEEFF"/>
              <w:bottom w:val="single" w:sz="8" w:color="auto"/>
            </w:tcBorders>
          </w:tcPr>
          <w:p>
            <w:pPr>
              <w:spacing w:after="0"/>
              <w:rPr>
                <w:sz w:val="24"/>
                <w:szCs w:val="24"/>
                <w:color w:val="auto"/>
              </w:rPr>
            </w:pPr>
          </w:p>
        </w:tc>
        <w:tc>
          <w:tcPr>
            <w:tcW w:w="22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59" w:name="page60"/>
    <w:bookmarkEnd w:id="59"/>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Lion Biotechnologies, Inc.</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balance sheets of Lion Biotechnologies, Inc. as of December 31, 2015 and 2014, and the related statements of operations, comprehensive loss, stockholders’ equity, and cash flows for each of the years in the three year period ended December 31, 2015.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Lion Biotechnologies, Inc. as of December 31, 2015 and 2014, and the results of its operations and its cash flows for each of the years in the three year period ended December 31, 2015, in conformity with accounting principles generally accepted in the United States of America.</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Lion Biotechnologies, Inc.’s internal control over financial reporting as of December 31, 2015, based on criteria established in Internal Control-Integrated Framework (2013) issued by the Committee of Sponsoring Organizations of the Treadway Commission (COSO) and our report dated March 11, 2016 expressed an unqualified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/s/Weinberg &amp; Company,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2016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ind w:left="440"/>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Lion Biotechnologies, Inc.</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Lion Biotechnologies, Inc.’s internal control over financial reporting as of December 31, 2015, based on criteria established in Internal Control—Integrated Framework (2013) issued by the Committee of Sponsoring Organizations of the Treadway Commission (COSO). Lion Biotechnologies,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Lion Biotechnologies, Inc. maintained, in all material respects, effective internal control over financial reporting as of December 31, 2015, based on the criteria established in Internal Control—Integrated Framework (2013) issued by the Committee of Sponsoring Organizations of the Treadway Commission (COSO).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balance sheets and the related statements of operations, comprehensive loss, stockholders’ equity, and cash flows of Lion Biotechnologies, Inc., and our report dated March 11, 2016 expressed an unqualified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/s/Weinberg &amp; Company,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2016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4"/>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13,642</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19,945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Short-term investments available for sale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70,113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net of accumulated depreciation of $1,103 and $104, respectively</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1,676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958</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Accrued payable to officers and former directors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w w:val="98"/>
              </w:rPr>
              <w:t>Preferred stock, $0.001 par value; 50,000,000 shares authorized, 1,694 and 5,694 shares issued and</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outstanding, respectively</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w w:val="90"/>
              </w:rPr>
              <w:t>Common stock, $0.000041666 par value; 150,000,000 shares authorized, 48,547,720 and 33,750,188 shares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issued and outstanding, respectively</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Common stock to be issued, 303,125 shares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207,950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(104,222)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44,845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105,653</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jc w:val="center"/>
              <w:ind w:left="3350"/>
              <w:spacing w:after="0"/>
              <w:rPr>
                <w:sz w:val="20"/>
                <w:szCs w:val="20"/>
                <w:color w:val="auto"/>
              </w:rPr>
            </w:pPr>
            <w:r>
              <w:rPr>
                <w:rFonts w:ascii="Arial" w:cs="Arial" w:eastAsia="Arial" w:hAnsi="Arial"/>
                <w:sz w:val="18"/>
                <w:szCs w:val="18"/>
                <w:color w:val="auto"/>
                <w:w w:val="87"/>
              </w:rPr>
              <w:t>See accompanying notes.</w:t>
            </w: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940" w:type="dxa"/>
            <w:vAlign w:val="bottom"/>
            <w:tcBorders>
              <w:bottom w:val="single" w:sz="8" w:color="auto"/>
            </w:tcBorders>
          </w:tcPr>
          <w:p>
            <w:pPr>
              <w:jc w:val="center"/>
              <w:ind w:left="3370"/>
              <w:spacing w:after="0"/>
              <w:rPr>
                <w:sz w:val="20"/>
                <w:szCs w:val="20"/>
                <w:color w:val="auto"/>
              </w:rPr>
            </w:pPr>
            <w:r>
              <w:rPr>
                <w:rFonts w:ascii="Arial" w:cs="Arial" w:eastAsia="Arial" w:hAnsi="Arial"/>
                <w:sz w:val="18"/>
                <w:szCs w:val="18"/>
                <w:color w:val="auto"/>
                <w:w w:val="88"/>
              </w:rPr>
              <w:t>F-3</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40" w:type="dxa"/>
            <w:vAlign w:val="bottom"/>
            <w:gridSpan w:val="11"/>
          </w:tcPr>
          <w:p>
            <w:pPr>
              <w:jc w:val="right"/>
              <w:ind w:right="88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60"/>
              <w:spacing w:after="0" w:line="201" w:lineRule="exact"/>
              <w:rPr>
                <w:sz w:val="20"/>
                <w:szCs w:val="20"/>
                <w:color w:val="auto"/>
              </w:rPr>
            </w:pPr>
            <w:r>
              <w:rPr>
                <w:rFonts w:ascii="Arial" w:cs="Arial" w:eastAsia="Arial" w:hAnsi="Arial"/>
                <w:sz w:val="18"/>
                <w:szCs w:val="18"/>
                <w:color w:val="auto"/>
                <w:w w:val="90"/>
              </w:rPr>
              <w:t>Research and development (including $2,248, $1,144 and $825 in share-based compensation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15,470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3,849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General and administrative (including $6,275, $2,670 and $1,925 in share-based</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costs)</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8,192</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Cost of Lion transaction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16,656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(expense)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Cost to induce exchange transaction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(25,382)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w w:val="98"/>
              </w:rPr>
              <w:t>Deemed dividend related to beneficial conversion feature of convertible preferred stock</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(8,462)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(27,660)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(12,035)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(33,844)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common Stockholders, Basic and Diluted</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60" w:type="dxa"/>
            <w:vAlign w:val="bottom"/>
          </w:tcPr>
          <w:p>
            <w:pPr>
              <w:spacing w:after="0" w:line="198" w:lineRule="exact"/>
              <w:rPr>
                <w:sz w:val="20"/>
                <w:szCs w:val="20"/>
                <w:color w:val="auto"/>
              </w:rPr>
            </w:pPr>
            <w:r>
              <w:rPr>
                <w:rFonts w:ascii="Arial" w:cs="Arial" w:eastAsia="Arial" w:hAnsi="Arial"/>
                <w:sz w:val="18"/>
                <w:szCs w:val="18"/>
                <w:b w:val="1"/>
                <w:bCs w:val="1"/>
                <w:color w:val="auto"/>
              </w:rPr>
              <w:t>Weighted-Average Common Shares Outstanding,</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44,410,036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24,985,542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9,762,513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 on short-term investments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0" w:lineRule="exact"/>
        <w:rPr>
          <w:sz w:val="20"/>
          <w:szCs w:val="20"/>
          <w:color w:val="auto"/>
        </w:rPr>
      </w:pPr>
      <w:r>
        <w:rPr>
          <w:sz w:val="20"/>
          <w:szCs w:val="20"/>
          <w:color w:val="auto"/>
        </w:rPr>
        <w:br w:type="column"/>
      </w:r>
    </w:p>
    <w:p>
      <w:pPr>
        <w:jc w:val="center"/>
        <w:ind w:right="3880"/>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3880"/>
        <w:spacing w:after="0"/>
        <w:rPr>
          <w:sz w:val="20"/>
          <w:szCs w:val="20"/>
          <w:color w:val="auto"/>
        </w:rPr>
      </w:pPr>
      <w:r>
        <w:rPr>
          <w:rFonts w:ascii="Arial" w:cs="Arial" w:eastAsia="Arial" w:hAnsi="Arial"/>
          <w:sz w:val="15"/>
          <w:szCs w:val="15"/>
          <w:b w:val="1"/>
          <w:bCs w:val="1"/>
          <w:color w:val="auto"/>
        </w:rPr>
        <w:t>Condensed Statements of Comprehensive Loss</w:t>
      </w:r>
    </w:p>
    <w:p>
      <w:pPr>
        <w:spacing w:after="0" w:line="44" w:lineRule="exact"/>
        <w:rPr>
          <w:sz w:val="20"/>
          <w:szCs w:val="20"/>
          <w:color w:val="auto"/>
        </w:rPr>
      </w:pPr>
    </w:p>
    <w:p>
      <w:pPr>
        <w:jc w:val="center"/>
        <w:ind w:right="3880"/>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207" w:lineRule="exact"/>
        <w:rPr>
          <w:sz w:val="20"/>
          <w:szCs w:val="20"/>
          <w:color w:val="auto"/>
        </w:rPr>
      </w:pPr>
    </w:p>
    <w:tbl>
      <w:tblPr>
        <w:tblLayout w:type="fixed"/>
        <w:tblInd w:w="31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gridSpan w:val="11"/>
          </w:tcPr>
          <w:p>
            <w:pPr>
              <w:jc w:val="right"/>
              <w:ind w:right="820"/>
              <w:spacing w:after="0"/>
              <w:rPr>
                <w:sz w:val="20"/>
                <w:szCs w:val="20"/>
                <w:color w:val="auto"/>
              </w:rPr>
            </w:pPr>
            <w:r>
              <w:rPr>
                <w:rFonts w:ascii="Arial" w:cs="Arial" w:eastAsia="Arial" w:hAnsi="Arial"/>
                <w:sz w:val="18"/>
                <w:szCs w:val="18"/>
                <w:b w:val="1"/>
                <w:bCs w:val="1"/>
                <w:color w:val="auto"/>
              </w:rPr>
              <w:t>For the Years Ended December 31,</w:t>
            </w: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(27,660)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(25,382)</w:t>
            </w:r>
          </w:p>
        </w:tc>
        <w:tc>
          <w:tcPr>
            <w:tcW w:w="60" w:type="dxa"/>
            <w:vAlign w:val="bottom"/>
            <w:gridSpan w:val="2"/>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(27,612)</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(12,035)</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(25,382)</w:t>
            </w:r>
          </w:p>
        </w:tc>
      </w:tr>
      <w:tr>
        <w:trPr>
          <w:trHeight w:val="20"/>
        </w:trPr>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-753745</wp:posOffset>
            </wp:positionV>
            <wp:extent cx="72466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-471170</wp:posOffset>
            </wp:positionV>
            <wp:extent cx="72466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-179705</wp:posOffset>
            </wp:positionV>
            <wp:extent cx="72466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40" w:space="680"/>
            <w:col w:w="7460"/>
          </w:cols>
          <w:pgMar w:left="240" w:top="905" w:right="27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760" w:type="dxa"/>
            <w:vAlign w:val="bottom"/>
            <w:gridSpan w:val="5"/>
          </w:tcPr>
          <w:p>
            <w:pPr>
              <w:ind w:left="280"/>
              <w:spacing w:after="0"/>
              <w:rPr>
                <w:sz w:val="20"/>
                <w:szCs w:val="20"/>
                <w:color w:val="auto"/>
              </w:rPr>
            </w:pPr>
            <w:r>
              <w:rPr>
                <w:rFonts w:ascii="Arial" w:cs="Arial" w:eastAsia="Arial" w:hAnsi="Arial"/>
                <w:sz w:val="14"/>
                <w:szCs w:val="14"/>
                <w:b w:val="1"/>
                <w:bCs w:val="1"/>
                <w:color w:val="auto"/>
              </w:rPr>
              <w:t>Preferred Stock</w:t>
            </w:r>
          </w:p>
        </w:tc>
        <w:tc>
          <w:tcPr>
            <w:tcW w:w="15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Stock to</w:t>
            </w:r>
          </w:p>
        </w:tc>
        <w:tc>
          <w:tcPr>
            <w:tcW w:w="8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Be Issued</w:t>
            </w:r>
          </w:p>
        </w:tc>
        <w:tc>
          <w:tcPr>
            <w:tcW w:w="80" w:type="dxa"/>
            <w:vAlign w:val="bottom"/>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100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3"/>
                <w:szCs w:val="13"/>
                <w:color w:val="auto"/>
              </w:rPr>
            </w:pPr>
          </w:p>
        </w:tc>
        <w:tc>
          <w:tcPr>
            <w:tcW w:w="900" w:type="dxa"/>
            <w:vAlign w:val="bottom"/>
            <w:gridSpan w:val="2"/>
          </w:tcPr>
          <w:p>
            <w:pPr>
              <w:jc w:val="right"/>
              <w:ind w:right="379"/>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00" w:type="dxa"/>
            <w:vAlign w:val="bottom"/>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January 1, 2013</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818,806</w:t>
            </w:r>
          </w:p>
        </w:tc>
        <w:tc>
          <w:tcPr>
            <w:tcW w:w="680" w:type="dxa"/>
            <w:vAlign w:val="bottom"/>
            <w:gridSpan w:val="2"/>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19,119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(30,683)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8"/>
              </w:rPr>
              <w:t>Common stock issued in settlement of notes</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payable and accrued interest and penalty</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9,267,641</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w:t>
            </w: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9,267</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9,268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issued for cash under the</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restructuring, net of offering costs of $109</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1,350,000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1,239</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1,239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issued to induce exchange</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transaction</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2,295,868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2,296</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Fair value of vested stock options and</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warrants</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 Issued for Lion transactions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2,690,000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16,656</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16,656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 issued for services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 issued to directors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400,596</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 sold in private placement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3,145,300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5,887</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5,887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Preferred stock sold in private placement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17,000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15,909</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15,909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issued for settlement of</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payable</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5,747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Deemed dividend on beneficial conversion</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feature of preferred stock</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8,462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(8,462)</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(25,382)</w:t>
            </w: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(25,382)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line="142" w:lineRule="exact"/>
              <w:rPr>
                <w:sz w:val="20"/>
                <w:szCs w:val="20"/>
                <w:color w:val="auto"/>
              </w:rPr>
            </w:pPr>
            <w:r>
              <w:rPr>
                <w:rFonts w:ascii="Arial" w:cs="Arial" w:eastAsia="Arial" w:hAnsi="Arial"/>
                <w:sz w:val="14"/>
                <w:szCs w:val="14"/>
                <w:b w:val="1"/>
                <w:bCs w:val="1"/>
                <w:color w:val="auto"/>
              </w:rPr>
              <w:t>Balance - December 31, 2013</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17,000</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20,023,958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1</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245</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81,884</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(64,527)</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17,603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160"/>
              <w:spacing w:after="0" w:line="149" w:lineRule="exact"/>
              <w:rPr>
                <w:sz w:val="20"/>
                <w:szCs w:val="20"/>
                <w:color w:val="auto"/>
              </w:rPr>
            </w:pPr>
            <w:r>
              <w:rPr>
                <w:rFonts w:ascii="Arial" w:cs="Arial" w:eastAsia="Arial" w:hAnsi="Arial"/>
                <w:sz w:val="14"/>
                <w:szCs w:val="14"/>
                <w:color w:val="auto"/>
              </w:rPr>
              <w:t>Fair value of vested stock options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2,559</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ind w:left="160"/>
              <w:spacing w:after="0" w:line="130" w:lineRule="exact"/>
              <w:rPr>
                <w:sz w:val="20"/>
                <w:szCs w:val="20"/>
                <w:color w:val="auto"/>
              </w:rPr>
            </w:pPr>
            <w:r>
              <w:rPr>
                <w:rFonts w:ascii="Arial" w:cs="Arial" w:eastAsia="Arial" w:hAnsi="Arial"/>
                <w:sz w:val="14"/>
                <w:szCs w:val="14"/>
                <w:color w:val="auto"/>
              </w:rPr>
              <w:t>Common stock issued upon exercise of</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warrants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1,288,730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3,222</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3,222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ind w:left="160"/>
              <w:spacing w:after="0" w:line="130" w:lineRule="exact"/>
              <w:rPr>
                <w:sz w:val="20"/>
                <w:szCs w:val="20"/>
                <w:color w:val="auto"/>
              </w:rPr>
            </w:pPr>
            <w:r>
              <w:rPr>
                <w:rFonts w:ascii="Arial" w:cs="Arial" w:eastAsia="Arial" w:hAnsi="Arial"/>
                <w:sz w:val="14"/>
                <w:szCs w:val="14"/>
                <w:color w:val="auto"/>
              </w:rPr>
              <w:t>Common stock issued upon conversion of</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preferred shares</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(11,306)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5,653,000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160"/>
              <w:spacing w:after="0" w:line="149" w:lineRule="exact"/>
              <w:rPr>
                <w:sz w:val="20"/>
                <w:szCs w:val="20"/>
                <w:color w:val="auto"/>
              </w:rPr>
            </w:pPr>
            <w:r>
              <w:rPr>
                <w:rFonts w:ascii="Arial" w:cs="Arial" w:eastAsia="Arial" w:hAnsi="Arial"/>
                <w:sz w:val="14"/>
                <w:szCs w:val="14"/>
                <w:color w:val="auto"/>
              </w:rPr>
              <w:t>Common stock issued for services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784,500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1,255</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160"/>
              <w:spacing w:after="0" w:line="149" w:lineRule="exact"/>
              <w:rPr>
                <w:sz w:val="20"/>
                <w:szCs w:val="20"/>
                <w:color w:val="auto"/>
              </w:rPr>
            </w:pPr>
            <w:r>
              <w:rPr>
                <w:rFonts w:ascii="Arial" w:cs="Arial" w:eastAsia="Arial" w:hAnsi="Arial"/>
                <w:sz w:val="14"/>
                <w:szCs w:val="14"/>
                <w:color w:val="auto"/>
              </w:rPr>
              <w:t>Common stock sold in private placement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6,000,000</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gridSpan w:val="2"/>
          </w:tcPr>
          <w:p>
            <w:pPr>
              <w:spacing w:after="0" w:line="149" w:lineRule="exact"/>
              <w:rPr>
                <w:sz w:val="20"/>
                <w:szCs w:val="20"/>
                <w:color w:val="auto"/>
              </w:rPr>
            </w:pPr>
            <w:r>
              <w:rPr>
                <w:rFonts w:ascii="Arial" w:cs="Arial" w:eastAsia="Arial" w:hAnsi="Arial"/>
                <w:sz w:val="14"/>
                <w:szCs w:val="14"/>
                <w:color w:val="auto"/>
              </w:rPr>
              <w:t>1</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32,240</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32,241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tcPr>
          <w:p>
            <w:pPr>
              <w:ind w:left="160"/>
              <w:spacing w:after="0"/>
              <w:rPr>
                <w:sz w:val="20"/>
                <w:szCs w:val="20"/>
                <w:color w:val="auto"/>
              </w:rPr>
            </w:pPr>
            <w:r>
              <w:rPr>
                <w:rFonts w:ascii="Arial" w:cs="Arial" w:eastAsia="Arial" w:hAnsi="Arial"/>
                <w:sz w:val="14"/>
                <w:szCs w:val="14"/>
                <w:color w:val="auto"/>
              </w:rPr>
              <w:t>Net loss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(12,035)</w:t>
            </w:r>
          </w:p>
        </w:tc>
        <w:tc>
          <w:tcPr>
            <w:tcW w:w="14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(12,035)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December 31, 2014</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5,694</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33,750,188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2</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245</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121,160</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(76,562)</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44,845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Fair value of vested stock options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6,752</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6,752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issued upon exercise of</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warrants, net of cancellation</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3,880,210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9,705</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9,705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issued upon exercise of</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options</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42,387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issued upon conversion of</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preferred shares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2,000,000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9"/>
              </w:rPr>
              <w:t>Common stock sold in public offering, net of</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offering costs</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9,200,000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68,307</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68,307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 issued for services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15,000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1,771</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Forfeiture and cancellation of restricted</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shares issued for services</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(340,065)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Unrealized gain on short- term investments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(27,660)</w:t>
            </w: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(27,660)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2015</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1,694</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48,547,720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2</w:t>
            </w:r>
          </w:p>
        </w:tc>
        <w:tc>
          <w:tcPr>
            <w:tcW w:w="2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207,950</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(104,222</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104,023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40" w:type="dxa"/>
            <w:vAlign w:val="bottom"/>
          </w:tcPr>
          <w:p>
            <w:pPr>
              <w:ind w:left="510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10"/>
          </w:tcPr>
          <w:p>
            <w:pPr>
              <w:jc w:val="right"/>
              <w:ind w:right="80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(27,660)</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(12,035)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vested stock options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Common stock issued for services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1,255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to induce exchange transaction</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Common stock issued for Lion transaction</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to directors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Increase in money market funds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(19,945)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 term investments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Maturities of short- term investments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70,600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computer equipment</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(91,153</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common stock, net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32,240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Proceeds from the issuance of convertible notes, net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preferred stock, net</w:t>
            </w:r>
          </w:p>
        </w:tc>
        <w:tc>
          <w:tcPr>
            <w:tcW w:w="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78,267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35,462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44,909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19,672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Unrealized gain on short-term investments</w:t>
            </w:r>
          </w:p>
        </w:tc>
        <w:tc>
          <w:tcPr>
            <w:tcW w:w="7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upon conversion of convertible notes</w:t>
            </w:r>
          </w:p>
        </w:tc>
        <w:tc>
          <w:tcPr>
            <w:tcW w:w="7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Common stock issued upon conversion of accrued interest and penalty</w:t>
            </w:r>
          </w:p>
        </w:tc>
        <w:tc>
          <w:tcPr>
            <w:tcW w:w="7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Lion Biotechnologies, Inc. (the “Company,” “we,” “us” or “our”) is a biotechnology company focused on developing and commercializing adoptive cell therapy (ACT) using autologous tumor infiltrating lymphocytes (TIL) for the treatment of metastatic melanoma and other solid cancers. ACT utilizes T-cells harvested from a patient to treat cancer in that patient. TIL, a kind of anti-tumor T-cells that are naturally present in a patient’s tumors, are collected from individual patient tumor samples. The TIL are then activated and expanded ex vivo and then infused back into the patient to fight their tumor cells. The Company was originally incorporated under the laws of the state of Nevada on September 17, 2007. Until March 2010, we were an inactive company known as Freight Management Corp. On March 15, 2010, we changed our name to Genesis Biopharma, Inc., and in 2011 we commenced our current business. On September 26, 2013, we amended and restated our Articles of Incorporation to, among other things, change our name to Lion Biotechnologies, Inc., effect a 1-for-100 reverse stock split (pro-rata reduction of outstanding shares) of our common stock, increase (after the reverse stock split) the number of our authorized number of shares of common stock to 150,000 shares, and authorize the issuance of 50,000,000 shares of “blank check” preferred stock, $0.001 par value per share. All references herein to the number of shares issued or outstanding, and all per share and other similar data, reflect a 1-for-100 reverse stock split effected on September 26,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2016 from the sale or licensing of any products. As shown in the accompanying financial statements, we have incurred a net loss of $27.7 million for the year ended December 31, 2015 and used $18.4 million of cash in our operating activities during the year ended December 31, 2015. As of December 31, 2015, we had $103.7 million of cash and cash equivalents, money market funds, and short-term investments on hand, stockholders’ equity of $104.0 million and had working capital of $102.3 million.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2016, we expect to further ramp up our clinical operations which will increase the amount of cash we will use in our operations. Our budget for 2016 includes increased spending on Phase II clinical trials, research and development activities, higher payroll expenses as we increase our professional and scientific staff, as well as ongoing payments under our Cooperative Research and Development Agreement (CRADA) with the National Cancer Institute (NCI). Based on the funds we had available on December 31, 2015, we believe that we have sufficient capital to fund our anticipated operating expenses for at least 12 months.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2015, the Company sold 9,200,000 shares of its common stock in an underwritten public offering at $8.00 per share for net proceeds of $68.3 million, after deducting expenses of the offering. In December 2014, the Company sold 6,000,000 shares of its common stock in an underwritten public offering at $5.75 per share for net proceeds of $32.2 million after deducting expenses of the offering. In November 2013, we completed a $23.3 million private placement of our securities to various institutional and individual accredited investors. Despite the amount of funds that we have raised, the estimated cost of completing the development of our TIL-based therapy, and of obtaining all required regulatory approvals to market those product candidates, may be substantially greater than the amount of funds we have available. Therefore, while we believe that our existing cash balances will be sufficient to fund our currently planned level of operations for at least 12 months, we will have to obtain additional funds in the future to complete our development plans. We intend to seek this additional funding through various financing sources, including possible sales of our securities, and in the longer term through strategic alliances with other pharmaceutical or biopharmaceutical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short-term investments represent available for sale securities and are recorded at fair value and unrealized gains and losses are recorded within accumulated other comprehensive income (loss). The estimated fair value of the available for sale securities is determined based on quoted market prices or rates for similar instruments. In addition, the cost of debt securities in this category is adjusted for amortization of premium and accretion of discount to maturity. The Company evaluates securities with unrealized losses to determine whether such losses, if any, are other than temporary.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and amortization. The cost of property and equipment is depreciated or amortized on the straight-line method over the following estimated useful lives:</w:t>
      </w:r>
    </w:p>
    <w:p>
      <w:pPr>
        <w:sectPr>
          <w:pgSz w:w="11900" w:h="16838" w:orient="portrait"/>
          <w:cols w:equalWidth="0" w:num="1">
            <w:col w:w="11420"/>
          </w:cols>
          <w:pgMar w:left="240" w:top="905"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Computer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Office furniture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Lab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2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34" w:lineRule="exact"/>
        <w:rPr>
          <w:sz w:val="20"/>
          <w:szCs w:val="20"/>
          <w:color w:val="auto"/>
        </w:rPr>
      </w:pPr>
    </w:p>
    <w:p>
      <w:pPr>
        <w:sectPr>
          <w:pgSz w:w="11900" w:h="16838" w:orient="portrait"/>
          <w:cols w:equalWidth="0" w:num="2">
            <w:col w:w="5000" w:space="720"/>
            <w:col w:w="5700"/>
          </w:cols>
          <w:pgMar w:left="240" w:top="905" w:right="239" w:bottom="1440" w:gutter="0" w:footer="0" w:header="0"/>
          <w:type w:val="continuous"/>
        </w:sectPr>
      </w:pPr>
    </w:p>
    <w:p>
      <w:pPr>
        <w:spacing w:after="0" w:line="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Leasehold improvements are amortized using the straight-line method over the shorter of the estimated useful life of the asset or the lease term. Expenditures for maintenance and repairs are charged to operations as incurred while renewals and betterments are capitalized. Gains and losses on disposals are included in the consolidated statements of operations.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assesses the carrying value of property and equipment whenever events or changes in circumstances indicate that the carrying value may not be recoverable. If there is indication of impairment, management prepares an estimate of future cash flows expected to result from the use of the asset and its eventual disposition. If these cash flows are less than the carrying amount of the asset, an impairment loss is recognized to write down the asset to its estimated fair value. For the years ended December 31, 2015 2014 and 2013, the Company did not recognize any impairments for its property and equipment.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earnings (loss) per share is computed by dividing the net income (loss) applicable to common stockholders by the weighted average number of shares of common stock outstanding during the period. Shares of restricted stock are included in the basic weighted average number of common shares outstanding from the time they vest. Diluted earnings (loss) per share is computed by dividing the net income (loss) applicable to common stockholders by the weighted average number of common shares outstanding plus the number of additional common shares that would have been outstanding if all dilutive potential common shares had been issued. Shares of restricted stock are included in the diluted weighted average number of common shares outstanding from the date they are granted unless they are antidilutive. For the years ended December 31, 2015, 2014, and 2013, the calculations of basic and diluted loss per share are the same because inclusion of potential dilutive securities in the computation would have an anti-dilutive effect due to the net losses.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2015, 2014 and 2013, the dilutive impact of outstanding stock options for 2,693,237, 1,857,877, and 278,750 shares, respectively; outstanding warrants for 7,202,216, 11,084,426, and 12,373,156 shares, respectively; and preferred stock that can convert into 847,000, 2,847,000, and -0-shares of our common stock, respectively, have been excluded because their impact on the loss per share is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Under FASB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and liabilities recorded at fair value in our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81"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7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fair valued assets we hold that are generally included under this Level 1 are money market securities where fair value is based on publicly quoted prices.</w:t>
      </w:r>
    </w:p>
    <w:p>
      <w:pPr>
        <w:spacing w:after="0" w:line="17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70"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The fair valued assets we hold that are generally assessed under Level 2 are corporate bonds and commercial paper. We utilize third party pricing services in developing fair value measurements where fair value is based on valuation methodologies such as models using observable market inputs, including benchmark yields, reported trades, broker/dealer quotes, bids, offers and other reference data. We use quotes from external pricing service providers and other on-line quotation systems to verify the fair value of investments provided by our third party pricing service providers. We review independent auditor’s reports from our third party pricing service providers particularly regarding the controls over pricing and valuation of financial instruments and ensure that our internal controls address certain control deficiencies, if any, and complementary user entity controls are in place.</w:t>
      </w:r>
    </w:p>
    <w:p>
      <w:pPr>
        <w:spacing w:after="0" w:line="16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have fair valued assets classified under Level 3.</w:t>
      </w:r>
    </w:p>
    <w:p>
      <w:pPr>
        <w:spacing w:after="0" w:line="22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Company believes the carrying amount of its financial instruments (consisting of cash and cash equivalents, and accounts payable and accrued expenses) approximates fair value due to the short-term nature of such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on a Recurring Basis</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Financial assets measured at fair value on a recurring basis are categorized in the tables below based upon the lowest level of significant input to the valuations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10"/>
          </w:tcPr>
          <w:p>
            <w:pPr>
              <w:jc w:val="right"/>
              <w:ind w:right="70"/>
              <w:spacing w:after="0"/>
              <w:rPr>
                <w:sz w:val="20"/>
                <w:szCs w:val="20"/>
                <w:color w:val="auto"/>
              </w:rPr>
            </w:pPr>
            <w:r>
              <w:rPr>
                <w:rFonts w:ascii="Arial" w:cs="Arial" w:eastAsia="Arial" w:hAnsi="Arial"/>
                <w:sz w:val="18"/>
                <w:szCs w:val="18"/>
                <w:b w:val="1"/>
                <w:bCs w:val="1"/>
                <w:color w:val="auto"/>
              </w:rPr>
              <w:t>Assets at Fair Value as of December 31, 2015</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9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70,113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70,113</w:t>
            </w:r>
          </w:p>
        </w:tc>
      </w:tr>
      <w:tr>
        <w:trPr>
          <w:trHeight w:val="223"/>
        </w:trPr>
        <w:tc>
          <w:tcPr>
            <w:tcW w:w="3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6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F-10</w:t>
            </w: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accounting for potential liabilities and the assumptions made in valuing stock instruments issued for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Financial Accounting Standards Board where the value of the award is measured on the date of grant and recognized over the vesting period. The Company accounts for stock option grants to non-employees in accordance with the authoritative guidance of the Financial Accounting Standards Board where the value of the stock compensation is determined based upon the measurement date at either a) 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issues restricted shares of its common stock for share-based compensation programs. The Company measures the compensation cost with respect to restricted shares to employees based upon the estimated fair value of the equity instruments at the date of the grant, and is recognized as expense over the period which an employee is required to provide services in exchange for the award.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related to all of our stock-based awards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320" w:type="dxa"/>
            <w:vAlign w:val="bottom"/>
            <w:gridSpan w:val="9"/>
          </w:tcPr>
          <w:p>
            <w:pPr>
              <w:ind w:left="760"/>
              <w:spacing w:after="0"/>
              <w:rPr>
                <w:sz w:val="20"/>
                <w:szCs w:val="20"/>
                <w:color w:val="auto"/>
              </w:rPr>
            </w:pPr>
            <w:r>
              <w:rPr>
                <w:rFonts w:ascii="Arial" w:cs="Arial" w:eastAsia="Arial" w:hAnsi="Arial"/>
                <w:sz w:val="18"/>
                <w:szCs w:val="18"/>
                <w:b w:val="1"/>
                <w:bCs w:val="1"/>
                <w:color w:val="auto"/>
              </w:rPr>
              <w:t>For the Years Ended December 31,</w:t>
            </w:r>
          </w:p>
        </w:tc>
      </w:tr>
      <w:tr>
        <w:trPr>
          <w:trHeight w:val="234"/>
        </w:trPr>
        <w:tc>
          <w:tcPr>
            <w:tcW w:w="5020" w:type="dxa"/>
            <w:vAlign w:val="bottom"/>
          </w:tcPr>
          <w:p>
            <w:pPr>
              <w:spacing w:after="0"/>
              <w:rPr>
                <w:sz w:val="20"/>
                <w:szCs w:val="20"/>
                <w:color w:val="auto"/>
              </w:rPr>
            </w:pPr>
          </w:p>
        </w:tc>
        <w:tc>
          <w:tcPr>
            <w:tcW w:w="2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2,248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6,275</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2,670</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1,925</w:t>
            </w:r>
          </w:p>
        </w:tc>
      </w:tr>
      <w:tr>
        <w:trPr>
          <w:trHeight w:val="223"/>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8,523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Research and development costs consist primarily of compensation paid to employees engaged in research and development activities, fees paid to consultants and outside service providers, patent fees and costs, and other expenses relating to the acquisition, design, development and testing of the Company's treatments and product candidates. Research and development costs are expensed as incurred, or if applicable, over the life of the underlying contracts on the straight-line basis, unless the achievement of milestones, the completion of contracted work, or other information indicates that a different expensing schedule is more appropriate. The Company reviews the status of its research and development contracts on a quarterly basis.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be realized. Deferred tax assets and liabilities are adjusted for the effects of changes in tax laws and rates on the date of enactment.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cash balances at one bank. At times, the amount on deposit exceeds the federally insured limits. Management believes that the financial institution that holds the Company’s cash is financially sound and, accordingly, minimal credit risk exists. As of December 31, 2015 and 2014, the Company’s cash balances were in excess of insured limits maintained at the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FASB issued Accounting Standards Update (ASU) No. 2016-02, Leases. ASU 2016-02 requires a lessee to record a right of use asset and a corresponding lease liability on the balance sheet for all leases with terms longer than 12 months. ASU 2016-02 is effective for all interim and annual reporting periods beginning after December 15, 2018. Early adoption is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in the process of evaluating the impact of ASU 2016-02 on the Company’s financial statements and disclosures.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January 2016, the Financial Accounting Standards Board ("FASB") issued Accounting Standards Update (“ASU”) No. 2016-01, </w:t>
      </w:r>
      <w:r>
        <w:rPr>
          <w:rFonts w:ascii="Arial" w:cs="Arial" w:eastAsia="Arial" w:hAnsi="Arial"/>
          <w:sz w:val="18"/>
          <w:szCs w:val="18"/>
          <w:i w:val="1"/>
          <w:iCs w:val="1"/>
          <w:color w:val="auto"/>
        </w:rPr>
        <w:t>Recognition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Financial Assets and Financial Liabilities</w:t>
      </w:r>
      <w:r>
        <w:rPr>
          <w:rFonts w:ascii="Arial" w:cs="Arial" w:eastAsia="Arial" w:hAnsi="Arial"/>
          <w:sz w:val="18"/>
          <w:szCs w:val="18"/>
          <w:color w:val="auto"/>
        </w:rPr>
        <w:t>. The new guidance will impact the accounting for equity investments, financial liabilities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option, and the presentation and disclosure requirements for financial instruments. All equity investments in unconsolidated entities (other than those accounted for under the equity method of accounting) will generally be measured at fair value with changes in fair value recognized through earnings. There will no longer be an available-for-sale classification for equity securities with readily determinable fair values in which changes in fair value are currently reported in other comprehensive income. In addition, the FASB clarified the need for a valuation allowance on deferred tax assets resulting from unrealized losses on available-for-sale debt securities. In general, the new guidance will require modified retrospective application to all outstanding instruments, with a cumulative effect adjustment recorded to opening retained earnings. This guidance will be effective for fiscal years beginning after December 15, 2017, including interim periods within those fiscal years. We are currently evaluating the expected impact that the standard could have on our financial statements and related disclosures.</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November 2015, the FASB issued Accounting Standards Update No. 2015-17, </w:t>
      </w:r>
      <w:r>
        <w:rPr>
          <w:rFonts w:ascii="Arial" w:cs="Arial" w:eastAsia="Arial" w:hAnsi="Arial"/>
          <w:sz w:val="17"/>
          <w:szCs w:val="17"/>
          <w:i w:val="1"/>
          <w:iCs w:val="1"/>
          <w:color w:val="auto"/>
        </w:rPr>
        <w:t>Income Taxes (Topic 740): Balance Sheet Classification of 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The update simplifies the presentation of deferred income taxes by requiring that deferred tax liabilities and assets be classified as noncurrent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The update is effective for public companies for annual reporting periods beginning after December 15, 2016, and interim periods within those fiscal years. The guidance may be adopted prospectively or retrospectively and early adoption is permitted. As of December 31, 2015, the Company has elected to early adopt this ASU on a prospective basis and therefore, prior years were not retrospectively adjusted.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2014, the FASB issued Accounting Standards Update No. 2014-12,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The pronouncement was issued to clarify the accounting for share-based payments when the terms of an award provide that a performance target could be achieved after the requisite service period. The pronouncement is effective for reporting periods beginning after December 15, 2015. The adoption of ASU 2014-12 will not have a significant impact on the Company’s financial position or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is a comprehensive revenue recognition standard that will supersede nearly all existing revenue recognition guidance under current U.S. GAAP and replace it with a principle based approach for determining revenue recognition. ASU 2014-09 will require that companies recognize revenue based on the value of transferred goods or services as they occur in the contract. The ASU also will require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interim and annual periods beginning after December 15, 2017. Early adoption is permitted in annual reporting periods beginning after December 15, 2016, and the interim periods within that year, and either full retrospective adoption or modified retrospective adoption is permitted. The Company is in the process of evaluating the impact of ASU 2014-09 on the Company’s financial statements and disclosures.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presenting the Company’s statement of operations for the years ended December 31, 2014 and 2013, the Company has reclassified $1.1 million and $0.8 million, respectively, of stock-based compensation that was previously reflected as general and administrative expenses to research and development expenses. The reclassification relates to stock-based compensation attributable to individuals working in the Company’s research and development activities, and had no impact on total costs and expenses, or on net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CASH, MONEY MARKET FUNDS, AND SHORT-TERM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money market funds, and short-term investments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9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 (reported as cash and cash equivalents)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19,945</w:t>
            </w: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 (reported as short-term investments)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70,113</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103,700</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44,909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and short-term investments include the following securities with gross unrealized gains and losses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December 31, 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5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70,065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70,113</w:t>
            </w:r>
          </w:p>
        </w:tc>
      </w:tr>
      <w:tr>
        <w:trPr>
          <w:trHeight w:val="210"/>
        </w:trPr>
        <w:tc>
          <w:tcPr>
            <w:tcW w:w="5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5500" w:type="dxa"/>
            <w:vAlign w:val="bottom"/>
          </w:tcPr>
          <w:p>
            <w:pPr>
              <w:ind w:left="360"/>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90,010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90,058</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F-13</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contractual maturities of our money market funds and short-term investments were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Within One</w:t>
            </w:r>
          </w:p>
        </w:tc>
      </w:tr>
      <w:tr>
        <w:trPr>
          <w:trHeight w:val="234"/>
        </w:trPr>
        <w:tc>
          <w:tcPr>
            <w:tcW w:w="8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Year</w:t>
            </w: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70,113</w:t>
            </w:r>
          </w:p>
        </w:tc>
      </w:tr>
      <w:tr>
        <w:trPr>
          <w:trHeight w:val="223"/>
        </w:trPr>
        <w:tc>
          <w:tcPr>
            <w:tcW w:w="87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December 31, 2015, the Company’s short-term investments were invested in short-term fixed income debt securities and notes of domestic and foreign high credit issuers and in money market funds.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At December 31, 2015, the Company’s short-term investments totaled $70.1 million, of which 43% were invested in notes of five companies, 37% were invested in notes of other domestic issuers, and 20% were invested in notes of foreign issuers. The average maturity of these notes was 66 days. At December 31, 2015 the Company’s money-market funds totaled $19.9 million and were invested in a single, no-load money market fund.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60" w:type="dxa"/>
            <w:vAlign w:val="bottom"/>
            <w:tcBorders>
              <w:bottom w:val="single" w:sz="8" w:color="CCEEFF"/>
            </w:tcBorders>
          </w:tcPr>
          <w:p>
            <w:pPr>
              <w:spacing w:after="0"/>
              <w:rPr>
                <w:sz w:val="20"/>
                <w:szCs w:val="20"/>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Computer equipment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762</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cost</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2015, 2014 and 2013 was $999, $88 and $7,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 2015, the Company completed an underwritten public offering of 9,200,000 shares of its common stock at a price of $8.00 per share of common stock. The net proceeds to the Company from the offering were $68.3 million, after deducting underwriting discounts and commissions and offering expenses. The offering was made pursuant to the Company’s existing shelf registration statement on Form S-3, including a base prospectus, which was filed with the SEC on November 20, 2014 and declared effective on December 10, 2014, a preliminary prospectus supplement thereunder, and a registration statement on Form S-3 filed with the SEC on February 26, 2015.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6, 2015, certain stockholders of the Company, including certain members of Board of Directors of the Company and their affiliates, sold 4,750,000 shares of the Company’s common stock in an underwritten secondary offering at a price of $10.00 per share. The Company did not sell any shares in the offering and did not receive any of the proceeds from the offering.</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2014 the Company completed an underwritten public offering of 6,000,000 shares of our common stock at a price of $5.75 per share. The net proceeds to us from the offering were $32.2 million, after deducting underwriting discounts and commissions and offering expenses payable by us. The offering was made pursuant to a shelf registration statement on Form S-3, which was filed with the SEC on November 20, 2014 and declared effective on December 10, 2014, and a prospectus supplement thereunder.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2015 and 2014, the Company granted 15,000 and 782,500 shares, respectively, of its restricted common stock to certain of its employees in accordance with the terms of their employment agreements. The total of 797,500 shares vest over a period of three years. As these shares were granted to employees, the Company calculated the aggregate fair value of the 797,500 shares to be $4.3 million based on the trading prices of the Company’s stock at their grant dates. The allocable portion of the fair value of the stock that vested during the years ended December 31, 2015 and 2014 totaled $1.7 million and $1.3 million, respectively, and is recognized as expense in the accompanying statements of operations. As of December 31, 2015, the amount of unvested compensation related to the unvested outstanding shares of restricted common stock was $1.3 million, which will be recorded as expense in over a weighted average life of 2.25 years as the shares vest.</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2015, certain employees authorized the Company to cancel 148,565 vested shares to satisfy withholding requirements related to such vesting. The cancellation is recorded as a reduction to shares outstanding. Additionally, shares of restricted stock granted above are subject to forfeiture to the Company or other restrictions that will lapse in accordance with a vesting schedule determined by our Board.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The following table summarizes restricted common stock activity:</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5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30"/>
        </w:trPr>
        <w:tc>
          <w:tcPr>
            <w:tcW w:w="520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20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January 1, 2014</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782,500</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December 31, 2014</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8.44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(284,748)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(191,500)</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December 31, 2015</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321,252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2013, the Company completed a transaction in which it cancelled certain debt and sold shares of common stock. As part of the transaction, certain investors purchasing common stock received as an inducement of 2,173,134 shares of common stock with a fair value of $2.1 million for no consideration. In addition, certain creditors received 122,734 shares of common stock valued at $0.1 million to cancel warrants to acquire 122,734 shares of common stock. The aggregate fair value of $2.2 million is reflected as cost to induce exchange transaction in the accompanying statement of operations for the year ended December 31, 2013.</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July 2013, the Company issued 1,340,000 shares of common stock with a fair value of $6.7 million to the two owners of Lion Biotechnologies, then a privately owned Delaware corporation, for all of their issued and outstanding shares of common stock. In the fourth quarter of 2013, the Company issued an additional 1,350,000 shares of common stock with a fair value of $9.9 million to the two owners. The aggregate fair value of all shares issued in the transaction was $16.6 million and is reflected as cost of Lion transaction in the accompanying statement of operations for the year ended December 31,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total of 17,000 shares of Series A Convertible Preferred Stock have been authorized for issuance under the Certificate of Designation of Preferences and Rights of Series A Convertible Preferred Stock. The shares of Series A Preferred Stock have a stated value of $1,000 per share and are initially convertible into shares of common stock at a price of $2.00 per share, subject to adjustment.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Series A Preferred Stock may, at the option of the investor, be converted into fully paid and non-assessable shares of common stock. The holders of shares of Series A Preferred Stock shall not have the right to vote on matters that come before stockholders. In the event of any dissolution or winding up of the Company, proceeds shall be paid pari passu among the holders of the shares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Preferred Stock shall first receive an equal dividend on each outstanding share of Series A Preferred Stock.</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years ended December 31, 2015 and 2014, 4,000 shares and 11,306 shares, respectively, of Series A Convertible Preferred Stock were converted into 2,000,000 and 5,653,000 shares of common stock, respectively. The common shares issued were determined on a formula basis of 500 common shares for each share of Series A Convertible Preferred Stock converted.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 OPTIONS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stock options at December 31, 2015, and the changes during the year ended,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Weighted</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Average</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Shares Under Option</w:t>
            </w:r>
          </w:p>
        </w:tc>
        <w:tc>
          <w:tcPr>
            <w:tcW w:w="240" w:type="dxa"/>
            <w:vAlign w:val="bottom"/>
          </w:tcPr>
          <w:p>
            <w:pPr>
              <w:spacing w:after="0"/>
              <w:rPr>
                <w:sz w:val="20"/>
                <w:szCs w:val="20"/>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Price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Life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225,000</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104.00</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Expired/Forfeited</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92.00</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1,604,127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Expired/Forfeited</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1,857,877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1,171,984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8.12</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(42,387)</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Expired/Forfeited</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(294,237)</w:t>
            </w:r>
          </w:p>
        </w:tc>
        <w:tc>
          <w:tcPr>
            <w:tcW w:w="2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2,693,237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Exercisable at December 31, 2015</w:t>
            </w: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1,099,043</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8.38</w:t>
            </w:r>
          </w:p>
        </w:tc>
        <w:tc>
          <w:tcPr>
            <w:tcW w:w="22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6.93</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2015, the Company granted options to purchase 1,171,984 shares of common stock to employees and directors of the Company. The stock options generally vest between one and three years. The fair value of these options was determined to be $10.1 million using the Black-Scholes option pricing model based on the following assumptions: (i) volatility rate ranging from 207% to 218%, (ii) discount rate of 1.57%, (iii) zero expected dividend yield, and (iv)expected life of 6 years.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years ended December 31, 2015, 2014, and 2013, the Company recorded compensation costs of $6.7 million, $2.6 million, and $0.7 million, respectively, relating to the vesting of stock options. As of December 31, 2015, the aggregate value of unvested options was $11.1 million, which will continue to be amortized as compensation cost as the options vest over terms ranging from nine months to three years, as applicable.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19, 2014, the Company’s Board of Directors adopted the Lion Biotechnologies, Inc. 2014 Equity Incentive Plan (the “2014 Plan”). The 2014 Plan was approved by our stockholders at the annual meeting of stockholders held in November 2014. The 2014 Plan as approved by the stockholders authorized the issuance up to an aggregate of 2,350,000 shares of common stock. On April 10, 2015 the Board amended the 2014 Plan to increase the total number of shares that can be issued under the 2014 Plan by 1,650,000 from 2,350,000 shares to 4,000,000 shares. The increase in shares available for issuance under the 2014 Plan was approved by stockholders on June 12,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stock warrants at December 31, 2015, and the changes during the year then ended, is presented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70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0"/>
        </w:trPr>
        <w:tc>
          <w:tcPr>
            <w:tcW w:w="470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Under</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4700" w:type="dxa"/>
            <w:vAlign w:val="bottom"/>
          </w:tcPr>
          <w:p>
            <w:pPr>
              <w:spacing w:after="0"/>
              <w:rPr>
                <w:sz w:val="20"/>
                <w:szCs w:val="20"/>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Life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108,734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Issued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12,387,156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Expired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(122,734)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31,2013</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12,373,156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Issued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(1,288,730)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Expired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11,084,426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Issued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(3,882,210)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Expired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December 31, 2015</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7,202,216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2015, the Company received $9.7 million in cash from the exercise of 3,882,210 warrants for the purchase of an equal number of shares of its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no tax provision for any period presented due to our history of operating losses. As of December 31, 2015, the Company had state and federal net operating loss carry forwards of approximately $45 million that may be available to reduce future years' taxable income through 2035. Future tax benefits which may arise as a result of these losses have not been recognized in these financial statements, as management has determined that their realization is not likely to occur and accordingly, the Company has recorded a valuation allowance for the deferred tax asset relating to these tax loss carry-forwards.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income tax assets are as follows as of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8"/>
                <w:szCs w:val="18"/>
                <w:color w:val="auto"/>
              </w:rPr>
              <w:t>December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2014</w:t>
            </w:r>
          </w:p>
        </w:tc>
        <w:tc>
          <w:tcPr>
            <w:tcW w:w="100" w:type="dxa"/>
            <w:vAlign w:val="bottom"/>
            <w:tcBorders>
              <w:bottom w:val="single" w:sz="8" w:color="CCEEFF"/>
            </w:tcBorders>
          </w:tcPr>
          <w:p>
            <w:pPr>
              <w:spacing w:after="0"/>
              <w:rPr>
                <w:sz w:val="20"/>
                <w:szCs w:val="20"/>
                <w:color w:val="auto"/>
              </w:rPr>
            </w:pPr>
          </w:p>
        </w:tc>
        <w:tc>
          <w:tcPr>
            <w:tcW w:w="74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3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Net operating loss carry forward</w:t>
            </w:r>
          </w:p>
        </w:tc>
        <w:tc>
          <w:tcPr>
            <w:tcW w:w="3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15,300</w:t>
            </w:r>
          </w:p>
        </w:tc>
        <w:tc>
          <w:tcPr>
            <w:tcW w:w="4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8,428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(15,300)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(8,428)</w:t>
            </w:r>
          </w:p>
        </w:tc>
        <w:tc>
          <w:tcPr>
            <w:tcW w:w="740" w:type="dxa"/>
            <w:vAlign w:val="bottom"/>
          </w:tcPr>
          <w:p>
            <w:pPr>
              <w:spacing w:after="0"/>
              <w:rPr>
                <w:sz w:val="18"/>
                <w:szCs w:val="18"/>
                <w:color w:val="auto"/>
              </w:rPr>
            </w:pPr>
          </w:p>
        </w:tc>
      </w:tr>
      <w:tr>
        <w:trPr>
          <w:trHeight w:val="210"/>
        </w:trPr>
        <w:tc>
          <w:tcPr>
            <w:tcW w:w="4440" w:type="dxa"/>
            <w:vAlign w:val="bottom"/>
            <w:gridSpan w:val="2"/>
          </w:tcPr>
          <w:p>
            <w:pPr>
              <w:ind w:left="980"/>
              <w:spacing w:after="0"/>
              <w:rPr>
                <w:sz w:val="20"/>
                <w:szCs w:val="20"/>
                <w:color w:val="auto"/>
              </w:rPr>
            </w:pPr>
            <w:r>
              <w:rPr>
                <w:rFonts w:ascii="Arial" w:cs="Arial" w:eastAsia="Arial" w:hAnsi="Arial"/>
                <w:sz w:val="18"/>
                <w:szCs w:val="18"/>
                <w:color w:val="auto"/>
              </w:rPr>
              <w:t>Net deferred income tax asset</w:t>
            </w:r>
          </w:p>
        </w:tc>
        <w:tc>
          <w:tcPr>
            <w:tcW w:w="34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629"/>
        </w:trPr>
        <w:tc>
          <w:tcPr>
            <w:tcW w:w="9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jc w:val="right"/>
              <w:ind w:right="2170"/>
              <w:spacing w:after="0"/>
              <w:rPr>
                <w:sz w:val="20"/>
                <w:szCs w:val="20"/>
                <w:color w:val="auto"/>
              </w:rPr>
            </w:pPr>
            <w:r>
              <w:rPr>
                <w:rFonts w:ascii="Arial" w:cs="Arial" w:eastAsia="Arial" w:hAnsi="Arial"/>
                <w:sz w:val="18"/>
                <w:szCs w:val="18"/>
                <w:color w:val="auto"/>
              </w:rPr>
              <w:t>F-17</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w w:val="96"/>
              </w:rPr>
              <w:t>Reconciliation of the effective income tax rate to the U.S. statutory rate is as follows:</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27"/>
        </w:trPr>
        <w:tc>
          <w:tcPr>
            <w:tcW w:w="3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0"/>
              </w:rPr>
              <w:t>Year Ended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3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6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FF"/>
            </w:tcBorders>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3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40" w:type="dxa"/>
            <w:vAlign w:val="bottom"/>
          </w:tcPr>
          <w:p>
            <w:pPr>
              <w:spacing w:after="0" w:line="20" w:lineRule="exact"/>
              <w:rPr>
                <w:sz w:val="1"/>
                <w:szCs w:val="1"/>
                <w:color w:val="auto"/>
              </w:rPr>
            </w:pPr>
          </w:p>
        </w:tc>
        <w:tc>
          <w:tcPr>
            <w:tcW w:w="61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3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Valuation allowance</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39%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34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adopted accounting rules which address the determination of whether tax benefits claimed or expected to be claimed on a tax return should be recorded in the financial statements. Under these rules,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settlement. These accounting rules also provide guidance on de-recognition, classification, interest and penalties on income taxes, accounting in interim periods and requires increased disclosures. As of December 31, 2015, no liability for unrecognized tax benefits was required to be recorded.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LICENSES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 and the National Cancer Institute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Cooperative Research and Development Agreement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August 5, 2011, the Company signed a Cooperative Research and Development Agreement (CRADA) with the National Institutes of Health and the National Cancer Institute (NCI). Under the terms of the five-year cooperative research and development agreement, the Company will work with Dr. Steven A. Rosenberg, M.D., Ph.D., chief of NCI’s Surgery Branch, to develop adoptive cell immunotherapies that are designed to destroy metastatic melanoma cells using a patient’s tumor infiltrating lymphocytes.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22, 2015, the Company executed an amendment (the “Amendment”) to the CRADA to include four new indications. As amended, in addition to metastatic melanoma, the CRADA now also includes the development of TIL therapy for the treatment of patients with bladder, lung, triple-negative breast, and HPV-associated cancers. Under the Amendment, the NCI also has agreed to provide the Company with samples of all tumors covered by the Amendment for performing studies related to improving TIL selection and/or TIL scale-out production and process development. Although the CRADA has a five year term, either party to the CRADA has the right to terminate the CRADA upon 60 days’ notice to the other party.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and Manufacture TIL</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October 5, 2011, the Company entered into a Patent License Agreement with the National Institutes of Health, an agency of the United States Public Health Service within the Department of Health and Human Services (“NIH”), which License Agreement was subsequently amended on February 9, 2015 and October 2, 2015. Pursuant to the License Agreement as amended, NIH granted to the Company an exclusive worldwide right and license to develop and manufacture certain proprietary autologous tumor infiltrating lymphocyte adoptive cell therapy products for the treatment of metastatic melanoma, ovarian cancer, breast cancer, and colorectal cancer. The License Agreement requires the Company to pay royalties based on a percentage of net sales (which percentage is in the mid-single digits and subject to certain annual minimum royalty payments), a percentage of revenues from sublicensing arrangements, and lump sum benchmark royalty payments on the achievement of certain clinical and regulatory milestones for each of the various indications and other direct costs incurred by NIH pursuant to the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Patent License Agreement</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February 10, 2015, the Company entered into an exclusive Patent License Agreement with the NIH under which the Company received an exclusive, world-wide license to the NIH’s rights in and to two patent-pending technologies related to methods for improving tumor-infiltrating lymphocytes for adoptive cell therapy. The licensed technologies relate to the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consideration for the exclusive rights granted under the exclusive Patent License Agreement, the Company agreed to pay the NIH a non-refundable upfront licensing fee which was recognized as research and development expense during the year ended December 31, 2015. The Company also agreed to pay customary royalties based on a percentage of net sales (which percentage is in the mid-single digits), a percentage of revenues from sublicensing arrangements, and lump sum benchmark payments upon the successful completion of the Company’s first Phase 2 clinical study, the successful completion of the Company’s first Phase 3 clinical study,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 The Company will also be responsible for all costs associated with the preparation, filing, maintenance and prosecution of the patent applications and patents covered by the License.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Lee Moffitt Cancer Center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Agreement</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In September 2014, the Company entered into a research collaboration agreement with the H. Lee Moffitt Cancer Center and Research Institute, Inc. to jointly engage in transitional research and development of adoptive tumor-infiltrating lymphocyte cell therapy with improved anti-tumor properties and process.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License Agreement</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entered into an Exclusive License Agreement (the “Moffitt License Agreement”), effective as of June 28, 2014, with the H. Lee Moffitt Cancer Center and Research Institute, Inc. (“Moffitt”) under which the Company received an exclusive, world-wide license to Moffitt’s rights in and to two patent-pending technologies related to methods for improving tumor-infiltrating lymphocytes for adoptive cell therapy. Unless earlier terminated, the term of the license extends until the earlier of the expiration of the last patent related to the licensed technology or 20 years after the effective date of the license agreement.</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Moffitt License Agreement, the Company paid an upfront licensing fee which was recognized as research and development expense during 2014. A patent issuance fee will also be payable under the Moffitt License Agreement,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Moffitt License Agreement related to the treatment of any cancers in the United States, Europe and Japan and in other countries selected that the Company and Moffitt agreed to.</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year ended December 31, 2015 and 2014, the Company recognized $3.8 million and $1.4 million respectively, of expenses related to its license agreements. The amounts were recorded as part of research and development expenses in the statement of operations. Additionally, during the years ended December 31, 2015, 2014 and 2013, there were no net sales subject to certain annual minimum royalty payments or sales that would require us to pay a percentage of revenues from sublicensing arrangements. In addition, there were no benchmarks or milestones achieved that would require payment under the lump sum benchmark royalty payments on the achievement of certain clinical regulatory milestones for each of the various indications.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Aggregate guaranteed commitments for 2016, under all of the Company’s license and research agreements, are approximately $2.1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Tampa Lease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July 2014, the Company entered into a five-year non-cancellable operating lease with the University of South Florida Research Foundation for an approximately 5,200 square foot facility located in Tampa, Florida. The facility is part of the University of South Florida research park and is used as the Company’s research and development facilities. The monthly base rent for this facility during the first year of the lease was $10,443 and will increase by 3% annually.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minimum lease payments are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gridSpan w:val="2"/>
          </w:tcPr>
          <w:p>
            <w:pPr>
              <w:ind w:left="660"/>
              <w:spacing w:after="0"/>
              <w:rPr>
                <w:sz w:val="20"/>
                <w:szCs w:val="20"/>
                <w:color w:val="auto"/>
              </w:rPr>
            </w:pPr>
            <w:r>
              <w:rPr>
                <w:rFonts w:ascii="Arial" w:cs="Arial" w:eastAsia="Arial" w:hAnsi="Arial"/>
                <w:sz w:val="18"/>
                <w:szCs w:val="18"/>
                <w:color w:val="auto"/>
              </w:rPr>
              <w:t>Year</w:t>
            </w:r>
          </w:p>
        </w:tc>
        <w:tc>
          <w:tcPr>
            <w:tcW w:w="32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Amount</w:t>
            </w:r>
          </w:p>
        </w:tc>
      </w:tr>
      <w:tr>
        <w:trPr>
          <w:trHeight w:val="210"/>
        </w:trPr>
        <w:tc>
          <w:tcPr>
            <w:tcW w:w="16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2016</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660" w:type="dxa"/>
            <w:vAlign w:val="bottom"/>
          </w:tcPr>
          <w:p>
            <w:pPr>
              <w:ind w:left="660"/>
              <w:spacing w:after="0"/>
              <w:rPr>
                <w:sz w:val="20"/>
                <w:szCs w:val="20"/>
                <w:color w:val="auto"/>
              </w:rPr>
            </w:pPr>
            <w:r>
              <w:rPr>
                <w:rFonts w:ascii="Arial" w:cs="Arial" w:eastAsia="Arial" w:hAnsi="Arial"/>
                <w:sz w:val="18"/>
                <w:szCs w:val="18"/>
                <w:color w:val="auto"/>
              </w:rPr>
              <w:t>2017</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16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2018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r>
      <w:tr>
        <w:trPr>
          <w:trHeight w:val="230"/>
        </w:trPr>
        <w:tc>
          <w:tcPr>
            <w:tcW w:w="1660" w:type="dxa"/>
            <w:vAlign w:val="bottom"/>
          </w:tcPr>
          <w:p>
            <w:pPr>
              <w:ind w:left="66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r>
      <w:tr>
        <w:trPr>
          <w:trHeight w:val="223"/>
        </w:trPr>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QUARTERLY UNAUDITED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by quarter for the years ended December 31, 2015 and 2014 are as follow: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2015</w:t>
            </w: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13"/>
          </w:tcPr>
          <w:p>
            <w:pPr>
              <w:jc w:val="right"/>
              <w:ind w:right="440"/>
              <w:spacing w:after="0"/>
              <w:rPr>
                <w:sz w:val="20"/>
                <w:szCs w:val="20"/>
                <w:color w:val="auto"/>
              </w:rPr>
            </w:pPr>
            <w:r>
              <w:rPr>
                <w:rFonts w:ascii="Arial" w:cs="Arial" w:eastAsia="Arial" w:hAnsi="Arial"/>
                <w:sz w:val="18"/>
                <w:szCs w:val="18"/>
                <w:b w:val="1"/>
                <w:bCs w:val="1"/>
                <w:color w:val="auto"/>
                <w:w w:val="89"/>
              </w:rPr>
              <w:t>(in thousands, except per share information)</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Q1</w:t>
            </w:r>
          </w:p>
        </w:tc>
        <w:tc>
          <w:tcPr>
            <w:tcW w:w="200" w:type="dxa"/>
            <w:vAlign w:val="bottom"/>
          </w:tcPr>
          <w:p>
            <w:pPr>
              <w:spacing w:after="0"/>
              <w:rPr>
                <w:sz w:val="19"/>
                <w:szCs w:val="19"/>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Q2</w:t>
            </w:r>
          </w:p>
        </w:tc>
        <w:tc>
          <w:tcPr>
            <w:tcW w:w="140" w:type="dxa"/>
            <w:vAlign w:val="bottom"/>
          </w:tcPr>
          <w:p>
            <w:pPr>
              <w:spacing w:after="0"/>
              <w:rPr>
                <w:sz w:val="19"/>
                <w:szCs w:val="19"/>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Q3</w:t>
            </w:r>
          </w:p>
        </w:tc>
        <w:tc>
          <w:tcPr>
            <w:tcW w:w="180" w:type="dxa"/>
            <w:vAlign w:val="bottom"/>
          </w:tcPr>
          <w:p>
            <w:pPr>
              <w:spacing w:after="0"/>
              <w:rPr>
                <w:sz w:val="19"/>
                <w:szCs w:val="19"/>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190"/>
              <w:spacing w:after="0"/>
              <w:rPr>
                <w:sz w:val="20"/>
                <w:szCs w:val="20"/>
                <w:color w:val="auto"/>
              </w:rPr>
            </w:pPr>
            <w:r>
              <w:rPr>
                <w:rFonts w:ascii="Arial" w:cs="Arial" w:eastAsia="Arial" w:hAnsi="Arial"/>
                <w:sz w:val="18"/>
                <w:szCs w:val="18"/>
                <w:b w:val="1"/>
                <w:bCs w:val="1"/>
                <w:color w:val="auto"/>
              </w:rPr>
              <w:t>Q4</w:t>
            </w:r>
          </w:p>
        </w:tc>
        <w:tc>
          <w:tcPr>
            <w:tcW w:w="100" w:type="dxa"/>
            <w:vAlign w:val="bottom"/>
          </w:tcPr>
          <w:p>
            <w:pPr>
              <w:spacing w:after="0"/>
              <w:rPr>
                <w:sz w:val="19"/>
                <w:szCs w:val="19"/>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(5,298)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(6,367)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(7,635)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(8,360)</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(2,260)</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(2,110)</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(3,014)</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(4,651)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used in computing</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37,679</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45,082</w:t>
            </w:r>
          </w:p>
        </w:tc>
        <w:tc>
          <w:tcPr>
            <w:tcW w:w="14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47,272</w:t>
            </w:r>
          </w:p>
        </w:tc>
        <w:tc>
          <w:tcPr>
            <w:tcW w:w="1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47,912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20,798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24,138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26,633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28,271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LEGAL PROCEEDINGS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April 23, 2014, the Company received a subpoena from the Securities Exchange Commission (the “SEC”) that stated that the staff of the SEC is conducting an investigation </w:t>
      </w:r>
      <w:r>
        <w:rPr>
          <w:rFonts w:ascii="Arial" w:cs="Arial" w:eastAsia="Arial" w:hAnsi="Arial"/>
          <w:sz w:val="18"/>
          <w:szCs w:val="18"/>
          <w:i w:val="1"/>
          <w:iCs w:val="1"/>
          <w:color w:val="auto"/>
        </w:rPr>
        <w:t>In the Matter of Galena Biopharma, Inc. File No. HO 12356 (now known as “</w:t>
      </w:r>
      <w:r>
        <w:rPr>
          <w:rFonts w:ascii="Arial" w:cs="Arial" w:eastAsia="Arial" w:hAnsi="Arial"/>
          <w:sz w:val="18"/>
          <w:szCs w:val="18"/>
          <w:i w:val="1"/>
          <w:iCs w:val="1"/>
          <w:u w:val="single" w:color="auto"/>
          <w:color w:val="auto"/>
        </w:rPr>
        <w:t>In the Matter of Certain Stock Promotions</w:t>
      </w:r>
      <w:r>
        <w:rPr>
          <w:rFonts w:ascii="Arial" w:cs="Arial" w:eastAsia="Arial" w:hAnsi="Arial"/>
          <w:sz w:val="18"/>
          <w:szCs w:val="18"/>
          <w:i w:val="1"/>
          <w:iCs w:val="1"/>
          <w:color w:val="auto"/>
        </w:rPr>
        <w:t>”)</w:t>
      </w:r>
      <w:r>
        <w:rPr>
          <w:rFonts w:ascii="Arial" w:cs="Arial" w:eastAsia="Arial" w:hAnsi="Arial"/>
          <w:sz w:val="18"/>
          <w:szCs w:val="18"/>
          <w:color w:val="auto"/>
        </w:rPr>
        <w:t xml:space="preserve"> and that the subpoena was issued to the Company as part of the foregoing investigation. The SEC’s subpoena and accompanying letter did not indicate whether the Company is, or is not, under investigation. We have cooperated with the SEC and have completed our production of documents in response to the subpoena. To date, the SEC has not requested any further information from us. Nevertheless, the SEC may in the future require us to produce additional documents or other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-579755</wp:posOffset>
            </wp:positionV>
            <wp:extent cx="28682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68295" cy="8890"/>
                    </a:xfrm>
                    <a:prstGeom prst="rect">
                      <a:avLst/>
                    </a:prstGeom>
                    <a:noFill/>
                  </pic:spPr>
                </pic:pic>
              </a:graphicData>
            </a:graphic>
          </wp:anchor>
        </w:drawing>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subpoena required us to give the SEC certain documents regarding, and communications between, anyone at this company and certain listed persons and entities (which include investor-relations firms and persons associated with the investor-relations firms), and articles regarding this company posted on certain equity research or other financial websites. We believe that the SEC is investigating improper conduct relative to the payment of bloggers and other authors for promotional articles written about public companies. A number of articles have been written about us that may be available on the internet and elsewhere. Investors considering an investment in our securities should review this Annual Report and the other documents that we filed with the SEC rather than relying on internet blogs or other similar articles and publications.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are unaware of the exact scope or timing of the SEC’s investigation, it is our understanding that the investigation is ongoing. We do not know when the investigation will be concluded or to what extent we will be further involved. If we receive additional subpoenas or other requests for documents from the SEC it is our intention to fully cooperate with the SEC. Complying with any such future requests could distract the time and attention of our officers and directors or divert our resources away from research and development programs. Furthermore, we, and our former officers and directors, may be the subject of the SEC’s investigation. Any such investigation could result in significant legal expenses, the diversion of management’s attention from our business, damage to our business and reputation, and could subject us to a wide range of remedies, including an SEC enforcement action and potential financial penalties required by the SEC.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pending legal proceedings to which the Company is a party or of which its property is the subject.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hereby consent to the incorporation by reference in Registration Statements on From S-8 (File No. 333-205097) and on form S-3 (File Nos. 333-192649 and 333-203284) of Lion Biotechnologies, Inc. of our reports dated March 11, 2016, relating to the financial statements and effectiveness of internal control over financial reporting, which appear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Weinberg &amp; Company,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Elma Hawkins, certify that:</w:t>
      </w:r>
    </w:p>
    <w:p>
      <w:pPr>
        <w:spacing w:after="0" w:line="225"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Lion Biotechnologies, Inc.</w:t>
      </w:r>
    </w:p>
    <w:p>
      <w:pPr>
        <w:spacing w:after="0" w:line="225"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260" w:right="120" w:hanging="252"/>
        <w:spacing w:after="0" w:line="264"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right="20" w:hanging="252"/>
        <w:spacing w:after="0" w:line="264"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60" w:right="340" w:hanging="252"/>
        <w:spacing w:after="0" w:line="264"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sz w:val="20"/>
          <w:szCs w:val="20"/>
          <w:color w:val="auto"/>
        </w:rPr>
      </w:pPr>
    </w:p>
    <w:p>
      <w:pPr>
        <w:ind w:left="260" w:right="600" w:hanging="252"/>
        <w:spacing w:after="0" w:line="308"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260" w:right="200" w:hanging="252"/>
        <w:spacing w:after="0" w:line="27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right="460" w:hanging="252"/>
        <w:spacing w:after="0" w:line="27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Elma Hawkins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Elma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Molly Henderson, certify that:</w:t>
      </w:r>
    </w:p>
    <w:p>
      <w:pPr>
        <w:spacing w:after="0" w:line="225"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Lion Biotechnologies, Inc.</w:t>
      </w:r>
    </w:p>
    <w:p>
      <w:pPr>
        <w:spacing w:after="0" w:line="225"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260" w:right="120" w:hanging="252"/>
        <w:spacing w:after="0" w:line="264"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right="20" w:hanging="252"/>
        <w:spacing w:after="0" w:line="264"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60" w:right="20" w:hanging="252"/>
        <w:spacing w:after="0" w:line="277"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60" w:right="340" w:hanging="252"/>
        <w:spacing w:after="0" w:line="264"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sz w:val="20"/>
          <w:szCs w:val="20"/>
          <w:color w:val="auto"/>
        </w:rPr>
      </w:pPr>
    </w:p>
    <w:p>
      <w:pPr>
        <w:ind w:left="260" w:right="600" w:hanging="252"/>
        <w:spacing w:after="0" w:line="308" w:lineRule="auto"/>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260" w:right="200" w:hanging="252"/>
        <w:spacing w:after="0" w:line="277"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right="460" w:hanging="252"/>
        <w:spacing w:after="0" w:line="277"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Molly Henderson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Elma Hawkins, Chief Executive Officer of Lion Biotechnologies, Inc.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700" w:hanging="692"/>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2015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Elma Hawkins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Elma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Molly Henderson, Chief Financial Officer of Lion Biotechnologies, Inc.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700" w:hanging="692"/>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2015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Molly Henderson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5387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0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5"/>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5"/>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2019-12-29T12:34:56Z</dcterms:created>
  <dcterms:modified xsi:type="dcterms:W3CDTF">2019-12-29T12:34:56Z</dcterms:modified>
</cp:coreProperties>
</file>