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36" w:lineRule="exact"/>
        <w:rPr>
          <w:rFonts w:ascii="MS PGothic" w:cs="MS PGothic" w:eastAsia="MS PGothic" w:hAnsi="MS PGothic"/>
          <w:sz w:val="17"/>
          <w:szCs w:val="17"/>
          <w:color w:val="auto"/>
        </w:rPr>
      </w:pPr>
    </w:p>
    <w:p>
      <w:pPr>
        <w:ind w:left="3260"/>
        <w:spacing w:after="0"/>
        <w:rPr>
          <w:rFonts w:ascii="MS PGothic" w:cs="MS PGothic" w:eastAsia="MS PGothic" w:hAnsi="MS PGothic"/>
          <w:sz w:val="17"/>
          <w:szCs w:val="17"/>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2022</w:t>
      </w:r>
    </w:p>
    <w:p>
      <w:pPr>
        <w:spacing w:after="0" w:line="11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7" w:lineRule="exact"/>
        <w:rPr>
          <w:sz w:val="24"/>
          <w:szCs w:val="24"/>
          <w:color w:val="auto"/>
        </w:rPr>
      </w:pPr>
    </w:p>
    <w:p>
      <w:pPr>
        <w:ind w:left="3600"/>
        <w:spacing w:after="0"/>
        <w:tabs>
          <w:tab w:leader="none" w:pos="5940" w:val="left"/>
          <w:tab w:leader="none" w:pos="6260" w:val="left"/>
        </w:tabs>
        <w:rPr>
          <w:sz w:val="20"/>
          <w:szCs w:val="20"/>
          <w:color w:val="auto"/>
        </w:rPr>
      </w:pPr>
      <w:r>
        <w:rPr>
          <w:rFonts w:ascii="Arial" w:cs="Arial" w:eastAsia="Arial" w:hAnsi="Arial"/>
          <w:sz w:val="18"/>
          <w:szCs w:val="18"/>
          <w:color w:val="auto"/>
        </w:rPr>
        <w:t>For the transition period from</w:t>
        <w:tab/>
        <w:t>to</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-20320</wp:posOffset>
            </wp:positionV>
            <wp:extent cx="85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-20320</wp:posOffset>
            </wp:positionV>
            <wp:extent cx="85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Commission File Number 001-36860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124"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37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75-3254381</w:t>
            </w:r>
          </w:p>
        </w:tc>
      </w:tr>
      <w:tr>
        <w:trPr>
          <w:trHeight w:val="216"/>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(I.R.S. employer</w:t>
            </w:r>
          </w:p>
        </w:tc>
      </w:tr>
      <w:tr>
        <w:trPr>
          <w:trHeight w:val="230"/>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number)</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825 Industrial Road, Suite 400, San Carlos, CA 94070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(650) 260-7120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right="1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89"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1780" w:space="40"/>
            <w:col w:w="2420" w:space="720"/>
            <w:col w:w="49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jc w:val="center"/>
        <w:ind w:left="1540" w:right="100"/>
        <w:spacing w:after="0" w:line="30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$0.000041666</w:t>
            </w:r>
          </w:p>
        </w:tc>
        <w:tc>
          <w:tcPr>
            <w:tcW w:w="140" w:type="dxa"/>
            <w:vAlign w:val="bottom"/>
          </w:tcPr>
          <w:p>
            <w:pPr>
              <w:spacing w:after="0"/>
              <w:rPr>
                <w:sz w:val="19"/>
                <w:szCs w:val="19"/>
                <w:color w:val="auto"/>
              </w:rPr>
            </w:pPr>
          </w:p>
        </w:tc>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IOVA</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At April 25, 2022, the issuer had 157,168,321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92075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360" w:type="dxa"/>
            <w:vAlign w:val="bottom"/>
            <w:tcBorders>
              <w:top w:val="single" w:sz="8" w:color="CCEEFF"/>
            </w:tcBorders>
            <w:gridSpan w:val="18"/>
            <w:shd w:val="clear" w:color="auto" w:fill="CCEEFF"/>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2.</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0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Item 4.</w:t>
              </w:r>
            </w:hyperlink>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18"/>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Item 1.</w:t>
              </w:r>
            </w:hyperlink>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1A.</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Item 2.</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38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Unregistered Sales of Securities and Use of Proceeds</w:t>
              </w:r>
            </w:hyperlink>
          </w:p>
        </w:tc>
        <w:tc>
          <w:tcPr>
            <w:tcW w:w="4640" w:type="dxa"/>
            <w:vAlign w:val="bottom"/>
            <w:tcBorders>
              <w:bottom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3.</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Defaults Upon Senior Securities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Item 4.</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Mine Safety Disclosure</w:t>
              </w:r>
            </w:hyperlink>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5.</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Item 6.</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Exhibits</w:t>
              </w:r>
            </w:hyperlink>
          </w:p>
        </w:tc>
        <w:tc>
          <w:tcPr>
            <w:tcW w:w="786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18"/>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7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3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92,360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78,229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389,829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7,779</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489,968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102,757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73,475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6,084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assets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701,251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777,333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48,911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7,710</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77,075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 noncurrent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Long-term note payable</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Non-Current Liabilities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72,184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149,259</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155,674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Series A Convertible Preferred stock, $0.001 par value; 17,000 shares designated, 194 shares issued and</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 as of March 31, 2022 and December 31, 2021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w w:val="93"/>
              </w:rPr>
              <w:t>Series B Convertible Preferred stock, $0.001 par value; 11,500,000 shares designated, 2,842,158 shares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rPr>
              <w:t>issued and outstanding as of March 31, 2022 and December 31, 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Common stock, $0.000041666 par value; 300,000,000 shares authorized, 157,168,321 and 157,004,742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shares issued and outstanding as of March 31, 2022 and December 31, 2021, respectively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(2,343)</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1,818,377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(1,264,052)</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(1,172,445)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551,992</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621,659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Pr>
          <w:p>
            <w:pPr>
              <w:ind w:left="10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701,251</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16"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Three Months Ended</w:t>
      </w:r>
    </w:p>
    <w:p>
      <w:pPr>
        <w:ind w:left="82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23,413</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91,713</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(91,713)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(91,607)</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7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4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(0.58)</w:t>
            </w:r>
          </w:p>
        </w:tc>
        <w:tc>
          <w:tcPr>
            <w:tcW w:w="280" w:type="dxa"/>
            <w:vAlign w:val="bottom"/>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Weighted Average Shares of Common Stock Outstanding, Basic and Diluted</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157,113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jc w:val="right"/>
        <w:ind w:right="760"/>
        <w:spacing w:after="0"/>
        <w:rPr>
          <w:sz w:val="20"/>
          <w:szCs w:val="20"/>
          <w:color w:val="auto"/>
        </w:rPr>
      </w:pPr>
      <w:r>
        <w:rPr>
          <w:rFonts w:ascii="Arial" w:cs="Arial" w:eastAsia="Arial" w:hAnsi="Arial"/>
          <w:sz w:val="14"/>
          <w:szCs w:val="14"/>
          <w:b w:val="1"/>
          <w:bCs w:val="1"/>
          <w:color w:val="auto"/>
        </w:rPr>
        <w:t>Three Months Ended</w:t>
      </w:r>
    </w:p>
    <w:p>
      <w:pPr>
        <w:ind w:left="81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(75,449)</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investments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(93,349)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(75,372)</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Series A</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89"/>
              </w:rPr>
              <w:t>Series B</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40" w:type="dxa"/>
            <w:vAlign w:val="bottom"/>
            <w:gridSpan w:val="4"/>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9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Sock</w:t>
            </w:r>
          </w:p>
        </w:tc>
        <w:tc>
          <w:tcPr>
            <w:tcW w:w="14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vMerge w:val="continue"/>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7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2,842,158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157,004,742</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$1,794,695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(1,172,445)</w:t>
            </w:r>
          </w:p>
        </w:tc>
        <w:tc>
          <w:tcPr>
            <w:tcW w:w="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621,659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22,265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22,265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163,579</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Unrealized loss 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(91,607)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 March 31, 2022</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Pr>
          <w:p>
            <w:pPr>
              <w:spacing w:after="0"/>
              <w:rPr>
                <w:sz w:val="15"/>
                <w:szCs w:val="15"/>
                <w:color w:val="auto"/>
              </w:rPr>
            </w:pPr>
          </w:p>
        </w:tc>
        <w:tc>
          <w:tcPr>
            <w:tcW w:w="240" w:type="dxa"/>
            <w:vAlign w:val="bottom"/>
            <w:tcBorders>
              <w:top w:val="single" w:sz="8" w:color="auto"/>
            </w:tcBorders>
          </w:tcPr>
          <w:p>
            <w:pPr>
              <w:jc w:val="right"/>
              <w:ind w:right="12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240" w:type="dxa"/>
            <w:vAlign w:val="bottom"/>
            <w:gridSpan w:val="2"/>
          </w:tcPr>
          <w:p>
            <w:pPr>
              <w:ind w:left="160"/>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5"/>
                <w:szCs w:val="15"/>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157,168,321</w:t>
            </w:r>
          </w:p>
        </w:tc>
        <w:tc>
          <w:tcPr>
            <w:tcW w:w="140" w:type="dxa"/>
            <w:vAlign w:val="bottom"/>
          </w:tcPr>
          <w:p>
            <w:pPr>
              <w:spacing w:after="0"/>
              <w:rPr>
                <w:sz w:val="15"/>
                <w:szCs w:val="15"/>
                <w:color w:val="auto"/>
              </w:rPr>
            </w:pPr>
          </w:p>
        </w:tc>
        <w:tc>
          <w:tcPr>
            <w:tcW w:w="34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1,818,377</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(1,264,052)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551,992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880" w:type="dxa"/>
            <w:vAlign w:val="bottom"/>
          </w:tcPr>
          <w:p>
            <w:pPr>
              <w:spacing w:after="0" w:line="126" w:lineRule="exact"/>
              <w:rPr>
                <w:sz w:val="20"/>
                <w:szCs w:val="20"/>
                <w:color w:val="auto"/>
              </w:rPr>
            </w:pPr>
            <w:r>
              <w:rPr>
                <w:rFonts w:ascii="Arial" w:cs="Arial" w:eastAsia="Arial" w:hAnsi="Arial"/>
                <w:sz w:val="14"/>
                <w:szCs w:val="14"/>
                <w:b w:val="1"/>
                <w:bCs w:val="1"/>
                <w:color w:val="auto"/>
              </w:rPr>
              <w:t>Balance -</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Pr>
          <w:p>
            <w:pPr>
              <w:jc w:val="right"/>
              <w:spacing w:after="0"/>
              <w:rPr>
                <w:sz w:val="20"/>
                <w:szCs w:val="20"/>
                <w:color w:val="auto"/>
              </w:rPr>
            </w:pPr>
            <w:r>
              <w:rPr>
                <w:rFonts w:ascii="Arial" w:cs="Arial" w:eastAsia="Arial" w:hAnsi="Arial"/>
                <w:sz w:val="14"/>
                <w:szCs w:val="14"/>
                <w:color w:val="auto"/>
              </w:rPr>
              <w:t>194</w:t>
            </w:r>
          </w:p>
        </w:tc>
        <w:tc>
          <w:tcPr>
            <w:tcW w:w="400" w:type="dxa"/>
            <w:vAlign w:val="bottom"/>
            <w:gridSpan w:val="2"/>
          </w:tcPr>
          <w:p>
            <w:pPr>
              <w:jc w:val="right"/>
              <w:ind w:right="122"/>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9"/>
              </w:rPr>
              <w:t>3,581,119</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89"/>
              </w:rPr>
              <w:t>146,874,917</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$1,486,662</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(830,193)</w:t>
            </w:r>
          </w:p>
        </w:tc>
        <w:tc>
          <w:tcPr>
            <w:tcW w:w="8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656,498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16,941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423,178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6,479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offering, net of offering costs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1,278,243</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42,885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Common stock issued from</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preferred stock conversion</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(738,961)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738,961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 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(75,449)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March 31, 2021</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149,315,299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1,552,968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(905,642)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647,431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(91,607)</w:t>
            </w:r>
          </w:p>
        </w:tc>
        <w:tc>
          <w:tcPr>
            <w:tcW w:w="8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22,265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 of use asset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Accretion (amortization) of discounts and premiums on investments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Loss on write-off of fixed assets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(2,104)</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(73,802)</w:t>
            </w: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(62,391)</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Maturities of investments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143,508</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Purchase of investments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(45,552)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(11,440)</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86,516</w:t>
            </w: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77,211</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debt</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50,364</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84,313</w:t>
            </w: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72,854</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98,444</w:t>
            </w:r>
          </w:p>
        </w:tc>
        <w:tc>
          <w:tcPr>
            <w:tcW w:w="3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138,038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Net unrealized (loss) gain on short-term investments</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(1,742)</w:t>
            </w:r>
          </w:p>
        </w:tc>
        <w:tc>
          <w:tcPr>
            <w:tcW w:w="8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Acquisition of property and equipment included in accounts payable and accrued</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Conversion of convertible preferred stock to common stock</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Lease liabilities arising from obtaining right-of-use asset from lease modifications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BUSINESS AND LIQUIDITY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Organization and Business</w:t>
      </w:r>
    </w:p>
    <w:p>
      <w:pPr>
        <w:spacing w:after="0" w:line="185" w:lineRule="exact"/>
        <w:rPr>
          <w:sz w:val="20"/>
          <w:szCs w:val="20"/>
          <w:color w:val="auto"/>
        </w:rPr>
      </w:pPr>
    </w:p>
    <w:p>
      <w:pPr>
        <w:ind w:right="60" w:firstLine="492"/>
        <w:spacing w:after="0" w:line="268" w:lineRule="auto"/>
        <w:rPr>
          <w:sz w:val="20"/>
          <w:szCs w:val="20"/>
          <w:color w:val="auto"/>
        </w:rPr>
      </w:pPr>
      <w:r>
        <w:rPr>
          <w:rFonts w:ascii="Arial" w:cs="Arial" w:eastAsia="Arial" w:hAnsi="Arial"/>
          <w:sz w:val="17"/>
          <w:szCs w:val="17"/>
          <w:color w:val="auto"/>
        </w:rPr>
        <w:t>Iovance Biotherapeutics, Inc. (the “Company”) is a clinical-stage biopharmaceutical company pioneering a transformational approach to cure cancer by harnessing the human immune system’s ability to recognize and destroy diverse cancer cells in each patient. Tumor infiltrating lymphocyte (“TIL”) therapy is an autologous cell therapy platform technology that was originally developed by the National Cancer Institute (“NCI”), which conducted initial clinical trials in diseases such as metastatic melanoma and cervical cancer, as well as non-small cell lung cancer. The Company’s mission is to be the global leader in innovating, developing and delivering TIL therapy for patients with cancer. The Company has developed a new, shorter proprietary TIL manufacturing process known as Generation 2 (“Gen 2”), which yields a cryopreserved TIL product. This centralized, proprietary, and scalable manufacturing method is being investigated in multiple indications. The Company’s lead product candidates include lifileucel for metastatic melanoma and metastatic cervical cancer, as well as LN-145 for metastatic non-small cell lung cancer (“NSCLC”). In addition, the Company is investigating the effectiveness and safety of combinations of TIL therapy with immune checkpoint inhibitors (“ICI”), in metastatic melanoma, cervical cancer, NSCLC, and head and neck squamous cell carcinoma (“HNSCC”). The Company is investigating peripheral blood lymphocyte (“PBL”) therapy for patients with relapsed or refractory chronic lymphocytic leukemia (“CLL”) and small lymphocytic lymphoma (“SLL”) through its sponsored trials. The Company is also investigating the potential for TIL therapy in other oncology indications through academic collaborations with leading cancer research centers. On June 1, 2017, the Company reincorporated from a Nevada corporation to a Delaware corporation.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198"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The accompanying unaudited condensed consolidated financial statements of the Company for the three months ended March 31, 2022 and 2021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that may be expected for the year ended December 31, 2022 or for any other period. The condensed consolidated balance sheet as of December 31, 2021 was derived from the audited consolidated financial statements included in the Company's Annual Report on Form 10-K filed with the Securities and Exchange Commission (the “SEC”) on February 24, 2022. These interim financial statements should be read in conjunction with that report. Certain prior period amounts reported in our condensed consolidated financial statements and accompanying notes have been reclassified to conform to the current period presentation.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 Company is currently engaged in the development of therapeutics to fight cancer, specifically solid tumors. The Company currently does not have any commercial products and has not yet generated any revenues from its business, nor does the Company currently anticipate that it will generate any significant revenues from the sale or licensing of any of its product candidates during the twelve months from the date these financial statements are issued. The Company has incurred a net loss of $91.6 million for the three months ended March 31, 2022 and used $73.8 million of cash in its operating activities during the three months ended March 31, 2022. As of March 31, 2022, the Company had $516.0 million in cash, cash equivalents, investments, and restricted cash ($92.4 million of cash and cash equivalents, $389.8 million in short-term investments, $27.7 million in long-term investments, and $6.1 million in restricted cash).</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The Company expects to continue its research and development activities, increase pre-commercial activities and complete construction of the remaining tenant improvements for the Iovance Cell Therapy Center (the “</w:t>
      </w:r>
      <w:r>
        <w:rPr>
          <w:rFonts w:ascii="Arial" w:cs="Arial" w:eastAsia="Arial" w:hAnsi="Arial"/>
          <w:sz w:val="16"/>
          <w:szCs w:val="16"/>
          <w:i w:val="1"/>
          <w:iCs w:val="1"/>
          <w:color w:val="auto"/>
        </w:rPr>
        <w:t>i</w:t>
      </w:r>
      <w:r>
        <w:rPr>
          <w:rFonts w:ascii="Arial" w:cs="Arial" w:eastAsia="Arial" w:hAnsi="Arial"/>
          <w:sz w:val="16"/>
          <w:szCs w:val="16"/>
          <w:color w:val="auto"/>
        </w:rPr>
        <w:t>CTC”), which are expected to increase the amount of cash used during the remainder of 2022 and beyond. Specifically, the Company expects continued spending on its current and planned clinical trials, continued expansion of manufacturing activities, higher payroll expenses as the Company increases its professional and scientific staff and continuation of pre-commercial activities. Based on the funds the Company has available as of the date these financial statements are issued, the Company believes that it has sufficient capital to fund its anticipated operating expenses and capital expenditures as planned for at least the next twelve months from the date these financial statements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8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The Company is subject to credit risk from its portfolio of cash, cash equivalents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spacing w:after="0" w:line="373" w:lineRule="exact"/>
        <w:rPr>
          <w:sz w:val="20"/>
          <w:szCs w:val="20"/>
          <w:color w:val="auto"/>
        </w:rPr>
      </w:pPr>
    </w:p>
    <w:p>
      <w:pPr>
        <w:ind w:right="4460"/>
        <w:spacing w:after="0" w:line="456"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POLICIES </w:t>
      </w:r>
      <w:r>
        <w:rPr>
          <w:rFonts w:ascii="Arial" w:cs="Arial" w:eastAsia="Arial" w:hAnsi="Arial"/>
          <w:sz w:val="18"/>
          <w:szCs w:val="18"/>
          <w:b w:val="1"/>
          <w:bCs w:val="1"/>
          <w:i w:val="1"/>
          <w:iCs w:val="1"/>
          <w:color w:val="auto"/>
        </w:rPr>
        <w:t>Cash, Cash Equivalents, and Investments</w:t>
      </w:r>
    </w:p>
    <w:p>
      <w:pPr>
        <w:ind w:right="60" w:firstLine="492"/>
        <w:spacing w:after="0" w:line="286" w:lineRule="auto"/>
        <w:rPr>
          <w:sz w:val="20"/>
          <w:szCs w:val="20"/>
          <w:color w:val="auto"/>
        </w:rPr>
      </w:pPr>
      <w:r>
        <w:rPr>
          <w:rFonts w:ascii="Arial" w:cs="Arial" w:eastAsia="Arial" w:hAnsi="Arial"/>
          <w:sz w:val="16"/>
          <w:szCs w:val="16"/>
          <w:color w:val="auto"/>
        </w:rPr>
        <w:t>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Condensed Consolidated Balance Sheets based on the length of maturity from the reporting date and carries them at fair value. Unrealized gains and losses on available-for-sale securities are recorded in accumulated other comprehensive loss. Impairment losses related to credit losses (if any) are recorded as an allowance for credit losses with an offsetting entry to Interest income, net. No impairment losses related to credit losses were recognized for the three months ended March 31, 2022 and 2021. The cost of debt securities is adjusted for the amortization of premiums and accretion of discounts to maturity. Such amortization and accretion are included in Interest income, net in the Condensed Consolidated Statements of Operations. Gains and losses on securities sold are recorded based on the specific identification method and are included in Interest income, net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 xml:space="preserve">The Company maintains a required minimum balance in a segregated bank account in connection with three letters of credit, one for $5.45 million for the benefit of the landlord for the </w:t>
      </w:r>
      <w:r>
        <w:rPr>
          <w:rFonts w:ascii="Arial" w:cs="Arial" w:eastAsia="Arial" w:hAnsi="Arial"/>
          <w:sz w:val="17"/>
          <w:szCs w:val="17"/>
          <w:i w:val="1"/>
          <w:iCs w:val="1"/>
          <w:color w:val="auto"/>
        </w:rPr>
        <w:t>i</w:t>
      </w:r>
      <w:r>
        <w:rPr>
          <w:rFonts w:ascii="Arial" w:cs="Arial" w:eastAsia="Arial" w:hAnsi="Arial"/>
          <w:sz w:val="17"/>
          <w:szCs w:val="17"/>
          <w:color w:val="auto"/>
        </w:rPr>
        <w:t>CTC used as a security deposit for the lease (See Note 8 - Leases), one for $0.1 million for the benefit of a utilities service provider to cover the use of certain minimum established levels of utilities, and one for $0.6 million for the benefit of the landlord for the Company’s current headquarters’ lease. The total amount is classified as Restricted Cash on the Condensed Consolidated Balance Sheets. The first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second letter of credit for $0.1 million expired on March 9, 2021, however, it automatically extends, without written agreement, to the expiration date of December 1, 2022, or until such established minimum service levels are achieved, whichever is earlier. The third letter of credit for $0.6 million expires on February 1, 2032, however, it will be automatically extended, without written agreement, for one-year periods to February in each succeeding calendar year. As of March 31, 2022 and December 31, 2021, restricted cash totaled $6.1 million and has been classified as a non-current asset on the Company’s Condensed Consolidated Balance Sheets.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92"/>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131,954</w:t>
            </w: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w:t>
            </w:r>
          </w:p>
        </w:tc>
      </w:tr>
      <w:tr>
        <w:trPr>
          <w:trHeight w:val="21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98,444</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138,038</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common shares outstanding during the period.</w:t>
      </w:r>
    </w:p>
    <w:p>
      <w:pPr>
        <w:spacing w:after="0" w:line="130"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equivalents outstanding during the period. The Company’s potentially dilutive common stock equivalent shares, which include incremental common shares issuable upon (i) the exercise of outstanding stock options, (ii) purchases though the 2020 Employee Stock Purchase Plan (the “2020 ESPP”), (iii) vesting of restricted stock units, and (iv) conversion of preferred stock, are only included in the calculation of diluted net loss per share when their effect is dilutive.</w:t>
      </w:r>
    </w:p>
    <w:p>
      <w:pPr>
        <w:spacing w:after="0" w:line="121" w:lineRule="exact"/>
        <w:rPr>
          <w:sz w:val="20"/>
          <w:szCs w:val="20"/>
          <w:color w:val="auto"/>
        </w:rPr>
      </w:pPr>
    </w:p>
    <w:p>
      <w:pPr>
        <w:ind w:right="80" w:firstLine="492"/>
        <w:spacing w:after="0" w:line="277" w:lineRule="auto"/>
        <w:rPr>
          <w:sz w:val="20"/>
          <w:szCs w:val="20"/>
          <w:color w:val="auto"/>
        </w:rPr>
      </w:pPr>
      <w:r>
        <w:rPr>
          <w:rFonts w:ascii="Arial" w:cs="Arial" w:eastAsia="Arial" w:hAnsi="Arial"/>
          <w:sz w:val="18"/>
          <w:szCs w:val="18"/>
          <w:color w:val="auto"/>
        </w:rPr>
        <w:t>As of March 31, 2022 and 2021, the following outstanding common stock equivalents have been excluded from the calculation of net loss per share because their impact would be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9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14,101,526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15,419,226</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320" w:type="dxa"/>
            <w:vAlign w:val="bottom"/>
          </w:tcPr>
          <w:p>
            <w:pPr>
              <w:jc w:val="right"/>
              <w:spacing w:after="0"/>
              <w:rPr>
                <w:sz w:val="20"/>
                <w:szCs w:val="20"/>
                <w:color w:val="auto"/>
              </w:rPr>
            </w:pPr>
            <w:r>
              <w:rPr>
                <w:rFonts w:ascii="Arial" w:cs="Arial" w:eastAsia="Arial" w:hAnsi="Arial"/>
                <w:sz w:val="18"/>
                <w:szCs w:val="18"/>
                <w:color w:val="auto"/>
              </w:rPr>
              <w:t>86,448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55,963</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3,095,177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97,000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2,842,158</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2,842,158</w:t>
            </w:r>
          </w:p>
        </w:tc>
      </w:tr>
      <w:tr>
        <w:trPr>
          <w:trHeight w:val="224"/>
        </w:trPr>
        <w:tc>
          <w:tcPr>
            <w:tcW w:w="6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20,222,309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18,414,347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-8255</wp:posOffset>
            </wp:positionV>
            <wp:extent cx="18770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i w:val="1"/>
          <w:iCs w:val="1"/>
          <w:color w:val="auto"/>
        </w:rPr>
        <w:t>*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-130175</wp:posOffset>
            </wp:positionV>
            <wp:extent cx="18770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78"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Iovance Biotherapeutics, Inc. and its wholly-owned subsidiaries, Iovance Biotherapeutics Manufacturing LLC, Iovance Biotherapeutics GmbH, and Iovance Biotherapeutics B.V. All intercompany accounts and transactions have been eliminated. The U.S. dollar is the functional currency for all the Company's consolidated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The Company determines if an arrangement includes a lease at inception and thereafter, if modified. Operating leases are included in its Condensed Consolidated Balance Sheets as Operating lease right-of-use assets and Operating lease liabilities as of March 31, 2022 and December 31, 2021.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w:t>
      </w:r>
    </w:p>
    <w:p>
      <w:pPr>
        <w:spacing w:after="0" w:line="16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Condensed Consolidated Statements of Operations. The Company has elected not to apply the recognition requirements of Accounting Standards Update (“ASU”) No. 2016-02 and No. 2018-10 (together “Topic 842”) for short-term leases.</w:t>
      </w:r>
    </w:p>
    <w:p>
      <w:pPr>
        <w:spacing w:after="0" w:line="121"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For lease agreements entered into by the Company that include lease and non-lease components, such components are generally accounted for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200" w:firstLine="492"/>
        <w:spacing w:after="0" w:line="290" w:lineRule="auto"/>
        <w:rPr>
          <w:sz w:val="20"/>
          <w:szCs w:val="20"/>
          <w:color w:val="auto"/>
        </w:rPr>
      </w:pPr>
      <w:r>
        <w:rPr>
          <w:rFonts w:ascii="Arial" w:cs="Arial" w:eastAsia="Arial" w:hAnsi="Arial"/>
          <w:sz w:val="16"/>
          <w:szCs w:val="16"/>
          <w:color w:val="auto"/>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25"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w:t>
      </w:r>
    </w:p>
    <w:p>
      <w:pPr>
        <w:spacing w:after="0" w:line="117"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85"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uneven payment flow. The Company accrues and expenses costs for clinical trial activities performed by third parties based upon estimates of work completed to date for each clinical trial in accordance with agreements established with CROs, hospitals, and clinical investigators. Accruals for CROs and CMOs are recorded based on estimates of services received and efforts expended pursuant to agreements established with CROs, CMOs and other outside service providers. The Company determines its estimates through discussions with internal clinical stakeholders and outside service providers as to the progress or stage of completion of clinical trials or services and the contracted fee to be paid for such services.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Included in the Company’s clinical development costs are investigator costs, which are costs associated with treatments administered at clinical sites as required under each clinical study protocol. The Company’s estimates for clinical investigator costs and timing of expense recognition will depend on a number of factors that include, but are not limited to, (i) the overall number of patients that enroll in the trial at each individual site, (ii) the length of study enrollment period, (iii) discontinuation and completion rates of patients, (iv) duration of patient safety follow-ups, (v) the number of sites included in the clinical trial, and (vi) the contracted fee of each participating site for patient treatment while on study,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study treatment. The Company accrues for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makes judgements and estimates in determining the accrual balance in each reporting period.</w:t>
      </w:r>
    </w:p>
    <w:p>
      <w:pPr>
        <w:spacing w:after="0" w:line="198" w:lineRule="exact"/>
        <w:rPr>
          <w:sz w:val="20"/>
          <w:szCs w:val="20"/>
          <w:color w:val="auto"/>
        </w:rPr>
      </w:pPr>
    </w:p>
    <w:p>
      <w:pPr>
        <w:ind w:right="100" w:firstLine="492"/>
        <w:spacing w:after="0" w:line="291" w:lineRule="auto"/>
        <w:rPr>
          <w:sz w:val="20"/>
          <w:szCs w:val="20"/>
          <w:color w:val="auto"/>
        </w:rPr>
      </w:pPr>
      <w:r>
        <w:rPr>
          <w:rFonts w:ascii="Arial" w:cs="Arial" w:eastAsia="Arial" w:hAnsi="Arial"/>
          <w:sz w:val="16"/>
          <w:szCs w:val="16"/>
          <w:color w:val="auto"/>
        </w:rPr>
        <w:t>In the event advance payments are made to a CRO, CMO or other outside service provider, the payments are recorded within prepaid expenses and other current assets in the Condensed Consolidated Balance Sheets and subsequently recognized as research and development expense in the Condensed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 Changes in these estimates that result in material changes to the Company’s accruals could materially affect its results of operations. The Company’s historical estimates have not been materially different from actual amounts recorded.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540" w:firstLine="492"/>
        <w:spacing w:after="0" w:line="277" w:lineRule="auto"/>
        <w:rPr>
          <w:sz w:val="20"/>
          <w:szCs w:val="20"/>
          <w:color w:val="auto"/>
        </w:rPr>
      </w:pPr>
      <w:r>
        <w:rPr>
          <w:rFonts w:ascii="Arial" w:cs="Arial" w:eastAsia="Arial" w:hAnsi="Arial"/>
          <w:sz w:val="18"/>
          <w:szCs w:val="18"/>
          <w:color w:val="auto"/>
        </w:rPr>
        <w:t>The Company operates in one segment, focused on developing and commercializing therapies using autologous TIL for the treatment of metastatic melanoma and other solid tumor cancers.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EQUIVALENTS, INVESTMENTS AND FAIR VALUE MEASUREMENTS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amortized cost, fair value measurements, and fair value of cash equivalents and investments as of March 31,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were as follows (in thousands):</w:t>
      </w:r>
    </w:p>
    <w:tbl>
      <w:tblPr>
        <w:tblLayout w:type="fixed"/>
        <w:tblInd w:w="0" w:type="dxa"/>
        <w:tblCellMar>
          <w:top w:w="0" w:type="dxa"/>
          <w:left w:w="0" w:type="dxa"/>
          <w:bottom w:w="0" w:type="dxa"/>
          <w:right w:w="0" w:type="dxa"/>
        </w:tblCellMar>
      </w:tblPr>
      <w:tr>
        <w:trPr>
          <w:trHeight w:val="148"/>
        </w:trPr>
        <w:tc>
          <w:tcPr>
            <w:tcW w:w="3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As of March 31, 2022</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246,484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Commercial paper</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158,276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158,095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45,249</w:t>
            </w:r>
          </w:p>
        </w:tc>
        <w:tc>
          <w:tcPr>
            <w:tcW w:w="0" w:type="dxa"/>
            <w:vAlign w:val="bottom"/>
          </w:tcPr>
          <w:p>
            <w:pPr>
              <w:spacing w:after="0"/>
              <w:rPr>
                <w:sz w:val="1"/>
                <w:szCs w:val="1"/>
                <w:color w:val="auto"/>
              </w:rPr>
            </w:pPr>
          </w:p>
        </w:tc>
      </w:tr>
      <w:tr>
        <w:trPr>
          <w:trHeight w:val="209"/>
        </w:trPr>
        <w:tc>
          <w:tcPr>
            <w:tcW w:w="370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491,546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489,203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Commercial paper</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235,352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235,316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10"/>
        </w:trPr>
        <w:tc>
          <w:tcPr>
            <w:tcW w:w="370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15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579,620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579,018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cash equivalents and investments as of March 31, 2022 and December 31, 2021 are classified as follows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(in thousands):</w:t>
      </w:r>
    </w:p>
    <w:p>
      <w:pPr>
        <w:sectPr>
          <w:pgSz w:w="11900" w:h="16838" w:orient="portrait"/>
          <w:cols w:equalWidth="0" w:num="1">
            <w:col w:w="9920"/>
          </w:cols>
          <w:pgMar w:left="980" w:top="665" w:right="99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investments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pacing w:after="0" w:line="55"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-4933315</wp:posOffset>
            </wp:positionH>
            <wp:positionV relativeFrom="paragraph">
              <wp:posOffset>6350</wp:posOffset>
            </wp:positionV>
            <wp:extent cx="629221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5" w:lineRule="exact"/>
        <w:rPr>
          <w:sz w:val="20"/>
          <w:szCs w:val="20"/>
          <w:color w:val="auto"/>
        </w:rPr>
      </w:pPr>
    </w:p>
    <w:p>
      <w:pPr>
        <w:spacing w:after="0"/>
        <w:tabs>
          <w:tab w:leader="none" w:pos="400" w:val="left"/>
          <w:tab w:leader="none" w:pos="1140" w:val="left"/>
          <w:tab w:leader="none" w:pos="1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71,673</w:t>
        <w:tab/>
        <w:t>$</w:t>
      </w:r>
      <w:r>
        <w:rPr>
          <w:sz w:val="20"/>
          <w:szCs w:val="20"/>
          <w:color w:val="auto"/>
        </w:rPr>
        <w:tab/>
      </w:r>
      <w:r>
        <w:rPr>
          <w:rFonts w:ascii="Arial" w:cs="Arial" w:eastAsia="Arial" w:hAnsi="Arial"/>
          <w:sz w:val="16"/>
          <w:szCs w:val="16"/>
          <w:color w:val="auto"/>
        </w:rPr>
        <w:t>61,249</w:t>
      </w:r>
    </w:p>
    <w:p>
      <w:pPr>
        <w:spacing w:after="0" w:line="8" w:lineRule="exact"/>
        <w:rPr>
          <w:sz w:val="20"/>
          <w:szCs w:val="20"/>
          <w:color w:val="auto"/>
        </w:rPr>
      </w:pPr>
    </w:p>
    <w:p>
      <w:pPr>
        <w:ind w:left="320"/>
        <w:spacing w:after="0"/>
        <w:tabs>
          <w:tab w:leader="none" w:pos="1480" w:val="left"/>
        </w:tabs>
        <w:rPr>
          <w:sz w:val="20"/>
          <w:szCs w:val="20"/>
          <w:color w:val="auto"/>
        </w:rPr>
      </w:pPr>
      <w:r>
        <w:rPr>
          <w:rFonts w:ascii="Arial" w:cs="Arial" w:eastAsia="Arial" w:hAnsi="Arial"/>
          <w:sz w:val="16"/>
          <w:szCs w:val="16"/>
          <w:color w:val="auto"/>
        </w:rPr>
        <w:t>389,829</w:t>
      </w:r>
      <w:r>
        <w:rPr>
          <w:sz w:val="20"/>
          <w:szCs w:val="20"/>
          <w:color w:val="auto"/>
        </w:rPr>
        <w:tab/>
      </w:r>
      <w:r>
        <w:rPr>
          <w:rFonts w:ascii="Arial" w:cs="Arial" w:eastAsia="Arial" w:hAnsi="Arial"/>
          <w:sz w:val="16"/>
          <w:szCs w:val="16"/>
          <w:color w:val="auto"/>
        </w:rPr>
        <w:t>426,181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-4933315</wp:posOffset>
            </wp:positionH>
            <wp:positionV relativeFrom="paragraph">
              <wp:posOffset>20320</wp:posOffset>
            </wp:positionV>
            <wp:extent cx="629221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2" w:lineRule="exact"/>
        <w:rPr>
          <w:sz w:val="20"/>
          <w:szCs w:val="20"/>
          <w:color w:val="auto"/>
        </w:rPr>
      </w:pPr>
    </w:p>
    <w:p>
      <w:pPr>
        <w:ind w:left="420"/>
        <w:spacing w:after="0"/>
        <w:tabs>
          <w:tab w:leader="none" w:pos="1560" w:val="left"/>
        </w:tabs>
        <w:rPr>
          <w:sz w:val="20"/>
          <w:szCs w:val="20"/>
          <w:color w:val="auto"/>
        </w:rPr>
      </w:pPr>
      <w:r>
        <w:rPr>
          <w:rFonts w:ascii="Arial" w:cs="Arial" w:eastAsia="Arial" w:hAnsi="Arial"/>
          <w:sz w:val="16"/>
          <w:szCs w:val="16"/>
          <w:color w:val="auto"/>
        </w:rPr>
        <w:t>27,701</w:t>
      </w:r>
      <w:r>
        <w:rPr>
          <w:sz w:val="20"/>
          <w:szCs w:val="20"/>
          <w:color w:val="auto"/>
        </w:rPr>
        <w:tab/>
      </w:r>
      <w:r>
        <w:rPr>
          <w:rFonts w:ascii="Arial" w:cs="Arial" w:eastAsia="Arial" w:hAnsi="Arial"/>
          <w:sz w:val="16"/>
          <w:szCs w:val="16"/>
          <w:color w:val="auto"/>
        </w:rPr>
        <w:t>91,588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3544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2" w:lineRule="exact"/>
        <w:rPr>
          <w:sz w:val="20"/>
          <w:szCs w:val="20"/>
          <w:color w:val="auto"/>
        </w:rPr>
      </w:pPr>
    </w:p>
    <w:p>
      <w:pPr>
        <w:spacing w:after="0"/>
        <w:tabs>
          <w:tab w:leader="none" w:pos="300" w:val="left"/>
          <w:tab w:leader="none" w:pos="1140" w:val="left"/>
          <w:tab w:leader="none" w:pos="1480" w:val="left"/>
        </w:tabs>
        <w:rPr>
          <w:sz w:val="20"/>
          <w:szCs w:val="20"/>
          <w:color w:val="auto"/>
        </w:rPr>
      </w:pPr>
      <w:r>
        <w:rPr>
          <w:rFonts w:ascii="Arial" w:cs="Arial" w:eastAsia="Arial" w:hAnsi="Arial"/>
          <w:sz w:val="18"/>
          <w:szCs w:val="18"/>
          <w:u w:val="single" w:color="auto"/>
          <w:color w:val="auto"/>
        </w:rPr>
        <w:t>$</w:t>
        <w:tab/>
        <w:t>489,203</w:t>
        <w:tab/>
        <w:t>$</w:t>
      </w:r>
      <w:r>
        <w:rPr>
          <w:sz w:val="20"/>
          <w:szCs w:val="20"/>
          <w:color w:val="auto"/>
        </w:rPr>
        <w:tab/>
      </w:r>
      <w:r>
        <w:rPr>
          <w:rFonts w:ascii="Arial" w:cs="Arial" w:eastAsia="Arial" w:hAnsi="Arial"/>
          <w:sz w:val="16"/>
          <w:szCs w:val="16"/>
          <w:u w:val="single" w:color="auto"/>
          <w:color w:val="auto"/>
        </w:rPr>
        <w:t>579,018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1354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7060" w:space="720"/>
            <w:col w:w="2140"/>
          </w:cols>
          <w:pgMar w:left="980" w:top="665" w:right="999" w:bottom="1440" w:gutter="0" w:footer="0" w:header="0"/>
          <w:type w:val="continuous"/>
        </w:sectPr>
      </w:pPr>
    </w:p>
    <w:p>
      <w:pPr>
        <w:spacing w:after="0" w:line="52"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Cash equivalents in the tables above exclude cash demand deposits of $20.7 million and $17.0 million as of March 31, 2022 and December 31, 2021, respectively. Unrealized gains and losses are included in accumulated other comprehensive loss, and as of March 31, 2022 and December 31, 2021 no unrealized losses on available-for-sale securities have resulted from credit risk. All available-for-sale securities held as of March 31, 2022 and December 31, 2021 had contractual maturities of less than two years. No available-for-sale securities held as of the periods presented have been in a continuous unrealized loss position for more than 12 months. The Company determined that it has the ability and intent to hold all marketable securities that have been in a continuous loss position until maturity or recovery. To date, the Company has not recorded any impairment charges on its marketable securities.</w:t>
      </w:r>
    </w:p>
    <w:p>
      <w:pPr>
        <w:spacing w:after="0" w:line="139"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The following table summarizes the Company’s cash equivalents and available-for-sale investments by contractual maturity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March 31, 2022</w:t>
            </w:r>
          </w:p>
        </w:tc>
      </w:tr>
      <w:tr>
        <w:trPr>
          <w:trHeight w:val="142"/>
        </w:trPr>
        <w:tc>
          <w:tcPr>
            <w:tcW w:w="74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Amortized Cost</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461,502</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One year to two years</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27,701</w:t>
            </w:r>
          </w:p>
        </w:tc>
      </w:tr>
      <w:tr>
        <w:trPr>
          <w:trHeight w:val="210"/>
        </w:trPr>
        <w:tc>
          <w:tcPr>
            <w:tcW w:w="7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491,546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489,203</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firstLine="492"/>
        <w:spacing w:after="0" w:line="286" w:lineRule="auto"/>
        <w:rPr>
          <w:sz w:val="20"/>
          <w:szCs w:val="20"/>
          <w:color w:val="auto"/>
        </w:rPr>
      </w:pPr>
      <w:r>
        <w:rPr>
          <w:rFonts w:ascii="Arial" w:cs="Arial" w:eastAsia="Arial" w:hAnsi="Arial"/>
          <w:sz w:val="17"/>
          <w:szCs w:val="17"/>
          <w:color w:val="auto"/>
        </w:rPr>
        <w:t>As of March 31, 2022 and December 31, 2021,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169"/>
              <w:spacing w:after="0"/>
              <w:rPr>
                <w:sz w:val="20"/>
                <w:szCs w:val="20"/>
                <w:color w:val="auto"/>
              </w:rPr>
            </w:pPr>
            <w:r>
              <w:rPr>
                <w:rFonts w:ascii="Arial" w:cs="Arial" w:eastAsia="Arial" w:hAnsi="Arial"/>
                <w:sz w:val="14"/>
                <w:szCs w:val="14"/>
                <w:b w:val="1"/>
                <w:bCs w:val="1"/>
                <w:color w:val="auto"/>
                <w:w w:val="92"/>
              </w:rPr>
              <w:t>Assets at Fair Value as of March 31, 2022</w:t>
            </w:r>
          </w:p>
        </w:tc>
        <w:tc>
          <w:tcPr>
            <w:tcW w:w="780" w:type="dxa"/>
            <w:vAlign w:val="bottom"/>
            <w:tcBorders>
              <w:bottom w:val="single" w:sz="8" w:color="auto"/>
            </w:tcBorders>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246,484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158,095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158,095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45,249</w:t>
            </w:r>
          </w:p>
        </w:tc>
      </w:tr>
      <w:tr>
        <w:trPr>
          <w:trHeight w:val="210"/>
        </w:trPr>
        <w:tc>
          <w:tcPr>
            <w:tcW w:w="54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291,733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197,470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489,203</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8"/>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right"/>
              <w:ind w:right="69"/>
              <w:spacing w:after="0"/>
              <w:rPr>
                <w:sz w:val="20"/>
                <w:szCs w:val="20"/>
                <w:color w:val="auto"/>
              </w:rPr>
            </w:pPr>
            <w:r>
              <w:rPr>
                <w:rFonts w:ascii="Arial" w:cs="Arial" w:eastAsia="Arial" w:hAnsi="Arial"/>
                <w:sz w:val="14"/>
                <w:szCs w:val="14"/>
                <w:b w:val="1"/>
                <w:bCs w:val="1"/>
                <w:color w:val="auto"/>
              </w:rPr>
              <w:t>Assets at Fair Value as of December 31, 2021</w:t>
            </w:r>
          </w:p>
        </w:tc>
        <w:tc>
          <w:tcPr>
            <w:tcW w:w="780" w:type="dxa"/>
            <w:vAlign w:val="bottom"/>
            <w:tcBorders>
              <w:bottom w:val="single" w:sz="8" w:color="auto"/>
            </w:tcBorders>
          </w:tcPr>
          <w:p>
            <w:pPr>
              <w:spacing w:after="0"/>
              <w:rPr>
                <w:sz w:val="24"/>
                <w:szCs w:val="2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235,316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235,316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r>
      <w:tr>
        <w:trPr>
          <w:trHeight w:val="209"/>
        </w:trPr>
        <w:tc>
          <w:tcPr>
            <w:tcW w:w="54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303,017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276,001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579,018</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Level 2 assets consist of commercial paper and government agency securities. Level 2 inputs for the valuations are limited to quoted prices for similar assets or liabilities in active markets and inputs other than quoted prices that are observable for the asset.</w:t>
      </w:r>
    </w:p>
    <w:p>
      <w:pPr>
        <w:sectPr>
          <w:pgSz w:w="11900" w:h="16838" w:orient="portrait"/>
          <w:cols w:equalWidth="0" w:num="1">
            <w:col w:w="9920"/>
          </w:cols>
          <w:pgMar w:left="980" w:top="66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PROPERTY AND EQUIPMENT, NET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58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Lab, process, and validation equipment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Computer equipment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23,732</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35,782</w:t>
            </w:r>
          </w:p>
        </w:tc>
      </w:tr>
      <w:tr>
        <w:trPr>
          <w:trHeight w:val="209"/>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cost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109,627</w:t>
            </w:r>
          </w:p>
        </w:tc>
      </w:tr>
      <w:tr>
        <w:trPr>
          <w:trHeight w:val="216"/>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w:t>
            </w:r>
          </w:p>
        </w:tc>
      </w:tr>
      <w:tr>
        <w:trPr>
          <w:trHeight w:val="210"/>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102,757</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100,938</w:t>
            </w:r>
          </w:p>
        </w:tc>
      </w:tr>
      <w:tr>
        <w:trPr>
          <w:trHeight w:val="20"/>
        </w:trPr>
        <w:tc>
          <w:tcPr>
            <w:tcW w:w="5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Depreciation expense for the three months ended March 31, 2022 and 2021, was $1.8 million and $0.4 million,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EXPENSES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Clinical related</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18,167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Manufacturing related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Facilities related</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r>
      <w:tr>
        <w:trPr>
          <w:trHeight w:val="210"/>
        </w:trPr>
        <w:tc>
          <w:tcPr>
            <w:tcW w:w="7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48,911</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56,766</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ind w:right="240" w:firstLine="492"/>
        <w:spacing w:after="0" w:line="263" w:lineRule="auto"/>
        <w:rPr>
          <w:sz w:val="20"/>
          <w:szCs w:val="20"/>
          <w:color w:val="auto"/>
        </w:rPr>
      </w:pPr>
      <w:r>
        <w:rPr>
          <w:rFonts w:ascii="Arial" w:cs="Arial" w:eastAsia="Arial" w:hAnsi="Arial"/>
          <w:sz w:val="18"/>
          <w:szCs w:val="18"/>
          <w:color w:val="auto"/>
        </w:rPr>
        <w:t>The Company’s certificate of incorporation, as amended, authorizes the issuance of up to 300,000,000 shares of the Company’s common stock, par value $0.000041666. As of March 31, 2022, 157,168,321 shares of the Company’s common stock were issued and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 Program</w:t>
      </w:r>
    </w:p>
    <w:p>
      <w:pPr>
        <w:spacing w:after="0" w:line="198" w:lineRule="exact"/>
        <w:rPr>
          <w:sz w:val="20"/>
          <w:szCs w:val="20"/>
          <w:color w:val="auto"/>
        </w:rPr>
      </w:pPr>
    </w:p>
    <w:p>
      <w:pPr>
        <w:ind w:right="20" w:firstLine="492"/>
        <w:spacing w:after="0" w:line="273" w:lineRule="auto"/>
        <w:rPr>
          <w:sz w:val="20"/>
          <w:szCs w:val="20"/>
          <w:color w:val="auto"/>
        </w:rPr>
      </w:pPr>
      <w:r>
        <w:rPr>
          <w:rFonts w:ascii="Arial" w:cs="Arial" w:eastAsia="Arial" w:hAnsi="Arial"/>
          <w:sz w:val="17"/>
          <w:szCs w:val="17"/>
          <w:color w:val="auto"/>
        </w:rPr>
        <w:t>On February 8, 2021, the Company entered into an Open Market Sale Agreement (the “Sales Agreement”) with Jefferies LLC (“Jefferies”) with respect to an “at the market” offering program, under which the Company may, from time to time, in its sole discretion, issue and sell through Jefferies, acting as sales agent, up to $350.0 million of shares of the Company’s common stock (the “Common Shares”). The issuance and sale, if any, of the Common Shares by the Company under the Sales Agreement will be made pursuant to a prospectus supplement, dated February 8, 2021, to the Company’s Registration Statement on Form S-3ASR, which became effective immediately upon filing with the Securities and Exchange Commission on May 27,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55" w:lineRule="auto"/>
        <w:rPr>
          <w:sz w:val="20"/>
          <w:szCs w:val="20"/>
          <w:color w:val="auto"/>
        </w:rPr>
      </w:pPr>
      <w:r>
        <w:rPr>
          <w:rFonts w:ascii="Arial" w:cs="Arial" w:eastAsia="Arial" w:hAnsi="Arial"/>
          <w:sz w:val="18"/>
          <w:szCs w:val="18"/>
          <w:color w:val="auto"/>
        </w:rPr>
        <w:t>Pursuant to the Sales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Sales Agreement.</w:t>
      </w:r>
    </w:p>
    <w:p>
      <w:pPr>
        <w:spacing w:after="0" w:line="152" w:lineRule="exact"/>
        <w:rPr>
          <w:sz w:val="20"/>
          <w:szCs w:val="20"/>
          <w:color w:val="auto"/>
        </w:rPr>
      </w:pPr>
    </w:p>
    <w:p>
      <w:pPr>
        <w:ind w:right="480" w:firstLine="492"/>
        <w:spacing w:after="0" w:line="311" w:lineRule="auto"/>
        <w:rPr>
          <w:sz w:val="20"/>
          <w:szCs w:val="20"/>
          <w:color w:val="auto"/>
        </w:rPr>
      </w:pPr>
      <w:r>
        <w:rPr>
          <w:rFonts w:ascii="Arial" w:cs="Arial" w:eastAsia="Arial" w:hAnsi="Arial"/>
          <w:sz w:val="16"/>
          <w:szCs w:val="16"/>
          <w:color w:val="auto"/>
        </w:rPr>
        <w:t>The Company is not obligated to make any sales of Common Shares under the Sales Agreement. The offering of Common Shares pursuant to the Sales Agreement will terminate upon the earlier to occur of (i) the issuance and sale, through Jefferies, of all Common Shares subject to the Sales Agreement and (ii) termination of the Sales Agreement in accordance with its terms.</w:t>
      </w:r>
    </w:p>
    <w:p>
      <w:pPr>
        <w:spacing w:after="0" w:line="122" w:lineRule="exact"/>
        <w:rPr>
          <w:sz w:val="20"/>
          <w:szCs w:val="20"/>
          <w:color w:val="auto"/>
        </w:rPr>
      </w:pPr>
    </w:p>
    <w:p>
      <w:pPr>
        <w:jc w:val="both"/>
        <w:ind w:right="100" w:firstLine="492"/>
        <w:spacing w:after="0" w:line="286" w:lineRule="auto"/>
        <w:rPr>
          <w:sz w:val="20"/>
          <w:szCs w:val="20"/>
          <w:color w:val="auto"/>
        </w:rPr>
      </w:pPr>
      <w:r>
        <w:rPr>
          <w:rFonts w:ascii="Arial" w:cs="Arial" w:eastAsia="Arial" w:hAnsi="Arial"/>
          <w:sz w:val="17"/>
          <w:szCs w:val="17"/>
          <w:color w:val="auto"/>
        </w:rPr>
        <w:t>No sales were made pursuant to the Sales Agreement during the three months ended March 31, 2022. For the three months ended March 31, 2021, the Company received approximately $42.9 million in net proceeds, net of offering costs, through the sale of 1,278,243 shares of its common stock through the Sales Agreement at a weighted average price per share of $34.67.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right="140" w:firstLine="492"/>
        <w:spacing w:after="0" w:line="311" w:lineRule="auto"/>
        <w:rPr>
          <w:sz w:val="20"/>
          <w:szCs w:val="20"/>
          <w:color w:val="auto"/>
        </w:rPr>
      </w:pPr>
      <w:r>
        <w:rPr>
          <w:rFonts w:ascii="Arial" w:cs="Arial" w:eastAsia="Arial" w:hAnsi="Arial"/>
          <w:sz w:val="16"/>
          <w:szCs w:val="16"/>
          <w:color w:val="auto"/>
        </w:rPr>
        <w:t>The Company’s certificate of incorporation authorizes the issuance of up to 50,000,000 shares of “blank check” preferred stock. As of March 31, 2022, 17,000 shares were designated as Series A Convertible Preferred Stock (“Series A Convertible Preferred Stock”) and 11,500,000 shares were designated as Series B Convertible Preferred Stock (“Series B Convertible Preferred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85"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1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50"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during the three months ended March 31, 2022 or 2021. As of March 31, 2022, and December 31, 2021, 194 shares of Series A Convertible Preferred Stock (that are convertible into 97,000 shares of common stock) remained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8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3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79" w:lineRule="auto"/>
        <w:rPr>
          <w:sz w:val="20"/>
          <w:szCs w:val="20"/>
          <w:color w:val="auto"/>
        </w:rPr>
      </w:pPr>
      <w:r>
        <w:rPr>
          <w:rFonts w:ascii="Arial" w:cs="Arial" w:eastAsia="Arial" w:hAnsi="Arial"/>
          <w:sz w:val="17"/>
          <w:szCs w:val="17"/>
          <w:color w:val="auto"/>
        </w:rPr>
        <w:t>During the three months ended March 31, 2022, no shares of Series B Convertible Preferred Stock were converted into shares of common stock. During the three months ended March 31, 2021, a total of 738,961 of Series B Convertible Preferred Stock were converted into 738,961 shares of common stock. As of March 31, 2022, and December 31, 2021, 2,842,158 shares of Series B Preferred Stock (that are convertible into 2,842,158 shares of common stock) remained outstanding.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Company has multiple equity incentive plans under which it grants awards. As of March 31, 2022, there are 79,465 shares available to grant under the 2014 Equity Incentive Plan (the “2014 Plan”).</w:t>
      </w:r>
    </w:p>
    <w:p>
      <w:pPr>
        <w:spacing w:after="0" w:line="130"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color w:val="auto"/>
        </w:rPr>
        <w:t>On April 22, 2018, the Company’s board of directors (the “Board”) adopted the Iovance Biotherapeutics, Inc. 2018 Equity Incentive Plan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w:t>
      </w:r>
    </w:p>
    <w:p>
      <w:pPr>
        <w:spacing w:after="0" w:line="4"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from 6,000,000 to 14,000,000 shares, which became effective immediately. As of March 31, 2022, 1,058,461 shares of common stock were available for grant under the Company’s 2018 Plan.</w:t>
      </w:r>
    </w:p>
    <w:p>
      <w:pPr>
        <w:spacing w:after="0" w:line="145" w:lineRule="exact"/>
        <w:rPr>
          <w:sz w:val="20"/>
          <w:szCs w:val="20"/>
          <w:color w:val="auto"/>
        </w:rPr>
      </w:pPr>
    </w:p>
    <w:p>
      <w:pPr>
        <w:ind w:right="160" w:firstLine="492"/>
        <w:spacing w:after="0" w:line="273" w:lineRule="auto"/>
        <w:rPr>
          <w:sz w:val="20"/>
          <w:szCs w:val="20"/>
          <w:color w:val="auto"/>
        </w:rPr>
      </w:pPr>
      <w:r>
        <w:rPr>
          <w:rFonts w:ascii="Arial" w:cs="Arial" w:eastAsia="Arial" w:hAnsi="Arial"/>
          <w:sz w:val="17"/>
          <w:szCs w:val="17"/>
          <w:color w:val="auto"/>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spacing w:after="0" w:line="151"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w:t>
      </w:r>
    </w:p>
    <w:p>
      <w:pPr>
        <w:spacing w:after="0" w:line="12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March 31, 2022, 552,925 shares of common stock were available for grant under the 2021 Inducement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stock option activity during the three months ended March 31, 2022, is presented in the following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12,520,865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Issued</w:t>
            </w:r>
          </w:p>
        </w:tc>
        <w:tc>
          <w:tcPr>
            <w:tcW w:w="1240" w:type="dxa"/>
            <w:vAlign w:val="bottom"/>
          </w:tcPr>
          <w:p>
            <w:pPr>
              <w:jc w:val="right"/>
              <w:spacing w:after="0"/>
              <w:rPr>
                <w:sz w:val="20"/>
                <w:szCs w:val="20"/>
                <w:color w:val="auto"/>
              </w:rPr>
            </w:pPr>
            <w:r>
              <w:rPr>
                <w:rFonts w:ascii="Arial" w:cs="Arial" w:eastAsia="Arial" w:hAnsi="Arial"/>
                <w:sz w:val="18"/>
                <w:szCs w:val="18"/>
                <w:color w:val="auto"/>
              </w:rPr>
              <w:t>1,887,052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14.69</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(163,579)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Expired/Cancelled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(142,812)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29.52</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14,101,526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27,587</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Ending vested and expected to vest at March 31, 2022</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14,101,526</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23.81</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7.83</w:t>
            </w:r>
          </w:p>
        </w:tc>
        <w:tc>
          <w:tcPr>
            <w:tcW w:w="2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27,587</w:t>
            </w:r>
          </w:p>
        </w:tc>
        <w:tc>
          <w:tcPr>
            <w:tcW w:w="0" w:type="dxa"/>
            <w:vAlign w:val="bottom"/>
          </w:tcPr>
          <w:p>
            <w:pPr>
              <w:spacing w:after="0"/>
              <w:rPr>
                <w:sz w:val="1"/>
                <w:szCs w:val="1"/>
                <w:color w:val="auto"/>
              </w:rPr>
            </w:pPr>
          </w:p>
        </w:tc>
      </w:tr>
      <w:tr>
        <w:trPr>
          <w:trHeight w:val="197"/>
        </w:trPr>
        <w:tc>
          <w:tcPr>
            <w:tcW w:w="4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March 31, 2022</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7,543,738</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20.50</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23,859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92"/>
        <w:spacing w:after="0" w:line="277" w:lineRule="auto"/>
        <w:rPr>
          <w:sz w:val="20"/>
          <w:szCs w:val="20"/>
          <w:color w:val="auto"/>
        </w:rPr>
      </w:pPr>
      <w:r>
        <w:rPr>
          <w:rFonts w:ascii="Arial" w:cs="Arial" w:eastAsia="Arial" w:hAnsi="Arial"/>
          <w:sz w:val="18"/>
          <w:szCs w:val="18"/>
          <w:color w:val="auto"/>
        </w:rPr>
        <w:t>As of March 31, 2022, there was $94.1 million of total unrecognized compensation expense related to the options that is expected to be recognized over a weighted average period of 1.97 years.</w:t>
      </w:r>
    </w:p>
    <w:p>
      <w:pPr>
        <w:spacing w:after="0" w:line="130"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three months ended March 31, 2022 and 2021 was $8.81 and $26.42 per option, respectively.</w:t>
      </w:r>
    </w:p>
    <w:p>
      <w:pPr>
        <w:spacing w:after="0" w:line="143"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(calculated as the difference between the Company’s closing stock price on the last trading day of the quarter ended March 31, 2022 and the exercise price of the options, multiplied by the number of in-the-money stock options) that would have been received by the option holders had all option holders exercised their options on March 31, 2022. The intrinsic value of the Company’s stock options changes based on the closing price of the Company’s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right="140" w:firstLine="492"/>
        <w:spacing w:after="0" w:line="342" w:lineRule="auto"/>
        <w:rPr>
          <w:sz w:val="20"/>
          <w:szCs w:val="20"/>
          <w:color w:val="auto"/>
        </w:rPr>
      </w:pPr>
      <w:r>
        <w:rPr>
          <w:rFonts w:ascii="Arial" w:cs="Arial" w:eastAsia="Arial" w:hAnsi="Arial"/>
          <w:sz w:val="16"/>
          <w:szCs w:val="16"/>
          <w:color w:val="auto"/>
        </w:rPr>
        <w:t>In June 2020, the Company adopted the 2020 ESPP upon its approval by the Company’s shareholders at its Annual Stockholders Meeting on June 8, 2020. The Company reserved 500,000 shares of its common stock for issuance under the 2020 ESPP.</w:t>
      </w:r>
    </w:p>
    <w:p>
      <w:pPr>
        <w:spacing w:after="0" w:line="97"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 month look-back feature. The 2020 ESPP purchases are settled with common stock from the 2020 ESPP’s previously authorized and available pool of shares.</w:t>
      </w:r>
    </w:p>
    <w:p>
      <w:pPr>
        <w:spacing w:after="0" w:line="131" w:lineRule="exact"/>
        <w:rPr>
          <w:sz w:val="20"/>
          <w:szCs w:val="20"/>
          <w:color w:val="auto"/>
        </w:rPr>
      </w:pPr>
    </w:p>
    <w:p>
      <w:pPr>
        <w:ind w:right="80" w:firstLine="492"/>
        <w:spacing w:after="0" w:line="311" w:lineRule="auto"/>
        <w:rPr>
          <w:sz w:val="20"/>
          <w:szCs w:val="20"/>
          <w:color w:val="auto"/>
        </w:rPr>
      </w:pPr>
      <w:r>
        <w:rPr>
          <w:rFonts w:ascii="Arial" w:cs="Arial" w:eastAsia="Arial" w:hAnsi="Arial"/>
          <w:sz w:val="16"/>
          <w:szCs w:val="16"/>
          <w:color w:val="auto"/>
        </w:rPr>
        <w:t>The compensation expense related to the 2020 ESPP for the three months ended March 31, 2022 and 2021 was $0.2 million and $0.3 million, respectively. As of March 31, 2022, 94,148 shares had been issued to date under the 2020 ESPP and there was $0.2 million of unrecognized compensation cost associated with the 2020 ESPP, which is expected to be recognized over the remaining 2.3 months.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Performance Restricted Stock Units</w:t>
      </w:r>
    </w:p>
    <w:p>
      <w:pPr>
        <w:spacing w:after="0" w:line="198" w:lineRule="exact"/>
        <w:rPr>
          <w:sz w:val="20"/>
          <w:szCs w:val="20"/>
          <w:color w:val="auto"/>
        </w:rPr>
      </w:pPr>
    </w:p>
    <w:p>
      <w:pPr>
        <w:ind w:right="340" w:firstLine="492"/>
        <w:spacing w:after="0" w:line="259" w:lineRule="auto"/>
        <w:rPr>
          <w:sz w:val="20"/>
          <w:szCs w:val="20"/>
          <w:color w:val="auto"/>
        </w:rPr>
      </w:pPr>
      <w:r>
        <w:rPr>
          <w:rFonts w:ascii="Arial" w:cs="Arial" w:eastAsia="Arial" w:hAnsi="Arial"/>
          <w:sz w:val="18"/>
          <w:szCs w:val="18"/>
          <w:color w:val="auto"/>
        </w:rPr>
        <w:t>In addition to RSUs that have time-based vesting requirements, from time to time the Company may issue RSUs that include certain performance vesting criteria based upon the satisfaction of stated objectives (“PRSUs”). Compensation expense related to PRSUs is based on the grant date fair value of the award and recorded from the period that achievement is determined to be probable through the stated service period associated with the award.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Activity for RSUs and PRSUs units during the three months ended March 31, 2022 is presented in the following table: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38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RSUs and PRSUs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as of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1,110,010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73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2,027,774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Outstanding, non-vested as of March 31, 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3,095,177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As of March 31, 2022, there was $37.0 million of unrecognized stock-based compensation expense associated with unvested RSU and PRSUs, which the Company expects to recognize over a remaining weighted-average period of 1.88 years. The aggregate intrinsic value of the unvested RSUs and PRSUs outstanding as of March 31, 2022 was $51.5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Condensed Consolidated Statements of Operations as follows (in thousands):</w:t>
      </w:r>
    </w:p>
    <w:p>
      <w:pPr>
        <w:spacing w:after="0" w:line="13"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Three Months Ended</w:t>
      </w:r>
    </w:p>
    <w:p>
      <w:pPr>
        <w:ind w:left="8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500"/>
              <w:spacing w:after="0"/>
              <w:rPr>
                <w:sz w:val="20"/>
                <w:szCs w:val="20"/>
                <w:color w:val="auto"/>
              </w:rPr>
            </w:pPr>
            <w:r>
              <w:rPr>
                <w:rFonts w:ascii="Arial" w:cs="Arial" w:eastAsia="Arial" w:hAnsi="Arial"/>
                <w:sz w:val="18"/>
                <w:szCs w:val="18"/>
                <w:color w:val="auto"/>
                <w:w w:val="92"/>
              </w:rPr>
              <w:t>Total stock-based compensation expense by type of award was as follows (in thousands):</w:t>
            </w: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6"/>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2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Restricted stock expense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ESPP expense</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9"/>
        </w:trPr>
        <w:tc>
          <w:tcPr>
            <w:tcW w:w="710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gridSpan w:val="2"/>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22,265</w:t>
            </w: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LICENSES AND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(the “NIH”) and the National Cancer Institute (the “NCI”)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(the “CRADA”)</w:t>
      </w:r>
    </w:p>
    <w:p>
      <w:pPr>
        <w:spacing w:after="0" w:line="185" w:lineRule="exact"/>
        <w:rPr>
          <w:sz w:val="20"/>
          <w:szCs w:val="20"/>
          <w:color w:val="auto"/>
        </w:rPr>
      </w:pPr>
    </w:p>
    <w:p>
      <w:pPr>
        <w:ind w:right="80" w:firstLine="567"/>
        <w:spacing w:after="0" w:line="254" w:lineRule="auto"/>
        <w:rPr>
          <w:sz w:val="20"/>
          <w:szCs w:val="20"/>
          <w:color w:val="auto"/>
        </w:rPr>
      </w:pPr>
      <w:r>
        <w:rPr>
          <w:rFonts w:ascii="Arial" w:cs="Arial" w:eastAsia="Arial" w:hAnsi="Arial"/>
          <w:sz w:val="18"/>
          <w:szCs w:val="18"/>
          <w:color w:val="auto"/>
        </w:rPr>
        <w:t>In August 2011, the Company signed a five-year CRADA with the NCI to work on the development of adoptive cell immunotherapies that are designed to destroy metastatic melanoma cells. The CRADA was amended in 2015 and 2016 to, among other things, extend the term of the CRADA through August 2021, include new indications such as the development of TIL therapy for the treatment of patients with bladder, lung, triple-negative breast, and Human Papilloma Virus (“HPV”)-associated cancers, and modify 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spacing w:after="0" w:line="168"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In August 2021, the NCI and the Company entered into a third amendment to the CRADA. The third amendment, among other things, extended the term of the CRADA by three years to August 2024. The research plan in this amendment includes the evaluation in clinical trials of strategies for development of more potent TILs, such as selection of CD39/69 double negative cells and the use of certain inhibitors or other reagents in TIL expansion cultures.</w:t>
      </w:r>
    </w:p>
    <w:p>
      <w:pPr>
        <w:spacing w:after="0" w:line="146"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extended CRADA has a three-year term expiring in August 2024. The Company or the NCI may unilaterally terminate the CRADA for any reason or for no reason at any time by providing written notice at least 60 days before the desired termination date. The Company recorded costs associated with the CRADA of $0.5 million for each of the three months ended March 31, 2022 and 2021, respectively, as research and development expenses.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85"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The Company entered into an Exclusive Patent License Agreement (the “Patent License Agreement”) with the NIH, an agency of the U.S. Public Health Service within the Department of Health and Human Services, in 2011, as amended in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w:t>
      </w:r>
    </w:p>
    <w:p>
      <w:pPr>
        <w:spacing w:after="0" w:line="149"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Effective May 6, 2021, the Company entered into an Amended and Restated Patent License Agreement with NIH (the “Amended and Restated Patent License Agreement”), which includes the grant of additional exclusive, worldwide patent rights in the Indications to cytokine-tethered TIL technology, and expands the non-exclusive, worldwide field of use to all cancers. The Amended and Restated Patent License Agreement requires the Company to pay royalties based on a percentage of net sales in jurisdictions where patent rights exist, which percentage can fall into a tier that may be less than one percent to mid-single digits depending upon certain events, including the exclusivity of the rights,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Amended and Restated Patent License Agreement. The Company anticipates making milestone payments, including a payment in the low-single-digit millions of dollars in conjunction with the approval of a Biologics License Application for any of its product candidates covered by the Amended and Restated Patent License Agreement. The term of the Amended and Restated Patent License Agreement continues until the expiry of the last-to-expire patent rights licensed thereunder, and the agreement contains standard termination provisions.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8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w:t>
      </w:r>
    </w:p>
    <w:p>
      <w:pPr>
        <w:spacing w:after="0" w:line="161"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Food and Drug Administration (the “FDA”) approval or foreign equivalent for a licensed product or process resulting from the licensed technologies, the first commercial sale of a licensed product or process in the U.S., and the first commercial sale of a licensed product or process in any foreign country.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98"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In June 2020, the Company entered into a Sponsored Research Agreement with the H. Lee Moffitt Cancer Center (“Moffitt”), with a term that ends either upon completion of the research thereunder or on July 1, 2022, whichever is sooner, and under which immaterial payments will be made to Moffitt in connection with the research services thereunder.</w:t>
      </w:r>
    </w:p>
    <w:p>
      <w:pPr>
        <w:spacing w:after="0" w:line="143"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In December 2016,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$0.1 million and $0.2 million of research and development expense for the three months ended March 31, 2022 and 2021 respectively, in connection with the research collaboration and clinical grant agreements with Moffitt.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85"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30"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Pursuant to the First Moffitt License, the Company paid an upfront licensing fee in the amount of $0.1 million which was recorded as research and development expense.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the three months ended March 31, 2022 and 2021.</w:t>
      </w:r>
    </w:p>
    <w:p>
      <w:pPr>
        <w:spacing w:after="0" w:line="145" w:lineRule="exact"/>
        <w:rPr>
          <w:sz w:val="20"/>
          <w:szCs w:val="20"/>
          <w:color w:val="auto"/>
        </w:rPr>
      </w:pPr>
    </w:p>
    <w:p>
      <w:pPr>
        <w:ind w:right="160" w:firstLine="492"/>
        <w:spacing w:after="0" w:line="291" w:lineRule="auto"/>
        <w:rPr>
          <w:sz w:val="20"/>
          <w:szCs w:val="20"/>
          <w:color w:val="auto"/>
        </w:rPr>
      </w:pPr>
      <w:r>
        <w:rPr>
          <w:rFonts w:ascii="Arial" w:cs="Arial" w:eastAsia="Arial" w:hAnsi="Arial"/>
          <w:sz w:val="16"/>
          <w:szCs w:val="16"/>
          <w:color w:val="auto"/>
        </w:rPr>
        <w:t>The Company entered into a second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In addition, the Company agreed to pay an annual commercial use payment for each indication for which a first sale has occurred, which in the aggregate amounts to up to $0.4 million a year. The Company recorded a de minimis amount for the three months ended March 31, 2022 and 2021 as research and development expenses in connection with this agreement.</w:t>
      </w:r>
    </w:p>
    <w:p>
      <w:pPr>
        <w:spacing w:after="0" w:line="126"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The Company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(the “Amended &amp; Restated Second Moffit License”), to include these rights. Pursuant to the Amended</w:t>
      </w:r>
    </w:p>
    <w:p>
      <w:pPr>
        <w:spacing w:after="0" w:line="2" w:lineRule="exact"/>
        <w:rPr>
          <w:sz w:val="20"/>
          <w:szCs w:val="20"/>
          <w:color w:val="auto"/>
        </w:rPr>
      </w:pPr>
    </w:p>
    <w:p>
      <w:pPr>
        <w:ind w:right="140" w:firstLine="8"/>
        <w:spacing w:after="0" w:line="253"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Restated Second Moffitt License, the Company paid an upfront licensing fee in the amount of $0.2 million in 2021, which was recorded as research and development expense. In addition, the Company agreed to pay an annual commercial use payment for each indication for which a first sale has occurred for products relating to the use of 4-1BB antagonists and for products relating to the use of tumor digests covered by the license.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University of Texas 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80" w:firstLine="492"/>
        <w:spacing w:after="0" w:line="287" w:lineRule="auto"/>
        <w:rPr>
          <w:sz w:val="20"/>
          <w:szCs w:val="20"/>
          <w:color w:val="auto"/>
        </w:rPr>
      </w:pPr>
      <w:r>
        <w:rPr>
          <w:rFonts w:ascii="Arial" w:cs="Arial" w:eastAsia="Arial" w:hAnsi="Arial"/>
          <w:sz w:val="16"/>
          <w:szCs w:val="16"/>
          <w:color w:val="auto"/>
        </w:rPr>
        <w:t>On April 17, 2017, the Company entered into a Strategic Alliance Agreement (the “SAA”) with The University of Texas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of which approximately $7.0 million has been funded cumulatively through March 31, 2022, and has been recorded as research and development expense</w:t>
      </w:r>
      <w:r>
        <w:rPr>
          <w:rFonts w:ascii="Arial" w:cs="Arial" w:eastAsia="Arial" w:hAnsi="Arial"/>
          <w:sz w:val="16"/>
          <w:szCs w:val="16"/>
          <w:color w:val="FF0000"/>
        </w:rPr>
        <w:t>.</w:t>
      </w:r>
      <w:r>
        <w:rPr>
          <w:rFonts w:ascii="Arial" w:cs="Arial" w:eastAsia="Arial" w:hAnsi="Arial"/>
          <w:sz w:val="16"/>
          <w:szCs w:val="16"/>
          <w:color w:val="auto"/>
        </w:rPr>
        <w:t xml:space="preserve">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The Company recorded a de minimis amount associated with the SAA for the three months ended March 31, 2022 and 2021, respectively, as research and development expenses.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Advanced Therapies, Inc.</w:t>
      </w:r>
    </w:p>
    <w:p>
      <w:pPr>
        <w:spacing w:after="0" w:line="189"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In November 2016, the Company entered into a three-year manufacturing and services agreement (“MSA”) with WuXi Advanced Therapies, Inc. (“WuXi”) pursuant to which WuXi agreed to provide manufacturing and other services, which has since been amended and assigned to its subsidiary Iovance Biotherapeutics Manufacturing LLC. Under the MSA, the Company entered into two statements of work for two cGMP manufacturing suites to be established and operated by WuXi for the Company, both of the suites are expected to be capable of being used for the commercial manufacture of its products. The terms of the two statements of work were both extended to December 2022. The Company recorded costs associated with agreements with WuXi of $3.9 million and $3.4 million for the three months ended March 31, 2022 and 2021, respectively, as research and development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 S.A.</w:t>
      </w:r>
    </w:p>
    <w:p>
      <w:pPr>
        <w:spacing w:after="0" w:line="189" w:lineRule="exact"/>
        <w:rPr>
          <w:sz w:val="20"/>
          <w:szCs w:val="20"/>
          <w:color w:val="auto"/>
        </w:rPr>
      </w:pPr>
    </w:p>
    <w:p>
      <w:pPr>
        <w:ind w:right="100" w:firstLine="492"/>
        <w:spacing w:after="0" w:line="273" w:lineRule="auto"/>
        <w:rPr>
          <w:sz w:val="20"/>
          <w:szCs w:val="20"/>
          <w:color w:val="auto"/>
        </w:rPr>
      </w:pPr>
      <w:r>
        <w:rPr>
          <w:rFonts w:ascii="Arial" w:cs="Arial" w:eastAsia="Arial" w:hAnsi="Arial"/>
          <w:sz w:val="17"/>
          <w:szCs w:val="17"/>
          <w:color w:val="auto"/>
        </w:rPr>
        <w:t>On December 31, 2019, the Company entered into a research collaboration and exclusive worldwide license agreement whereby the Company will license gene-editing technology from Cellectis S.A. (“Cellectis”), a clinical-stage biopharmaceutical company, to develop TIL therapies that have been genetically edited. Financial terms of the license include development, regulatory and sales milestone payments from the Company to Cellectis, as well as royalty payments based on net sales of TALEN®-modified TIL products. The Company recorded costs associated with the license agreement with Cellectis of $0.1 million for each of the three months ended March 31, 2022 and 2021, respectively, as research and development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w:t>
      </w:r>
    </w:p>
    <w:p>
      <w:pPr>
        <w:spacing w:after="0" w:line="202"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On January 12,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during the fiscal year ended December 31, 2020. No expenses were recorded for the three months ended March 31, 2022 or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02"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 xml:space="preserve">The Company leases corporate office space in California, including 49,918 square feet for its current corporate headquarters’ office space in San Carlos, California, manufacturing, research and development lab facilities and office space in Philadelphia, Pennsylvania, including 136,000 square feet of commercial manufacturing and lab space at the </w:t>
      </w:r>
      <w:r>
        <w:rPr>
          <w:rFonts w:ascii="Arial" w:cs="Arial" w:eastAsia="Arial" w:hAnsi="Arial"/>
          <w:sz w:val="17"/>
          <w:szCs w:val="17"/>
          <w:i w:val="1"/>
          <w:iCs w:val="1"/>
          <w:color w:val="auto"/>
        </w:rPr>
        <w:t>i</w:t>
      </w:r>
      <w:r>
        <w:rPr>
          <w:rFonts w:ascii="Arial" w:cs="Arial" w:eastAsia="Arial" w:hAnsi="Arial"/>
          <w:sz w:val="17"/>
          <w:szCs w:val="17"/>
          <w:color w:val="auto"/>
        </w:rPr>
        <w:t>CTC, and research and development lab facilities in Tampa, Florida. The determination if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w:t>
      </w:r>
    </w:p>
    <w:p>
      <w:pPr>
        <w:spacing w:after="0" w:line="138"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The Company’s leases have remaining lease terms of less than one year to approximately 20 years. Some of our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spacing w:after="0" w:line="136"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 Such costs that are not fixed in nature are recognized as incurred.</w:t>
      </w:r>
    </w:p>
    <w:p>
      <w:pPr>
        <w:spacing w:after="0" w:line="143" w:lineRule="exact"/>
        <w:rPr>
          <w:sz w:val="20"/>
          <w:szCs w:val="20"/>
          <w:color w:val="auto"/>
        </w:rPr>
      </w:pPr>
    </w:p>
    <w:p>
      <w:pPr>
        <w:ind w:right="20" w:firstLine="492"/>
        <w:spacing w:after="0" w:line="340" w:lineRule="auto"/>
        <w:rPr>
          <w:sz w:val="20"/>
          <w:szCs w:val="20"/>
          <w:color w:val="auto"/>
        </w:rPr>
      </w:pPr>
      <w:r>
        <w:rPr>
          <w:rFonts w:ascii="Arial" w:cs="Arial" w:eastAsia="Arial" w:hAnsi="Arial"/>
          <w:sz w:val="15"/>
          <w:szCs w:val="15"/>
          <w:color w:val="auto"/>
        </w:rPr>
        <w:t>The Company also leases certain furniture and equipment that has a lease term of 12 months or less. Since the lease agreement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189"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w:t>
      </w:r>
    </w:p>
    <w:p>
      <w:pPr>
        <w:spacing w:after="0" w:line="154"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31"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 sheet classification of the Company’s right-of-use asset and lease liabilities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68,983</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included in current liabilities</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portion included in non-current liabilities</w:t>
            </w:r>
          </w:p>
        </w:tc>
        <w:tc>
          <w:tcPr>
            <w:tcW w:w="2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65,474</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2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78,894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0" w:type="dxa"/>
            <w:vAlign w:val="bottom"/>
            <w:vMerge w:val="restart"/>
          </w:tcPr>
          <w:p>
            <w:pPr>
              <w:jc w:val="right"/>
              <w:ind w:right="183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costs and expenses in the Company’s Condensed Consolidated Statements of Operations, and other information related to its operating leases as follows (in thousands except weighted-average remaining lease terms and discount rates):</w:t>
      </w:r>
    </w:p>
    <w:p>
      <w:pPr>
        <w:spacing w:after="0" w:line="189"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Three Months Ended</w:t>
      </w:r>
    </w:p>
    <w:p>
      <w:pPr>
        <w:ind w:left="79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4,555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5,577</w:t>
            </w: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paid for amounts included in the measurement of lease liabilities included in</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940" w:type="dxa"/>
            <w:vAlign w:val="bottom"/>
            <w:gridSpan w:val="2"/>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3,811</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line="201" w:lineRule="exact"/>
              <w:rPr>
                <w:sz w:val="20"/>
                <w:szCs w:val="20"/>
                <w:color w:val="auto"/>
              </w:rPr>
            </w:pPr>
            <w:r>
              <w:rPr>
                <w:rFonts w:ascii="Arial" w:cs="Arial" w:eastAsia="Arial" w:hAnsi="Arial"/>
                <w:sz w:val="18"/>
                <w:szCs w:val="18"/>
                <w:color w:val="auto"/>
                <w:w w:val="92"/>
              </w:rPr>
              <w:t>Tenant improvement allowance received for amounts included in the measurement of lease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liabilities included in Operating cash flows</w:t>
            </w:r>
          </w:p>
        </w:tc>
        <w:tc>
          <w:tcPr>
            <w:tcW w:w="940" w:type="dxa"/>
            <w:vAlign w:val="bottom"/>
            <w:gridSpan w:val="2"/>
          </w:tcPr>
          <w:p>
            <w:pPr>
              <w:jc w:val="right"/>
              <w:ind w:right="57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3,115</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from entering new leases</w:t>
            </w:r>
          </w:p>
        </w:tc>
        <w:tc>
          <w:tcPr>
            <w:tcW w:w="940" w:type="dxa"/>
            <w:vAlign w:val="bottom"/>
            <w:gridSpan w:val="2"/>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Increase in right-of-use assets from lease modifications</w:t>
            </w:r>
          </w:p>
        </w:tc>
        <w:tc>
          <w:tcPr>
            <w:tcW w:w="940" w:type="dxa"/>
            <w:vAlign w:val="bottom"/>
            <w:gridSpan w:val="2"/>
          </w:tcPr>
          <w:p>
            <w:pPr>
              <w:jc w:val="right"/>
              <w:ind w:right="57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7,673</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terms (years)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the maturities of the Company’s operating lease liabilities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CMO</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Year Ending December 31,</w:t>
            </w: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embedded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leases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leases</w:t>
            </w:r>
          </w:p>
        </w:tc>
        <w:tc>
          <w:tcPr>
            <w:tcW w:w="240" w:type="dxa"/>
            <w:vAlign w:val="bottom"/>
          </w:tcPr>
          <w:p>
            <w:pPr>
              <w:spacing w:after="0"/>
              <w:rPr>
                <w:sz w:val="17"/>
                <w:szCs w:val="17"/>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2025</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92,013</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Future tenant improvement reimbursement</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09"/>
        </w:trPr>
        <w:tc>
          <w:tcPr>
            <w:tcW w:w="46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15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9,012</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78,894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color w:val="auto"/>
        </w:rPr>
        <w:t>For its corporate headquarters’ office, the lease agreement includes a tenant improvement allowance of $8.2 million. As of March 31, 2022, the Company has received total reimbursements associated with this tenant improvement allowance of $4.7 million, of which $3.1 million was received during the three months ended March 31, 2022.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LEGAL PROCEEDINGS</w:t>
      </w:r>
    </w:p>
    <w:p>
      <w:pPr>
        <w:spacing w:after="0" w:line="202"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u w:val="single" w:color="auto"/>
          <w:color w:val="auto"/>
        </w:rPr>
        <w:t>Derivative Lawsuit.</w:t>
      </w:r>
      <w:r>
        <w:rPr>
          <w:rFonts w:ascii="Arial" w:cs="Arial" w:eastAsia="Arial" w:hAnsi="Arial"/>
          <w:sz w:val="17"/>
          <w:szCs w:val="17"/>
          <w:color w:val="auto"/>
        </w:rPr>
        <w:t xml:space="preserve"> On December 11, 2020, a purported stockholder derivative complaint was filed by plaintiff Leo Shumacher against the Company, as nominal defendant, and its current directors, as defendants, in the Court of Chancery in the State of Delaware. The complaint alleges breach of fiduciary duty and a claim for unjust enrichment in connection with alleged excessive compensation of certain non-executive directors of the Company and seeks unspecified damages on behalf of the Company. The defendants intend to vigorously defend against the foregoing complaints. Based on the early stage of the litigation, it is not possible to estimate the amount or range of possible loss that might result from these matters.</w:t>
      </w:r>
    </w:p>
    <w:p>
      <w:pPr>
        <w:spacing w:after="0" w:line="137" w:lineRule="exact"/>
        <w:rPr>
          <w:sz w:val="20"/>
          <w:szCs w:val="20"/>
          <w:color w:val="auto"/>
        </w:rPr>
      </w:pPr>
    </w:p>
    <w:p>
      <w:pPr>
        <w:jc w:val="both"/>
        <w:ind w:right="360" w:firstLine="492"/>
        <w:spacing w:after="0" w:line="311"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(“Solomon Plaintiffs”) against the Company in the Supreme Court of the State of</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New York, County of New York (index no. 651881/2016). The Solomon Plaintiffs allege that, between June and November 2012, they provided to the Company $0.1 million and that they advanced and paid on behalf of the Company an additional $0.2 million.</w:t>
      </w:r>
    </w:p>
    <w:p>
      <w:pPr>
        <w:spacing w:after="0" w:line="106"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spacing w:after="0" w:line="155"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w:t>
      </w:r>
    </w:p>
    <w:p>
      <w:pPr>
        <w:spacing w:after="0" w:line="138" w:lineRule="exact"/>
        <w:rPr>
          <w:sz w:val="20"/>
          <w:szCs w:val="20"/>
          <w:color w:val="auto"/>
        </w:rPr>
      </w:pPr>
    </w:p>
    <w:p>
      <w:pPr>
        <w:ind w:right="40" w:firstLine="492"/>
        <w:spacing w:after="0" w:line="267" w:lineRule="auto"/>
        <w:rPr>
          <w:sz w:val="20"/>
          <w:szCs w:val="20"/>
          <w:color w:val="auto"/>
        </w:rPr>
      </w:pPr>
      <w:r>
        <w:rPr>
          <w:rFonts w:ascii="Arial" w:cs="Arial" w:eastAsia="Arial" w:hAnsi="Arial"/>
          <w:sz w:val="17"/>
          <w:szCs w:val="17"/>
          <w:color w:val="auto"/>
        </w:rPr>
        <w:t xml:space="preserve">On September 27, 2019, the Solomon Plaintiffs filed a new lawsuit (through new legal counsel) (“the Second Solomon Suit”) titled </w:t>
      </w:r>
      <w:r>
        <w:rPr>
          <w:rFonts w:ascii="Arial" w:cs="Arial" w:eastAsia="Arial" w:hAnsi="Arial"/>
          <w:sz w:val="17"/>
          <w:szCs w:val="17"/>
          <w:i w:val="1"/>
          <w:iCs w:val="1"/>
          <w:color w:val="auto"/>
        </w:rPr>
        <w:t>Solomon Capital, LLC, Solomon Capital 401(K) Trust, Solomon Sharbat and Shelhav Raff v. Iovance Biotherapeutics, Inc., f/k/a/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Lion Biotechnologies Inc. f/k/a/ Genesis Biopharma Inc., and Manish Singh </w:t>
      </w:r>
      <w:r>
        <w:rPr>
          <w:rFonts w:ascii="Arial" w:cs="Arial" w:eastAsia="Arial" w:hAnsi="Arial"/>
          <w:sz w:val="17"/>
          <w:szCs w:val="17"/>
          <w:color w:val="auto"/>
        </w:rPr>
        <w:t>in the Supreme Court of the State of New York, County of</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March 26, 2021, the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Court granted the Company’s motions for judgement on the pleadings, dismissing the second and third claims against the Company and dismissing all claims against Singh.</w:t>
      </w:r>
    </w:p>
    <w:p>
      <w:pPr>
        <w:spacing w:after="0" w:line="148"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57"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p>
    <w:p>
      <w:pPr>
        <w:spacing w:after="0" w:line="189"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The Company did not record income tax expense for the three months ended March 31, 2022 and 2021, respectively as the Company expected to be in a taxable loss position in 2022 and 2021, and the net deferred tax assets are fully offset by a valuation allowance as it is not more likely than not that the benefit will be realized. As of March 31, 2022, the Company remains in a cumulative book loss position and does not have sufficient positive evidence to realize its net deferred tax assets. As such, the Company continues to maintain a full valuation allowance against its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40" w:firstLine="492"/>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as of March 31, 2022 and results of operations for the three months ended March 31, 2022, should be read in conjunction with management’s discussion and analysis of financial condition and results of operations included in our Annual Report on Form 10-K for the year ended December 31, 2021 which was filed with the Securities and Exchange Commission (the “SEC”) on February 24, 2022.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Quarterly Report on Form 10-Q and other reports we file with the SEC.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We are a clinical-stage biopharmaceutical company pioneering a transformational approach to cure cancer by harnessing the human immune system’s ability to recognize and destroy diverse cancer cells in each patient. TIL therapy is an autologous, polyclonal cell therapy platform technology that was originally developed by the National Cancer Institute, or NCI, which conducted initial clinical trials of this therapy in diseases such as metastatic melanoma and cervical cancer. Our mission is to be the global leader in innovating, developing and delivering TIL therapies for patients with cancer. We have developed a new, shorter TIL manufacturing process known as Gen 2, which yields a cryopreserved TIL product. This centralized, proprietary, and scalable manufacturing method is being investigated in multiple indications. Our lead product candidates include lifileucel for metastatic melanoma and metastatic cervical cancer, as well as LN-145 for metastatic non-small cell lung cancer, or NSCLC. In addition, we are investigating the effectiveness and safety of combinations of TIL therapy with immune checkpoint inhibitors, or ICIs, in metastatic melanoma, cervical cancer, NSCLC, and head and neck squamous cell carcinoma, or HNSCC. We are investigating peripheral blood lymphocyte, or PBL, therapy for patients with relapsed or refractory chronic lymphocytic leukemia, or CLL, and small lymphocytic lymphoma, or SLL, through our sponsored trials. We are developing first-in-class genetically edited TIL products based on the inactivation of genes that encode immune checkpoint proteins and other proteins, as well as the insertion of genes that encode immunomodulatory proteins. We are also developing an alternative interleukin-2, or IL-2, co-therapy for use with TIL therapies. Finally, we are investigating the potential for TIL therapy in other oncology indications and treatment settings through academic collaborations with leading cancer research centers.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product candidate pipeline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126365</wp:posOffset>
            </wp:positionV>
            <wp:extent cx="6052185" cy="31203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218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Monotherapy in Metastatic Solid Tumor Cancers</w:t>
      </w:r>
    </w:p>
    <w:p>
      <w:pPr>
        <w:spacing w:after="0" w:line="185"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 xml:space="preserve">We have investigated TIL monotherapy in metastatic melanoma, cervical cancer, NSCLC and HNSCC. We are conducting a Phase 2 clinical trial, C-144-01, of our lead TIL product candidate, lifileucel, for the treatment of metastatic melanoma. This multicenter pivotal trial enrolled melanoma patients with disease progression following treatment with at least one systemic therapy, including a PD-1 inhibitor and, if BRAF mutated, a BRAF inhibitor, or a combination of BRAF and MEK inhibitors. Cohort 4 of the C-144-01 clinical trial is a single-arm cohort intended to support the submission of a Biologics License Application, or BLA, to the Food and Drug Administration, or the FDA, for lifileucel. Cohorts 2 and 4 of the C-144-01 trial use our Gen 2 manufacturing process. We completed and closed enrollment of patients into Cohort 2 of the C-144-01 trial in 2018. Results from Cohort 2 of the C-144-01 clinical trial were initially reported at the American Society of Clinical Oncology annual meeting, or ASCO, in June 2019 and subsequently updated at ASCO in June 2021. In addition, detailed Cohort 2 data was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May 2021.</w:t>
      </w:r>
    </w:p>
    <w:p>
      <w:pPr>
        <w:spacing w:after="0" w:line="126" w:lineRule="exact"/>
        <w:rPr>
          <w:sz w:val="20"/>
          <w:szCs w:val="20"/>
          <w:color w:val="auto"/>
        </w:rPr>
      </w:pPr>
    </w:p>
    <w:p>
      <w:pPr>
        <w:ind w:right="100" w:firstLine="492"/>
        <w:spacing w:after="0" w:line="296" w:lineRule="auto"/>
        <w:rPr>
          <w:sz w:val="20"/>
          <w:szCs w:val="20"/>
          <w:color w:val="auto"/>
        </w:rPr>
      </w:pPr>
      <w:r>
        <w:rPr>
          <w:rFonts w:ascii="Arial" w:cs="Arial" w:eastAsia="Arial" w:hAnsi="Arial"/>
          <w:sz w:val="16"/>
          <w:szCs w:val="16"/>
          <w:color w:val="auto"/>
        </w:rPr>
        <w:t>Pivotal Cohort 4 of the C-144-01 trial was enrolled to evaluate Overall Response Rate, or ORR, as read out by an Independent Review Committee, or IRC, as the primary endpoint based on our interpretation of discussions with the FDA as part of an End of Phase 2, or EOP2, meeting held with the FDA in the third quarter of 2018. In October 2018, based on the data provided to the FDA during the EOP2 meeting, we announced that lifileucel had received a Regenerative Medicines Advanced Therapy, or RMAT, designation from the FDA. Enrollment in Cohort 4 of the C-144-01 trial commenced in March 2019 and patient dosing was completed in January 2020.</w:t>
      </w:r>
    </w:p>
    <w:p>
      <w:pPr>
        <w:spacing w:after="0" w:line="134" w:lineRule="exact"/>
        <w:rPr>
          <w:sz w:val="20"/>
          <w:szCs w:val="20"/>
          <w:color w:val="auto"/>
        </w:rPr>
      </w:pPr>
    </w:p>
    <w:p>
      <w:pPr>
        <w:ind w:right="40" w:firstLine="492"/>
        <w:spacing w:after="0" w:line="253" w:lineRule="auto"/>
        <w:rPr>
          <w:sz w:val="20"/>
          <w:szCs w:val="20"/>
          <w:color w:val="auto"/>
        </w:rPr>
      </w:pPr>
      <w:r>
        <w:rPr>
          <w:rFonts w:ascii="Arial" w:cs="Arial" w:eastAsia="Arial" w:hAnsi="Arial"/>
          <w:sz w:val="18"/>
          <w:szCs w:val="18"/>
          <w:color w:val="auto"/>
        </w:rPr>
        <w:t>Previously,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have continued our ongoing work developing and validating our potency assays and have engaged in discussions with the FDA during the second half of 2021 and the first quarter of 2022. Based on feedback received from these discussions, we expect to request a pre-BLA meeting in July 2022 and to complete a BLA submission for lifileucel in metastatic melanoma by August 2022. In connection with this BLA submission, the IRC is expected to independently assess responses for Cohort 4 patients through the data cut date, which must be completed prior to BLA submission or disclosure of IRC-read data.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86" w:lineRule="auto"/>
        <w:rPr>
          <w:sz w:val="20"/>
          <w:szCs w:val="20"/>
          <w:color w:val="auto"/>
        </w:rPr>
      </w:pPr>
      <w:r>
        <w:rPr>
          <w:rFonts w:ascii="Arial" w:cs="Arial" w:eastAsia="Arial" w:hAnsi="Arial"/>
          <w:sz w:val="16"/>
          <w:szCs w:val="16"/>
          <w:color w:val="auto"/>
        </w:rPr>
        <w:t>We are also conducting a Phase 2 clinical trial, C-145-04, which is a multicenter pivotal trial to assess the safety and efficacy of our lead product candidate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Breakthrough Therapy Designation, or BTD, from the FDA for development in the treatment of cervical cancer. Results from the C-145-04 clinical trial were reported at ASCO in June 2019. In November 2019, we amended the C-145-04 trial to collect additional data on early-line patients as well as late-line patients by adding additional cohorts, in anticipation of a changing landscape in this indication, including Cohort 2 for patients that had previously received chemotherapy and anti-PD-1/anti-PD-L1 therapy. In January 2021, we announced that Cohort 2 of the C-145-04 trial had completed enrollment and that data from this cohort may be supportive of registration because of the expected changing landscape of care for cervical cancer patients. For example, because of recent regulatory approvals for pembrolizumab, there may be a potential shift from chemotherapy in front-line cervical cancer followed by pembrolizumab in second-line cervical cancer. We intend to execute our strategy based on dialog and feedback on these cohorts and continue to plan for a potential BLA submission for lifileucel in cervical cancer.</w:t>
      </w:r>
    </w:p>
    <w:p>
      <w:pPr>
        <w:spacing w:after="0" w:line="133"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In November 2020, we announced that we had finalized the protocol for our potential registrational clinical trial in NSCLC, IOV-LUN-202, to investigate LN-145 in patients with metastatic NSCLC, without driver mutations, who previously received a single line of approved systemic therapy of combined checkpoint inhibitor and chemotherapy. The IOV-LUN-202 clinical trial includes three cohorts. Cohorts 1 and 3 of the IOV-LUN-202 clinical trial are enrolling patients with a PD-L1 TPS of less than one percent at the time they started front-line therapy, and Cohort 2 will enroll patients with a PD-L1 TPS of greater than or equal to one percent at the time they started front-line therapy. Cohort 3 will also explore manufacturing TIL extracted from core biopsies using our third-generation, or Gen 3, manufacturing process. In June 2021, we reported that the first patient was dosed in the IOV-LUN-202 clinical trial. We intend to continue to enroll patients in the IOV-LUN-202 clinical trial throughout 2022. We are engaged in regulatory discussions with the FDA on IOV-LUN-202 and intend to incorporate FDA feedback to optimize this clinical trial to support further registration in NSCLC.</w:t>
      </w:r>
    </w:p>
    <w:p>
      <w:pPr>
        <w:spacing w:after="0" w:line="139"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In June 2021, we reported initial data for LN-145 in Cohort 3B of our IOV-COM-202 clinical trial in metastatic NSCLC. IOV-COM-202 is a Phase 2, multicenter trial for that is composed of seven cohorts. Cohort 3B of IOV-COM-202 enrolled patients with metastatic NSCLC that had progressed on prior ICI therapy, including patients with oncogene-driven tumors who received prior tyrosine kinase inhibitor therapy. Patients were treated with LN-145 monotherapy. All patients treated in Cohort 3B of the IOV-COM-202 trial received prior anti-PD-1/L1 therapy and all six responding patients also received prior chemotherapy. We also provided an update on Cohort 3B in November 2021, at the Society for Immunotherapy in Cancer Annual Meeting, or SITC.</w:t>
      </w:r>
    </w:p>
    <w:p>
      <w:pPr>
        <w:spacing w:after="0" w:line="137" w:lineRule="exact"/>
        <w:rPr>
          <w:sz w:val="20"/>
          <w:szCs w:val="20"/>
          <w:color w:val="auto"/>
        </w:rPr>
      </w:pPr>
    </w:p>
    <w:p>
      <w:pPr>
        <w:ind w:right="140" w:firstLine="492"/>
        <w:spacing w:after="0" w:line="255" w:lineRule="auto"/>
        <w:rPr>
          <w:sz w:val="20"/>
          <w:szCs w:val="20"/>
          <w:color w:val="auto"/>
        </w:rPr>
      </w:pPr>
      <w:r>
        <w:rPr>
          <w:rFonts w:ascii="Arial" w:cs="Arial" w:eastAsia="Arial" w:hAnsi="Arial"/>
          <w:sz w:val="18"/>
          <w:szCs w:val="18"/>
          <w:color w:val="auto"/>
        </w:rPr>
        <w:t>C-145-03 is our Phase 2, multicenter trial to assess the safety and efficacy of our product candidate LN-145 for the treatment of patients with metastatic HNSCC. We redesigned our C-145-03 trial to include multiple cohorts, in order to allow for dosing of TIL therapies produced by multiple manufacturing methods, including our Gen 2 manufacturing process, our Gen 3 manufacturing process, and our PD-1 selected TIL manufacturing process. Our PD-1 selected TIL manufacturing process results in a product that we refer to as LN-145-S1. In January 2021, we announced that we are closing the C-145-03 clinical trial after the trial reached its pre-specified enrollment target.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Combinations in Earlier Treatment Settings for Solid Tumors</w:t>
      </w:r>
    </w:p>
    <w:p>
      <w:pPr>
        <w:spacing w:after="0" w:line="198" w:lineRule="exact"/>
        <w:rPr>
          <w:sz w:val="20"/>
          <w:szCs w:val="20"/>
          <w:color w:val="auto"/>
        </w:rPr>
      </w:pPr>
    </w:p>
    <w:p>
      <w:pPr>
        <w:ind w:right="80" w:firstLine="492"/>
        <w:spacing w:after="0" w:line="279" w:lineRule="auto"/>
        <w:rPr>
          <w:sz w:val="20"/>
          <w:szCs w:val="20"/>
          <w:color w:val="auto"/>
        </w:rPr>
      </w:pPr>
      <w:r>
        <w:rPr>
          <w:rFonts w:ascii="Arial" w:cs="Arial" w:eastAsia="Arial" w:hAnsi="Arial"/>
          <w:sz w:val="17"/>
          <w:szCs w:val="17"/>
          <w:color w:val="auto"/>
        </w:rPr>
        <w:t>We are also investigating the potential of our TIL therapies in earlier lines of treatment in combination with pembrolizumab or other ICIs in cancer patients who are naïve to anti-PD-1 therapy, including in four cohorts in our IOV-COM-202 study in solid tumors as well as in one cohort in our C-145-04 clinical study in cervical cancer. In addition to its ongoing enrollment in the U.S., the IOV-COM-202 trial has also received regulatory approval in Canada and in certain European countries.</w:t>
      </w:r>
    </w:p>
    <w:p>
      <w:pPr>
        <w:spacing w:after="0" w:line="131"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In Cohort 1A of the IOV-COM-202 trial, we are enrolling advanced unresectable or metastatic melanoma patients who are naïve to anti-PD-1 therapy. In Cohort 2A of the IOV-COM-202 trial, we are enrolling advanced, recurrent, or metastatic HNSCC patients who are naïve to prior immunotherapy including anti-PD-1/anti-PD-L1 therapy. The patients receive LN-145 in combination with pembrolizumab. In Cohort 3, which is our C-145-04 cervical cancer study, patients receive TIL plus pembrolizumab. We reported results from ongoing Cohort 1A of the IOV-COM-202 trial at ASCO in June 2021, as well as provided updated results in November 2021 at SITC. Our oral presentation at SITC in November 2021 also included initial results for TIL therapy plus pembrolizumab for patients enrolled in Cohort 3 of our C-145-04 cervical cancer study.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Cohort 1A and Cohort 2A results from the IOV-COM-202 study as well as Cohort 3 from the C-145-04 study demonstrated that lifileucel or LN-145 can be safely combined with pembrolizumab. The treatment emergent adverse event, or TEAE, profile in all Cohorts was consistent with the underlying advanced disease and the known adverse event profiles of pembrolizumab, lymphodepletion, and IL-2 regimens. Two additional cohorts, Cohort 3A and 3C in the IOV-COM-202 study, explore LN-145/ICI combination therapies in NSCLC patients. Cohort 3A is evaluating LN-145 in combination with pembrolizumab in patients with recurrent or metastatic NSCLC who have not received prior immunotherapy, including checkpoint inhibitors. Cohort 3C is investigating LN-145 therapy in combination with ipilimumab and nivolumab in patients with recurrent or metastatic NSCLC who have previously received one line of approved checkpoint inhibitor monotherapy as the only prior line of systemic therapy.</w:t>
      </w:r>
    </w:p>
    <w:p>
      <w:pPr>
        <w:spacing w:after="0" w:line="138"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 xml:space="preserve">In September 2021, we announced that our Iovance Cell Therapy Center, or the </w:t>
      </w:r>
      <w:r>
        <w:rPr>
          <w:rFonts w:ascii="Arial" w:cs="Arial" w:eastAsia="Arial" w:hAnsi="Arial"/>
          <w:sz w:val="18"/>
          <w:szCs w:val="18"/>
          <w:i w:val="1"/>
          <w:iCs w:val="1"/>
          <w:color w:val="auto"/>
        </w:rPr>
        <w:t>i</w:t>
      </w:r>
      <w:r>
        <w:rPr>
          <w:rFonts w:ascii="Arial" w:cs="Arial" w:eastAsia="Arial" w:hAnsi="Arial"/>
          <w:sz w:val="18"/>
          <w:szCs w:val="18"/>
          <w:color w:val="auto"/>
        </w:rPr>
        <w:t>CTC, had successfully manufactured and delivered its first clinical batch of LN-145 for the IOV-COM-202 trial, representing our first internally manufactured TIL product. We continue to supply the IOV-COM-202 trial, and other ongoing trials, with both internally manufactured and externally manufactured TIL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Product Candidates</w:t>
      </w:r>
    </w:p>
    <w:p>
      <w:pPr>
        <w:spacing w:after="0" w:line="225" w:lineRule="exact"/>
        <w:rPr>
          <w:sz w:val="20"/>
          <w:szCs w:val="20"/>
          <w:color w:val="auto"/>
        </w:rPr>
      </w:pPr>
    </w:p>
    <w:p>
      <w:pPr>
        <w:ind w:right="80" w:firstLine="492"/>
        <w:spacing w:after="0" w:line="311" w:lineRule="auto"/>
        <w:rPr>
          <w:sz w:val="20"/>
          <w:szCs w:val="20"/>
          <w:color w:val="auto"/>
        </w:rPr>
      </w:pPr>
      <w:r>
        <w:rPr>
          <w:rFonts w:ascii="Arial" w:cs="Arial" w:eastAsia="Arial" w:hAnsi="Arial"/>
          <w:sz w:val="16"/>
          <w:szCs w:val="16"/>
          <w:color w:val="auto"/>
        </w:rPr>
        <w:t>Our clinical pipeline also includes next generation TIL product candidates and manufacturing processes, as well as a cytokine-engrafted protein. Our TIL candidate LN-145-S1, in which TIL are selected for PD-1 expression, is being investigated in post-anti-PD-1 melanoma in Cohort 1B of our IOV-COM-202 basket study as well as in post-anti-PD-1 HNSCC in Cohort 4 of our C-145-03 trial.</w:t>
      </w:r>
    </w:p>
    <w:p>
      <w:pPr>
        <w:spacing w:after="0" w:line="122"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We are using our Gen 3 manufacturing process in Cohort 1C of the IOV-COM-202 clinical trial in melanoma and in Cohort 3 of the IOV-LUN-202 clinical trial in NSCLC and have previously used it in the C-145-03 clinical trial in HNSCC.</w:t>
      </w:r>
    </w:p>
    <w:p>
      <w:pPr>
        <w:spacing w:after="0" w:line="130"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In November 2019, we announced that our Investigational New Drug, or IND, application for our PBL therapy, IOV-2001, was authorized by the FDA. Our sponsored clinical trial using this therapy, IOV-CLL-01, was cleared to proceed and patient dosing began in 2020. IOV-2001 is a non-genetically modified, polyclonal T cell product that is manufactured using a nine-day process starting from 50 mL of patient's blood. IOV-CLL-01 is a Phase 1/2 clinical trial evaluating the safety and efficacy of IOV-2001 in patients with relapsed or refractory CLL or SLL.</w:t>
      </w:r>
    </w:p>
    <w:p>
      <w:pPr>
        <w:spacing w:after="0" w:line="147"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January 2020, we announced a research collaboration and exclusive worldwide licensing agreement with Cellectis S.A., or Cellectis, a clinical-stage biopharmaceutical company focused on developing immunotherapies based on gene-edited allogeneic chimeric antigen receptor modified T cells. The worldwide exclusive license enables us to use certain TALEN® technology addressing multiple gene targets to develop TIL that have been genetically modified to create potentially more potent cancer therapeutics for use in several cancer indications. Financial terms of the license include development, regulatory and sales milestone payments from us to Cellectis, as well as royalty payments based on net sales of TALEN-modified TIL products. In March 2022, we announced the FDA allowed an IND to proceed for our first genetically modified TIL therapy, IOV-4001, for the treatment of previously treated advanced melanoma or metastatic NSCLC. We expect to initiate our first clinical trial of IOV-4001 in 2022. In addition to IOV-4001, we are currently developing additional targets for genetic modification using the TALEN technology, including double-knock out programs in preclinical development.</w:t>
      </w:r>
    </w:p>
    <w:p>
      <w:pPr>
        <w:spacing w:after="0" w:line="15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We continue to explore additional transient and permanent genetic modifications of TILs. For example, under the amended and restated patent license agreement we entered into May 2021 with National Institutes of Health, or NIH, an agency of the U.S. Public Health Service within the Department of Health and Human Services, we license a patent family related to cytokine-tethered TILs, which are intended to potentially expand and activate TILs to achieve better efficacy while avoiding systemic side effects of cytokines. We are currently developing cytokine-tethered TIL products in preclinical studies.</w:t>
      </w:r>
    </w:p>
    <w:p>
      <w:pPr>
        <w:spacing w:after="0" w:line="136" w:lineRule="exact"/>
        <w:rPr>
          <w:sz w:val="20"/>
          <w:szCs w:val="20"/>
          <w:color w:val="auto"/>
        </w:rPr>
      </w:pPr>
    </w:p>
    <w:p>
      <w:pPr>
        <w:ind w:right="120" w:firstLine="492"/>
        <w:spacing w:after="0" w:line="275" w:lineRule="auto"/>
        <w:rPr>
          <w:sz w:val="20"/>
          <w:szCs w:val="20"/>
          <w:color w:val="auto"/>
        </w:rPr>
      </w:pPr>
      <w:r>
        <w:rPr>
          <w:rFonts w:ascii="Arial" w:cs="Arial" w:eastAsia="Arial" w:hAnsi="Arial"/>
          <w:sz w:val="17"/>
          <w:szCs w:val="17"/>
          <w:color w:val="auto"/>
        </w:rPr>
        <w:t>In addition, in January 2020, we obtained a license from Novartis Pharma AG, or Novartis, to develop and commercialize an antibody cytokine-engrafted protein, which we refer to as IOV-3001. Under the agreement, we paid an upfront payment to Novartis and may pay milestones involved in initiation of patient dosing in various phases of clinical development for IOV-3001 and approval of a potential product in the U.S., EU, and Japan. We are currently conducting IND enabling studies of this novel IL-2 analog. Novartis is also entitled to low-to-mid single digit percentage royalties from commercial sales of IOV-3001.</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Investigator-Sponsored Trials</w:t>
      </w:r>
    </w:p>
    <w:p>
      <w:pPr>
        <w:spacing w:after="0" w:line="185"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Through our academic collaborators, we are also exploring the potential for TIL therapies in additional indications. As part of our collaboration program with The University of Texas M.D. Anderson Cancer Center, or MDACC, two Phase 2 trials were initiated in 2018. Both trials are sponsored by MDACC. The first trial, NCT03449108, investigates LN-145 manufactured by us, using our manufacturing processes, to treat patients with soft tissue sarcoma, osteosarcoma, platinum resistant ovarian cancer, and thyroid cancer. A second trial under the collaboration with MDACC, NCT03610490, was previously active. This trial treated patients with platinum resistant ovarian cancer, pancreatic and colorectal cancer with TIL manufactured by MDACC. The data obtained using this manufacturing process may not be representative of our data using our Gen 2 manufacturing process. We also collaborate with many other academic institutions using our TIL therapies. For example, a trial in collaboration with The Ohio State University, NCT05176470, began recruiting in April 2022, and will explore the use of lifileucel in high-risk melanoma in the neoadjuvant setting.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85" w:lineRule="exact"/>
        <w:rPr>
          <w:sz w:val="20"/>
          <w:szCs w:val="20"/>
          <w:color w:val="auto"/>
        </w:rPr>
      </w:pPr>
    </w:p>
    <w:p>
      <w:pPr>
        <w:jc w:val="both"/>
        <w:ind w:right="240" w:firstLine="492"/>
        <w:spacing w:after="0" w:line="286" w:lineRule="auto"/>
        <w:rPr>
          <w:sz w:val="20"/>
          <w:szCs w:val="20"/>
          <w:color w:val="auto"/>
        </w:rPr>
      </w:pPr>
      <w:r>
        <w:rPr>
          <w:rFonts w:ascii="Arial" w:cs="Arial" w:eastAsia="Arial" w:hAnsi="Arial"/>
          <w:sz w:val="16"/>
          <w:szCs w:val="16"/>
          <w:color w:val="auto"/>
        </w:rPr>
        <w:t>We have developed our own patent portfolio based on internal research and development activities. As a result, we now own a number of pending patent applications and granted patents in the fields of TIL therapy, MIL therapy, and PBL therapy, TIL, MIL, and PBL manufacturing processes, and TIL, MIL, and PBL expansion methods. For example, we currently own more than 40 U.S. patents related to TIL therapy, including patents directed to compositions and methods of treatment in a broad range of cancers, such as U.S.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11,241,456; 11,254,913; 11,266,694; 11,273,180; and 11,273,181. More than 30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 applications relating to TIL,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ICIs in combination with TIL therapies; TIL selection technologies; and methods of treating patient subpopulations.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225"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The full impact of the novel strain of coronavirus, or COVID-19, pandemic is unknown and continuously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three months ended March 31, 2022.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46" w:lineRule="exact"/>
        <w:rPr>
          <w:sz w:val="20"/>
          <w:szCs w:val="20"/>
          <w:color w:val="auto"/>
        </w:rPr>
      </w:pPr>
    </w:p>
    <w:p>
      <w:pPr>
        <w:ind w:right="60" w:firstLine="492"/>
        <w:spacing w:after="0" w:line="286" w:lineRule="auto"/>
        <w:rPr>
          <w:sz w:val="20"/>
          <w:szCs w:val="20"/>
          <w:color w:val="auto"/>
        </w:rPr>
      </w:pPr>
      <w:r>
        <w:rPr>
          <w:rFonts w:ascii="Arial" w:cs="Arial" w:eastAsia="Arial" w:hAnsi="Arial"/>
          <w:sz w:val="17"/>
          <w:szCs w:val="17"/>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future periods.</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right="240" w:firstLine="492"/>
        <w:spacing w:after="0" w:line="259" w:lineRule="auto"/>
        <w:rPr>
          <w:sz w:val="20"/>
          <w:szCs w:val="20"/>
          <w:color w:val="auto"/>
        </w:rPr>
      </w:pPr>
      <w:r>
        <w:rPr>
          <w:rFonts w:ascii="Arial" w:cs="Arial" w:eastAsia="Arial" w:hAnsi="Arial"/>
          <w:sz w:val="18"/>
          <w:szCs w:val="18"/>
          <w:color w:val="auto"/>
        </w:rPr>
        <w:t>We have not yet generated any revenues since our formation, and we currently do not anticipate that we will generate any significant revenues from the sale or licensing of our product candidates during the 12 months from the date these financial statements are issued. Our ability to generate revenues in the future will depend on our ability to complete the development of our product candidates and to obtain regulatory approval for them.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47"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w:t>
      </w:r>
    </w:p>
    <w:p>
      <w:pPr>
        <w:spacing w:after="0" w:line="154"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We expect our research and development expenses to continue to increase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51"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We anticipate general and administrative expenses will increase as we continue to prepare for commercialization and support an expected growth of the internal general and administrative team.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net results from our interest-bearing cash and investment balances.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2022 and 2021</w:t>
      </w:r>
    </w:p>
    <w:p>
      <w:pPr>
        <w:spacing w:after="0" w:line="189"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 of clinical development generally have higher development costs than those in earlier stages of clinical development, primarily due to the increased size and duration of later-stage clinical trials. As a clinical stage company that is currently engaged in the development of novel cancer immunotherapy products, we have not yet generated any revenues from our biotechnology business or otherwise since our formation. Our ability to generate revenues in the future will depend on our ability to complete the development of our product candidates and to obtain regulatory approval for them. Our major sources of funding to date have been proceeds from various public and private offerings of our equity securities (both common stock and preferred stock), option and warrant exercises, and interest income. Since 2017 our primary source of funds has been from the public sale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1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1"/>
              </w:rPr>
              <w:t>Increase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340" w:type="dxa"/>
            <w:vAlign w:val="bottom"/>
          </w:tcPr>
          <w:p>
            <w:pPr>
              <w:spacing w:after="0"/>
              <w:rPr>
                <w:sz w:val="14"/>
                <w:szCs w:val="14"/>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89"/>
              </w:rPr>
              <w:t>(Decrease)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$ 68,300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$ 55,949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w w:val="93"/>
              </w:rPr>
              <w:t>Stock-based compensation expense included in research and development expense</w:t>
            </w:r>
          </w:p>
        </w:tc>
        <w:tc>
          <w:tcPr>
            <w:tcW w:w="720" w:type="dxa"/>
            <w:vAlign w:val="bottom"/>
          </w:tcPr>
          <w:p>
            <w:pPr>
              <w:jc w:val="right"/>
              <w:spacing w:after="0"/>
              <w:rPr>
                <w:sz w:val="20"/>
                <w:szCs w:val="20"/>
                <w:color w:val="auto"/>
              </w:rPr>
            </w:pPr>
            <w:r>
              <w:rPr>
                <w:rFonts w:ascii="Arial" w:cs="Arial" w:eastAsia="Arial" w:hAnsi="Arial"/>
                <w:sz w:val="18"/>
                <w:szCs w:val="18"/>
                <w:color w:val="auto"/>
              </w:rPr>
              <w:t>13,651</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9,202</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 xml:space="preserve">Research and development expense for the three months ended March 31, 2022 increased by $12.4 million, or 22%, compared to the same period in 2021. The increase was primarily attributable to (i) a $6.5 million increase in payroll and related expenses and a $4.4 million increase in stock-based compensation expenses, both driven by increased hiring of research and development employees to support our ongoing and planned clinical development activities, (ii) a $5.7 million increase in facility and related costs, including depreciation expenses, associated with the </w:t>
      </w:r>
      <w:r>
        <w:rPr>
          <w:rFonts w:ascii="Arial" w:cs="Arial" w:eastAsia="Arial" w:hAnsi="Arial"/>
          <w:sz w:val="17"/>
          <w:szCs w:val="17"/>
          <w:i w:val="1"/>
          <w:iCs w:val="1"/>
          <w:color w:val="auto"/>
        </w:rPr>
        <w:t>i</w:t>
      </w:r>
      <w:r>
        <w:rPr>
          <w:rFonts w:ascii="Arial" w:cs="Arial" w:eastAsia="Arial" w:hAnsi="Arial"/>
          <w:sz w:val="17"/>
          <w:szCs w:val="17"/>
          <w:color w:val="auto"/>
        </w:rPr>
        <w:t>CTC and the build-out of our new corporate headquarters office, and (iii) a $1.6 million increase in other costs, including lab consumables, manufacturing, insurance, and travel expenses. These expenses were partially offset by a $5.8 million decrease in clinical trial costs due to completion of enrollment in pivotal cohorts for melanoma and cervical cancer, as well as our head and neck clinical trials.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1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1"/>
              </w:rPr>
              <w:t>Increase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340" w:type="dxa"/>
            <w:vAlign w:val="bottom"/>
          </w:tcPr>
          <w:p>
            <w:pPr>
              <w:spacing w:after="0"/>
              <w:rPr>
                <w:sz w:val="14"/>
                <w:szCs w:val="14"/>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89"/>
              </w:rPr>
              <w:t>(Decrease)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$ 23,413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$ 19,621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w w:val="94"/>
              </w:rPr>
              <w:t>Stock-based compensation expense included in general and administrative expense</w:t>
            </w:r>
          </w:p>
        </w:tc>
        <w:tc>
          <w:tcPr>
            <w:tcW w:w="720" w:type="dxa"/>
            <w:vAlign w:val="bottom"/>
          </w:tcPr>
          <w:p>
            <w:pPr>
              <w:jc w:val="right"/>
              <w:spacing w:after="0"/>
              <w:rPr>
                <w:sz w:val="20"/>
                <w:szCs w:val="20"/>
                <w:color w:val="auto"/>
              </w:rPr>
            </w:pPr>
            <w:r>
              <w:rPr>
                <w:rFonts w:ascii="Arial" w:cs="Arial" w:eastAsia="Arial" w:hAnsi="Arial"/>
                <w:sz w:val="18"/>
                <w:szCs w:val="18"/>
                <w:color w:val="auto"/>
              </w:rPr>
              <w:t>8,614</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7,739</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General and administrative expenses for the three months ended March 31, 2022 increased by $3.8 million, or 19%, compared to the same period in 2021. The increase was primarily attributable to (i) a $1.4 million increase in payroll and related expenses and a $0.9 million increase in stock-based compensation expenses, both resulting from increases in headcount to support the growth in the overall business and related corporate infrastructure, and (ii) a $1.5 million increase in other costs, including marketing, intellectual property and legal expenses, costs associated with the build-out of our new corporate headquarters, and increased costs to enhance and expand our information technology infrastructure to support our pre-commercialization activities as well as the continued growth in the overall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net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264"/>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(Decrease)</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83"/>
              </w:rPr>
              <w:t>2021</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jc w:val="both"/>
        <w:ind w:right="180" w:firstLine="492"/>
        <w:spacing w:after="0" w:line="308" w:lineRule="auto"/>
        <w:rPr>
          <w:sz w:val="20"/>
          <w:szCs w:val="20"/>
          <w:color w:val="auto"/>
        </w:rPr>
      </w:pPr>
      <w:r>
        <w:rPr>
          <w:rFonts w:ascii="Arial" w:cs="Arial" w:eastAsia="Arial" w:hAnsi="Arial"/>
          <w:sz w:val="17"/>
          <w:szCs w:val="17"/>
          <w:color w:val="auto"/>
        </w:rPr>
        <w:t>Interest income, net for the three months ended March 31, 2022 and 2021 decreased by less than $0.1 million, or 12%, primarily due to declining interest rates and lower interest received on our cash, cash equivalents and investment portfolio.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91"/>
              </w:rPr>
              <w:t>Increase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110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9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(91,607)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(75,449)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Net loss for the three months ended March 31, 2022 increased by $16.2 million or 21% compared to the same period in 2021. The increase in our net loss was due to the continued expansion of our research and development activities and the overall growth of our corporate infrastructure. We anticipate that we will continue to incur net losses in the future as we further invest in our research and development activities, including our commercial readiness and clinical development.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right="100" w:firstLine="492"/>
        <w:spacing w:after="0" w:line="289" w:lineRule="auto"/>
        <w:rPr>
          <w:sz w:val="20"/>
          <w:szCs w:val="20"/>
          <w:color w:val="auto"/>
        </w:rPr>
      </w:pPr>
      <w:r>
        <w:rPr>
          <w:rFonts w:ascii="Arial" w:cs="Arial" w:eastAsia="Arial" w:hAnsi="Arial"/>
          <w:sz w:val="16"/>
          <w:szCs w:val="16"/>
          <w:color w:val="auto"/>
        </w:rPr>
        <w:t xml:space="preserve">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We currently do not anticipate that we will generate any significant revenues from the sale or licensing of any products during the 12 months from the date these financial statements are issued. We expect to further increase our research and development activities, especially continuing pre-commercial activities and completing the construction of our tenant improvements to the </w:t>
      </w:r>
      <w:r>
        <w:rPr>
          <w:rFonts w:ascii="Arial" w:cs="Arial" w:eastAsia="Arial" w:hAnsi="Arial"/>
          <w:sz w:val="16"/>
          <w:szCs w:val="16"/>
          <w:i w:val="1"/>
          <w:iCs w:val="1"/>
          <w:color w:val="auto"/>
        </w:rPr>
        <w:t>i</w:t>
      </w:r>
      <w:r>
        <w:rPr>
          <w:rFonts w:ascii="Arial" w:cs="Arial" w:eastAsia="Arial" w:hAnsi="Arial"/>
          <w:sz w:val="16"/>
          <w:szCs w:val="16"/>
          <w:color w:val="auto"/>
        </w:rPr>
        <w:t xml:space="preserve">CTC facility, which will increase the amount of cash we will use during the remainder of 2022 and beyond. Specifically, we expect increased spending on clinical trials, research and development activities, higher payroll expenses as we increase our professional and scientific staff and continue our expansion of manufacturing activities, including completion of the </w:t>
      </w:r>
      <w:r>
        <w:rPr>
          <w:rFonts w:ascii="Arial" w:cs="Arial" w:eastAsia="Arial" w:hAnsi="Arial"/>
          <w:sz w:val="16"/>
          <w:szCs w:val="16"/>
          <w:i w:val="1"/>
          <w:iCs w:val="1"/>
          <w:color w:val="auto"/>
        </w:rPr>
        <w:t>i</w:t>
      </w:r>
      <w:r>
        <w:rPr>
          <w:rFonts w:ascii="Arial" w:cs="Arial" w:eastAsia="Arial" w:hAnsi="Arial"/>
          <w:sz w:val="16"/>
          <w:szCs w:val="16"/>
          <w:color w:val="auto"/>
        </w:rPr>
        <w:t>CTC.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Capitalization</w:t>
      </w:r>
    </w:p>
    <w:p>
      <w:pPr>
        <w:spacing w:after="0" w:line="198"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As of March 31, 2022, we had outstanding 157,168,321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spacing w:after="0" w:line="152" w:lineRule="exact"/>
        <w:rPr>
          <w:sz w:val="20"/>
          <w:szCs w:val="20"/>
          <w:color w:val="auto"/>
        </w:rPr>
      </w:pPr>
    </w:p>
    <w:p>
      <w:pPr>
        <w:jc w:val="both"/>
        <w:ind w:right="100" w:firstLine="492"/>
        <w:spacing w:after="0" w:line="286" w:lineRule="auto"/>
        <w:rPr>
          <w:sz w:val="20"/>
          <w:szCs w:val="20"/>
          <w:color w:val="auto"/>
        </w:rPr>
      </w:pPr>
      <w:r>
        <w:rPr>
          <w:rFonts w:ascii="Arial" w:cs="Arial" w:eastAsia="Arial" w:hAnsi="Arial"/>
          <w:sz w:val="17"/>
          <w:szCs w:val="17"/>
          <w:color w:val="auto"/>
        </w:rPr>
        <w:t>On May 27, 2020, we filed an automatic shelf registration statement with the SEC for the issuance of an indeterminate amount of Shelf Securities (the “2020 Automatic Shelf Registration Statement”), which was immediately effective upon filing with the SEC. Upon filing of the 2020 Automatic Shelf Registration Statement, the 2019 Shelf Registration Statement was terminated.</w:t>
      </w:r>
    </w:p>
    <w:p>
      <w:pPr>
        <w:spacing w:after="0" w:line="125"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On June 2, 2020, we sold 19,475,806 shares of our common stock at a public offering price of $31.00 per share pursuant to the 2020 Automatic Shelf Registration Statement (the “June 2020 Public Offering”). We received gross proceeds of $603.7 million and net proceeds of $567.0 million, after deducting underwriting discounts and offering expenses. Following the public offering, the 2020 Automatic Shelf Registration Statement remains available for the future issuance of an indeterminate amount of Shelf Securities.</w:t>
      </w:r>
    </w:p>
    <w:p>
      <w:pPr>
        <w:spacing w:after="0" w:line="130"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On February 8, 2021, we entered into an Open Market Sale Agreement (the “Sales Agreement”), with Jefferies LLC (“Jefferies”), with respect to an “at the market” offering program, under which we may, from time to time, in our sole discretion, issue and sell through Jefferies, acting as sales agent, up to $350.0 million of shares of our common stock. The issuance and sale, if any, of shares of our common stock under the Sales Agreement will be made pursuant to a prospectus supplement, dated February 8, 2021, to the 2020 Automatic Shelf Registration Statement. There were no sales of our common stock through the Sales Agreement during the three months ended March 31, 2022.</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311" w:lineRule="auto"/>
        <w:rPr>
          <w:sz w:val="20"/>
          <w:szCs w:val="20"/>
          <w:color w:val="auto"/>
        </w:rPr>
      </w:pPr>
      <w:r>
        <w:rPr>
          <w:rFonts w:ascii="Arial" w:cs="Arial" w:eastAsia="Arial" w:hAnsi="Arial"/>
          <w:sz w:val="16"/>
          <w:szCs w:val="16"/>
          <w:color w:val="auto"/>
        </w:rPr>
        <w:t>In the future, we may periodically offer one or more of these securities in amounts, prices and terms to be announced when and if the securities are offered. If any of the securities covered by the 2020 Shelf Registration Statement are offered for sale, a prospectus supplement will be prepared and filed with the SEC containing specific information about the terms of such offering at that time.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7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(73,802)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(62,391)</w:t>
            </w:r>
          </w:p>
        </w:tc>
      </w:tr>
      <w:tr>
        <w:trPr>
          <w:trHeight w:val="216"/>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77,211</w:t>
            </w:r>
          </w:p>
        </w:tc>
      </w:tr>
      <w:tr>
        <w:trPr>
          <w:trHeight w:val="216"/>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50,364</w:t>
            </w: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65,184</w:t>
            </w: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160" w:firstLine="492"/>
        <w:spacing w:after="0" w:line="269" w:lineRule="auto"/>
        <w:rPr>
          <w:sz w:val="20"/>
          <w:szCs w:val="20"/>
          <w:color w:val="auto"/>
        </w:rPr>
      </w:pPr>
      <w:r>
        <w:rPr>
          <w:rFonts w:ascii="Arial" w:cs="Arial" w:eastAsia="Arial" w:hAnsi="Arial"/>
          <w:sz w:val="17"/>
          <w:szCs w:val="17"/>
          <w:color w:val="auto"/>
        </w:rPr>
        <w:t>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three months ended March 31, 2022 was $73.8 million as compared to $62.4 million for the same period in 2021. The increase of $11.4 million in cash used in operating activities was due to an increase in net loss driven by increased costs in research and development and pre-commercial activities, which was partially offset by an increase in non-cash charges of $6.3 million primarily driven by higher stock-based compensation expenses, as well as depreciation expenses and the amortization of operating right-of-use assets associated with our leased facilities. We also had an increase in cash used by assets and liabilities driven primarily by changes in accruals and accounts payable resulting from the increased size of our workforce, overall growth in the business and operations, and the timing of vendor invoicing and related payments. These increases were offset by a net increase in our operating lease liabilities associated with receipts of tenant improvement allowances for our new corporate headquarters office, offset by payments on lease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240" w:firstLine="492"/>
        <w:spacing w:after="0" w:line="279" w:lineRule="auto"/>
        <w:rPr>
          <w:sz w:val="20"/>
          <w:szCs w:val="20"/>
          <w:color w:val="auto"/>
        </w:rPr>
      </w:pPr>
      <w:r>
        <w:rPr>
          <w:rFonts w:ascii="Arial" w:cs="Arial" w:eastAsia="Arial" w:hAnsi="Arial"/>
          <w:sz w:val="17"/>
          <w:szCs w:val="17"/>
          <w:color w:val="auto"/>
        </w:rPr>
        <w:t>Net cash provided by investing activities for the periods presented primarily relates to the purchase and maturity of investments and capital expenditures. Net cash provided by investing activities for the three months ended March 31, 2022 was $86.5 million compared to net cash provided by investing activities of $77.2 million for the same period in 2021. The increase in cash provided by investing activities of $9.3 million was primarily due to the timing of maturities and purchases of 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jc w:val="both"/>
        <w:ind w:right="80" w:firstLine="492"/>
        <w:spacing w:after="0" w:line="296" w:lineRule="auto"/>
        <w:rPr>
          <w:sz w:val="20"/>
          <w:szCs w:val="20"/>
          <w:color w:val="auto"/>
        </w:rPr>
      </w:pPr>
      <w:r>
        <w:rPr>
          <w:rFonts w:ascii="Arial" w:cs="Arial" w:eastAsia="Arial" w:hAnsi="Arial"/>
          <w:sz w:val="16"/>
          <w:szCs w:val="16"/>
          <w:color w:val="auto"/>
        </w:rPr>
        <w:t>Net cash provided by financing activities for the three months ended March 31, 2022 was $1.4 million compared to $50.4 million for the same period in 2021. The net cash provided by financing activities for the three months ended March 31, 2022 related to the cash proceeds from issuance of common stock upon exercise of stock options during the period. The net cash provided by financing activities for the same period in 2021 primarily related to net proceeds of $42.9 million received from sales of common shares through the “at the market” offering program and $6.5 million received from issuance of common stock upon exercise of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we had no obligations that would require disclosure as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Recent Accounting Standards</w:t>
      </w:r>
    </w:p>
    <w:p>
      <w:pPr>
        <w:spacing w:after="0" w:line="185"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See Note 2 of the condensed consolidated financial statements for a discussion of our significant accounting policies. There were no recently issued accounting standards applicable to us and we did not adopt any accounting standards during the three months ended March 31, 2022.</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Inflation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Inflation has not had a material effect on our business, financial condition, or results of operations over our two most recent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jc w:val="both"/>
        <w:ind w:firstLine="492"/>
        <w:spacing w:after="0" w:line="290"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March 31, 2022, we had $489.2 million invested in marketable securities with a maturity date of less than two years. As such, we believe that we are not exposed to any material market risk. If interest rates had varied by 1% as of March 31, 2022, the fair value of our investment portfolio would increase or decrease by approximately $2.0 million.</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6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jc w:val="both"/>
        <w:ind w:right="240" w:firstLine="492"/>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firstLine="492"/>
        <w:spacing w:after="0" w:line="279" w:lineRule="auto"/>
        <w:rPr>
          <w:sz w:val="20"/>
          <w:szCs w:val="20"/>
          <w:color w:val="auto"/>
        </w:rPr>
      </w:pPr>
      <w:r>
        <w:rPr>
          <w:rFonts w:ascii="Arial" w:cs="Arial" w:eastAsia="Arial" w:hAnsi="Arial"/>
          <w:sz w:val="17"/>
          <w:szCs w:val="17"/>
          <w:color w:val="auto"/>
        </w:rPr>
        <w:t>The information in Note 9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9 to our Condensed Consolidated Financial Statements for the quarter ended March 31, 2022 contained in this Quarterly Report on Form 10-Q.</w:t>
      </w:r>
    </w:p>
    <w:p>
      <w:pPr>
        <w:spacing w:after="0" w:line="3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Quarterly Report on Form 10-Q, including our financial statements and related notes, and our other filings from time to time with the Securities and Exchange Commission, or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9"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24, 2022.</w:t>
      </w:r>
    </w:p>
    <w:p>
      <w:pPr>
        <w:spacing w:after="0" w:line="130"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87" w:lineRule="exact"/>
        <w:rPr>
          <w:sz w:val="20"/>
          <w:szCs w:val="20"/>
          <w:color w:val="auto"/>
        </w:rPr>
      </w:pPr>
    </w:p>
    <w:p>
      <w:pPr>
        <w:ind w:left="680" w:right="240" w:hanging="321"/>
        <w:spacing w:after="0" w:line="290"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ind w:left="680" w:right="240" w:hanging="321"/>
        <w:spacing w:after="0" w:line="26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8"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It may take longer and cost more to complete our clinical trials than we project, or we may not be able to complete them at all;</w:t>
      </w:r>
    </w:p>
    <w:p>
      <w:pPr>
        <w:spacing w:after="0" w:line="59" w:lineRule="exact"/>
        <w:rPr>
          <w:rFonts w:ascii="Arial" w:cs="Arial" w:eastAsia="Arial" w:hAnsi="Arial"/>
          <w:sz w:val="16"/>
          <w:szCs w:val="16"/>
          <w:color w:val="auto"/>
        </w:rPr>
      </w:pPr>
    </w:p>
    <w:p>
      <w:pPr>
        <w:ind w:left="680" w:right="20" w:hanging="321"/>
        <w:spacing w:after="0" w:line="27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clinical trials may fail to demonstrate adequately the safety and efficacy of our product candidates, which would prevent or delay regulatory approval and commercialization;</w:t>
      </w:r>
    </w:p>
    <w:p>
      <w:pPr>
        <w:spacing w:after="0" w:line="1" w:lineRule="exact"/>
        <w:rPr>
          <w:rFonts w:ascii="Arial" w:cs="Arial" w:eastAsia="Arial" w:hAnsi="Arial"/>
          <w:sz w:val="18"/>
          <w:szCs w:val="18"/>
          <w:color w:val="auto"/>
        </w:rPr>
      </w:pPr>
    </w:p>
    <w:p>
      <w:pPr>
        <w:ind w:left="680" w:right="20" w:hanging="321"/>
        <w:spacing w:after="0" w:line="25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2" w:lineRule="exact"/>
        <w:rPr>
          <w:rFonts w:ascii="Arial" w:cs="Arial" w:eastAsia="Arial" w:hAnsi="Arial"/>
          <w:sz w:val="18"/>
          <w:szCs w:val="18"/>
          <w:color w:val="auto"/>
        </w:rPr>
      </w:pPr>
    </w:p>
    <w:p>
      <w:pPr>
        <w:ind w:left="680" w:right="180" w:hanging="321"/>
        <w:spacing w:after="0" w:line="258"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ind w:left="680" w:right="60" w:hanging="321"/>
        <w:spacing w:after="0" w:line="26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8" w:lineRule="exact"/>
        <w:rPr>
          <w:rFonts w:ascii="Arial" w:cs="Arial" w:eastAsia="Arial" w:hAnsi="Arial"/>
          <w:sz w:val="18"/>
          <w:szCs w:val="18"/>
          <w:color w:val="auto"/>
        </w:rPr>
      </w:pPr>
    </w:p>
    <w:p>
      <w:pPr>
        <w:ind w:left="680" w:right="140" w:hanging="321"/>
        <w:spacing w:after="0" w:line="279"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90"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ind w:left="680" w:right="200" w:hanging="321"/>
        <w:spacing w:after="0" w:line="26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are required to pay substantial royalties and lump sum benchmark payments under our license agreements with the NIH, Moffitt, Novartis, and Cellectis, and we must meet certain milestones to maintain our license rights;</w:t>
      </w:r>
    </w:p>
    <w:p>
      <w:pPr>
        <w:ind w:left="680" w:right="34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8" w:lineRule="exact"/>
        <w:rPr>
          <w:rFonts w:ascii="Arial" w:cs="Arial" w:eastAsia="Arial" w:hAnsi="Arial"/>
          <w:sz w:val="18"/>
          <w:szCs w:val="18"/>
          <w:color w:val="auto"/>
        </w:rPr>
      </w:pPr>
    </w:p>
    <w:p>
      <w:pPr>
        <w:ind w:left="680" w:right="100" w:hanging="321"/>
        <w:spacing w:after="0" w:line="27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assurance can be given that the Gen 2 manufacturing process we have selected will be FDA-compliant, more efficient and lower the cost to manufacture TIL products;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We face significant competition from other biotechnology and pharmaceutical companies and from non-profit institutions;</w:t>
      </w:r>
    </w:p>
    <w:p>
      <w:pPr>
        <w:spacing w:after="0" w:line="47" w:lineRule="exact"/>
        <w:rPr>
          <w:rFonts w:ascii="Arial" w:cs="Arial" w:eastAsia="Arial" w:hAnsi="Arial"/>
          <w:sz w:val="17"/>
          <w:szCs w:val="17"/>
          <w:color w:val="auto"/>
        </w:rPr>
      </w:pPr>
    </w:p>
    <w:p>
      <w:pPr>
        <w:ind w:left="680" w:right="200" w:hanging="321"/>
        <w:spacing w:after="0" w:line="27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 w:lineRule="exact"/>
        <w:rPr>
          <w:rFonts w:ascii="Arial" w:cs="Arial" w:eastAsia="Arial" w:hAnsi="Arial"/>
          <w:sz w:val="18"/>
          <w:szCs w:val="18"/>
          <w:color w:val="auto"/>
        </w:rPr>
      </w:pPr>
    </w:p>
    <w:p>
      <w:pPr>
        <w:ind w:left="680" w:right="2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8" w:lineRule="exact"/>
        <w:rPr>
          <w:rFonts w:ascii="Arial" w:cs="Arial" w:eastAsia="Arial" w:hAnsi="Arial"/>
          <w:sz w:val="18"/>
          <w:szCs w:val="18"/>
          <w:color w:val="auto"/>
        </w:rPr>
      </w:pPr>
    </w:p>
    <w:p>
      <w:pPr>
        <w:ind w:left="680" w:right="40" w:hanging="321"/>
        <w:spacing w:after="0" w:line="258"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ind w:left="680" w:right="240" w:hanging="321"/>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8" w:lineRule="exact"/>
        <w:rPr>
          <w:rFonts w:ascii="Arial" w:cs="Arial" w:eastAsia="Arial" w:hAnsi="Arial"/>
          <w:sz w:val="18"/>
          <w:szCs w:val="18"/>
          <w:color w:val="auto"/>
        </w:rPr>
      </w:pPr>
    </w:p>
    <w:p>
      <w:pPr>
        <w:ind w:left="680" w:right="120" w:hanging="321"/>
        <w:spacing w:after="0" w:line="308"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ind w:left="680" w:right="440" w:hanging="321"/>
        <w:spacing w:after="0" w:line="26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If our product candidates do not achieve broad market acceptance, the revenues that we generate from their sales will be limited;</w:t>
      </w:r>
    </w:p>
    <w:p>
      <w:pPr>
        <w:ind w:left="680" w:right="80" w:hanging="321"/>
        <w:spacing w:after="0" w:line="290"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2" w:lineRule="exact"/>
        <w:rPr>
          <w:rFonts w:ascii="Arial" w:cs="Arial" w:eastAsia="Arial" w:hAnsi="Arial"/>
          <w:sz w:val="16"/>
          <w:szCs w:val="16"/>
          <w:color w:val="auto"/>
        </w:rPr>
      </w:pPr>
    </w:p>
    <w:p>
      <w:pPr>
        <w:ind w:left="680" w:hanging="321"/>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We will need to grow the size and capabilities of our organization, and we may experience difficulties in managing this growth;</w:t>
      </w:r>
    </w:p>
    <w:p>
      <w:pPr>
        <w:spacing w:after="0" w:line="72" w:lineRule="exact"/>
        <w:rPr>
          <w:rFonts w:ascii="Arial" w:cs="Arial" w:eastAsia="Arial" w:hAnsi="Arial"/>
          <w:sz w:val="16"/>
          <w:szCs w:val="16"/>
          <w:color w:val="auto"/>
        </w:rPr>
      </w:pPr>
    </w:p>
    <w:p>
      <w:pPr>
        <w:ind w:left="680" w:right="80" w:hanging="321"/>
        <w:spacing w:after="0" w:line="25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3" w:lineRule="exact"/>
        <w:rPr>
          <w:rFonts w:ascii="Arial" w:cs="Arial" w:eastAsia="Arial" w:hAnsi="Arial"/>
          <w:sz w:val="18"/>
          <w:szCs w:val="18"/>
          <w:color w:val="auto"/>
        </w:rPr>
      </w:pPr>
    </w:p>
    <w:p>
      <w:pPr>
        <w:ind w:left="680" w:right="60" w:hanging="321"/>
        <w:spacing w:after="0" w:line="27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FDA regulatory approval process is lengthy and time-consuming, and we may experience significant delays in the clinical development and regulatory approval of our product candidates;</w:t>
      </w:r>
    </w:p>
    <w:p>
      <w:pPr>
        <w:spacing w:after="0" w:line="1" w:lineRule="exact"/>
        <w:rPr>
          <w:rFonts w:ascii="Arial" w:cs="Arial" w:eastAsia="Arial" w:hAnsi="Arial"/>
          <w:sz w:val="18"/>
          <w:szCs w:val="18"/>
          <w:color w:val="auto"/>
        </w:rPr>
      </w:pPr>
    </w:p>
    <w:p>
      <w:pPr>
        <w:ind w:left="680" w:right="260" w:hanging="321"/>
        <w:spacing w:after="0" w:line="27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 w:lineRule="exact"/>
        <w:rPr>
          <w:rFonts w:ascii="Arial" w:cs="Arial" w:eastAsia="Arial" w:hAnsi="Arial"/>
          <w:sz w:val="18"/>
          <w:szCs w:val="18"/>
          <w:color w:val="auto"/>
        </w:rPr>
      </w:pPr>
    </w:p>
    <w:p>
      <w:pPr>
        <w:ind w:left="680" w:right="340" w:hanging="321"/>
        <w:spacing w:after="0" w:line="26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Coverage and reimbursement may be limited or unavailable in certain market segments for our product candidates, which could make it difficult for us to sell our product candidates profitably; and</w:t>
      </w: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Governments outside the U.S. tend to impose strict price controls, which may adversely affect our revenues, if 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171"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March 31, 2022, we had an accumulated deficit of $1.3 billion. In addition, during the three months ended March 31, 2022, we incurred a net loss of $91.6 million. Since our inception we have not generated any revenues from operations. We are preparing for the commercial launch of our products, if approved, in 2022.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pacing w:after="0" w:line="138"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30"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16" w:lineRule="exact"/>
        <w:rPr>
          <w:sz w:val="20"/>
          <w:szCs w:val="20"/>
          <w:color w:val="auto"/>
        </w:rPr>
      </w:pPr>
    </w:p>
    <w:p>
      <w:pPr>
        <w:ind w:right="20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22"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24"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70"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including lifileucel, LN-145,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23"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w:t>
      </w:r>
    </w:p>
    <w:p>
      <w:pPr>
        <w:spacing w:after="0" w:line="103"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the FDA to base its determination with respect to product approval on such comparisons, the FDA may factor these comparisons into its decision whether to approve our TIL therapies, including lifileucel for metastatic melanoma and metastatic cervical cancer.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study design. Such changes could delay approval or necessitate withdrawal of our BLA filings.</w:t>
      </w:r>
    </w:p>
    <w:p>
      <w:pPr>
        <w:spacing w:after="0" w:line="127"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30"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30" w:lineRule="exact"/>
        <w:rPr>
          <w:sz w:val="20"/>
          <w:szCs w:val="20"/>
          <w:color w:val="auto"/>
        </w:rPr>
      </w:pPr>
    </w:p>
    <w:p>
      <w:pPr>
        <w:ind w:left="820" w:right="540" w:hanging="320"/>
        <w:spacing w:after="0" w:line="258"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66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following launch, assure that our product will be used as directed and that additional unexpected safety risks will not arise.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98"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Furthermore, clinical trials may be delayed or otherwise may be more difficult to execute in the future.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52"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65"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26" w:lineRule="exact"/>
        <w:rPr>
          <w:sz w:val="20"/>
          <w:szCs w:val="20"/>
          <w:color w:val="auto"/>
        </w:rPr>
      </w:pPr>
    </w:p>
    <w:p>
      <w:pPr>
        <w:ind w:right="40" w:firstLine="492"/>
        <w:spacing w:after="0" w:line="286" w:lineRule="auto"/>
        <w:rPr>
          <w:sz w:val="20"/>
          <w:szCs w:val="20"/>
          <w:color w:val="auto"/>
        </w:rPr>
      </w:pPr>
      <w:r>
        <w:rPr>
          <w:rFonts w:ascii="Arial" w:cs="Arial" w:eastAsia="Arial" w:hAnsi="Arial"/>
          <w:sz w:val="16"/>
          <w:szCs w:val="16"/>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oversight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Good Clinical Practices, or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30"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3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46"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3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46" w:lineRule="exact"/>
        <w:rPr>
          <w:sz w:val="20"/>
          <w:szCs w:val="20"/>
          <w:color w:val="auto"/>
        </w:rPr>
      </w:pPr>
    </w:p>
    <w:p>
      <w:pPr>
        <w:jc w:val="both"/>
        <w:ind w:right="22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43"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1" w:lineRule="exact"/>
        <w:rPr>
          <w:sz w:val="20"/>
          <w:szCs w:val="20"/>
          <w:color w:val="auto"/>
        </w:rPr>
      </w:pPr>
    </w:p>
    <w:p>
      <w:pPr>
        <w:ind w:right="60" w:firstLine="8"/>
        <w:spacing w:after="0" w:line="268" w:lineRule="auto"/>
        <w:tabs>
          <w:tab w:leader="none" w:pos="27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May 2020, we disclosed interim results for Cohort 4 of the C-144-01 clinical trial. The interim results speak only to data available as of March 16, 2020, and although such data have been reviewed by the investigators, they have not been reviewed by an IRC. In addition, differences in patient population may affect the clinical results of Cohort 4 as compared to Cohort 2. We plan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54" w:lineRule="exact"/>
        <w:rPr>
          <w:rFonts w:ascii="Arial" w:cs="Arial" w:eastAsia="Arial" w:hAnsi="Arial"/>
          <w:sz w:val="17"/>
          <w:szCs w:val="17"/>
          <w:color w:val="auto"/>
        </w:rPr>
      </w:pPr>
    </w:p>
    <w:p>
      <w:pPr>
        <w:ind w:left="820" w:right="260" w:hanging="320"/>
        <w:spacing w:after="0" w:line="255" w:lineRule="auto"/>
        <w:tabs>
          <w:tab w:leader="none" w:pos="814" w:val="left"/>
        </w:tabs>
        <w:numPr>
          <w:ilvl w:val="1"/>
          <w:numId w:val="7"/>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40" w:hanging="320"/>
        <w:spacing w:after="0" w:line="260" w:lineRule="auto"/>
        <w:tabs>
          <w:tab w:leader="none" w:pos="81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820" w:right="60" w:hanging="320"/>
        <w:spacing w:after="0" w:line="255"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2" w:lineRule="exact"/>
        <w:rPr>
          <w:rFonts w:ascii="Arial" w:cs="Arial" w:eastAsia="Arial" w:hAnsi="Arial"/>
          <w:sz w:val="18"/>
          <w:szCs w:val="18"/>
          <w:color w:val="auto"/>
        </w:rPr>
      </w:pPr>
    </w:p>
    <w:p>
      <w:pPr>
        <w:ind w:left="820" w:right="300" w:hanging="320"/>
        <w:spacing w:after="0" w:line="281"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60" w:hanging="320"/>
        <w:spacing w:after="0" w:line="281"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ind w:left="820" w:right="12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1" w:lineRule="exact"/>
        <w:rPr>
          <w:rFonts w:ascii="Arial" w:cs="Arial" w:eastAsia="Arial" w:hAnsi="Arial"/>
          <w:sz w:val="18"/>
          <w:szCs w:val="18"/>
          <w:color w:val="auto"/>
        </w:rPr>
      </w:pPr>
    </w:p>
    <w:p>
      <w:pPr>
        <w:ind w:left="82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hanging="320"/>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pacing w:after="0" w:line="32" w:lineRule="exact"/>
        <w:rPr>
          <w:rFonts w:ascii="Arial" w:cs="Arial" w:eastAsia="Arial" w:hAnsi="Arial"/>
          <w:sz w:val="16"/>
          <w:szCs w:val="16"/>
          <w:color w:val="auto"/>
        </w:rPr>
      </w:pPr>
    </w:p>
    <w:p>
      <w:pPr>
        <w:ind w:left="820" w:right="14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standard of care on which a clinical development plan was based, which may require new or additional trials;</w:t>
      </w:r>
    </w:p>
    <w:p>
      <w:pPr>
        <w:spacing w:after="0" w:line="32" w:lineRule="exact"/>
        <w:rPr>
          <w:rFonts w:ascii="Arial" w:cs="Arial" w:eastAsia="Arial" w:hAnsi="Arial"/>
          <w:sz w:val="16"/>
          <w:szCs w:val="16"/>
          <w:color w:val="auto"/>
        </w:rPr>
      </w:pPr>
    </w:p>
    <w:p>
      <w:pPr>
        <w:ind w:left="820" w:right="10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8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 w:lineRule="exact"/>
        <w:rPr>
          <w:rFonts w:ascii="Arial" w:cs="Arial" w:eastAsia="Arial" w:hAnsi="Arial"/>
          <w:sz w:val="18"/>
          <w:szCs w:val="18"/>
          <w:color w:val="auto"/>
        </w:rPr>
      </w:pPr>
    </w:p>
    <w:p>
      <w:pPr>
        <w:ind w:left="820" w:right="80" w:hanging="320"/>
        <w:spacing w:after="0" w:line="281"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Arial" w:cs="Arial" w:eastAsia="Arial" w:hAnsi="Arial"/>
          <w:sz w:val="16"/>
          <w:szCs w:val="16"/>
          <w:color w:val="auto"/>
        </w:rPr>
      </w:pPr>
    </w:p>
    <w:p>
      <w:pPr>
        <w:ind w:left="820" w:right="4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delays in patient enrollment due to the ongoing COVID-19 pandemic;</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6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line="258"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spacing w:after="0" w:line="1"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820" w:right="420" w:hanging="320"/>
        <w:spacing w:after="0" w:line="255"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07" w:lineRule="exact"/>
        <w:rPr>
          <w:sz w:val="20"/>
          <w:szCs w:val="20"/>
          <w:color w:val="auto"/>
        </w:rPr>
      </w:pPr>
    </w:p>
    <w:p>
      <w:pPr>
        <w:ind w:right="100" w:firstLine="492"/>
        <w:spacing w:after="0" w:line="289"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or preclinical studies. For example, while we currently intend to file our first BLA using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and preclinical studies, or results in a refusal to file or non-approval of a BLA.</w:t>
      </w:r>
    </w:p>
    <w:p>
      <w:pPr>
        <w:spacing w:after="0" w:line="112"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30"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06"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difficulties in identifying and enrolling patients who meet trial eligibility criteria, and the ongoing COVID-19 pandemic, may cause significant delays. We may not commence or complete clinical trials involving any of our products as projected or may not conduct them successfully.</w:t>
      </w:r>
    </w:p>
    <w:p>
      <w:pPr>
        <w:spacing w:after="0" w:line="134"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We are currently enrolling six company-sponsored clinical trials to assess the overall safety and efficacy of Iovance TIL monotherapy and TIL combinations in patients with melanoma, cervical, head and neck and lung cancers across late-line and early treatment settings, as well as our peripheral blood lymphocyte, or PBL, technology for hematological malignancies.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67" w:lineRule="auto"/>
        <w:rPr>
          <w:sz w:val="20"/>
          <w:szCs w:val="20"/>
          <w:color w:val="auto"/>
        </w:rPr>
      </w:pPr>
      <w:r>
        <w:rPr>
          <w:rFonts w:ascii="Arial" w:cs="Arial" w:eastAsia="Arial" w:hAnsi="Arial"/>
          <w:sz w:val="17"/>
          <w:szCs w:val="17"/>
          <w:color w:val="auto"/>
        </w:rPr>
        <w:t>For example, our studies of our TIL therapy lifileucel in patients with metastatic cervical cancer and metastatic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lifileucel in patients with metastatic cervical cancer and metastatic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36"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Furthermore, the timely completion of clinical trials in accordance with their protocols depends, among other things, on our ability to enroll a sufficient number of patients who remain in the study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56"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60"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46"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30"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ectPr>
          <w:pgSz w:w="11900" w:h="16838" w:orient="portrait"/>
          <w:cols w:equalWidth="0" w:num="1">
            <w:col w:w="9920"/>
          </w:cols>
          <w:pgMar w:left="980" w:top="665"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30"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358"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37"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37" w:lineRule="exact"/>
        <w:rPr>
          <w:sz w:val="20"/>
          <w:szCs w:val="20"/>
          <w:color w:val="auto"/>
        </w:rPr>
      </w:pPr>
    </w:p>
    <w:p>
      <w:pPr>
        <w:jc w:val="both"/>
        <w:ind w:right="20" w:firstLine="492"/>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61"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ectPr>
          <w:pgSz w:w="11900" w:h="16838" w:orient="portrait"/>
          <w:cols w:equalWidth="0" w:num="1">
            <w:col w:w="9900"/>
          </w:cols>
          <w:pgMar w:left="980" w:top="665" w:right="1019"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38" w:lineRule="exact"/>
        <w:rPr>
          <w:sz w:val="20"/>
          <w:szCs w:val="20"/>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103" w:lineRule="exact"/>
        <w:rPr>
          <w:rFonts w:ascii="Arial" w:cs="Arial" w:eastAsia="Arial" w:hAnsi="Arial"/>
          <w:sz w:val="18"/>
          <w:szCs w:val="18"/>
          <w:color w:val="auto"/>
        </w:rPr>
      </w:pPr>
    </w:p>
    <w:p>
      <w:pPr>
        <w:jc w:val="both"/>
        <w:ind w:left="820" w:right="180" w:hanging="320"/>
        <w:spacing w:after="0" w:line="263"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48" w:lineRule="exact"/>
        <w:rPr>
          <w:rFonts w:ascii="Arial" w:cs="Arial" w:eastAsia="Arial" w:hAnsi="Arial"/>
          <w:sz w:val="18"/>
          <w:szCs w:val="18"/>
          <w:color w:val="auto"/>
        </w:rPr>
      </w:pPr>
    </w:p>
    <w:p>
      <w:pPr>
        <w:ind w:left="820" w:right="120" w:hanging="320"/>
        <w:spacing w:after="0" w:line="277"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spacing w:after="0" w:line="35" w:lineRule="exact"/>
        <w:rPr>
          <w:rFonts w:ascii="Arial" w:cs="Arial" w:eastAsia="Arial" w:hAnsi="Arial"/>
          <w:sz w:val="18"/>
          <w:szCs w:val="18"/>
          <w:color w:val="auto"/>
        </w:rPr>
      </w:pPr>
    </w:p>
    <w:p>
      <w:pPr>
        <w:ind w:left="840" w:right="80" w:hanging="319"/>
        <w:spacing w:after="0" w:line="263"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62"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03" w:lineRule="exact"/>
        <w:rPr>
          <w:rFonts w:ascii="Arial" w:cs="Arial" w:eastAsia="Arial" w:hAnsi="Arial"/>
          <w:sz w:val="18"/>
          <w:szCs w:val="18"/>
          <w:color w:val="auto"/>
        </w:rPr>
      </w:pPr>
    </w:p>
    <w:p>
      <w:pPr>
        <w:ind w:left="820" w:hanging="320"/>
        <w:spacing w:after="0" w:line="259"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52"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41"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Mitigations Strategy or REMS, to monitor the safety or efficacy of the products, and in turn prevent us from commercializing and generating revenues from the sale of our current or future product candidates.</w:t>
      </w:r>
    </w:p>
    <w:p>
      <w:pPr>
        <w:spacing w:after="0" w:line="139"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3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37"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13"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40"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the FDA not agreeing with all of the details of our validation data or other aspects of our potency assay or assays for Cohort 4 of our C-144-01 clinical trial. For example, on October 5, 2020, we announced that we and the FDA have not been able to agree on the required potency assays to fully define our TIL therapy, which is required as part of a BLA submission, and that as a result of these developments, our BLA submission was not expected by the end of 2020 and was anticipated instead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have continued ongoing work developing and validating our potency assays and have engaged in discussions with the FDA during the second half of 2021 and first quarter of 2022. We expect to request a pre-BLA meeting in July 2022 and to complete a BLA submission for lifileucel by August 2022.. 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spacing w:after="0" w:line="365"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45"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30" w:lineRule="exact"/>
        <w:rPr>
          <w:sz w:val="20"/>
          <w:szCs w:val="20"/>
          <w:color w:val="auto"/>
        </w:rPr>
      </w:pPr>
    </w:p>
    <w:p>
      <w:pPr>
        <w:ind w:left="820" w:hanging="320"/>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pacing w:after="0" w:line="34" w:lineRule="exact"/>
        <w:rPr>
          <w:rFonts w:ascii="Arial" w:cs="Arial" w:eastAsia="Arial" w:hAnsi="Arial"/>
          <w:sz w:val="17"/>
          <w:szCs w:val="17"/>
          <w:color w:val="auto"/>
        </w:rPr>
      </w:pPr>
    </w:p>
    <w:p>
      <w:pPr>
        <w:ind w:left="820" w:right="700" w:hanging="320"/>
        <w:spacing w:after="0" w:line="26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spacing w:after="0" w:line="63"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101" w:lineRule="exact"/>
        <w:rPr>
          <w:rFonts w:ascii="Arial" w:cs="Arial" w:eastAsia="Arial" w:hAnsi="Arial"/>
          <w:sz w:val="17"/>
          <w:szCs w:val="17"/>
          <w:color w:val="auto"/>
        </w:rPr>
      </w:pPr>
    </w:p>
    <w:p>
      <w:pPr>
        <w:ind w:left="820" w:right="460" w:hanging="320"/>
        <w:spacing w:after="0" w:line="334" w:lineRule="auto"/>
        <w:tabs>
          <w:tab w:leader="none" w:pos="81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ind w:left="820" w:right="220" w:hanging="320"/>
        <w:spacing w:after="0" w:line="277"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May 2019 we entered into a lease agreement to build a commercial-scale manufacturing facility in Philadelphia, Pennsylvania for commercial and clinical production of autologous TIL products, including our product candidate lifileucel. We expect that development of our own manufacturing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4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61"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2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spacing w:after="0" w:line="14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5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ectPr>
          <w:pgSz w:w="11900" w:h="16838" w:orient="portrait"/>
          <w:cols w:equalWidth="0" w:num="1">
            <w:col w:w="9840"/>
          </w:cols>
          <w:pgMar w:left="980" w:top="665" w:right="1079" w:bottom="1440" w:gutter="0" w:footer="0" w:header="0"/>
        </w:sect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25" w:lineRule="exact"/>
        <w:rPr>
          <w:sz w:val="20"/>
          <w:szCs w:val="20"/>
          <w:color w:val="auto"/>
        </w:rPr>
      </w:pPr>
    </w:p>
    <w:p>
      <w:pPr>
        <w:ind w:right="100" w:firstLine="492"/>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04"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38"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3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85"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With the exception of lifileucel for metastatic melanoma and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46" w:lineRule="exact"/>
        <w:rPr>
          <w:sz w:val="20"/>
          <w:szCs w:val="20"/>
          <w:color w:val="auto"/>
        </w:rPr>
      </w:pPr>
    </w:p>
    <w:p>
      <w:pPr>
        <w:ind w:left="820" w:hanging="320"/>
        <w:spacing w:after="0" w:line="258"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2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6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68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19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5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25"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and The Ohio State University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144"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17"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Our operations have consumed substantial amounts of cash since inception. From our inception to March 31, 2022, we have an accumulated deficit of $1.3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February 2021 we entered into an open market sale agreement, or the Sales Agreement, with Jefferies LLC, which provides for the sale of up to $350.0 million of our common stock from time to time. As of March 31, 2022, we had $516.0 million in cash, cash equivalents and investments ($92.4 million of cash and cash equivalents, $389.8 million in short-term investments, $27.7 million of long-term investments, and restricted cash of $6.1 million).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Accordingly, we believe that our existing cash, cash equivalents and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25"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97" w:lineRule="exact"/>
        <w:rPr>
          <w:sz w:val="20"/>
          <w:szCs w:val="20"/>
          <w:color w:val="auto"/>
        </w:rPr>
      </w:pPr>
    </w:p>
    <w:p>
      <w:pPr>
        <w:ind w:left="820" w:right="120" w:hanging="320"/>
        <w:spacing w:after="0" w:line="258"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20" w:hanging="320"/>
        <w:spacing w:after="0" w:line="281" w:lineRule="auto"/>
        <w:tabs>
          <w:tab w:leader="none" w:pos="81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2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U.S.;</w:t>
      </w:r>
    </w:p>
    <w:p>
      <w:pPr>
        <w:spacing w:after="0" w:line="9" w:lineRule="exact"/>
        <w:rPr>
          <w:rFonts w:ascii="Arial" w:cs="Arial" w:eastAsia="Arial" w:hAnsi="Arial"/>
          <w:sz w:val="18"/>
          <w:szCs w:val="18"/>
          <w:color w:val="auto"/>
        </w:rPr>
      </w:pPr>
    </w:p>
    <w:p>
      <w:pPr>
        <w:ind w:left="820" w:right="70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280" w:hanging="320"/>
        <w:spacing w:after="0" w:line="26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4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3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spacing w:after="0" w:line="10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June 2020, October 2018, and January 2018 public offerings, and the proceeds from sales pursuant to the Sales Agreement with Jefferies LLC, which provides for the sale of up to $350.0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2021, we had U.S. federal net operating loss carryforwards of approximately $945.3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3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Prior to December 31, 2020, we have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68"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30"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In recent years, various tax legislations were signed into law. On December 22, 2017, the Tax Cuts and Jobs Act of 2017, or the Tax Act, was signed into law, making significant changes to the Internal Revenue Code.</w:t>
      </w:r>
    </w:p>
    <w:p>
      <w:pPr>
        <w:spacing w:after="0" w:line="13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Changes to existing federal and state tax laws could adversely impact our business, results of operations and financial position as the impact of recent tax legislation is uncertain.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 xml:space="preserve">In addition, U.S. federal, state and local tax laws are extremely complex and subject to various interpretations. Although we believe that our tax estimates and positions are reasonable, including our decision to build our </w:t>
      </w:r>
      <w:r>
        <w:rPr>
          <w:rFonts w:ascii="Arial" w:cs="Arial" w:eastAsia="Arial" w:hAnsi="Arial"/>
          <w:sz w:val="16"/>
          <w:szCs w:val="16"/>
          <w:i w:val="1"/>
          <w:iCs w:val="1"/>
          <w:color w:val="auto"/>
        </w:rPr>
        <w:t>i</w:t>
      </w:r>
      <w:r>
        <w:rPr>
          <w:rFonts w:ascii="Arial" w:cs="Arial" w:eastAsia="Arial" w:hAnsi="Arial"/>
          <w:sz w:val="16"/>
          <w:szCs w:val="16"/>
          <w:color w:val="auto"/>
        </w:rPr>
        <w:t>CTC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3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97"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36"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2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85"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30" w:lineRule="exact"/>
        <w:rPr>
          <w:sz w:val="20"/>
          <w:szCs w:val="20"/>
          <w:color w:val="auto"/>
        </w:rPr>
      </w:pPr>
    </w:p>
    <w:p>
      <w:pPr>
        <w:ind w:right="40" w:firstLine="492"/>
        <w:spacing w:after="0" w:line="253"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65"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our license agreements with the NIH, Moffitt,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54"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5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2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3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2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16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3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36"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4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0" w:lineRule="exact"/>
        <w:rPr>
          <w:sz w:val="20"/>
          <w:szCs w:val="20"/>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8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0"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08" w:lineRule="exact"/>
        <w:rPr>
          <w:sz w:val="20"/>
          <w:szCs w:val="20"/>
          <w:color w:val="auto"/>
        </w:rPr>
      </w:pPr>
    </w:p>
    <w:p>
      <w:pPr>
        <w:ind w:right="8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21" w:lineRule="exact"/>
        <w:rPr>
          <w:sz w:val="20"/>
          <w:szCs w:val="20"/>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84" w:lineRule="exact"/>
        <w:rPr>
          <w:sz w:val="20"/>
          <w:szCs w:val="20"/>
          <w:color w:val="auto"/>
        </w:rPr>
      </w:pPr>
    </w:p>
    <w:p>
      <w:pPr>
        <w:ind w:right="20" w:firstLine="486"/>
        <w:spacing w:after="0" w:line="284"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Agenus, BeyondSpring, Bristol-Myers Squibb, Merck, Nektar Therapeutics, Idera Pharmaceuticals, Checkmate Pharmaceuticals, Daiichi Sankyo, Eisai, Exelixis, Mirati Therapeutics, OncoSec Medical, Replimune, Regeneron Pharmaceuticals, Seagen, and Genmab. We also may compete with other TIL therapies in development by companies such as Instil Bio, Achilles Therapeutics, KSQ Therapeutics, Obsidian Therapeutics, Immatics, TILT Biotherapeutics, WindMIL Therapeutics, GRIT Biotechnology, Lyell Immunopharma, Cellular Biomedicine Group, and others. We also may compete with therapies based on genetically engineered T cell receptors rendered reactive against tumor-associated antigens prior to their administration to patients, as well as TIL therapies that are designed to be specific to neoantigens, including products developed by Adaptimmune Therapeutics, Alaunos Therapeutics,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and Roche. We may also face competition from novel interleukin-2 (IL-2) treatments in development by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4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38"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49" w:lineRule="exact"/>
        <w:rPr>
          <w:sz w:val="20"/>
          <w:szCs w:val="20"/>
          <w:color w:val="auto"/>
        </w:rPr>
      </w:pPr>
    </w:p>
    <w:p>
      <w:pPr>
        <w:ind w:right="50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83" w:lineRule="exact"/>
        <w:rPr>
          <w:sz w:val="20"/>
          <w:szCs w:val="20"/>
          <w:color w:val="auto"/>
        </w:rPr>
      </w:pPr>
    </w:p>
    <w:p>
      <w:pPr>
        <w:jc w:val="both"/>
        <w:ind w:right="8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and Novartis.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41"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46" w:lineRule="exact"/>
        <w:rPr>
          <w:sz w:val="20"/>
          <w:szCs w:val="20"/>
          <w:color w:val="auto"/>
        </w:rPr>
      </w:pPr>
    </w:p>
    <w:p>
      <w:pPr>
        <w:ind w:right="28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60" w:hanging="320"/>
        <w:spacing w:after="0" w:line="253"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20" w:hanging="320"/>
        <w:spacing w:after="0" w:line="255"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hanging="320"/>
        <w:spacing w:after="0" w:line="265" w:lineRule="auto"/>
        <w:tabs>
          <w:tab w:leader="none" w:pos="814"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4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49"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52"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30"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We are currently developing lifileucel as part of a regimen which uses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45" w:lineRule="exact"/>
        <w:rPr>
          <w:sz w:val="20"/>
          <w:szCs w:val="20"/>
          <w:color w:val="auto"/>
        </w:rPr>
      </w:pPr>
    </w:p>
    <w:p>
      <w:pPr>
        <w:ind w:right="420" w:firstLine="492"/>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43"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We were granted Fast Track designation by the FDA for lifileucel in metastatic melanoma and metastatic cervical cancer.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38" w:lineRule="exact"/>
        <w:rPr>
          <w:sz w:val="20"/>
          <w:szCs w:val="20"/>
          <w:color w:val="auto"/>
        </w:rPr>
      </w:pPr>
    </w:p>
    <w:p>
      <w:pPr>
        <w:jc w:val="both"/>
        <w:ind w:right="60" w:firstLine="492"/>
        <w:spacing w:after="0" w:line="311" w:lineRule="auto"/>
        <w:rPr>
          <w:sz w:val="20"/>
          <w:szCs w:val="20"/>
          <w:color w:val="auto"/>
        </w:rPr>
      </w:pPr>
      <w:r>
        <w:rPr>
          <w:rFonts w:ascii="Arial" w:cs="Arial" w:eastAsia="Arial" w:hAnsi="Arial"/>
          <w:sz w:val="16"/>
          <w:szCs w:val="16"/>
          <w:b w:val="1"/>
          <w:bCs w:val="1"/>
          <w:i w:val="1"/>
          <w:iCs w:val="1"/>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22"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45" w:lineRule="exact"/>
        <w:rPr>
          <w:sz w:val="20"/>
          <w:szCs w:val="20"/>
          <w:color w:val="auto"/>
        </w:rPr>
      </w:pPr>
    </w:p>
    <w:p>
      <w:pPr>
        <w:jc w:val="both"/>
        <w:ind w:right="220" w:firstLine="492"/>
        <w:spacing w:after="0" w:line="286" w:lineRule="auto"/>
        <w:rPr>
          <w:sz w:val="20"/>
          <w:szCs w:val="20"/>
          <w:color w:val="auto"/>
        </w:rPr>
      </w:pPr>
      <w:r>
        <w:rPr>
          <w:rFonts w:ascii="Arial" w:cs="Arial" w:eastAsia="Arial" w:hAnsi="Arial"/>
          <w:sz w:val="17"/>
          <w:szCs w:val="17"/>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spacing w:after="0" w:line="125"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43"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55"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83"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38"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38" w:lineRule="exact"/>
        <w:rPr>
          <w:sz w:val="20"/>
          <w:szCs w:val="20"/>
          <w:color w:val="auto"/>
        </w:rPr>
      </w:pPr>
    </w:p>
    <w:p>
      <w:pPr>
        <w:ind w:left="820" w:right="340" w:hanging="320"/>
        <w:spacing w:after="0" w:line="291" w:lineRule="auto"/>
        <w:tabs>
          <w:tab w:leader="none" w:pos="8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2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6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60" w:hanging="320"/>
        <w:spacing w:after="0" w:line="26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30"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50"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6" w:lineRule="exact"/>
        <w:rPr>
          <w:sz w:val="20"/>
          <w:szCs w:val="20"/>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64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8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2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4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3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8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at our manufacturing facility in Philadelphia, Pennsylvania, and at our clinical trial sites, as well as the business or operations of our other manufacturers, CROs or other third parties with whom we conduct business.</w:t>
      </w:r>
    </w:p>
    <w:p>
      <w:pPr>
        <w:spacing w:after="0" w:line="121"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a novel strain of coronavirus (“COVID-19”) was reported to have surfaced in Wuhan, China and has spread to multiple countries, including the U.S. and several European countries. In March 2020, the World Health Organization declared COVID-19 a global pandemic and the U.S. declared the COVID-19 pandemic a national emergency. Similarly, during that time, the State of California declared a state of emergency related to the spread of the COVID-19 pandemic and the health officers of six San Francisco Bay Area counties, including San Mateo County where our headquarters in San Carlos is located, issued shelter-in-place orders.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U.S. As recently as April 2022, ports and airports in Shanghai, China have been closed due to another outbreak of COVID-19, resulting in a lockdown of the city and disruption to export and import activities. In the U.S., many of these executive orders in the U.S. have been rescinded, however the Company remains vigilant and continues to monitor the situation closely to determine if additional actions are required.</w:t>
      </w:r>
    </w:p>
    <w:p>
      <w:pPr>
        <w:spacing w:after="0" w:line="153"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46"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We continue to monitor the impact, if any, of the COVID-19 pandemic on our current and future operations, including our regulatory filing timelines and strategy as well as our preparation for commercial launch. It is unclear the extent to which the COVID-19 pandemic (including future variants) will impact our business, results of operations, financial condition and our future strategic plans as future developments of the outbreak are highly uncertain and cannot be predicted. New information is constantly emerging concerning the severity of COVID-19 and the actions to contain COVID-19 or treat its impact, among others. As the COVID-19 pandemic continues for an extended period of time, and with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European Union, or EU, member states and other foreign jurisdictions, including Switzerland, the United Kingdom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w:t>
      </w:r>
    </w:p>
    <w:p>
      <w:pPr>
        <w:spacing w:after="0" w:line="168"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36"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CPRA, which will take effect on January 1, 2023.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6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19"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firstLine="492"/>
        <w:spacing w:after="0" w:line="259" w:lineRule="auto"/>
        <w:rPr>
          <w:sz w:val="20"/>
          <w:szCs w:val="20"/>
          <w:color w:val="auto"/>
        </w:rPr>
      </w:pPr>
      <w:r>
        <w:rPr>
          <w:rFonts w:ascii="Arial" w:cs="Arial" w:eastAsia="Arial" w:hAnsi="Arial"/>
          <w:sz w:val="18"/>
          <w:szCs w:val="18"/>
          <w:color w:val="auto"/>
        </w:rPr>
        <w:t>For example, we continue to recruit for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46" w:lineRule="exact"/>
        <w:rPr>
          <w:sz w:val="20"/>
          <w:szCs w:val="20"/>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60" w:hanging="320"/>
        <w:spacing w:after="0" w:line="265" w:lineRule="auto"/>
        <w:tabs>
          <w:tab w:leader="none" w:pos="8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84"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2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51"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22" w:lineRule="exact"/>
        <w:rPr>
          <w:sz w:val="20"/>
          <w:szCs w:val="20"/>
          <w:color w:val="auto"/>
        </w:rPr>
      </w:pPr>
    </w:p>
    <w:p>
      <w:pPr>
        <w:ind w:right="92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06"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3" w:lineRule="exact"/>
        <w:rPr>
          <w:sz w:val="20"/>
          <w:szCs w:val="20"/>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8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4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6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40" w:hanging="320"/>
        <w:spacing w:after="0" w:line="26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could be materially adversely affected by any negative impact on the global economy and capital markets resulting from the conflict in Ukraine or any other geopolitical tensions.*</w:t>
      </w:r>
    </w:p>
    <w:p>
      <w:pPr>
        <w:spacing w:after="0" w:line="131"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6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Additionally,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Although our business has not been materially impacted by the ongoing military conflict between Russian and Ukraine to date, it is impossible to predict the extent to which our operations, or those of our suppliers and manufacturers, will be impacted in the short and long term, or the ways in which the conflict may impact our business. The extent and duration of the military action, sanctions and resulting market disruptions are impossible to predict, but could be substantial. Any such disruptions may also magnify the impact of other risks described herein.</w:t>
      </w:r>
    </w:p>
    <w:p>
      <w:pPr>
        <w:spacing w:after="0" w:line="377" w:lineRule="exact"/>
        <w:rPr>
          <w:sz w:val="20"/>
          <w:szCs w:val="20"/>
          <w:color w:val="auto"/>
        </w:rPr>
      </w:pPr>
    </w:p>
    <w:p>
      <w:pPr>
        <w:ind w:right="4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9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1"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44"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43"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lifileucel to at least 75 patients of the appropriate population to address the expected sample size in anticipation of a BLA submission in 2021. Additionally, the patient population is defined per the discussion with FDA as patients who have progressed following initial systemic therapy for recurrent or metastatic disease which include many of the more advanced patients enrolled to date. Our current beliefs regarding the registration pathway for the lifileucel product candidate in metastatic cervical cancer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changes in the competitive environment,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33" w:lineRule="exact"/>
        <w:rPr>
          <w:sz w:val="20"/>
          <w:szCs w:val="20"/>
          <w:color w:val="auto"/>
        </w:rPr>
      </w:pPr>
    </w:p>
    <w:p>
      <w:pPr>
        <w:ind w:right="60" w:firstLine="492"/>
        <w:spacing w:after="0" w:line="286" w:lineRule="auto"/>
        <w:rPr>
          <w:sz w:val="20"/>
          <w:szCs w:val="20"/>
          <w:color w:val="auto"/>
        </w:rPr>
      </w:pPr>
      <w:r>
        <w:rPr>
          <w:rFonts w:ascii="Arial" w:cs="Arial" w:eastAsia="Arial" w:hAnsi="Arial"/>
          <w:sz w:val="16"/>
          <w:szCs w:val="16"/>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announced that we and the FDA have not been able to agree on the required potency assays to fully define our TIL therapy, which is required as part of a BLA submission, and that as a result of these developments, our BLA submission was not expected by the end of 2020 and was anticipated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have continued ongoing work developing and validating our potency assays and have engaged in discussions with the FDA during the second half of 2021 and first quarter of 2022. We expect to request a pre-BLA meeting in July 2022 and to complete a BLA submission for lifileucel by August 2022. Accordingly, the regulatory approval pathway for our product candidates may be uncertain, complex, expensive and lengthy, and approval may not be obtained.</w:t>
      </w:r>
    </w:p>
    <w:p>
      <w:pPr>
        <w:spacing w:after="0" w:line="346"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43" w:lineRule="exact"/>
        <w:rPr>
          <w:sz w:val="20"/>
          <w:szCs w:val="20"/>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34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subject-by-subject basis for use in clinical trials; or</w:t>
      </w:r>
    </w:p>
    <w:p>
      <w:pPr>
        <w:ind w:left="820" w:right="140" w:hanging="320"/>
        <w:spacing w:after="0" w:line="26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38" w:lineRule="exact"/>
        <w:rPr>
          <w:sz w:val="20"/>
          <w:szCs w:val="20"/>
          <w:color w:val="auto"/>
        </w:rPr>
      </w:pPr>
    </w:p>
    <w:p>
      <w:pPr>
        <w:ind w:right="28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9"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In order to market and sell our products outside the U.S.,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w:t>
      </w:r>
    </w:p>
    <w:p>
      <w:pPr>
        <w:spacing w:after="0" w:line="146" w:lineRule="exact"/>
        <w:rPr>
          <w:sz w:val="20"/>
          <w:szCs w:val="20"/>
          <w:color w:val="auto"/>
        </w:rPr>
      </w:pPr>
    </w:p>
    <w:p>
      <w:pPr>
        <w:ind w:right="80" w:firstLine="492"/>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37"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22"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0" w:lineRule="exact"/>
        <w:rPr>
          <w:sz w:val="20"/>
          <w:szCs w:val="20"/>
          <w:color w:val="auto"/>
        </w:rPr>
      </w:pPr>
    </w:p>
    <w:p>
      <w:pPr>
        <w:ind w:right="260" w:firstLine="492"/>
        <w:spacing w:after="0" w:line="275" w:lineRule="auto"/>
        <w:rPr>
          <w:sz w:val="20"/>
          <w:szCs w:val="20"/>
          <w:color w:val="auto"/>
        </w:rPr>
      </w:pPr>
      <w:r>
        <w:rPr>
          <w:rFonts w:ascii="Arial" w:cs="Arial" w:eastAsia="Arial" w:hAnsi="Arial"/>
          <w:sz w:val="17"/>
          <w:szCs w:val="17"/>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w:t>
      </w:r>
    </w:p>
    <w:p>
      <w:pPr>
        <w:sectPr>
          <w:pgSz w:w="11900" w:h="16838" w:orient="portrait"/>
          <w:cols w:equalWidth="0" w:num="1">
            <w:col w:w="9900"/>
          </w:cols>
          <w:pgMar w:left="980" w:top="665"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492"/>
        <w:spacing w:after="0" w:line="279" w:lineRule="auto"/>
        <w:rPr>
          <w:sz w:val="20"/>
          <w:szCs w:val="20"/>
          <w:color w:val="auto"/>
        </w:rPr>
      </w:pPr>
      <w:r>
        <w:rPr>
          <w:rFonts w:ascii="Arial" w:cs="Arial" w:eastAsia="Arial" w:hAnsi="Arial"/>
          <w:sz w:val="17"/>
          <w:szCs w:val="17"/>
          <w:color w:val="auto"/>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31"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38" w:lineRule="exact"/>
        <w:rPr>
          <w:sz w:val="20"/>
          <w:szCs w:val="20"/>
          <w:color w:val="auto"/>
        </w:rPr>
      </w:pPr>
    </w:p>
    <w:p>
      <w:pPr>
        <w:ind w:left="820" w:right="280" w:hanging="320"/>
        <w:spacing w:after="0" w:line="258"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6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2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70"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83" w:lineRule="exact"/>
        <w:rPr>
          <w:sz w:val="20"/>
          <w:szCs w:val="20"/>
          <w:color w:val="auto"/>
        </w:rPr>
      </w:pPr>
    </w:p>
    <w:p>
      <w:pPr>
        <w:ind w:right="340" w:firstLine="492"/>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51" w:lineRule="exact"/>
        <w:rPr>
          <w:sz w:val="20"/>
          <w:szCs w:val="20"/>
          <w:color w:val="auto"/>
        </w:rPr>
      </w:pPr>
    </w:p>
    <w:p>
      <w:pPr>
        <w:jc w:val="both"/>
        <w:ind w:right="52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3"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spacing w:after="0" w:line="125"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ectPr>
          <w:pgSz w:w="11900" w:h="16838" w:orient="portrait"/>
          <w:cols w:equalWidth="0" w:num="1">
            <w:col w:w="9900"/>
          </w:cols>
          <w:pgMar w:left="980" w:top="665"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92"/>
        <w:spacing w:after="0" w:line="27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3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55"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24"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24"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31"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43"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17"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4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54" w:lineRule="exact"/>
        <w:rPr>
          <w:sz w:val="20"/>
          <w:szCs w:val="20"/>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51"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44"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92"/>
        <w:spacing w:after="0" w:line="268"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46"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3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0"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1" w:lineRule="exact"/>
        <w:rPr>
          <w:sz w:val="20"/>
          <w:szCs w:val="20"/>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84"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8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5"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Since enactment of the Patient Protection and Affordable Care Act, as amended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In June 2021, the Supreme Court issued its opinion in California v. Texas, upholding the constitutionality of the ACA.</w:t>
      </w:r>
    </w:p>
    <w:p>
      <w:pPr>
        <w:spacing w:after="0" w:line="148"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3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34"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Biden Administration’s Build Back Better Agenda, for example, Medicare negotiation of prescription drug costs with biopharmaceutical companies is proposed to lower prescription drug costs We continue to monitor the potential impact of these and other proposals to lower prescription drug costs at the federal and state level.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492"/>
        <w:spacing w:after="0" w:line="25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6"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Governments outside the U.S. tend to impose strict price controls, which may adversely affect our revenues, if any.</w:t>
      </w:r>
    </w:p>
    <w:p>
      <w:pPr>
        <w:spacing w:after="0" w:line="196"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26"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3"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3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19"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2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84"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25"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33"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19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5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4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4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85"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5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3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5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4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89" w:lineRule="exact"/>
        <w:rPr>
          <w:sz w:val="20"/>
          <w:szCs w:val="20"/>
          <w:color w:val="auto"/>
        </w:rPr>
      </w:pPr>
    </w:p>
    <w:p>
      <w:pPr>
        <w:ind w:right="84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30"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40" w:hanging="319"/>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43" w:lineRule="exact"/>
        <w:rPr>
          <w:sz w:val="20"/>
          <w:szCs w:val="20"/>
          <w:color w:val="auto"/>
        </w:rPr>
      </w:pPr>
    </w:p>
    <w:p>
      <w:pPr>
        <w:ind w:right="80" w:firstLine="492"/>
        <w:spacing w:after="0" w:line="272" w:lineRule="auto"/>
        <w:rPr>
          <w:sz w:val="20"/>
          <w:szCs w:val="20"/>
          <w:color w:val="auto"/>
        </w:rPr>
      </w:pPr>
      <w:r>
        <w:rPr>
          <w:rFonts w:ascii="Arial" w:cs="Arial" w:eastAsia="Arial" w:hAnsi="Arial"/>
          <w:sz w:val="17"/>
          <w:szCs w:val="17"/>
          <w:color w:val="auto"/>
        </w:rPr>
        <w:t>As of March 31, 2022, we had 157,168,321 shares of common stock outstanding. In addition, we had 20,222,309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on that date.</w:t>
      </w:r>
    </w:p>
    <w:p>
      <w:pPr>
        <w:spacing w:after="0" w:line="150"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88"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52"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25"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5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30" w:lineRule="exact"/>
        <w:rPr>
          <w:sz w:val="20"/>
          <w:szCs w:val="20"/>
          <w:color w:val="auto"/>
        </w:rPr>
      </w:pPr>
    </w:p>
    <w:p>
      <w:pPr>
        <w:ind w:right="100" w:firstLine="492"/>
        <w:spacing w:after="0" w:line="311" w:lineRule="auto"/>
        <w:rPr>
          <w:sz w:val="20"/>
          <w:szCs w:val="20"/>
          <w:color w:val="auto"/>
        </w:rPr>
      </w:pPr>
      <w:r>
        <w:rPr>
          <w:rFonts w:ascii="Arial" w:cs="Arial" w:eastAsia="Arial" w:hAnsi="Arial"/>
          <w:sz w:val="16"/>
          <w:szCs w:val="16"/>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08" w:lineRule="exact"/>
        <w:rPr>
          <w:sz w:val="20"/>
          <w:szCs w:val="20"/>
          <w:color w:val="auto"/>
        </w:rPr>
      </w:pPr>
    </w:p>
    <w:p>
      <w:pPr>
        <w:ind w:right="180" w:firstLine="492"/>
        <w:spacing w:after="0" w:line="296" w:lineRule="auto"/>
        <w:rPr>
          <w:sz w:val="20"/>
          <w:szCs w:val="20"/>
          <w:color w:val="auto"/>
        </w:rPr>
      </w:pPr>
      <w:r>
        <w:rPr>
          <w:rFonts w:ascii="Arial" w:cs="Arial" w:eastAsia="Arial" w:hAnsi="Arial"/>
          <w:sz w:val="16"/>
          <w:szCs w:val="16"/>
          <w:color w:val="auto"/>
        </w:rPr>
        <w:t>For example, on December 11, 2020, a purported stockholder derivative complaint was filed by plaintiff Leo Shumacher against us, as nominal defendant, and our current directors, as defendants, in the Court of Chancery in the State of Delaware. The complaint alleges breach of fiduciary duty and a claim for unjust enrichment in connection with alleged excessive compensation of certain of our non-executive directors and seeks unspecified damages on behalf of our company. While we intend to vigorously defend against the foregoing complaint, it is not possible to estimate the amount or range of possible loss that might result from these matters.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30"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51"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43"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7"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3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52"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04"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52" w:lineRule="exact"/>
        <w:rPr>
          <w:sz w:val="20"/>
          <w:szCs w:val="20"/>
          <w:color w:val="auto"/>
        </w:rPr>
      </w:pPr>
    </w:p>
    <w:p>
      <w:pPr>
        <w:jc w:val="both"/>
        <w:ind w:right="6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30"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30"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25" w:lineRule="exact"/>
        <w:rPr>
          <w:sz w:val="20"/>
          <w:szCs w:val="20"/>
          <w:color w:val="auto"/>
        </w:rPr>
      </w:pPr>
    </w:p>
    <w:p>
      <w:pPr>
        <w:ind w:right="60" w:firstLine="492"/>
        <w:spacing w:after="0" w:line="301"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0" w:type="dxa"/>
            <w:vAlign w:val="bottom"/>
            <w:gridSpan w:val="5"/>
          </w:tcPr>
          <w:p>
            <w:pPr>
              <w:ind w:left="234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0" w:type="dxa"/>
            <w:vAlign w:val="bottom"/>
            <w:gridSpan w:val="5"/>
          </w:tcPr>
          <w:p>
            <w:pPr>
              <w:ind w:left="310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780" w:type="dxa"/>
            <w:vAlign w:val="bottom"/>
            <w:tcBorders>
              <w:top w:val="single" w:sz="8" w:color="auto"/>
              <w:bottom w:val="single" w:sz="8" w:color="0000EE"/>
            </w:tcBorders>
            <w:gridSpan w:val="3"/>
          </w:tcPr>
          <w:p>
            <w:pPr>
              <w:spacing w:after="0" w:line="169"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Rule 13a-14(a)/15d-14(a) Certification of Chief Executive Officer.</w:t>
              </w:r>
            </w:hyperlink>
          </w:p>
        </w:tc>
        <w:tc>
          <w:tcPr>
            <w:tcW w:w="4160" w:type="dxa"/>
            <w:vAlign w:val="bottom"/>
            <w:tcBorders>
              <w:top w:val="single" w:sz="8" w:color="auto"/>
            </w:tcBorders>
            <w:gridSpan w:val="3"/>
          </w:tcPr>
          <w:p>
            <w:pPr>
              <w:spacing w:after="0"/>
              <w:rPr>
                <w:sz w:val="14"/>
                <w:szCs w:val="14"/>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31.2++</w:t>
            </w:r>
          </w:p>
        </w:tc>
        <w:tc>
          <w:tcPr>
            <w:tcW w:w="40" w:type="dxa"/>
            <w:vAlign w:val="bottom"/>
          </w:tcPr>
          <w:p>
            <w:pPr>
              <w:spacing w:after="0"/>
              <w:rPr>
                <w:sz w:val="17"/>
                <w:szCs w:val="17"/>
                <w:color w:val="auto"/>
              </w:rPr>
            </w:pPr>
          </w:p>
        </w:tc>
        <w:tc>
          <w:tcPr>
            <w:tcW w:w="8960" w:type="dxa"/>
            <w:vAlign w:val="bottom"/>
            <w:gridSpan w:val="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Rule 13a-14(a)/15d-14(a) Certification of Chief Financial Officer.</w:t>
              </w:r>
            </w:hyperlink>
          </w:p>
        </w:tc>
      </w:tr>
      <w:tr>
        <w:trPr>
          <w:trHeight w:val="20"/>
        </w:trPr>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32.1++</w:t>
            </w:r>
          </w:p>
        </w:tc>
        <w:tc>
          <w:tcPr>
            <w:tcW w:w="4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Section 1350</w:t>
              </w:r>
            </w:hyperlink>
          </w:p>
        </w:tc>
        <w:tc>
          <w:tcPr>
            <w:tcW w:w="8000" w:type="dxa"/>
            <w:vAlign w:val="bottom"/>
            <w:gridSpan w:val="5"/>
          </w:tcPr>
          <w:p>
            <w:pPr>
              <w:ind w:left="4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Certification of Chief Executive Officer (furnished herewith).</w:t>
              </w:r>
            </w:hyperlink>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32.2++</w:t>
            </w:r>
          </w:p>
        </w:tc>
        <w:tc>
          <w:tcPr>
            <w:tcW w:w="40" w:type="dxa"/>
            <w:vAlign w:val="bottom"/>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Section 1350</w:t>
              </w:r>
            </w:hyperlink>
          </w:p>
        </w:tc>
        <w:tc>
          <w:tcPr>
            <w:tcW w:w="4420" w:type="dxa"/>
            <w:vAlign w:val="bottom"/>
            <w:tcBorders>
              <w:top w:val="single" w:sz="8" w:color="0000EE"/>
              <w:bottom w:val="single" w:sz="8" w:color="0000EE"/>
            </w:tcBorders>
            <w:gridSpan w:val="3"/>
          </w:tcPr>
          <w:p>
            <w:pPr>
              <w:ind w:left="40"/>
              <w:spacing w:after="0" w:line="196" w:lineRule="exact"/>
              <w:rPr>
                <w:rFonts w:ascii="Arial" w:cs="Arial" w:eastAsia="Arial" w:hAnsi="Arial"/>
                <w:sz w:val="18"/>
                <w:szCs w:val="18"/>
                <w:color w:val="0000EE"/>
                <w:w w:val="93"/>
              </w:rPr>
            </w:pPr>
            <w:hyperlink w:anchor="page88">
              <w:r>
                <w:rPr>
                  <w:rFonts w:ascii="Arial" w:cs="Arial" w:eastAsia="Arial" w:hAnsi="Arial"/>
                  <w:sz w:val="18"/>
                  <w:szCs w:val="18"/>
                  <w:color w:val="0000EE"/>
                  <w:w w:val="93"/>
                </w:rPr>
                <w:t>Certification of Chief Financial Officer (furnished herewith).</w:t>
              </w:r>
            </w:hyperlink>
          </w:p>
        </w:tc>
        <w:tc>
          <w:tcPr>
            <w:tcW w:w="40" w:type="dxa"/>
            <w:vAlign w:val="bottom"/>
            <w:tcBorders>
              <w:top w:val="single" w:sz="8" w:color="0000EE"/>
            </w:tcBorders>
          </w:tcPr>
          <w:p>
            <w:pPr>
              <w:spacing w:after="0"/>
              <w:rPr>
                <w:sz w:val="17"/>
                <w:szCs w:val="17"/>
                <w:color w:val="auto"/>
              </w:rPr>
            </w:pPr>
          </w:p>
        </w:tc>
        <w:tc>
          <w:tcPr>
            <w:tcW w:w="3540" w:type="dxa"/>
            <w:vAlign w:val="bottom"/>
          </w:tcPr>
          <w:p>
            <w:pPr>
              <w:spacing w:after="0"/>
              <w:rPr>
                <w:sz w:val="17"/>
                <w:szCs w:val="17"/>
                <w:color w:val="auto"/>
              </w:rPr>
            </w:pPr>
          </w:p>
        </w:tc>
      </w:tr>
      <w:tr>
        <w:trPr>
          <w:trHeight w:val="236"/>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0"/>
                <w:szCs w:val="20"/>
                <w:color w:val="auto"/>
              </w:rPr>
            </w:pPr>
          </w:p>
        </w:tc>
        <w:tc>
          <w:tcPr>
            <w:tcW w:w="8960" w:type="dxa"/>
            <w:vAlign w:val="bottom"/>
            <w:gridSpan w:val="7"/>
          </w:tcPr>
          <w:p>
            <w:pPr>
              <w:spacing w:after="0"/>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 tags</w:t>
            </w:r>
          </w:p>
        </w:tc>
      </w:tr>
    </w:tbl>
    <w:p>
      <w:pPr>
        <w:ind w:left="960"/>
        <w:spacing w:after="0"/>
        <w:rPr>
          <w:sz w:val="20"/>
          <w:szCs w:val="20"/>
          <w:color w:val="auto"/>
        </w:rPr>
      </w:pPr>
      <w:r>
        <w:rPr>
          <w:rFonts w:ascii="Arial" w:cs="Arial" w:eastAsia="Arial" w:hAnsi="Arial"/>
          <w:sz w:val="18"/>
          <w:szCs w:val="18"/>
          <w:color w:val="auto"/>
        </w:rPr>
        <w:t>are embedded within the Inline XBRL document).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 Inline XBRL Taxonomy Schema Linkbase Document.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 Inline XBRL Taxonomy Calculation Linkbase Document.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 Inline XBRL Taxonomy Definition Linkbase Document.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 Inline XBRL Taxonomy Labels Linkbase Document.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 Inline XBRL Taxonomy Presentation Linkbase Document.</w:t>
      </w:r>
    </w:p>
    <w:p>
      <w:pPr>
        <w:spacing w:after="0" w:line="9" w:lineRule="exact"/>
        <w:rPr>
          <w:sz w:val="20"/>
          <w:szCs w:val="20"/>
          <w:color w:val="auto"/>
        </w:rPr>
      </w:pPr>
    </w:p>
    <w:p>
      <w:pPr>
        <w:ind w:left="960" w:right="40" w:hanging="944"/>
        <w:spacing w:after="0" w:line="260"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date file does not appear in the Interactive Date File because its XBRL tags are embedded within the Inline XBRL document).</w:t>
      </w:r>
    </w:p>
    <w:p>
      <w:pPr>
        <w:spacing w:after="0" w:line="198" w:lineRule="exact"/>
        <w:rPr>
          <w:rFonts w:ascii="Arial" w:cs="Arial" w:eastAsia="Arial" w:hAnsi="Arial"/>
          <w:sz w:val="18"/>
          <w:szCs w:val="18"/>
          <w:color w:val="auto"/>
        </w:rPr>
      </w:pPr>
    </w:p>
    <w:p>
      <w:pPr>
        <w:ind w:left="840" w:hanging="832"/>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 (unless otherwise noted as being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20"/>
        </w:trPr>
        <w:tc>
          <w:tcPr>
            <w:tcW w:w="496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4960" w:type="dxa"/>
            <w:vAlign w:val="bottom"/>
          </w:tcPr>
          <w:p>
            <w:pPr>
              <w:spacing w:after="0"/>
              <w:rPr>
                <w:sz w:val="20"/>
                <w:szCs w:val="20"/>
                <w:color w:val="auto"/>
              </w:rPr>
            </w:pPr>
            <w:r>
              <w:rPr>
                <w:rFonts w:ascii="Arial" w:cs="Arial" w:eastAsia="Arial" w:hAnsi="Arial"/>
                <w:sz w:val="18"/>
                <w:szCs w:val="18"/>
                <w:color w:val="auto"/>
              </w:rPr>
              <w:t>May 5, 2022</w:t>
            </w:r>
          </w:p>
        </w:tc>
        <w:tc>
          <w:tcPr>
            <w:tcW w:w="4960" w:type="dxa"/>
            <w:vAlign w:val="bottom"/>
            <w:gridSpan w:val="3"/>
          </w:tcPr>
          <w:p>
            <w:pPr>
              <w:spacing w:after="0"/>
              <w:rPr>
                <w:sz w:val="20"/>
                <w:szCs w:val="20"/>
                <w:color w:val="auto"/>
              </w:rPr>
            </w:pPr>
            <w:r>
              <w:rPr>
                <w:rFonts w:ascii="Arial" w:cs="Arial" w:eastAsia="Arial" w:hAnsi="Arial"/>
                <w:sz w:val="18"/>
                <w:szCs w:val="18"/>
                <w:color w:val="auto"/>
              </w:rPr>
              <w:t>By: /s/ Frederick G. Vogt, Ph.D., J.D.</w:t>
            </w:r>
          </w:p>
        </w:tc>
      </w:tr>
      <w:tr>
        <w:trPr>
          <w:trHeight w:val="195"/>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Frederick G. Vogt, Ph.D., J.D.</w:t>
            </w:r>
          </w:p>
        </w:tc>
      </w:tr>
      <w:tr>
        <w:trPr>
          <w:trHeight w:val="216"/>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9"/>
              </w:rPr>
              <w:t>Interim Chief Executive Officer and President, and General</w:t>
            </w:r>
          </w:p>
        </w:tc>
      </w:tr>
      <w:tr>
        <w:trPr>
          <w:trHeight w:val="230"/>
        </w:trPr>
        <w:tc>
          <w:tcPr>
            <w:tcW w:w="4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Counsel (Principal Executive Officer)</w:t>
            </w: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May 5, 2022</w:t>
            </w:r>
          </w:p>
        </w:tc>
        <w:tc>
          <w:tcPr>
            <w:tcW w:w="4960" w:type="dxa"/>
            <w:vAlign w:val="bottom"/>
            <w:gridSpan w:val="3"/>
          </w:tcPr>
          <w:p>
            <w:pPr>
              <w:spacing w:after="0"/>
              <w:rPr>
                <w:sz w:val="20"/>
                <w:szCs w:val="20"/>
                <w:color w:val="auto"/>
              </w:rPr>
            </w:pPr>
            <w:r>
              <w:rPr>
                <w:rFonts w:ascii="Arial" w:cs="Arial" w:eastAsia="Arial" w:hAnsi="Arial"/>
                <w:sz w:val="18"/>
                <w:szCs w:val="18"/>
                <w:color w:val="auto"/>
              </w:rPr>
              <w:t>By: /s/ Jean-Marc Bellemin</w:t>
            </w:r>
          </w:p>
        </w:tc>
      </w:tr>
      <w:tr>
        <w:trPr>
          <w:trHeight w:val="211"/>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Jean-Marc Bellemin</w:t>
            </w:r>
          </w:p>
        </w:tc>
      </w:tr>
    </w:tbl>
    <w:p>
      <w:pPr>
        <w:ind w:left="5260"/>
        <w:spacing w:after="0"/>
        <w:rPr>
          <w:sz w:val="20"/>
          <w:szCs w:val="20"/>
          <w:color w:val="auto"/>
        </w:rPr>
      </w:pPr>
      <w:r>
        <w:rPr>
          <w:rFonts w:ascii="Arial" w:cs="Arial" w:eastAsia="Arial" w:hAnsi="Arial"/>
          <w:sz w:val="17"/>
          <w:szCs w:val="17"/>
          <w:color w:val="auto"/>
        </w:rPr>
        <w:t>Chief Financial Officer and Treasurer (Principal Financial and</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 Frederick G. Vogt, PhD., J.D, Interim Chief Executive Officer and President, and General Counsel of Iovance Biotherapeutics, Inc., certify that:</w:t>
      </w:r>
    </w:p>
    <w:p>
      <w:pPr>
        <w:spacing w:after="0" w:line="170"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Dated: May 5, 2022</w:t>
            </w:r>
          </w:p>
        </w:tc>
        <w:tc>
          <w:tcPr>
            <w:tcW w:w="6700" w:type="dxa"/>
            <w:vAlign w:val="bottom"/>
            <w:gridSpan w:val="2"/>
          </w:tcPr>
          <w:p>
            <w:pPr>
              <w:ind w:left="1760"/>
              <w:spacing w:after="0"/>
              <w:rPr>
                <w:sz w:val="20"/>
                <w:szCs w:val="20"/>
                <w:color w:val="auto"/>
              </w:rPr>
            </w:pPr>
            <w:r>
              <w:rPr>
                <w:rFonts w:ascii="Arial" w:cs="Arial" w:eastAsia="Arial" w:hAnsi="Arial"/>
                <w:sz w:val="18"/>
                <w:szCs w:val="18"/>
                <w:color w:val="auto"/>
              </w:rPr>
              <w:t>By: /s/ Frederick G. Vogt, PhD., J.D.</w:t>
            </w:r>
          </w:p>
        </w:tc>
      </w:tr>
      <w:tr>
        <w:trPr>
          <w:trHeight w:val="195"/>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G. Vogt, PhD., J.D.</w:t>
            </w:r>
          </w:p>
        </w:tc>
      </w:tr>
      <w:tr>
        <w:trPr>
          <w:trHeight w:val="216"/>
        </w:trPr>
        <w:tc>
          <w:tcPr>
            <w:tcW w:w="3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8"/>
              </w:rPr>
              <w:t>Interim Chief Executive Officer and President, and General</w:t>
            </w:r>
          </w:p>
        </w:tc>
      </w:tr>
      <w:tr>
        <w:trPr>
          <w:trHeight w:val="230"/>
        </w:trPr>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Counsel (Principal Executive Officer)</w:t>
            </w:r>
          </w:p>
        </w:tc>
      </w:tr>
      <w:tr>
        <w:trPr>
          <w:trHeight w:val="776"/>
        </w:trPr>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Jean-Marc Bellemin, Chief Financial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Dated: May 5, 2022</w:t>
            </w:r>
          </w:p>
        </w:tc>
        <w:tc>
          <w:tcPr>
            <w:tcW w:w="6700" w:type="dxa"/>
            <w:vAlign w:val="bottom"/>
            <w:gridSpan w:val="2"/>
          </w:tcPr>
          <w:p>
            <w:pPr>
              <w:ind w:left="1760"/>
              <w:spacing w:after="0"/>
              <w:rPr>
                <w:sz w:val="20"/>
                <w:szCs w:val="20"/>
                <w:color w:val="auto"/>
              </w:rPr>
            </w:pPr>
            <w:r>
              <w:rPr>
                <w:rFonts w:ascii="Arial" w:cs="Arial" w:eastAsia="Arial" w:hAnsi="Arial"/>
                <w:sz w:val="18"/>
                <w:szCs w:val="18"/>
                <w:color w:val="auto"/>
              </w:rPr>
              <w:t>By: /s/ Jean-Marc Bellemin</w:t>
            </w:r>
          </w:p>
        </w:tc>
      </w:tr>
      <w:tr>
        <w:trPr>
          <w:trHeight w:val="195"/>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Jean-Marc Bellemin</w:t>
            </w:r>
          </w:p>
        </w:tc>
      </w:tr>
      <w:tr>
        <w:trPr>
          <w:trHeight w:val="216"/>
        </w:trPr>
        <w:tc>
          <w:tcPr>
            <w:tcW w:w="3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Financial Officer &amp; Principal Accounting Officer)</w:t>
            </w:r>
          </w:p>
        </w:tc>
      </w:tr>
      <w:tr>
        <w:trPr>
          <w:trHeight w:val="776"/>
        </w:trPr>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March 31, 2022, as filed with the Securities and Exchange Commission on the date hereof (the “Report”), Frederick G. Vogt, PhD., J.D., Interim Chief Executive Officer and President, and General Counsel,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Dated: May 5, 2022</w:t>
            </w:r>
          </w:p>
        </w:tc>
        <w:tc>
          <w:tcPr>
            <w:tcW w:w="6720" w:type="dxa"/>
            <w:vAlign w:val="bottom"/>
            <w:gridSpan w:val="2"/>
          </w:tcPr>
          <w:p>
            <w:pPr>
              <w:ind w:left="1760"/>
              <w:spacing w:after="0"/>
              <w:rPr>
                <w:sz w:val="20"/>
                <w:szCs w:val="20"/>
                <w:color w:val="auto"/>
              </w:rPr>
            </w:pPr>
            <w:r>
              <w:rPr>
                <w:rFonts w:ascii="Arial" w:cs="Arial" w:eastAsia="Arial" w:hAnsi="Arial"/>
                <w:sz w:val="18"/>
                <w:szCs w:val="18"/>
                <w:color w:val="auto"/>
              </w:rPr>
              <w:t>By: /s/ Frederick G. Vogt, PhD., J.D.</w:t>
            </w:r>
          </w:p>
        </w:tc>
      </w:tr>
      <w:tr>
        <w:trPr>
          <w:trHeight w:val="195"/>
        </w:trPr>
        <w:tc>
          <w:tcPr>
            <w:tcW w:w="3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G. Vogt, PhD., J.D.</w:t>
            </w:r>
          </w:p>
        </w:tc>
      </w:tr>
      <w:tr>
        <w:trPr>
          <w:trHeight w:val="216"/>
        </w:trPr>
        <w:tc>
          <w:tcPr>
            <w:tcW w:w="3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8"/>
              </w:rPr>
              <w:t>Interim Chief Executive Officer and President, and General</w:t>
            </w:r>
          </w:p>
        </w:tc>
      </w:tr>
      <w:tr>
        <w:trPr>
          <w:trHeight w:val="230"/>
        </w:trPr>
        <w:tc>
          <w:tcPr>
            <w:tcW w:w="3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Counsel (Principal Executive Officer)</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20" w:right="120" w:firstLine="648"/>
        <w:spacing w:after="0" w:line="311" w:lineRule="auto"/>
        <w:rPr>
          <w:sz w:val="20"/>
          <w:szCs w:val="20"/>
          <w:color w:val="auto"/>
        </w:rPr>
      </w:pPr>
      <w:r>
        <w:rPr>
          <w:rFonts w:ascii="Arial" w:cs="Arial" w:eastAsia="Arial" w:hAnsi="Arial"/>
          <w:sz w:val="16"/>
          <w:szCs w:val="16"/>
          <w:color w:val="auto"/>
        </w:rPr>
        <w:t>In connection with the Quarterly Report on Form 10-Q of Iovance Biotherapeutics, Inc. (the “Company”) for the quarter ended March 31, 2022 as filed with the Securities and Exchange Commission on the date hereof (the “Report”), Jean-Marc Bellemin, Chief Financial Officer, hereby certifies, pursuant to 18 U.S.C. §1350, as adopted pursuant to §906 of the Sarbanes-Oxley Act of 2002, that:</w:t>
      </w:r>
    </w:p>
    <w:p>
      <w:pPr>
        <w:spacing w:after="0" w:line="149" w:lineRule="exact"/>
        <w:rPr>
          <w:sz w:val="20"/>
          <w:szCs w:val="20"/>
          <w:color w:val="auto"/>
        </w:rPr>
      </w:pPr>
    </w:p>
    <w:p>
      <w:pPr>
        <w:ind w:left="280" w:hanging="25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0" w:firstLine="8"/>
        <w:spacing w:after="0" w:line="277" w:lineRule="auto"/>
        <w:tabs>
          <w:tab w:leader="none" w:pos="2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4880" w:val="left"/>
          <w:tab w:leader="none" w:pos="5280" w:val="left"/>
        </w:tabs>
        <w:rPr>
          <w:sz w:val="20"/>
          <w:szCs w:val="20"/>
          <w:color w:val="auto"/>
        </w:rPr>
      </w:pPr>
      <w:r>
        <w:rPr>
          <w:rFonts w:ascii="Arial" w:cs="Arial" w:eastAsia="Arial" w:hAnsi="Arial"/>
          <w:sz w:val="18"/>
          <w:szCs w:val="18"/>
          <w:color w:val="auto"/>
        </w:rPr>
        <w:t>Dated: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Jean-Marc Bellemin</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-130175</wp:posOffset>
            </wp:positionV>
            <wp:extent cx="29578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38"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323215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40"/>
      </w:cols>
      <w:pgMar w:left="96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amp;"/>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lvl w:ilvl="1">
      <w:lvlJc w:val="left"/>
      <w:lvlText w:val="●"/>
      <w:numFmt w:val="bullet"/>
      <w:start w:val="1"/>
    </w:lvl>
  </w:abstractNum>
  <w:abstractNum w:abstractNumId="7">
    <w:nsid w:val="62BBD95A"/>
    <w:multiLevelType w:val="hybridMultilevel"/>
    <w:lvl w:ilvl="0">
      <w:lvlJc w:val="left"/>
      <w:lvlText w:val="●"/>
      <w:numFmt w:val="bullet"/>
      <w:start w:val="1"/>
    </w:lvl>
    <w:lvl w:ilvl="1">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lvl w:ilvl="1">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lvl w:ilvl="1">
      <w:lvlJc w:val="left"/>
      <w:lvlText w:val="%2"/>
      <w:numFmt w:val="decimal"/>
      <w:start w:val="10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2022-05-05T16:44:07Z</dcterms:created>
  <dcterms:modified xsi:type="dcterms:W3CDTF">2022-05-05T16:44:07Z</dcterms:modified>
</cp:coreProperties>
</file>